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E4CD1A" w14:textId="1410C4FB" w:rsidR="00E20102" w:rsidRPr="00BD14B0" w:rsidRDefault="00622942" w:rsidP="00E20102">
      <w:pPr>
        <w:jc w:val="center"/>
      </w:pPr>
      <w:r>
        <w:t xml:space="preserve"> </w:t>
      </w:r>
    </w:p>
    <w:p w14:paraId="319D3E81" w14:textId="77777777" w:rsidR="00E20102" w:rsidRPr="00BD14B0" w:rsidRDefault="00E20102" w:rsidP="00E20102">
      <w:pPr>
        <w:jc w:val="center"/>
      </w:pPr>
      <w:r w:rsidRPr="00BD14B0">
        <w:rPr>
          <w:noProof/>
        </w:rPr>
        <w:drawing>
          <wp:inline distT="0" distB="0" distL="0" distR="0" wp14:anchorId="6B4BD182" wp14:editId="56B1546C">
            <wp:extent cx="3031490" cy="1476375"/>
            <wp:effectExtent l="0" t="0" r="0" b="9525"/>
            <wp:docPr id="690751494" name="Picture 690751494" descr="\\stfdata08\home\PC\Pcp13na\ManW7\Desktop\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8\home\PC\Pcp13na\ManW7\Desktop\un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6808" cy="1483835"/>
                    </a:xfrm>
                    <a:prstGeom prst="rect">
                      <a:avLst/>
                    </a:prstGeom>
                    <a:noFill/>
                    <a:ln>
                      <a:noFill/>
                    </a:ln>
                  </pic:spPr>
                </pic:pic>
              </a:graphicData>
            </a:graphic>
          </wp:inline>
        </w:drawing>
      </w:r>
    </w:p>
    <w:p w14:paraId="7873AF74" w14:textId="77777777" w:rsidR="00E20102" w:rsidRPr="00BD14B0" w:rsidRDefault="00E20102" w:rsidP="00E20102">
      <w:pPr>
        <w:jc w:val="center"/>
      </w:pPr>
    </w:p>
    <w:p w14:paraId="091EF81E" w14:textId="77777777" w:rsidR="00E20102" w:rsidRPr="00BD14B0" w:rsidRDefault="00E20102" w:rsidP="00E20102">
      <w:pPr>
        <w:jc w:val="center"/>
      </w:pPr>
    </w:p>
    <w:p w14:paraId="04215DDC" w14:textId="77777777" w:rsidR="00E20102" w:rsidRPr="00BD14B0" w:rsidRDefault="00E20102" w:rsidP="00E20102">
      <w:pPr>
        <w:jc w:val="center"/>
        <w:rPr>
          <w:sz w:val="32"/>
          <w:szCs w:val="32"/>
        </w:rPr>
      </w:pPr>
      <w:r w:rsidRPr="00BD14B0">
        <w:rPr>
          <w:sz w:val="32"/>
          <w:szCs w:val="32"/>
        </w:rPr>
        <w:t>Measuring the effect of social knowledge on social attention by using gaze cueing effect</w:t>
      </w:r>
    </w:p>
    <w:p w14:paraId="0F1A74ED" w14:textId="77777777" w:rsidR="00E20102" w:rsidRPr="00BD14B0" w:rsidRDefault="00E20102" w:rsidP="00E20102">
      <w:pPr>
        <w:jc w:val="center"/>
      </w:pPr>
    </w:p>
    <w:p w14:paraId="05045DD3" w14:textId="77777777" w:rsidR="00E20102" w:rsidRPr="00BD14B0" w:rsidRDefault="00E20102" w:rsidP="00E20102">
      <w:pPr>
        <w:jc w:val="center"/>
      </w:pPr>
    </w:p>
    <w:p w14:paraId="13902433" w14:textId="77777777" w:rsidR="00E20102" w:rsidRPr="00BD14B0" w:rsidRDefault="00E20102" w:rsidP="00E20102">
      <w:pPr>
        <w:jc w:val="center"/>
      </w:pPr>
    </w:p>
    <w:p w14:paraId="1BC96304" w14:textId="77777777" w:rsidR="00E20102" w:rsidRPr="00BD14B0" w:rsidRDefault="00E20102" w:rsidP="00E20102">
      <w:pPr>
        <w:jc w:val="center"/>
      </w:pPr>
      <w:r w:rsidRPr="00BD14B0">
        <w:t>Nazli Altin Cesur</w:t>
      </w:r>
    </w:p>
    <w:p w14:paraId="17E8438F" w14:textId="77777777" w:rsidR="00E20102" w:rsidRPr="00BD14B0" w:rsidRDefault="00E20102" w:rsidP="00E20102">
      <w:pPr>
        <w:jc w:val="center"/>
      </w:pPr>
    </w:p>
    <w:p w14:paraId="447473C8" w14:textId="77777777" w:rsidR="00E20102" w:rsidRPr="00BD14B0" w:rsidRDefault="00E20102" w:rsidP="00E20102">
      <w:pPr>
        <w:jc w:val="center"/>
      </w:pPr>
    </w:p>
    <w:p w14:paraId="428A874A" w14:textId="77777777" w:rsidR="00E20102" w:rsidRPr="00BD14B0" w:rsidRDefault="00E20102" w:rsidP="00E20102">
      <w:pPr>
        <w:jc w:val="center"/>
      </w:pPr>
    </w:p>
    <w:p w14:paraId="5774EE3C" w14:textId="77777777" w:rsidR="00E20102" w:rsidRPr="00BD14B0" w:rsidRDefault="00E20102" w:rsidP="00E20102">
      <w:pPr>
        <w:jc w:val="center"/>
      </w:pPr>
      <w:r w:rsidRPr="00BD14B0">
        <w:t>A thesis submitted for the degree of Doctor of Philosophy (PhD)</w:t>
      </w:r>
    </w:p>
    <w:p w14:paraId="3BE45128" w14:textId="77777777" w:rsidR="00E20102" w:rsidRPr="00BD14B0" w:rsidRDefault="00E20102" w:rsidP="00E20102">
      <w:pPr>
        <w:jc w:val="center"/>
      </w:pPr>
    </w:p>
    <w:p w14:paraId="410A51CF" w14:textId="77777777" w:rsidR="00E20102" w:rsidRPr="00BD14B0" w:rsidRDefault="00E20102" w:rsidP="00E20102">
      <w:pPr>
        <w:jc w:val="center"/>
      </w:pPr>
      <w:r w:rsidRPr="00BD14B0">
        <w:t>The University of Sheffield</w:t>
      </w:r>
    </w:p>
    <w:p w14:paraId="43F149B7" w14:textId="77777777" w:rsidR="00E20102" w:rsidRPr="00BD14B0" w:rsidRDefault="00E20102" w:rsidP="00E20102">
      <w:pPr>
        <w:jc w:val="center"/>
      </w:pPr>
      <w:r w:rsidRPr="00BD14B0">
        <w:t>Department of Psychology</w:t>
      </w:r>
    </w:p>
    <w:p w14:paraId="1AA5D151" w14:textId="77777777" w:rsidR="00E20102" w:rsidRPr="00BD14B0" w:rsidRDefault="00E20102" w:rsidP="00E20102">
      <w:pPr>
        <w:jc w:val="center"/>
      </w:pPr>
      <w:r w:rsidRPr="00BD14B0">
        <w:t>February 2020</w:t>
      </w:r>
    </w:p>
    <w:p w14:paraId="0B3E53C2" w14:textId="665BD01D" w:rsidR="00E20102" w:rsidRPr="00BD14B0" w:rsidRDefault="00E20102">
      <w:pPr>
        <w:tabs>
          <w:tab w:val="clear" w:pos="851"/>
        </w:tabs>
        <w:spacing w:before="0" w:after="0" w:line="240" w:lineRule="auto"/>
      </w:pPr>
    </w:p>
    <w:p w14:paraId="4BBAFAF5" w14:textId="77777777" w:rsidR="00E20102" w:rsidRPr="00BD14B0" w:rsidRDefault="00E20102" w:rsidP="00E20102">
      <w:pPr>
        <w:tabs>
          <w:tab w:val="clear" w:pos="851"/>
        </w:tabs>
        <w:spacing w:before="0" w:after="0" w:line="240" w:lineRule="auto"/>
      </w:pPr>
    </w:p>
    <w:p w14:paraId="5D9E4DC3" w14:textId="77777777" w:rsidR="00E20102" w:rsidRPr="00BD14B0" w:rsidRDefault="00E20102" w:rsidP="00E20102">
      <w:pPr>
        <w:tabs>
          <w:tab w:val="clear" w:pos="851"/>
        </w:tabs>
        <w:spacing w:before="0" w:after="0" w:line="240" w:lineRule="auto"/>
      </w:pPr>
    </w:p>
    <w:p w14:paraId="0B392425" w14:textId="77777777" w:rsidR="00E20102" w:rsidRPr="00BD14B0" w:rsidRDefault="00E20102" w:rsidP="00E20102">
      <w:pPr>
        <w:tabs>
          <w:tab w:val="clear" w:pos="851"/>
        </w:tabs>
        <w:spacing w:before="0" w:after="0" w:line="240" w:lineRule="auto"/>
      </w:pPr>
    </w:p>
    <w:p w14:paraId="02A0C599" w14:textId="3C2507D5" w:rsidR="00A33304" w:rsidRPr="00BD14B0" w:rsidRDefault="00A33304" w:rsidP="00E20102">
      <w:pPr>
        <w:tabs>
          <w:tab w:val="clear" w:pos="851"/>
        </w:tabs>
        <w:spacing w:before="0" w:after="0" w:line="240" w:lineRule="auto"/>
      </w:pPr>
    </w:p>
    <w:p w14:paraId="73AA4533" w14:textId="77777777" w:rsidR="00A33304" w:rsidRPr="00BD14B0" w:rsidRDefault="00A33304">
      <w:pPr>
        <w:tabs>
          <w:tab w:val="clear" w:pos="851"/>
        </w:tabs>
        <w:spacing w:before="0" w:after="0" w:line="240" w:lineRule="auto"/>
      </w:pPr>
      <w:r w:rsidRPr="00BD14B0">
        <w:br w:type="page"/>
      </w:r>
    </w:p>
    <w:p w14:paraId="19DC869D" w14:textId="77777777" w:rsidR="00E20102" w:rsidRPr="00BD14B0" w:rsidRDefault="00E20102" w:rsidP="00E20102">
      <w:pPr>
        <w:tabs>
          <w:tab w:val="clear" w:pos="851"/>
        </w:tabs>
        <w:spacing w:before="0" w:after="0" w:line="240" w:lineRule="auto"/>
      </w:pPr>
    </w:p>
    <w:sdt>
      <w:sdtPr>
        <w:rPr>
          <w:bCs w:val="0"/>
          <w:caps w:val="0"/>
          <w:smallCaps w:val="0"/>
          <w:noProof/>
          <w:color w:val="000000" w:themeColor="text1"/>
          <w:sz w:val="24"/>
          <w:szCs w:val="24"/>
          <w:lang w:val="en-GB" w:eastAsia="en-GB"/>
        </w:rPr>
        <w:id w:val="-780335403"/>
        <w:docPartObj>
          <w:docPartGallery w:val="Table of Contents"/>
          <w:docPartUnique/>
        </w:docPartObj>
      </w:sdtPr>
      <w:sdtEndPr>
        <w:rPr>
          <w:b/>
          <w:noProof w:val="0"/>
        </w:rPr>
      </w:sdtEndPr>
      <w:sdtContent>
        <w:p w14:paraId="5610FA29" w14:textId="5E1019A6" w:rsidR="00072C99" w:rsidRPr="00BD14B0" w:rsidRDefault="00072C99">
          <w:pPr>
            <w:pStyle w:val="TOCHeading"/>
            <w:rPr>
              <w:color w:val="000000" w:themeColor="text1"/>
              <w:lang w:val="en-GB"/>
            </w:rPr>
          </w:pPr>
          <w:r w:rsidRPr="00BD14B0">
            <w:rPr>
              <w:color w:val="000000" w:themeColor="text1"/>
              <w:lang w:val="en-GB"/>
            </w:rPr>
            <w:t>Table of Contents</w:t>
          </w:r>
        </w:p>
        <w:p w14:paraId="41B55956" w14:textId="5C95153D" w:rsidR="001C025E" w:rsidRDefault="00072C99">
          <w:pPr>
            <w:pStyle w:val="TOC1"/>
            <w:tabs>
              <w:tab w:val="right" w:pos="8828"/>
            </w:tabs>
            <w:rPr>
              <w:rFonts w:eastAsiaTheme="minorEastAsia" w:cstheme="minorBidi"/>
              <w:b w:val="0"/>
              <w:bCs w:val="0"/>
              <w:i w:val="0"/>
              <w:iCs w:val="0"/>
              <w:noProof/>
              <w:color w:val="auto"/>
              <w:lang w:val="en-TR" w:eastAsia="en-US"/>
            </w:rPr>
          </w:pPr>
          <w:r w:rsidRPr="00BD14B0">
            <w:rPr>
              <w:b w:val="0"/>
              <w:bCs w:val="0"/>
            </w:rPr>
            <w:fldChar w:fldCharType="begin"/>
          </w:r>
          <w:r w:rsidRPr="00BD14B0">
            <w:instrText xml:space="preserve"> TOC \o "1-3" \h \z \u </w:instrText>
          </w:r>
          <w:r w:rsidRPr="00BD14B0">
            <w:rPr>
              <w:b w:val="0"/>
              <w:bCs w:val="0"/>
            </w:rPr>
            <w:fldChar w:fldCharType="separate"/>
          </w:r>
          <w:hyperlink w:anchor="_Toc108310746" w:history="1">
            <w:r w:rsidR="001C025E" w:rsidRPr="00AA65ED">
              <w:rPr>
                <w:rStyle w:val="Hyperlink"/>
                <w:noProof/>
              </w:rPr>
              <w:t>List of Tables</w:t>
            </w:r>
            <w:r w:rsidR="001C025E">
              <w:rPr>
                <w:noProof/>
                <w:webHidden/>
              </w:rPr>
              <w:tab/>
            </w:r>
            <w:r w:rsidR="001C025E">
              <w:rPr>
                <w:noProof/>
                <w:webHidden/>
              </w:rPr>
              <w:fldChar w:fldCharType="begin"/>
            </w:r>
            <w:r w:rsidR="001C025E">
              <w:rPr>
                <w:noProof/>
                <w:webHidden/>
              </w:rPr>
              <w:instrText xml:space="preserve"> PAGEREF _Toc108310746 \h </w:instrText>
            </w:r>
            <w:r w:rsidR="001C025E">
              <w:rPr>
                <w:noProof/>
                <w:webHidden/>
              </w:rPr>
            </w:r>
            <w:r w:rsidR="001C025E">
              <w:rPr>
                <w:noProof/>
                <w:webHidden/>
              </w:rPr>
              <w:fldChar w:fldCharType="separate"/>
            </w:r>
            <w:r w:rsidR="001C025E">
              <w:rPr>
                <w:noProof/>
                <w:webHidden/>
              </w:rPr>
              <w:t>viii</w:t>
            </w:r>
            <w:r w:rsidR="001C025E">
              <w:rPr>
                <w:noProof/>
                <w:webHidden/>
              </w:rPr>
              <w:fldChar w:fldCharType="end"/>
            </w:r>
          </w:hyperlink>
        </w:p>
        <w:p w14:paraId="65310138" w14:textId="7A40FD4A" w:rsidR="001C025E" w:rsidRDefault="00000000">
          <w:pPr>
            <w:pStyle w:val="TOC1"/>
            <w:tabs>
              <w:tab w:val="right" w:pos="8828"/>
            </w:tabs>
            <w:rPr>
              <w:rFonts w:eastAsiaTheme="minorEastAsia" w:cstheme="minorBidi"/>
              <w:b w:val="0"/>
              <w:bCs w:val="0"/>
              <w:i w:val="0"/>
              <w:iCs w:val="0"/>
              <w:noProof/>
              <w:color w:val="auto"/>
              <w:lang w:val="en-TR" w:eastAsia="en-US"/>
            </w:rPr>
          </w:pPr>
          <w:hyperlink w:anchor="_Toc108310747" w:history="1">
            <w:r w:rsidR="001C025E" w:rsidRPr="00AA65ED">
              <w:rPr>
                <w:rStyle w:val="Hyperlink"/>
                <w:noProof/>
              </w:rPr>
              <w:t>Chapter 1. Review of the Literature</w:t>
            </w:r>
            <w:r w:rsidR="001C025E">
              <w:rPr>
                <w:noProof/>
                <w:webHidden/>
              </w:rPr>
              <w:tab/>
            </w:r>
            <w:r w:rsidR="001C025E">
              <w:rPr>
                <w:noProof/>
                <w:webHidden/>
              </w:rPr>
              <w:fldChar w:fldCharType="begin"/>
            </w:r>
            <w:r w:rsidR="001C025E">
              <w:rPr>
                <w:noProof/>
                <w:webHidden/>
              </w:rPr>
              <w:instrText xml:space="preserve"> PAGEREF _Toc108310747 \h </w:instrText>
            </w:r>
            <w:r w:rsidR="001C025E">
              <w:rPr>
                <w:noProof/>
                <w:webHidden/>
              </w:rPr>
            </w:r>
            <w:r w:rsidR="001C025E">
              <w:rPr>
                <w:noProof/>
                <w:webHidden/>
              </w:rPr>
              <w:fldChar w:fldCharType="separate"/>
            </w:r>
            <w:r w:rsidR="001C025E">
              <w:rPr>
                <w:noProof/>
                <w:webHidden/>
              </w:rPr>
              <w:t>1</w:t>
            </w:r>
            <w:r w:rsidR="001C025E">
              <w:rPr>
                <w:noProof/>
                <w:webHidden/>
              </w:rPr>
              <w:fldChar w:fldCharType="end"/>
            </w:r>
          </w:hyperlink>
        </w:p>
        <w:p w14:paraId="2408BE67" w14:textId="02FFE39D"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48" w:history="1">
            <w:r w:rsidR="001C025E" w:rsidRPr="00AA65ED">
              <w:rPr>
                <w:rStyle w:val="Hyperlink"/>
                <w:noProof/>
              </w:rPr>
              <w:t>1.1 Introduction</w:t>
            </w:r>
            <w:r w:rsidR="001C025E">
              <w:rPr>
                <w:noProof/>
                <w:webHidden/>
              </w:rPr>
              <w:tab/>
            </w:r>
            <w:r w:rsidR="001C025E">
              <w:rPr>
                <w:noProof/>
                <w:webHidden/>
              </w:rPr>
              <w:fldChar w:fldCharType="begin"/>
            </w:r>
            <w:r w:rsidR="001C025E">
              <w:rPr>
                <w:noProof/>
                <w:webHidden/>
              </w:rPr>
              <w:instrText xml:space="preserve"> PAGEREF _Toc108310748 \h </w:instrText>
            </w:r>
            <w:r w:rsidR="001C025E">
              <w:rPr>
                <w:noProof/>
                <w:webHidden/>
              </w:rPr>
            </w:r>
            <w:r w:rsidR="001C025E">
              <w:rPr>
                <w:noProof/>
                <w:webHidden/>
              </w:rPr>
              <w:fldChar w:fldCharType="separate"/>
            </w:r>
            <w:r w:rsidR="001C025E">
              <w:rPr>
                <w:noProof/>
                <w:webHidden/>
              </w:rPr>
              <w:t>1</w:t>
            </w:r>
            <w:r w:rsidR="001C025E">
              <w:rPr>
                <w:noProof/>
                <w:webHidden/>
              </w:rPr>
              <w:fldChar w:fldCharType="end"/>
            </w:r>
          </w:hyperlink>
        </w:p>
        <w:p w14:paraId="7E7D2EF6" w14:textId="0E247A7A"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49" w:history="1">
            <w:r w:rsidR="001C025E" w:rsidRPr="00AA65ED">
              <w:rPr>
                <w:rStyle w:val="Hyperlink"/>
                <w:noProof/>
              </w:rPr>
              <w:t>1.2 Mechanisms of Visual Attention</w:t>
            </w:r>
            <w:r w:rsidR="001C025E">
              <w:rPr>
                <w:noProof/>
                <w:webHidden/>
              </w:rPr>
              <w:tab/>
            </w:r>
            <w:r w:rsidR="001C025E">
              <w:rPr>
                <w:noProof/>
                <w:webHidden/>
              </w:rPr>
              <w:fldChar w:fldCharType="begin"/>
            </w:r>
            <w:r w:rsidR="001C025E">
              <w:rPr>
                <w:noProof/>
                <w:webHidden/>
              </w:rPr>
              <w:instrText xml:space="preserve"> PAGEREF _Toc108310749 \h </w:instrText>
            </w:r>
            <w:r w:rsidR="001C025E">
              <w:rPr>
                <w:noProof/>
                <w:webHidden/>
              </w:rPr>
            </w:r>
            <w:r w:rsidR="001C025E">
              <w:rPr>
                <w:noProof/>
                <w:webHidden/>
              </w:rPr>
              <w:fldChar w:fldCharType="separate"/>
            </w:r>
            <w:r w:rsidR="001C025E">
              <w:rPr>
                <w:noProof/>
                <w:webHidden/>
              </w:rPr>
              <w:t>4</w:t>
            </w:r>
            <w:r w:rsidR="001C025E">
              <w:rPr>
                <w:noProof/>
                <w:webHidden/>
              </w:rPr>
              <w:fldChar w:fldCharType="end"/>
            </w:r>
          </w:hyperlink>
        </w:p>
        <w:p w14:paraId="237F8064" w14:textId="6106DA07"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50" w:history="1">
            <w:r w:rsidR="001C025E" w:rsidRPr="00AA65ED">
              <w:rPr>
                <w:rStyle w:val="Hyperlink"/>
                <w:noProof/>
              </w:rPr>
              <w:t>1.3 Biological Basis of Gaze Perception</w:t>
            </w:r>
            <w:r w:rsidR="001C025E">
              <w:rPr>
                <w:noProof/>
                <w:webHidden/>
              </w:rPr>
              <w:tab/>
            </w:r>
            <w:r w:rsidR="001C025E">
              <w:rPr>
                <w:noProof/>
                <w:webHidden/>
              </w:rPr>
              <w:fldChar w:fldCharType="begin"/>
            </w:r>
            <w:r w:rsidR="001C025E">
              <w:rPr>
                <w:noProof/>
                <w:webHidden/>
              </w:rPr>
              <w:instrText xml:space="preserve"> PAGEREF _Toc108310750 \h </w:instrText>
            </w:r>
            <w:r w:rsidR="001C025E">
              <w:rPr>
                <w:noProof/>
                <w:webHidden/>
              </w:rPr>
            </w:r>
            <w:r w:rsidR="001C025E">
              <w:rPr>
                <w:noProof/>
                <w:webHidden/>
              </w:rPr>
              <w:fldChar w:fldCharType="separate"/>
            </w:r>
            <w:r w:rsidR="001C025E">
              <w:rPr>
                <w:noProof/>
                <w:webHidden/>
              </w:rPr>
              <w:t>11</w:t>
            </w:r>
            <w:r w:rsidR="001C025E">
              <w:rPr>
                <w:noProof/>
                <w:webHidden/>
              </w:rPr>
              <w:fldChar w:fldCharType="end"/>
            </w:r>
          </w:hyperlink>
        </w:p>
        <w:p w14:paraId="6D6D3AE4" w14:textId="6E21A66E" w:rsidR="001C025E" w:rsidRDefault="00000000">
          <w:pPr>
            <w:pStyle w:val="TOC3"/>
            <w:tabs>
              <w:tab w:val="right" w:pos="8828"/>
            </w:tabs>
            <w:rPr>
              <w:rFonts w:eastAsiaTheme="minorEastAsia" w:cstheme="minorBidi"/>
              <w:noProof/>
              <w:color w:val="auto"/>
              <w:sz w:val="24"/>
              <w:szCs w:val="24"/>
              <w:lang w:val="en-TR" w:eastAsia="en-US"/>
            </w:rPr>
          </w:pPr>
          <w:hyperlink w:anchor="_Toc108310751" w:history="1">
            <w:r w:rsidR="001C025E" w:rsidRPr="00AA65ED">
              <w:rPr>
                <w:rStyle w:val="Hyperlink"/>
                <w:noProof/>
              </w:rPr>
              <w:t>1.3.1</w:t>
            </w:r>
            <w:r w:rsidR="001C025E" w:rsidRPr="00AA65ED">
              <w:rPr>
                <w:rStyle w:val="Hyperlink"/>
                <w:rFonts w:eastAsiaTheme="majorEastAsia"/>
                <w:noProof/>
              </w:rPr>
              <w:t xml:space="preserve"> Inferring directions with eye gaze cues</w:t>
            </w:r>
            <w:r w:rsidR="001C025E">
              <w:rPr>
                <w:noProof/>
                <w:webHidden/>
              </w:rPr>
              <w:tab/>
            </w:r>
            <w:r w:rsidR="001C025E">
              <w:rPr>
                <w:noProof/>
                <w:webHidden/>
              </w:rPr>
              <w:fldChar w:fldCharType="begin"/>
            </w:r>
            <w:r w:rsidR="001C025E">
              <w:rPr>
                <w:noProof/>
                <w:webHidden/>
              </w:rPr>
              <w:instrText xml:space="preserve"> PAGEREF _Toc108310751 \h </w:instrText>
            </w:r>
            <w:r w:rsidR="001C025E">
              <w:rPr>
                <w:noProof/>
                <w:webHidden/>
              </w:rPr>
            </w:r>
            <w:r w:rsidR="001C025E">
              <w:rPr>
                <w:noProof/>
                <w:webHidden/>
              </w:rPr>
              <w:fldChar w:fldCharType="separate"/>
            </w:r>
            <w:r w:rsidR="001C025E">
              <w:rPr>
                <w:noProof/>
                <w:webHidden/>
              </w:rPr>
              <w:t>13</w:t>
            </w:r>
            <w:r w:rsidR="001C025E">
              <w:rPr>
                <w:noProof/>
                <w:webHidden/>
              </w:rPr>
              <w:fldChar w:fldCharType="end"/>
            </w:r>
          </w:hyperlink>
        </w:p>
        <w:p w14:paraId="1279305F" w14:textId="2C1ABA21" w:rsidR="001C025E" w:rsidRDefault="00000000">
          <w:pPr>
            <w:pStyle w:val="TOC3"/>
            <w:tabs>
              <w:tab w:val="right" w:pos="8828"/>
            </w:tabs>
            <w:rPr>
              <w:rFonts w:eastAsiaTheme="minorEastAsia" w:cstheme="minorBidi"/>
              <w:noProof/>
              <w:color w:val="auto"/>
              <w:sz w:val="24"/>
              <w:szCs w:val="24"/>
              <w:lang w:val="en-TR" w:eastAsia="en-US"/>
            </w:rPr>
          </w:pPr>
          <w:hyperlink w:anchor="_Toc108310752" w:history="1">
            <w:r w:rsidR="001C025E" w:rsidRPr="00AA65ED">
              <w:rPr>
                <w:rStyle w:val="Hyperlink"/>
                <w:rFonts w:eastAsiaTheme="majorEastAsia"/>
                <w:noProof/>
              </w:rPr>
              <w:t>1.3.2 Inferring others’ actions with eye gaze cues.</w:t>
            </w:r>
            <w:r w:rsidR="001C025E">
              <w:rPr>
                <w:noProof/>
                <w:webHidden/>
              </w:rPr>
              <w:tab/>
            </w:r>
            <w:r w:rsidR="001C025E">
              <w:rPr>
                <w:noProof/>
                <w:webHidden/>
              </w:rPr>
              <w:fldChar w:fldCharType="begin"/>
            </w:r>
            <w:r w:rsidR="001C025E">
              <w:rPr>
                <w:noProof/>
                <w:webHidden/>
              </w:rPr>
              <w:instrText xml:space="preserve"> PAGEREF _Toc108310752 \h </w:instrText>
            </w:r>
            <w:r w:rsidR="001C025E">
              <w:rPr>
                <w:noProof/>
                <w:webHidden/>
              </w:rPr>
            </w:r>
            <w:r w:rsidR="001C025E">
              <w:rPr>
                <w:noProof/>
                <w:webHidden/>
              </w:rPr>
              <w:fldChar w:fldCharType="separate"/>
            </w:r>
            <w:r w:rsidR="001C025E">
              <w:rPr>
                <w:noProof/>
                <w:webHidden/>
              </w:rPr>
              <w:t>15</w:t>
            </w:r>
            <w:r w:rsidR="001C025E">
              <w:rPr>
                <w:noProof/>
                <w:webHidden/>
              </w:rPr>
              <w:fldChar w:fldCharType="end"/>
            </w:r>
          </w:hyperlink>
        </w:p>
        <w:p w14:paraId="4E416395" w14:textId="37D7BA25" w:rsidR="001C025E" w:rsidRDefault="00000000">
          <w:pPr>
            <w:pStyle w:val="TOC3"/>
            <w:tabs>
              <w:tab w:val="right" w:pos="8828"/>
            </w:tabs>
            <w:rPr>
              <w:rFonts w:eastAsiaTheme="minorEastAsia" w:cstheme="minorBidi"/>
              <w:noProof/>
              <w:color w:val="auto"/>
              <w:sz w:val="24"/>
              <w:szCs w:val="24"/>
              <w:lang w:val="en-TR" w:eastAsia="en-US"/>
            </w:rPr>
          </w:pPr>
          <w:hyperlink w:anchor="_Toc108310753" w:history="1">
            <w:r w:rsidR="001C025E" w:rsidRPr="00AA65ED">
              <w:rPr>
                <w:rStyle w:val="Hyperlink"/>
                <w:noProof/>
              </w:rPr>
              <w:t>1.3.3 Inferring others’ mental states using eye gaze cues</w:t>
            </w:r>
            <w:r w:rsidR="001C025E">
              <w:rPr>
                <w:noProof/>
                <w:webHidden/>
              </w:rPr>
              <w:tab/>
            </w:r>
            <w:r w:rsidR="001C025E">
              <w:rPr>
                <w:noProof/>
                <w:webHidden/>
              </w:rPr>
              <w:fldChar w:fldCharType="begin"/>
            </w:r>
            <w:r w:rsidR="001C025E">
              <w:rPr>
                <w:noProof/>
                <w:webHidden/>
              </w:rPr>
              <w:instrText xml:space="preserve"> PAGEREF _Toc108310753 \h </w:instrText>
            </w:r>
            <w:r w:rsidR="001C025E">
              <w:rPr>
                <w:noProof/>
                <w:webHidden/>
              </w:rPr>
            </w:r>
            <w:r w:rsidR="001C025E">
              <w:rPr>
                <w:noProof/>
                <w:webHidden/>
              </w:rPr>
              <w:fldChar w:fldCharType="separate"/>
            </w:r>
            <w:r w:rsidR="001C025E">
              <w:rPr>
                <w:noProof/>
                <w:webHidden/>
              </w:rPr>
              <w:t>16</w:t>
            </w:r>
            <w:r w:rsidR="001C025E">
              <w:rPr>
                <w:noProof/>
                <w:webHidden/>
              </w:rPr>
              <w:fldChar w:fldCharType="end"/>
            </w:r>
          </w:hyperlink>
        </w:p>
        <w:p w14:paraId="3D963860" w14:textId="23C274C4"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54" w:history="1">
            <w:r w:rsidR="001C025E" w:rsidRPr="00AA65ED">
              <w:rPr>
                <w:rStyle w:val="Hyperlink"/>
                <w:noProof/>
              </w:rPr>
              <w:t>1.4 Why Eye Gaze is Informative</w:t>
            </w:r>
            <w:r w:rsidR="001C025E">
              <w:rPr>
                <w:noProof/>
                <w:webHidden/>
              </w:rPr>
              <w:tab/>
            </w:r>
            <w:r w:rsidR="001C025E">
              <w:rPr>
                <w:noProof/>
                <w:webHidden/>
              </w:rPr>
              <w:fldChar w:fldCharType="begin"/>
            </w:r>
            <w:r w:rsidR="001C025E">
              <w:rPr>
                <w:noProof/>
                <w:webHidden/>
              </w:rPr>
              <w:instrText xml:space="preserve"> PAGEREF _Toc108310754 \h </w:instrText>
            </w:r>
            <w:r w:rsidR="001C025E">
              <w:rPr>
                <w:noProof/>
                <w:webHidden/>
              </w:rPr>
            </w:r>
            <w:r w:rsidR="001C025E">
              <w:rPr>
                <w:noProof/>
                <w:webHidden/>
              </w:rPr>
              <w:fldChar w:fldCharType="separate"/>
            </w:r>
            <w:r w:rsidR="001C025E">
              <w:rPr>
                <w:noProof/>
                <w:webHidden/>
              </w:rPr>
              <w:t>18</w:t>
            </w:r>
            <w:r w:rsidR="001C025E">
              <w:rPr>
                <w:noProof/>
                <w:webHidden/>
              </w:rPr>
              <w:fldChar w:fldCharType="end"/>
            </w:r>
          </w:hyperlink>
        </w:p>
        <w:p w14:paraId="46FD8E45" w14:textId="3928D2C3"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55" w:history="1">
            <w:r w:rsidR="001C025E" w:rsidRPr="00AA65ED">
              <w:rPr>
                <w:rStyle w:val="Hyperlink"/>
                <w:noProof/>
              </w:rPr>
              <w:t>1.5 What Enhances Gaze Cueing?</w:t>
            </w:r>
            <w:r w:rsidR="001C025E">
              <w:rPr>
                <w:noProof/>
                <w:webHidden/>
              </w:rPr>
              <w:tab/>
            </w:r>
            <w:r w:rsidR="001C025E">
              <w:rPr>
                <w:noProof/>
                <w:webHidden/>
              </w:rPr>
              <w:fldChar w:fldCharType="begin"/>
            </w:r>
            <w:r w:rsidR="001C025E">
              <w:rPr>
                <w:noProof/>
                <w:webHidden/>
              </w:rPr>
              <w:instrText xml:space="preserve"> PAGEREF _Toc108310755 \h </w:instrText>
            </w:r>
            <w:r w:rsidR="001C025E">
              <w:rPr>
                <w:noProof/>
                <w:webHidden/>
              </w:rPr>
            </w:r>
            <w:r w:rsidR="001C025E">
              <w:rPr>
                <w:noProof/>
                <w:webHidden/>
              </w:rPr>
              <w:fldChar w:fldCharType="separate"/>
            </w:r>
            <w:r w:rsidR="001C025E">
              <w:rPr>
                <w:noProof/>
                <w:webHidden/>
              </w:rPr>
              <w:t>24</w:t>
            </w:r>
            <w:r w:rsidR="001C025E">
              <w:rPr>
                <w:noProof/>
                <w:webHidden/>
              </w:rPr>
              <w:fldChar w:fldCharType="end"/>
            </w:r>
          </w:hyperlink>
        </w:p>
        <w:p w14:paraId="0847CD47" w14:textId="4C96C2B0" w:rsidR="001C025E" w:rsidRDefault="00000000">
          <w:pPr>
            <w:pStyle w:val="TOC3"/>
            <w:tabs>
              <w:tab w:val="right" w:pos="8828"/>
            </w:tabs>
            <w:rPr>
              <w:rFonts w:eastAsiaTheme="minorEastAsia" w:cstheme="minorBidi"/>
              <w:noProof/>
              <w:color w:val="auto"/>
              <w:sz w:val="24"/>
              <w:szCs w:val="24"/>
              <w:lang w:val="en-TR" w:eastAsia="en-US"/>
            </w:rPr>
          </w:pPr>
          <w:hyperlink w:anchor="_Toc108310756" w:history="1">
            <w:r w:rsidR="001C025E" w:rsidRPr="00AA65ED">
              <w:rPr>
                <w:rStyle w:val="Hyperlink"/>
                <w:noProof/>
              </w:rPr>
              <w:t>1.5.1 Physical features</w:t>
            </w:r>
            <w:r w:rsidR="001C025E">
              <w:rPr>
                <w:noProof/>
                <w:webHidden/>
              </w:rPr>
              <w:tab/>
            </w:r>
            <w:r w:rsidR="001C025E">
              <w:rPr>
                <w:noProof/>
                <w:webHidden/>
              </w:rPr>
              <w:fldChar w:fldCharType="begin"/>
            </w:r>
            <w:r w:rsidR="001C025E">
              <w:rPr>
                <w:noProof/>
                <w:webHidden/>
              </w:rPr>
              <w:instrText xml:space="preserve"> PAGEREF _Toc108310756 \h </w:instrText>
            </w:r>
            <w:r w:rsidR="001C025E">
              <w:rPr>
                <w:noProof/>
                <w:webHidden/>
              </w:rPr>
            </w:r>
            <w:r w:rsidR="001C025E">
              <w:rPr>
                <w:noProof/>
                <w:webHidden/>
              </w:rPr>
              <w:fldChar w:fldCharType="separate"/>
            </w:r>
            <w:r w:rsidR="001C025E">
              <w:rPr>
                <w:noProof/>
                <w:webHidden/>
              </w:rPr>
              <w:t>26</w:t>
            </w:r>
            <w:r w:rsidR="001C025E">
              <w:rPr>
                <w:noProof/>
                <w:webHidden/>
              </w:rPr>
              <w:fldChar w:fldCharType="end"/>
            </w:r>
          </w:hyperlink>
        </w:p>
        <w:p w14:paraId="459AD8F6" w14:textId="4EC793DC" w:rsidR="001C025E" w:rsidRDefault="00000000">
          <w:pPr>
            <w:pStyle w:val="TOC3"/>
            <w:tabs>
              <w:tab w:val="right" w:pos="8828"/>
            </w:tabs>
            <w:rPr>
              <w:rFonts w:eastAsiaTheme="minorEastAsia" w:cstheme="minorBidi"/>
              <w:noProof/>
              <w:color w:val="auto"/>
              <w:sz w:val="24"/>
              <w:szCs w:val="24"/>
              <w:lang w:val="en-TR" w:eastAsia="en-US"/>
            </w:rPr>
          </w:pPr>
          <w:hyperlink w:anchor="_Toc108310757" w:history="1">
            <w:r w:rsidR="001C025E" w:rsidRPr="00AA65ED">
              <w:rPr>
                <w:rStyle w:val="Hyperlink"/>
                <w:noProof/>
              </w:rPr>
              <w:t>1.5.2 Social factors</w:t>
            </w:r>
            <w:r w:rsidR="001C025E">
              <w:rPr>
                <w:noProof/>
                <w:webHidden/>
              </w:rPr>
              <w:tab/>
            </w:r>
            <w:r w:rsidR="001C025E">
              <w:rPr>
                <w:noProof/>
                <w:webHidden/>
              </w:rPr>
              <w:fldChar w:fldCharType="begin"/>
            </w:r>
            <w:r w:rsidR="001C025E">
              <w:rPr>
                <w:noProof/>
                <w:webHidden/>
              </w:rPr>
              <w:instrText xml:space="preserve"> PAGEREF _Toc108310757 \h </w:instrText>
            </w:r>
            <w:r w:rsidR="001C025E">
              <w:rPr>
                <w:noProof/>
                <w:webHidden/>
              </w:rPr>
            </w:r>
            <w:r w:rsidR="001C025E">
              <w:rPr>
                <w:noProof/>
                <w:webHidden/>
              </w:rPr>
              <w:fldChar w:fldCharType="separate"/>
            </w:r>
            <w:r w:rsidR="001C025E">
              <w:rPr>
                <w:noProof/>
                <w:webHidden/>
              </w:rPr>
              <w:t>34</w:t>
            </w:r>
            <w:r w:rsidR="001C025E">
              <w:rPr>
                <w:noProof/>
                <w:webHidden/>
              </w:rPr>
              <w:fldChar w:fldCharType="end"/>
            </w:r>
          </w:hyperlink>
        </w:p>
        <w:p w14:paraId="608229BC" w14:textId="1BAA065D" w:rsidR="001C025E" w:rsidRDefault="00000000">
          <w:pPr>
            <w:pStyle w:val="TOC3"/>
            <w:tabs>
              <w:tab w:val="right" w:pos="8828"/>
            </w:tabs>
            <w:rPr>
              <w:rFonts w:eastAsiaTheme="minorEastAsia" w:cstheme="minorBidi"/>
              <w:noProof/>
              <w:color w:val="auto"/>
              <w:sz w:val="24"/>
              <w:szCs w:val="24"/>
              <w:lang w:val="en-TR" w:eastAsia="en-US"/>
            </w:rPr>
          </w:pPr>
          <w:hyperlink w:anchor="_Toc108310758" w:history="1">
            <w:r w:rsidR="001C025E" w:rsidRPr="00AA65ED">
              <w:rPr>
                <w:rStyle w:val="Hyperlink"/>
                <w:noProof/>
              </w:rPr>
              <w:t>1.5.3 Personal differences</w:t>
            </w:r>
            <w:r w:rsidR="001C025E">
              <w:rPr>
                <w:noProof/>
                <w:webHidden/>
              </w:rPr>
              <w:tab/>
            </w:r>
            <w:r w:rsidR="001C025E">
              <w:rPr>
                <w:noProof/>
                <w:webHidden/>
              </w:rPr>
              <w:fldChar w:fldCharType="begin"/>
            </w:r>
            <w:r w:rsidR="001C025E">
              <w:rPr>
                <w:noProof/>
                <w:webHidden/>
              </w:rPr>
              <w:instrText xml:space="preserve"> PAGEREF _Toc108310758 \h </w:instrText>
            </w:r>
            <w:r w:rsidR="001C025E">
              <w:rPr>
                <w:noProof/>
                <w:webHidden/>
              </w:rPr>
            </w:r>
            <w:r w:rsidR="001C025E">
              <w:rPr>
                <w:noProof/>
                <w:webHidden/>
              </w:rPr>
              <w:fldChar w:fldCharType="separate"/>
            </w:r>
            <w:r w:rsidR="001C025E">
              <w:rPr>
                <w:noProof/>
                <w:webHidden/>
              </w:rPr>
              <w:t>38</w:t>
            </w:r>
            <w:r w:rsidR="001C025E">
              <w:rPr>
                <w:noProof/>
                <w:webHidden/>
              </w:rPr>
              <w:fldChar w:fldCharType="end"/>
            </w:r>
          </w:hyperlink>
        </w:p>
        <w:p w14:paraId="7C87FF5D" w14:textId="5DC71C62"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59" w:history="1">
            <w:r w:rsidR="001C025E" w:rsidRPr="00AA65ED">
              <w:rPr>
                <w:rStyle w:val="Hyperlink"/>
                <w:noProof/>
                <w:bdr w:val="nil"/>
                <w:lang w:eastAsia="zh-CN"/>
              </w:rPr>
              <w:t>1.6 Overall Aims of the Thesis.</w:t>
            </w:r>
            <w:r w:rsidR="001C025E">
              <w:rPr>
                <w:noProof/>
                <w:webHidden/>
              </w:rPr>
              <w:tab/>
            </w:r>
            <w:r w:rsidR="001C025E">
              <w:rPr>
                <w:noProof/>
                <w:webHidden/>
              </w:rPr>
              <w:fldChar w:fldCharType="begin"/>
            </w:r>
            <w:r w:rsidR="001C025E">
              <w:rPr>
                <w:noProof/>
                <w:webHidden/>
              </w:rPr>
              <w:instrText xml:space="preserve"> PAGEREF _Toc108310759 \h </w:instrText>
            </w:r>
            <w:r w:rsidR="001C025E">
              <w:rPr>
                <w:noProof/>
                <w:webHidden/>
              </w:rPr>
            </w:r>
            <w:r w:rsidR="001C025E">
              <w:rPr>
                <w:noProof/>
                <w:webHidden/>
              </w:rPr>
              <w:fldChar w:fldCharType="separate"/>
            </w:r>
            <w:r w:rsidR="001C025E">
              <w:rPr>
                <w:noProof/>
                <w:webHidden/>
              </w:rPr>
              <w:t>43</w:t>
            </w:r>
            <w:r w:rsidR="001C025E">
              <w:rPr>
                <w:noProof/>
                <w:webHidden/>
              </w:rPr>
              <w:fldChar w:fldCharType="end"/>
            </w:r>
          </w:hyperlink>
        </w:p>
        <w:p w14:paraId="085C8C79" w14:textId="34FC9245" w:rsidR="001C025E" w:rsidRDefault="00000000">
          <w:pPr>
            <w:pStyle w:val="TOC1"/>
            <w:tabs>
              <w:tab w:val="right" w:pos="8828"/>
            </w:tabs>
            <w:rPr>
              <w:rFonts w:eastAsiaTheme="minorEastAsia" w:cstheme="minorBidi"/>
              <w:b w:val="0"/>
              <w:bCs w:val="0"/>
              <w:i w:val="0"/>
              <w:iCs w:val="0"/>
              <w:noProof/>
              <w:color w:val="auto"/>
              <w:lang w:val="en-TR" w:eastAsia="en-US"/>
            </w:rPr>
          </w:pPr>
          <w:hyperlink w:anchor="_Toc108310760" w:history="1">
            <w:r w:rsidR="001C025E" w:rsidRPr="00AA65ED">
              <w:rPr>
                <w:rStyle w:val="Hyperlink"/>
                <w:noProof/>
              </w:rPr>
              <w:t>Chapter 2. Social Attention and Social Group Belonging</w:t>
            </w:r>
            <w:r w:rsidR="001C025E">
              <w:rPr>
                <w:noProof/>
                <w:webHidden/>
              </w:rPr>
              <w:tab/>
            </w:r>
            <w:r w:rsidR="001C025E">
              <w:rPr>
                <w:noProof/>
                <w:webHidden/>
              </w:rPr>
              <w:fldChar w:fldCharType="begin"/>
            </w:r>
            <w:r w:rsidR="001C025E">
              <w:rPr>
                <w:noProof/>
                <w:webHidden/>
              </w:rPr>
              <w:instrText xml:space="preserve"> PAGEREF _Toc108310760 \h </w:instrText>
            </w:r>
            <w:r w:rsidR="001C025E">
              <w:rPr>
                <w:noProof/>
                <w:webHidden/>
              </w:rPr>
            </w:r>
            <w:r w:rsidR="001C025E">
              <w:rPr>
                <w:noProof/>
                <w:webHidden/>
              </w:rPr>
              <w:fldChar w:fldCharType="separate"/>
            </w:r>
            <w:r w:rsidR="001C025E">
              <w:rPr>
                <w:noProof/>
                <w:webHidden/>
              </w:rPr>
              <w:t>45</w:t>
            </w:r>
            <w:r w:rsidR="001C025E">
              <w:rPr>
                <w:noProof/>
                <w:webHidden/>
              </w:rPr>
              <w:fldChar w:fldCharType="end"/>
            </w:r>
          </w:hyperlink>
        </w:p>
        <w:p w14:paraId="6185B0D5" w14:textId="5FA1B1A4"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61" w:history="1">
            <w:r w:rsidR="001C025E" w:rsidRPr="00AA65ED">
              <w:rPr>
                <w:rStyle w:val="Hyperlink"/>
                <w:noProof/>
              </w:rPr>
              <w:t>2.1 Overall Introduction</w:t>
            </w:r>
            <w:r w:rsidR="001C025E">
              <w:rPr>
                <w:noProof/>
                <w:webHidden/>
              </w:rPr>
              <w:tab/>
            </w:r>
            <w:r w:rsidR="001C025E">
              <w:rPr>
                <w:noProof/>
                <w:webHidden/>
              </w:rPr>
              <w:fldChar w:fldCharType="begin"/>
            </w:r>
            <w:r w:rsidR="001C025E">
              <w:rPr>
                <w:noProof/>
                <w:webHidden/>
              </w:rPr>
              <w:instrText xml:space="preserve"> PAGEREF _Toc108310761 \h </w:instrText>
            </w:r>
            <w:r w:rsidR="001C025E">
              <w:rPr>
                <w:noProof/>
                <w:webHidden/>
              </w:rPr>
            </w:r>
            <w:r w:rsidR="001C025E">
              <w:rPr>
                <w:noProof/>
                <w:webHidden/>
              </w:rPr>
              <w:fldChar w:fldCharType="separate"/>
            </w:r>
            <w:r w:rsidR="001C025E">
              <w:rPr>
                <w:noProof/>
                <w:webHidden/>
              </w:rPr>
              <w:t>45</w:t>
            </w:r>
            <w:r w:rsidR="001C025E">
              <w:rPr>
                <w:noProof/>
                <w:webHidden/>
              </w:rPr>
              <w:fldChar w:fldCharType="end"/>
            </w:r>
          </w:hyperlink>
        </w:p>
        <w:p w14:paraId="60DDC207" w14:textId="1D62BB28"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62" w:history="1">
            <w:r w:rsidR="001C025E" w:rsidRPr="00AA65ED">
              <w:rPr>
                <w:rStyle w:val="Hyperlink"/>
                <w:noProof/>
              </w:rPr>
              <w:t>2.2 Aims and Hypothesis</w:t>
            </w:r>
            <w:r w:rsidR="001C025E">
              <w:rPr>
                <w:noProof/>
                <w:webHidden/>
              </w:rPr>
              <w:tab/>
            </w:r>
            <w:r w:rsidR="001C025E">
              <w:rPr>
                <w:noProof/>
                <w:webHidden/>
              </w:rPr>
              <w:fldChar w:fldCharType="begin"/>
            </w:r>
            <w:r w:rsidR="001C025E">
              <w:rPr>
                <w:noProof/>
                <w:webHidden/>
              </w:rPr>
              <w:instrText xml:space="preserve"> PAGEREF _Toc108310762 \h </w:instrText>
            </w:r>
            <w:r w:rsidR="001C025E">
              <w:rPr>
                <w:noProof/>
                <w:webHidden/>
              </w:rPr>
            </w:r>
            <w:r w:rsidR="001C025E">
              <w:rPr>
                <w:noProof/>
                <w:webHidden/>
              </w:rPr>
              <w:fldChar w:fldCharType="separate"/>
            </w:r>
            <w:r w:rsidR="001C025E">
              <w:rPr>
                <w:noProof/>
                <w:webHidden/>
              </w:rPr>
              <w:t>50</w:t>
            </w:r>
            <w:r w:rsidR="001C025E">
              <w:rPr>
                <w:noProof/>
                <w:webHidden/>
              </w:rPr>
              <w:fldChar w:fldCharType="end"/>
            </w:r>
          </w:hyperlink>
        </w:p>
        <w:p w14:paraId="366980E7" w14:textId="1F303F03"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63" w:history="1">
            <w:r w:rsidR="001C025E" w:rsidRPr="00AA65ED">
              <w:rPr>
                <w:rStyle w:val="Hyperlink"/>
                <w:noProof/>
              </w:rPr>
              <w:t>2.3 Stimulus development study</w:t>
            </w:r>
            <w:r w:rsidR="001C025E">
              <w:rPr>
                <w:noProof/>
                <w:webHidden/>
              </w:rPr>
              <w:tab/>
            </w:r>
            <w:r w:rsidR="001C025E">
              <w:rPr>
                <w:noProof/>
                <w:webHidden/>
              </w:rPr>
              <w:fldChar w:fldCharType="begin"/>
            </w:r>
            <w:r w:rsidR="001C025E">
              <w:rPr>
                <w:noProof/>
                <w:webHidden/>
              </w:rPr>
              <w:instrText xml:space="preserve"> PAGEREF _Toc108310763 \h </w:instrText>
            </w:r>
            <w:r w:rsidR="001C025E">
              <w:rPr>
                <w:noProof/>
                <w:webHidden/>
              </w:rPr>
            </w:r>
            <w:r w:rsidR="001C025E">
              <w:rPr>
                <w:noProof/>
                <w:webHidden/>
              </w:rPr>
              <w:fldChar w:fldCharType="separate"/>
            </w:r>
            <w:r w:rsidR="001C025E">
              <w:rPr>
                <w:noProof/>
                <w:webHidden/>
              </w:rPr>
              <w:t>50</w:t>
            </w:r>
            <w:r w:rsidR="001C025E">
              <w:rPr>
                <w:noProof/>
                <w:webHidden/>
              </w:rPr>
              <w:fldChar w:fldCharType="end"/>
            </w:r>
          </w:hyperlink>
        </w:p>
        <w:p w14:paraId="0882E926" w14:textId="0BFD6D18" w:rsidR="001C025E" w:rsidRDefault="00000000">
          <w:pPr>
            <w:pStyle w:val="TOC3"/>
            <w:tabs>
              <w:tab w:val="right" w:pos="8828"/>
            </w:tabs>
            <w:rPr>
              <w:rFonts w:eastAsiaTheme="minorEastAsia" w:cstheme="minorBidi"/>
              <w:noProof/>
              <w:color w:val="auto"/>
              <w:sz w:val="24"/>
              <w:szCs w:val="24"/>
              <w:lang w:val="en-TR" w:eastAsia="en-US"/>
            </w:rPr>
          </w:pPr>
          <w:hyperlink w:anchor="_Toc108310764" w:history="1">
            <w:r w:rsidR="001C025E" w:rsidRPr="00AA65ED">
              <w:rPr>
                <w:rStyle w:val="Hyperlink"/>
                <w:noProof/>
              </w:rPr>
              <w:t>2.3.1 Methods</w:t>
            </w:r>
            <w:r w:rsidR="001C025E">
              <w:rPr>
                <w:noProof/>
                <w:webHidden/>
              </w:rPr>
              <w:tab/>
            </w:r>
            <w:r w:rsidR="001C025E">
              <w:rPr>
                <w:noProof/>
                <w:webHidden/>
              </w:rPr>
              <w:fldChar w:fldCharType="begin"/>
            </w:r>
            <w:r w:rsidR="001C025E">
              <w:rPr>
                <w:noProof/>
                <w:webHidden/>
              </w:rPr>
              <w:instrText xml:space="preserve"> PAGEREF _Toc108310764 \h </w:instrText>
            </w:r>
            <w:r w:rsidR="001C025E">
              <w:rPr>
                <w:noProof/>
                <w:webHidden/>
              </w:rPr>
            </w:r>
            <w:r w:rsidR="001C025E">
              <w:rPr>
                <w:noProof/>
                <w:webHidden/>
              </w:rPr>
              <w:fldChar w:fldCharType="separate"/>
            </w:r>
            <w:r w:rsidR="001C025E">
              <w:rPr>
                <w:noProof/>
                <w:webHidden/>
              </w:rPr>
              <w:t>50</w:t>
            </w:r>
            <w:r w:rsidR="001C025E">
              <w:rPr>
                <w:noProof/>
                <w:webHidden/>
              </w:rPr>
              <w:fldChar w:fldCharType="end"/>
            </w:r>
          </w:hyperlink>
        </w:p>
        <w:p w14:paraId="2137185F" w14:textId="48DF9A3A" w:rsidR="001C025E" w:rsidRDefault="00000000">
          <w:pPr>
            <w:pStyle w:val="TOC3"/>
            <w:tabs>
              <w:tab w:val="right" w:pos="8828"/>
            </w:tabs>
            <w:rPr>
              <w:rFonts w:eastAsiaTheme="minorEastAsia" w:cstheme="minorBidi"/>
              <w:noProof/>
              <w:color w:val="auto"/>
              <w:sz w:val="24"/>
              <w:szCs w:val="24"/>
              <w:lang w:val="en-TR" w:eastAsia="en-US"/>
            </w:rPr>
          </w:pPr>
          <w:hyperlink w:anchor="_Toc108310765" w:history="1">
            <w:r w:rsidR="001C025E" w:rsidRPr="00AA65ED">
              <w:rPr>
                <w:rStyle w:val="Hyperlink"/>
                <w:noProof/>
              </w:rPr>
              <w:t>2.3.2 Results</w:t>
            </w:r>
            <w:r w:rsidR="001C025E">
              <w:rPr>
                <w:noProof/>
                <w:webHidden/>
              </w:rPr>
              <w:tab/>
            </w:r>
            <w:r w:rsidR="001C025E">
              <w:rPr>
                <w:noProof/>
                <w:webHidden/>
              </w:rPr>
              <w:fldChar w:fldCharType="begin"/>
            </w:r>
            <w:r w:rsidR="001C025E">
              <w:rPr>
                <w:noProof/>
                <w:webHidden/>
              </w:rPr>
              <w:instrText xml:space="preserve"> PAGEREF _Toc108310765 \h </w:instrText>
            </w:r>
            <w:r w:rsidR="001C025E">
              <w:rPr>
                <w:noProof/>
                <w:webHidden/>
              </w:rPr>
            </w:r>
            <w:r w:rsidR="001C025E">
              <w:rPr>
                <w:noProof/>
                <w:webHidden/>
              </w:rPr>
              <w:fldChar w:fldCharType="separate"/>
            </w:r>
            <w:r w:rsidR="001C025E">
              <w:rPr>
                <w:noProof/>
                <w:webHidden/>
              </w:rPr>
              <w:t>55</w:t>
            </w:r>
            <w:r w:rsidR="001C025E">
              <w:rPr>
                <w:noProof/>
                <w:webHidden/>
              </w:rPr>
              <w:fldChar w:fldCharType="end"/>
            </w:r>
          </w:hyperlink>
        </w:p>
        <w:p w14:paraId="59AEA583" w14:textId="5907E802" w:rsidR="001C025E" w:rsidRDefault="00000000">
          <w:pPr>
            <w:pStyle w:val="TOC3"/>
            <w:tabs>
              <w:tab w:val="right" w:pos="8828"/>
            </w:tabs>
            <w:rPr>
              <w:rFonts w:eastAsiaTheme="minorEastAsia" w:cstheme="minorBidi"/>
              <w:noProof/>
              <w:color w:val="auto"/>
              <w:sz w:val="24"/>
              <w:szCs w:val="24"/>
              <w:lang w:val="en-TR" w:eastAsia="en-US"/>
            </w:rPr>
          </w:pPr>
          <w:hyperlink w:anchor="_Toc108310766" w:history="1">
            <w:r w:rsidR="001C025E" w:rsidRPr="00AA65ED">
              <w:rPr>
                <w:rStyle w:val="Hyperlink"/>
                <w:noProof/>
              </w:rPr>
              <w:t>2.3.3 Discussion</w:t>
            </w:r>
            <w:r w:rsidR="001C025E">
              <w:rPr>
                <w:noProof/>
                <w:webHidden/>
              </w:rPr>
              <w:tab/>
            </w:r>
            <w:r w:rsidR="001C025E">
              <w:rPr>
                <w:noProof/>
                <w:webHidden/>
              </w:rPr>
              <w:fldChar w:fldCharType="begin"/>
            </w:r>
            <w:r w:rsidR="001C025E">
              <w:rPr>
                <w:noProof/>
                <w:webHidden/>
              </w:rPr>
              <w:instrText xml:space="preserve"> PAGEREF _Toc108310766 \h </w:instrText>
            </w:r>
            <w:r w:rsidR="001C025E">
              <w:rPr>
                <w:noProof/>
                <w:webHidden/>
              </w:rPr>
            </w:r>
            <w:r w:rsidR="001C025E">
              <w:rPr>
                <w:noProof/>
                <w:webHidden/>
              </w:rPr>
              <w:fldChar w:fldCharType="separate"/>
            </w:r>
            <w:r w:rsidR="001C025E">
              <w:rPr>
                <w:noProof/>
                <w:webHidden/>
              </w:rPr>
              <w:t>61</w:t>
            </w:r>
            <w:r w:rsidR="001C025E">
              <w:rPr>
                <w:noProof/>
                <w:webHidden/>
              </w:rPr>
              <w:fldChar w:fldCharType="end"/>
            </w:r>
          </w:hyperlink>
        </w:p>
        <w:p w14:paraId="1C108ADA" w14:textId="174612B6"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67" w:history="1">
            <w:r w:rsidR="001C025E" w:rsidRPr="00AA65ED">
              <w:rPr>
                <w:rStyle w:val="Hyperlink"/>
                <w:noProof/>
              </w:rPr>
              <w:t>2.4 Behavioural study</w:t>
            </w:r>
            <w:r w:rsidR="001C025E">
              <w:rPr>
                <w:noProof/>
                <w:webHidden/>
              </w:rPr>
              <w:tab/>
            </w:r>
            <w:r w:rsidR="001C025E">
              <w:rPr>
                <w:noProof/>
                <w:webHidden/>
              </w:rPr>
              <w:fldChar w:fldCharType="begin"/>
            </w:r>
            <w:r w:rsidR="001C025E">
              <w:rPr>
                <w:noProof/>
                <w:webHidden/>
              </w:rPr>
              <w:instrText xml:space="preserve"> PAGEREF _Toc108310767 \h </w:instrText>
            </w:r>
            <w:r w:rsidR="001C025E">
              <w:rPr>
                <w:noProof/>
                <w:webHidden/>
              </w:rPr>
            </w:r>
            <w:r w:rsidR="001C025E">
              <w:rPr>
                <w:noProof/>
                <w:webHidden/>
              </w:rPr>
              <w:fldChar w:fldCharType="separate"/>
            </w:r>
            <w:r w:rsidR="001C025E">
              <w:rPr>
                <w:noProof/>
                <w:webHidden/>
              </w:rPr>
              <w:t>62</w:t>
            </w:r>
            <w:r w:rsidR="001C025E">
              <w:rPr>
                <w:noProof/>
                <w:webHidden/>
              </w:rPr>
              <w:fldChar w:fldCharType="end"/>
            </w:r>
          </w:hyperlink>
        </w:p>
        <w:p w14:paraId="41AB9520" w14:textId="32059D01" w:rsidR="001C025E" w:rsidRDefault="00000000">
          <w:pPr>
            <w:pStyle w:val="TOC3"/>
            <w:tabs>
              <w:tab w:val="right" w:pos="8828"/>
            </w:tabs>
            <w:rPr>
              <w:rFonts w:eastAsiaTheme="minorEastAsia" w:cstheme="minorBidi"/>
              <w:noProof/>
              <w:color w:val="auto"/>
              <w:sz w:val="24"/>
              <w:szCs w:val="24"/>
              <w:lang w:val="en-TR" w:eastAsia="en-US"/>
            </w:rPr>
          </w:pPr>
          <w:hyperlink w:anchor="_Toc108310768" w:history="1">
            <w:r w:rsidR="001C025E" w:rsidRPr="00AA65ED">
              <w:rPr>
                <w:rStyle w:val="Hyperlink"/>
                <w:noProof/>
              </w:rPr>
              <w:t>2.4.1 Methods</w:t>
            </w:r>
            <w:r w:rsidR="001C025E">
              <w:rPr>
                <w:noProof/>
                <w:webHidden/>
              </w:rPr>
              <w:tab/>
            </w:r>
            <w:r w:rsidR="001C025E">
              <w:rPr>
                <w:noProof/>
                <w:webHidden/>
              </w:rPr>
              <w:fldChar w:fldCharType="begin"/>
            </w:r>
            <w:r w:rsidR="001C025E">
              <w:rPr>
                <w:noProof/>
                <w:webHidden/>
              </w:rPr>
              <w:instrText xml:space="preserve"> PAGEREF _Toc108310768 \h </w:instrText>
            </w:r>
            <w:r w:rsidR="001C025E">
              <w:rPr>
                <w:noProof/>
                <w:webHidden/>
              </w:rPr>
            </w:r>
            <w:r w:rsidR="001C025E">
              <w:rPr>
                <w:noProof/>
                <w:webHidden/>
              </w:rPr>
              <w:fldChar w:fldCharType="separate"/>
            </w:r>
            <w:r w:rsidR="001C025E">
              <w:rPr>
                <w:noProof/>
                <w:webHidden/>
              </w:rPr>
              <w:t>62</w:t>
            </w:r>
            <w:r w:rsidR="001C025E">
              <w:rPr>
                <w:noProof/>
                <w:webHidden/>
              </w:rPr>
              <w:fldChar w:fldCharType="end"/>
            </w:r>
          </w:hyperlink>
        </w:p>
        <w:p w14:paraId="6E84D4D9" w14:textId="4A76B8C2" w:rsidR="001C025E" w:rsidRDefault="00000000">
          <w:pPr>
            <w:pStyle w:val="TOC3"/>
            <w:tabs>
              <w:tab w:val="right" w:pos="8828"/>
            </w:tabs>
            <w:rPr>
              <w:rFonts w:eastAsiaTheme="minorEastAsia" w:cstheme="minorBidi"/>
              <w:noProof/>
              <w:color w:val="auto"/>
              <w:sz w:val="24"/>
              <w:szCs w:val="24"/>
              <w:lang w:val="en-TR" w:eastAsia="en-US"/>
            </w:rPr>
          </w:pPr>
          <w:hyperlink w:anchor="_Toc108310769" w:history="1">
            <w:r w:rsidR="001C025E" w:rsidRPr="00AA65ED">
              <w:rPr>
                <w:rStyle w:val="Hyperlink"/>
                <w:noProof/>
              </w:rPr>
              <w:t>2.4.2 Results</w:t>
            </w:r>
            <w:r w:rsidR="001C025E">
              <w:rPr>
                <w:noProof/>
                <w:webHidden/>
              </w:rPr>
              <w:tab/>
            </w:r>
            <w:r w:rsidR="001C025E">
              <w:rPr>
                <w:noProof/>
                <w:webHidden/>
              </w:rPr>
              <w:fldChar w:fldCharType="begin"/>
            </w:r>
            <w:r w:rsidR="001C025E">
              <w:rPr>
                <w:noProof/>
                <w:webHidden/>
              </w:rPr>
              <w:instrText xml:space="preserve"> PAGEREF _Toc108310769 \h </w:instrText>
            </w:r>
            <w:r w:rsidR="001C025E">
              <w:rPr>
                <w:noProof/>
                <w:webHidden/>
              </w:rPr>
            </w:r>
            <w:r w:rsidR="001C025E">
              <w:rPr>
                <w:noProof/>
                <w:webHidden/>
              </w:rPr>
              <w:fldChar w:fldCharType="separate"/>
            </w:r>
            <w:r w:rsidR="001C025E">
              <w:rPr>
                <w:noProof/>
                <w:webHidden/>
              </w:rPr>
              <w:t>68</w:t>
            </w:r>
            <w:r w:rsidR="001C025E">
              <w:rPr>
                <w:noProof/>
                <w:webHidden/>
              </w:rPr>
              <w:fldChar w:fldCharType="end"/>
            </w:r>
          </w:hyperlink>
        </w:p>
        <w:p w14:paraId="78E67C12" w14:textId="6851374C" w:rsidR="001C025E" w:rsidRDefault="00000000">
          <w:pPr>
            <w:pStyle w:val="TOC3"/>
            <w:tabs>
              <w:tab w:val="right" w:pos="8828"/>
            </w:tabs>
            <w:rPr>
              <w:rFonts w:eastAsiaTheme="minorEastAsia" w:cstheme="minorBidi"/>
              <w:noProof/>
              <w:color w:val="auto"/>
              <w:sz w:val="24"/>
              <w:szCs w:val="24"/>
              <w:lang w:val="en-TR" w:eastAsia="en-US"/>
            </w:rPr>
          </w:pPr>
          <w:hyperlink w:anchor="_Toc108310770" w:history="1">
            <w:r w:rsidR="001C025E" w:rsidRPr="00AA65ED">
              <w:rPr>
                <w:rStyle w:val="Hyperlink"/>
                <w:noProof/>
              </w:rPr>
              <w:t>2.4.3 Discussion</w:t>
            </w:r>
            <w:r w:rsidR="001C025E">
              <w:rPr>
                <w:noProof/>
                <w:webHidden/>
              </w:rPr>
              <w:tab/>
            </w:r>
            <w:r w:rsidR="001C025E">
              <w:rPr>
                <w:noProof/>
                <w:webHidden/>
              </w:rPr>
              <w:fldChar w:fldCharType="begin"/>
            </w:r>
            <w:r w:rsidR="001C025E">
              <w:rPr>
                <w:noProof/>
                <w:webHidden/>
              </w:rPr>
              <w:instrText xml:space="preserve"> PAGEREF _Toc108310770 \h </w:instrText>
            </w:r>
            <w:r w:rsidR="001C025E">
              <w:rPr>
                <w:noProof/>
                <w:webHidden/>
              </w:rPr>
            </w:r>
            <w:r w:rsidR="001C025E">
              <w:rPr>
                <w:noProof/>
                <w:webHidden/>
              </w:rPr>
              <w:fldChar w:fldCharType="separate"/>
            </w:r>
            <w:r w:rsidR="001C025E">
              <w:rPr>
                <w:noProof/>
                <w:webHidden/>
              </w:rPr>
              <w:t>72</w:t>
            </w:r>
            <w:r w:rsidR="001C025E">
              <w:rPr>
                <w:noProof/>
                <w:webHidden/>
              </w:rPr>
              <w:fldChar w:fldCharType="end"/>
            </w:r>
          </w:hyperlink>
        </w:p>
        <w:p w14:paraId="3D32A677" w14:textId="1C5EFD2D"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71" w:history="1">
            <w:r w:rsidR="001C025E" w:rsidRPr="00AA65ED">
              <w:rPr>
                <w:rStyle w:val="Hyperlink"/>
                <w:noProof/>
              </w:rPr>
              <w:t>2.5 Overall Discussion</w:t>
            </w:r>
            <w:r w:rsidR="001C025E">
              <w:rPr>
                <w:noProof/>
                <w:webHidden/>
              </w:rPr>
              <w:tab/>
            </w:r>
            <w:r w:rsidR="001C025E">
              <w:rPr>
                <w:noProof/>
                <w:webHidden/>
              </w:rPr>
              <w:fldChar w:fldCharType="begin"/>
            </w:r>
            <w:r w:rsidR="001C025E">
              <w:rPr>
                <w:noProof/>
                <w:webHidden/>
              </w:rPr>
              <w:instrText xml:space="preserve"> PAGEREF _Toc108310771 \h </w:instrText>
            </w:r>
            <w:r w:rsidR="001C025E">
              <w:rPr>
                <w:noProof/>
                <w:webHidden/>
              </w:rPr>
            </w:r>
            <w:r w:rsidR="001C025E">
              <w:rPr>
                <w:noProof/>
                <w:webHidden/>
              </w:rPr>
              <w:fldChar w:fldCharType="separate"/>
            </w:r>
            <w:r w:rsidR="001C025E">
              <w:rPr>
                <w:noProof/>
                <w:webHidden/>
              </w:rPr>
              <w:t>74</w:t>
            </w:r>
            <w:r w:rsidR="001C025E">
              <w:rPr>
                <w:noProof/>
                <w:webHidden/>
              </w:rPr>
              <w:fldChar w:fldCharType="end"/>
            </w:r>
          </w:hyperlink>
        </w:p>
        <w:p w14:paraId="5B28FAAC" w14:textId="1EC6BA5B"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72" w:history="1">
            <w:r w:rsidR="001C025E" w:rsidRPr="00AA65ED">
              <w:rPr>
                <w:rStyle w:val="Hyperlink"/>
                <w:noProof/>
              </w:rPr>
              <w:t>2.6 Limitations and Future Research</w:t>
            </w:r>
            <w:r w:rsidR="001C025E">
              <w:rPr>
                <w:noProof/>
                <w:webHidden/>
              </w:rPr>
              <w:tab/>
            </w:r>
            <w:r w:rsidR="001C025E">
              <w:rPr>
                <w:noProof/>
                <w:webHidden/>
              </w:rPr>
              <w:fldChar w:fldCharType="begin"/>
            </w:r>
            <w:r w:rsidR="001C025E">
              <w:rPr>
                <w:noProof/>
                <w:webHidden/>
              </w:rPr>
              <w:instrText xml:space="preserve"> PAGEREF _Toc108310772 \h </w:instrText>
            </w:r>
            <w:r w:rsidR="001C025E">
              <w:rPr>
                <w:noProof/>
                <w:webHidden/>
              </w:rPr>
            </w:r>
            <w:r w:rsidR="001C025E">
              <w:rPr>
                <w:noProof/>
                <w:webHidden/>
              </w:rPr>
              <w:fldChar w:fldCharType="separate"/>
            </w:r>
            <w:r w:rsidR="001C025E">
              <w:rPr>
                <w:noProof/>
                <w:webHidden/>
              </w:rPr>
              <w:t>77</w:t>
            </w:r>
            <w:r w:rsidR="001C025E">
              <w:rPr>
                <w:noProof/>
                <w:webHidden/>
              </w:rPr>
              <w:fldChar w:fldCharType="end"/>
            </w:r>
          </w:hyperlink>
        </w:p>
        <w:p w14:paraId="4E257159" w14:textId="4A0E1D29" w:rsidR="001C025E" w:rsidRDefault="00000000">
          <w:pPr>
            <w:pStyle w:val="TOC1"/>
            <w:tabs>
              <w:tab w:val="right" w:pos="8828"/>
            </w:tabs>
            <w:rPr>
              <w:rFonts w:eastAsiaTheme="minorEastAsia" w:cstheme="minorBidi"/>
              <w:b w:val="0"/>
              <w:bCs w:val="0"/>
              <w:i w:val="0"/>
              <w:iCs w:val="0"/>
              <w:noProof/>
              <w:color w:val="auto"/>
              <w:lang w:val="en-TR" w:eastAsia="en-US"/>
            </w:rPr>
          </w:pPr>
          <w:hyperlink w:anchor="_Toc108310773" w:history="1">
            <w:r w:rsidR="001C025E" w:rsidRPr="00AA65ED">
              <w:rPr>
                <w:rStyle w:val="Hyperlink"/>
                <w:noProof/>
              </w:rPr>
              <w:t>Chapter 3. The Effect of Gender and Social Power on Gaze Cueing in Dangerous Scenarios</w:t>
            </w:r>
            <w:r w:rsidR="001C025E">
              <w:rPr>
                <w:noProof/>
                <w:webHidden/>
              </w:rPr>
              <w:tab/>
            </w:r>
            <w:r w:rsidR="001C025E">
              <w:rPr>
                <w:noProof/>
                <w:webHidden/>
              </w:rPr>
              <w:fldChar w:fldCharType="begin"/>
            </w:r>
            <w:r w:rsidR="001C025E">
              <w:rPr>
                <w:noProof/>
                <w:webHidden/>
              </w:rPr>
              <w:instrText xml:space="preserve"> PAGEREF _Toc108310773 \h </w:instrText>
            </w:r>
            <w:r w:rsidR="001C025E">
              <w:rPr>
                <w:noProof/>
                <w:webHidden/>
              </w:rPr>
            </w:r>
            <w:r w:rsidR="001C025E">
              <w:rPr>
                <w:noProof/>
                <w:webHidden/>
              </w:rPr>
              <w:fldChar w:fldCharType="separate"/>
            </w:r>
            <w:r w:rsidR="001C025E">
              <w:rPr>
                <w:noProof/>
                <w:webHidden/>
              </w:rPr>
              <w:t>79</w:t>
            </w:r>
            <w:r w:rsidR="001C025E">
              <w:rPr>
                <w:noProof/>
                <w:webHidden/>
              </w:rPr>
              <w:fldChar w:fldCharType="end"/>
            </w:r>
          </w:hyperlink>
        </w:p>
        <w:p w14:paraId="0D7A4D82" w14:textId="560255FF"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74" w:history="1">
            <w:r w:rsidR="001C025E" w:rsidRPr="00AA65ED">
              <w:rPr>
                <w:rStyle w:val="Hyperlink"/>
                <w:noProof/>
              </w:rPr>
              <w:t>3.1 Introduction</w:t>
            </w:r>
            <w:r w:rsidR="001C025E">
              <w:rPr>
                <w:noProof/>
                <w:webHidden/>
              </w:rPr>
              <w:tab/>
            </w:r>
            <w:r w:rsidR="001C025E">
              <w:rPr>
                <w:noProof/>
                <w:webHidden/>
              </w:rPr>
              <w:fldChar w:fldCharType="begin"/>
            </w:r>
            <w:r w:rsidR="001C025E">
              <w:rPr>
                <w:noProof/>
                <w:webHidden/>
              </w:rPr>
              <w:instrText xml:space="preserve"> PAGEREF _Toc108310774 \h </w:instrText>
            </w:r>
            <w:r w:rsidR="001C025E">
              <w:rPr>
                <w:noProof/>
                <w:webHidden/>
              </w:rPr>
            </w:r>
            <w:r w:rsidR="001C025E">
              <w:rPr>
                <w:noProof/>
                <w:webHidden/>
              </w:rPr>
              <w:fldChar w:fldCharType="separate"/>
            </w:r>
            <w:r w:rsidR="001C025E">
              <w:rPr>
                <w:noProof/>
                <w:webHidden/>
              </w:rPr>
              <w:t>79</w:t>
            </w:r>
            <w:r w:rsidR="001C025E">
              <w:rPr>
                <w:noProof/>
                <w:webHidden/>
              </w:rPr>
              <w:fldChar w:fldCharType="end"/>
            </w:r>
          </w:hyperlink>
        </w:p>
        <w:p w14:paraId="27FC3677" w14:textId="7C33BE63"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75" w:history="1">
            <w:r w:rsidR="001C025E" w:rsidRPr="00AA65ED">
              <w:rPr>
                <w:rStyle w:val="Hyperlink"/>
                <w:noProof/>
              </w:rPr>
              <w:t>3.2 Aims and hypothesis</w:t>
            </w:r>
            <w:r w:rsidR="001C025E">
              <w:rPr>
                <w:noProof/>
                <w:webHidden/>
              </w:rPr>
              <w:tab/>
            </w:r>
            <w:r w:rsidR="001C025E">
              <w:rPr>
                <w:noProof/>
                <w:webHidden/>
              </w:rPr>
              <w:fldChar w:fldCharType="begin"/>
            </w:r>
            <w:r w:rsidR="001C025E">
              <w:rPr>
                <w:noProof/>
                <w:webHidden/>
              </w:rPr>
              <w:instrText xml:space="preserve"> PAGEREF _Toc108310775 \h </w:instrText>
            </w:r>
            <w:r w:rsidR="001C025E">
              <w:rPr>
                <w:noProof/>
                <w:webHidden/>
              </w:rPr>
            </w:r>
            <w:r w:rsidR="001C025E">
              <w:rPr>
                <w:noProof/>
                <w:webHidden/>
              </w:rPr>
              <w:fldChar w:fldCharType="separate"/>
            </w:r>
            <w:r w:rsidR="001C025E">
              <w:rPr>
                <w:noProof/>
                <w:webHidden/>
              </w:rPr>
              <w:t>89</w:t>
            </w:r>
            <w:r w:rsidR="001C025E">
              <w:rPr>
                <w:noProof/>
                <w:webHidden/>
              </w:rPr>
              <w:fldChar w:fldCharType="end"/>
            </w:r>
          </w:hyperlink>
        </w:p>
        <w:p w14:paraId="11C23C97" w14:textId="05329DFC"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76" w:history="1">
            <w:r w:rsidR="001C025E" w:rsidRPr="00AA65ED">
              <w:rPr>
                <w:rStyle w:val="Hyperlink"/>
                <w:noProof/>
              </w:rPr>
              <w:t>3.3 Methods</w:t>
            </w:r>
            <w:r w:rsidR="001C025E">
              <w:rPr>
                <w:noProof/>
                <w:webHidden/>
              </w:rPr>
              <w:tab/>
            </w:r>
            <w:r w:rsidR="001C025E">
              <w:rPr>
                <w:noProof/>
                <w:webHidden/>
              </w:rPr>
              <w:fldChar w:fldCharType="begin"/>
            </w:r>
            <w:r w:rsidR="001C025E">
              <w:rPr>
                <w:noProof/>
                <w:webHidden/>
              </w:rPr>
              <w:instrText xml:space="preserve"> PAGEREF _Toc108310776 \h </w:instrText>
            </w:r>
            <w:r w:rsidR="001C025E">
              <w:rPr>
                <w:noProof/>
                <w:webHidden/>
              </w:rPr>
            </w:r>
            <w:r w:rsidR="001C025E">
              <w:rPr>
                <w:noProof/>
                <w:webHidden/>
              </w:rPr>
              <w:fldChar w:fldCharType="separate"/>
            </w:r>
            <w:r w:rsidR="001C025E">
              <w:rPr>
                <w:noProof/>
                <w:webHidden/>
              </w:rPr>
              <w:t>90</w:t>
            </w:r>
            <w:r w:rsidR="001C025E">
              <w:rPr>
                <w:noProof/>
                <w:webHidden/>
              </w:rPr>
              <w:fldChar w:fldCharType="end"/>
            </w:r>
          </w:hyperlink>
        </w:p>
        <w:p w14:paraId="639B19A9" w14:textId="2F5FC19D" w:rsidR="001C025E" w:rsidRDefault="00000000">
          <w:pPr>
            <w:pStyle w:val="TOC3"/>
            <w:tabs>
              <w:tab w:val="right" w:pos="8828"/>
            </w:tabs>
            <w:rPr>
              <w:rFonts w:eastAsiaTheme="minorEastAsia" w:cstheme="minorBidi"/>
              <w:noProof/>
              <w:color w:val="auto"/>
              <w:sz w:val="24"/>
              <w:szCs w:val="24"/>
              <w:lang w:val="en-TR" w:eastAsia="en-US"/>
            </w:rPr>
          </w:pPr>
          <w:hyperlink w:anchor="_Toc108310777" w:history="1">
            <w:r w:rsidR="001C025E" w:rsidRPr="00AA65ED">
              <w:rPr>
                <w:rStyle w:val="Hyperlink"/>
                <w:noProof/>
              </w:rPr>
              <w:t>3.3.1 Ethics</w:t>
            </w:r>
            <w:r w:rsidR="001C025E">
              <w:rPr>
                <w:noProof/>
                <w:webHidden/>
              </w:rPr>
              <w:tab/>
            </w:r>
            <w:r w:rsidR="001C025E">
              <w:rPr>
                <w:noProof/>
                <w:webHidden/>
              </w:rPr>
              <w:fldChar w:fldCharType="begin"/>
            </w:r>
            <w:r w:rsidR="001C025E">
              <w:rPr>
                <w:noProof/>
                <w:webHidden/>
              </w:rPr>
              <w:instrText xml:space="preserve"> PAGEREF _Toc108310777 \h </w:instrText>
            </w:r>
            <w:r w:rsidR="001C025E">
              <w:rPr>
                <w:noProof/>
                <w:webHidden/>
              </w:rPr>
            </w:r>
            <w:r w:rsidR="001C025E">
              <w:rPr>
                <w:noProof/>
                <w:webHidden/>
              </w:rPr>
              <w:fldChar w:fldCharType="separate"/>
            </w:r>
            <w:r w:rsidR="001C025E">
              <w:rPr>
                <w:noProof/>
                <w:webHidden/>
              </w:rPr>
              <w:t>90</w:t>
            </w:r>
            <w:r w:rsidR="001C025E">
              <w:rPr>
                <w:noProof/>
                <w:webHidden/>
              </w:rPr>
              <w:fldChar w:fldCharType="end"/>
            </w:r>
          </w:hyperlink>
        </w:p>
        <w:p w14:paraId="50345A0F" w14:textId="53D3FE20" w:rsidR="001C025E" w:rsidRDefault="00000000">
          <w:pPr>
            <w:pStyle w:val="TOC3"/>
            <w:tabs>
              <w:tab w:val="right" w:pos="8828"/>
            </w:tabs>
            <w:rPr>
              <w:rFonts w:eastAsiaTheme="minorEastAsia" w:cstheme="minorBidi"/>
              <w:noProof/>
              <w:color w:val="auto"/>
              <w:sz w:val="24"/>
              <w:szCs w:val="24"/>
              <w:lang w:val="en-TR" w:eastAsia="en-US"/>
            </w:rPr>
          </w:pPr>
          <w:hyperlink w:anchor="_Toc108310778" w:history="1">
            <w:r w:rsidR="001C025E" w:rsidRPr="00AA65ED">
              <w:rPr>
                <w:rStyle w:val="Hyperlink"/>
                <w:noProof/>
              </w:rPr>
              <w:t>3.3.2 Participants</w:t>
            </w:r>
            <w:r w:rsidR="001C025E">
              <w:rPr>
                <w:noProof/>
                <w:webHidden/>
              </w:rPr>
              <w:tab/>
            </w:r>
            <w:r w:rsidR="001C025E">
              <w:rPr>
                <w:noProof/>
                <w:webHidden/>
              </w:rPr>
              <w:fldChar w:fldCharType="begin"/>
            </w:r>
            <w:r w:rsidR="001C025E">
              <w:rPr>
                <w:noProof/>
                <w:webHidden/>
              </w:rPr>
              <w:instrText xml:space="preserve"> PAGEREF _Toc108310778 \h </w:instrText>
            </w:r>
            <w:r w:rsidR="001C025E">
              <w:rPr>
                <w:noProof/>
                <w:webHidden/>
              </w:rPr>
            </w:r>
            <w:r w:rsidR="001C025E">
              <w:rPr>
                <w:noProof/>
                <w:webHidden/>
              </w:rPr>
              <w:fldChar w:fldCharType="separate"/>
            </w:r>
            <w:r w:rsidR="001C025E">
              <w:rPr>
                <w:noProof/>
                <w:webHidden/>
              </w:rPr>
              <w:t>90</w:t>
            </w:r>
            <w:r w:rsidR="001C025E">
              <w:rPr>
                <w:noProof/>
                <w:webHidden/>
              </w:rPr>
              <w:fldChar w:fldCharType="end"/>
            </w:r>
          </w:hyperlink>
        </w:p>
        <w:p w14:paraId="036FE059" w14:textId="5518A470" w:rsidR="001C025E" w:rsidRDefault="00000000">
          <w:pPr>
            <w:pStyle w:val="TOC3"/>
            <w:tabs>
              <w:tab w:val="right" w:pos="8828"/>
            </w:tabs>
            <w:rPr>
              <w:rFonts w:eastAsiaTheme="minorEastAsia" w:cstheme="minorBidi"/>
              <w:noProof/>
              <w:color w:val="auto"/>
              <w:sz w:val="24"/>
              <w:szCs w:val="24"/>
              <w:lang w:val="en-TR" w:eastAsia="en-US"/>
            </w:rPr>
          </w:pPr>
          <w:hyperlink w:anchor="_Toc108310779" w:history="1">
            <w:r w:rsidR="001C025E" w:rsidRPr="00AA65ED">
              <w:rPr>
                <w:rStyle w:val="Hyperlink"/>
                <w:noProof/>
              </w:rPr>
              <w:t>3.3.3 Stimuli and apparatus</w:t>
            </w:r>
            <w:r w:rsidR="001C025E">
              <w:rPr>
                <w:noProof/>
                <w:webHidden/>
              </w:rPr>
              <w:tab/>
            </w:r>
            <w:r w:rsidR="001C025E">
              <w:rPr>
                <w:noProof/>
                <w:webHidden/>
              </w:rPr>
              <w:fldChar w:fldCharType="begin"/>
            </w:r>
            <w:r w:rsidR="001C025E">
              <w:rPr>
                <w:noProof/>
                <w:webHidden/>
              </w:rPr>
              <w:instrText xml:space="preserve"> PAGEREF _Toc108310779 \h </w:instrText>
            </w:r>
            <w:r w:rsidR="001C025E">
              <w:rPr>
                <w:noProof/>
                <w:webHidden/>
              </w:rPr>
            </w:r>
            <w:r w:rsidR="001C025E">
              <w:rPr>
                <w:noProof/>
                <w:webHidden/>
              </w:rPr>
              <w:fldChar w:fldCharType="separate"/>
            </w:r>
            <w:r w:rsidR="001C025E">
              <w:rPr>
                <w:noProof/>
                <w:webHidden/>
              </w:rPr>
              <w:t>91</w:t>
            </w:r>
            <w:r w:rsidR="001C025E">
              <w:rPr>
                <w:noProof/>
                <w:webHidden/>
              </w:rPr>
              <w:fldChar w:fldCharType="end"/>
            </w:r>
          </w:hyperlink>
        </w:p>
        <w:p w14:paraId="75FE6336" w14:textId="3748752D" w:rsidR="001C025E" w:rsidRDefault="00000000">
          <w:pPr>
            <w:pStyle w:val="TOC3"/>
            <w:tabs>
              <w:tab w:val="right" w:pos="8828"/>
            </w:tabs>
            <w:rPr>
              <w:rFonts w:eastAsiaTheme="minorEastAsia" w:cstheme="minorBidi"/>
              <w:noProof/>
              <w:color w:val="auto"/>
              <w:sz w:val="24"/>
              <w:szCs w:val="24"/>
              <w:lang w:val="en-TR" w:eastAsia="en-US"/>
            </w:rPr>
          </w:pPr>
          <w:hyperlink w:anchor="_Toc108310780" w:history="1">
            <w:r w:rsidR="001C025E" w:rsidRPr="00AA65ED">
              <w:rPr>
                <w:rStyle w:val="Hyperlink"/>
                <w:noProof/>
              </w:rPr>
              <w:t>3.3.4 Design</w:t>
            </w:r>
            <w:r w:rsidR="001C025E">
              <w:rPr>
                <w:noProof/>
                <w:webHidden/>
              </w:rPr>
              <w:tab/>
            </w:r>
            <w:r w:rsidR="001C025E">
              <w:rPr>
                <w:noProof/>
                <w:webHidden/>
              </w:rPr>
              <w:fldChar w:fldCharType="begin"/>
            </w:r>
            <w:r w:rsidR="001C025E">
              <w:rPr>
                <w:noProof/>
                <w:webHidden/>
              </w:rPr>
              <w:instrText xml:space="preserve"> PAGEREF _Toc108310780 \h </w:instrText>
            </w:r>
            <w:r w:rsidR="001C025E">
              <w:rPr>
                <w:noProof/>
                <w:webHidden/>
              </w:rPr>
            </w:r>
            <w:r w:rsidR="001C025E">
              <w:rPr>
                <w:noProof/>
                <w:webHidden/>
              </w:rPr>
              <w:fldChar w:fldCharType="separate"/>
            </w:r>
            <w:r w:rsidR="001C025E">
              <w:rPr>
                <w:noProof/>
                <w:webHidden/>
              </w:rPr>
              <w:t>93</w:t>
            </w:r>
            <w:r w:rsidR="001C025E">
              <w:rPr>
                <w:noProof/>
                <w:webHidden/>
              </w:rPr>
              <w:fldChar w:fldCharType="end"/>
            </w:r>
          </w:hyperlink>
        </w:p>
        <w:p w14:paraId="3B310741" w14:textId="4579ED89" w:rsidR="001C025E" w:rsidRDefault="00000000">
          <w:pPr>
            <w:pStyle w:val="TOC3"/>
            <w:tabs>
              <w:tab w:val="right" w:pos="8828"/>
            </w:tabs>
            <w:rPr>
              <w:rFonts w:eastAsiaTheme="minorEastAsia" w:cstheme="minorBidi"/>
              <w:noProof/>
              <w:color w:val="auto"/>
              <w:sz w:val="24"/>
              <w:szCs w:val="24"/>
              <w:lang w:val="en-TR" w:eastAsia="en-US"/>
            </w:rPr>
          </w:pPr>
          <w:hyperlink w:anchor="_Toc108310781" w:history="1">
            <w:r w:rsidR="001C025E" w:rsidRPr="00AA65ED">
              <w:rPr>
                <w:rStyle w:val="Hyperlink"/>
                <w:noProof/>
              </w:rPr>
              <w:t>3.3.5 Procedure</w:t>
            </w:r>
            <w:r w:rsidR="001C025E">
              <w:rPr>
                <w:noProof/>
                <w:webHidden/>
              </w:rPr>
              <w:tab/>
            </w:r>
            <w:r w:rsidR="001C025E">
              <w:rPr>
                <w:noProof/>
                <w:webHidden/>
              </w:rPr>
              <w:fldChar w:fldCharType="begin"/>
            </w:r>
            <w:r w:rsidR="001C025E">
              <w:rPr>
                <w:noProof/>
                <w:webHidden/>
              </w:rPr>
              <w:instrText xml:space="preserve"> PAGEREF _Toc108310781 \h </w:instrText>
            </w:r>
            <w:r w:rsidR="001C025E">
              <w:rPr>
                <w:noProof/>
                <w:webHidden/>
              </w:rPr>
            </w:r>
            <w:r w:rsidR="001C025E">
              <w:rPr>
                <w:noProof/>
                <w:webHidden/>
              </w:rPr>
              <w:fldChar w:fldCharType="separate"/>
            </w:r>
            <w:r w:rsidR="001C025E">
              <w:rPr>
                <w:noProof/>
                <w:webHidden/>
              </w:rPr>
              <w:t>94</w:t>
            </w:r>
            <w:r w:rsidR="001C025E">
              <w:rPr>
                <w:noProof/>
                <w:webHidden/>
              </w:rPr>
              <w:fldChar w:fldCharType="end"/>
            </w:r>
          </w:hyperlink>
        </w:p>
        <w:p w14:paraId="62F00D2C" w14:textId="7502CE0A"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82" w:history="1">
            <w:r w:rsidR="001C025E" w:rsidRPr="00AA65ED">
              <w:rPr>
                <w:rStyle w:val="Hyperlink"/>
                <w:noProof/>
              </w:rPr>
              <w:t>3.4 Results</w:t>
            </w:r>
            <w:r w:rsidR="001C025E">
              <w:rPr>
                <w:noProof/>
                <w:webHidden/>
              </w:rPr>
              <w:tab/>
            </w:r>
            <w:r w:rsidR="001C025E">
              <w:rPr>
                <w:noProof/>
                <w:webHidden/>
              </w:rPr>
              <w:fldChar w:fldCharType="begin"/>
            </w:r>
            <w:r w:rsidR="001C025E">
              <w:rPr>
                <w:noProof/>
                <w:webHidden/>
              </w:rPr>
              <w:instrText xml:space="preserve"> PAGEREF _Toc108310782 \h </w:instrText>
            </w:r>
            <w:r w:rsidR="001C025E">
              <w:rPr>
                <w:noProof/>
                <w:webHidden/>
              </w:rPr>
            </w:r>
            <w:r w:rsidR="001C025E">
              <w:rPr>
                <w:noProof/>
                <w:webHidden/>
              </w:rPr>
              <w:fldChar w:fldCharType="separate"/>
            </w:r>
            <w:r w:rsidR="001C025E">
              <w:rPr>
                <w:noProof/>
                <w:webHidden/>
              </w:rPr>
              <w:t>95</w:t>
            </w:r>
            <w:r w:rsidR="001C025E">
              <w:rPr>
                <w:noProof/>
                <w:webHidden/>
              </w:rPr>
              <w:fldChar w:fldCharType="end"/>
            </w:r>
          </w:hyperlink>
        </w:p>
        <w:p w14:paraId="2E36328B" w14:textId="3ABE82D6"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83" w:history="1">
            <w:r w:rsidR="001C025E" w:rsidRPr="00AA65ED">
              <w:rPr>
                <w:rStyle w:val="Hyperlink"/>
                <w:noProof/>
              </w:rPr>
              <w:t>3.5 Discussion</w:t>
            </w:r>
            <w:r w:rsidR="001C025E">
              <w:rPr>
                <w:noProof/>
                <w:webHidden/>
              </w:rPr>
              <w:tab/>
            </w:r>
            <w:r w:rsidR="001C025E">
              <w:rPr>
                <w:noProof/>
                <w:webHidden/>
              </w:rPr>
              <w:fldChar w:fldCharType="begin"/>
            </w:r>
            <w:r w:rsidR="001C025E">
              <w:rPr>
                <w:noProof/>
                <w:webHidden/>
              </w:rPr>
              <w:instrText xml:space="preserve"> PAGEREF _Toc108310783 \h </w:instrText>
            </w:r>
            <w:r w:rsidR="001C025E">
              <w:rPr>
                <w:noProof/>
                <w:webHidden/>
              </w:rPr>
            </w:r>
            <w:r w:rsidR="001C025E">
              <w:rPr>
                <w:noProof/>
                <w:webHidden/>
              </w:rPr>
              <w:fldChar w:fldCharType="separate"/>
            </w:r>
            <w:r w:rsidR="001C025E">
              <w:rPr>
                <w:noProof/>
                <w:webHidden/>
              </w:rPr>
              <w:t>101</w:t>
            </w:r>
            <w:r w:rsidR="001C025E">
              <w:rPr>
                <w:noProof/>
                <w:webHidden/>
              </w:rPr>
              <w:fldChar w:fldCharType="end"/>
            </w:r>
          </w:hyperlink>
        </w:p>
        <w:p w14:paraId="703DC500" w14:textId="63C1CEF3"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84" w:history="1">
            <w:r w:rsidR="001C025E" w:rsidRPr="00AA65ED">
              <w:rPr>
                <w:rStyle w:val="Hyperlink"/>
                <w:noProof/>
              </w:rPr>
              <w:t>3.6 Limitations and future research</w:t>
            </w:r>
            <w:r w:rsidR="001C025E">
              <w:rPr>
                <w:noProof/>
                <w:webHidden/>
              </w:rPr>
              <w:tab/>
            </w:r>
            <w:r w:rsidR="001C025E">
              <w:rPr>
                <w:noProof/>
                <w:webHidden/>
              </w:rPr>
              <w:fldChar w:fldCharType="begin"/>
            </w:r>
            <w:r w:rsidR="001C025E">
              <w:rPr>
                <w:noProof/>
                <w:webHidden/>
              </w:rPr>
              <w:instrText xml:space="preserve"> PAGEREF _Toc108310784 \h </w:instrText>
            </w:r>
            <w:r w:rsidR="001C025E">
              <w:rPr>
                <w:noProof/>
                <w:webHidden/>
              </w:rPr>
            </w:r>
            <w:r w:rsidR="001C025E">
              <w:rPr>
                <w:noProof/>
                <w:webHidden/>
              </w:rPr>
              <w:fldChar w:fldCharType="separate"/>
            </w:r>
            <w:r w:rsidR="001C025E">
              <w:rPr>
                <w:noProof/>
                <w:webHidden/>
              </w:rPr>
              <w:t>106</w:t>
            </w:r>
            <w:r w:rsidR="001C025E">
              <w:rPr>
                <w:noProof/>
                <w:webHidden/>
              </w:rPr>
              <w:fldChar w:fldCharType="end"/>
            </w:r>
          </w:hyperlink>
        </w:p>
        <w:p w14:paraId="0CBB8E49" w14:textId="1093A2FD" w:rsidR="001C025E" w:rsidRDefault="00000000">
          <w:pPr>
            <w:pStyle w:val="TOC1"/>
            <w:tabs>
              <w:tab w:val="right" w:pos="8828"/>
            </w:tabs>
            <w:rPr>
              <w:rFonts w:eastAsiaTheme="minorEastAsia" w:cstheme="minorBidi"/>
              <w:b w:val="0"/>
              <w:bCs w:val="0"/>
              <w:i w:val="0"/>
              <w:iCs w:val="0"/>
              <w:noProof/>
              <w:color w:val="auto"/>
              <w:lang w:val="en-TR" w:eastAsia="en-US"/>
            </w:rPr>
          </w:pPr>
          <w:hyperlink w:anchor="_Toc108310785" w:history="1">
            <w:r w:rsidR="001C025E" w:rsidRPr="00AA65ED">
              <w:rPr>
                <w:rStyle w:val="Hyperlink"/>
                <w:noProof/>
              </w:rPr>
              <w:t>Chapter 4. The Effect of Observation of Leadership on the Strength of Gaze Cueing</w:t>
            </w:r>
            <w:r w:rsidR="001C025E">
              <w:rPr>
                <w:noProof/>
                <w:webHidden/>
              </w:rPr>
              <w:tab/>
            </w:r>
            <w:r w:rsidR="001C025E">
              <w:rPr>
                <w:noProof/>
                <w:webHidden/>
              </w:rPr>
              <w:fldChar w:fldCharType="begin"/>
            </w:r>
            <w:r w:rsidR="001C025E">
              <w:rPr>
                <w:noProof/>
                <w:webHidden/>
              </w:rPr>
              <w:instrText xml:space="preserve"> PAGEREF _Toc108310785 \h </w:instrText>
            </w:r>
            <w:r w:rsidR="001C025E">
              <w:rPr>
                <w:noProof/>
                <w:webHidden/>
              </w:rPr>
            </w:r>
            <w:r w:rsidR="001C025E">
              <w:rPr>
                <w:noProof/>
                <w:webHidden/>
              </w:rPr>
              <w:fldChar w:fldCharType="separate"/>
            </w:r>
            <w:r w:rsidR="001C025E">
              <w:rPr>
                <w:noProof/>
                <w:webHidden/>
              </w:rPr>
              <w:t>109</w:t>
            </w:r>
            <w:r w:rsidR="001C025E">
              <w:rPr>
                <w:noProof/>
                <w:webHidden/>
              </w:rPr>
              <w:fldChar w:fldCharType="end"/>
            </w:r>
          </w:hyperlink>
        </w:p>
        <w:p w14:paraId="124E2E9C" w14:textId="6A994781"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86" w:history="1">
            <w:r w:rsidR="001C025E" w:rsidRPr="00AA65ED">
              <w:rPr>
                <w:rStyle w:val="Hyperlink"/>
                <w:noProof/>
              </w:rPr>
              <w:t>4.1 Introduction</w:t>
            </w:r>
            <w:r w:rsidR="001C025E">
              <w:rPr>
                <w:noProof/>
                <w:webHidden/>
              </w:rPr>
              <w:tab/>
            </w:r>
            <w:r w:rsidR="001C025E">
              <w:rPr>
                <w:noProof/>
                <w:webHidden/>
              </w:rPr>
              <w:fldChar w:fldCharType="begin"/>
            </w:r>
            <w:r w:rsidR="001C025E">
              <w:rPr>
                <w:noProof/>
                <w:webHidden/>
              </w:rPr>
              <w:instrText xml:space="preserve"> PAGEREF _Toc108310786 \h </w:instrText>
            </w:r>
            <w:r w:rsidR="001C025E">
              <w:rPr>
                <w:noProof/>
                <w:webHidden/>
              </w:rPr>
            </w:r>
            <w:r w:rsidR="001C025E">
              <w:rPr>
                <w:noProof/>
                <w:webHidden/>
              </w:rPr>
              <w:fldChar w:fldCharType="separate"/>
            </w:r>
            <w:r w:rsidR="001C025E">
              <w:rPr>
                <w:noProof/>
                <w:webHidden/>
              </w:rPr>
              <w:t>109</w:t>
            </w:r>
            <w:r w:rsidR="001C025E">
              <w:rPr>
                <w:noProof/>
                <w:webHidden/>
              </w:rPr>
              <w:fldChar w:fldCharType="end"/>
            </w:r>
          </w:hyperlink>
        </w:p>
        <w:p w14:paraId="5C5ED0F7" w14:textId="0B98C7C2"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87" w:history="1">
            <w:r w:rsidR="001C025E" w:rsidRPr="00AA65ED">
              <w:rPr>
                <w:rStyle w:val="Hyperlink"/>
                <w:noProof/>
                <w:lang w:eastAsia="en-US"/>
              </w:rPr>
              <w:t>4.2 Aims and hypothesis</w:t>
            </w:r>
            <w:r w:rsidR="001C025E">
              <w:rPr>
                <w:noProof/>
                <w:webHidden/>
              </w:rPr>
              <w:tab/>
            </w:r>
            <w:r w:rsidR="001C025E">
              <w:rPr>
                <w:noProof/>
                <w:webHidden/>
              </w:rPr>
              <w:fldChar w:fldCharType="begin"/>
            </w:r>
            <w:r w:rsidR="001C025E">
              <w:rPr>
                <w:noProof/>
                <w:webHidden/>
              </w:rPr>
              <w:instrText xml:space="preserve"> PAGEREF _Toc108310787 \h </w:instrText>
            </w:r>
            <w:r w:rsidR="001C025E">
              <w:rPr>
                <w:noProof/>
                <w:webHidden/>
              </w:rPr>
            </w:r>
            <w:r w:rsidR="001C025E">
              <w:rPr>
                <w:noProof/>
                <w:webHidden/>
              </w:rPr>
              <w:fldChar w:fldCharType="separate"/>
            </w:r>
            <w:r w:rsidR="001C025E">
              <w:rPr>
                <w:noProof/>
                <w:webHidden/>
              </w:rPr>
              <w:t>116</w:t>
            </w:r>
            <w:r w:rsidR="001C025E">
              <w:rPr>
                <w:noProof/>
                <w:webHidden/>
              </w:rPr>
              <w:fldChar w:fldCharType="end"/>
            </w:r>
          </w:hyperlink>
        </w:p>
        <w:p w14:paraId="3C8379B5" w14:textId="34419EEE"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88" w:history="1">
            <w:r w:rsidR="001C025E" w:rsidRPr="00AA65ED">
              <w:rPr>
                <w:rStyle w:val="Hyperlink"/>
                <w:noProof/>
              </w:rPr>
              <w:t>4.3 Methods</w:t>
            </w:r>
            <w:r w:rsidR="001C025E">
              <w:rPr>
                <w:noProof/>
                <w:webHidden/>
              </w:rPr>
              <w:tab/>
            </w:r>
            <w:r w:rsidR="001C025E">
              <w:rPr>
                <w:noProof/>
                <w:webHidden/>
              </w:rPr>
              <w:fldChar w:fldCharType="begin"/>
            </w:r>
            <w:r w:rsidR="001C025E">
              <w:rPr>
                <w:noProof/>
                <w:webHidden/>
              </w:rPr>
              <w:instrText xml:space="preserve"> PAGEREF _Toc108310788 \h </w:instrText>
            </w:r>
            <w:r w:rsidR="001C025E">
              <w:rPr>
                <w:noProof/>
                <w:webHidden/>
              </w:rPr>
            </w:r>
            <w:r w:rsidR="001C025E">
              <w:rPr>
                <w:noProof/>
                <w:webHidden/>
              </w:rPr>
              <w:fldChar w:fldCharType="separate"/>
            </w:r>
            <w:r w:rsidR="001C025E">
              <w:rPr>
                <w:noProof/>
                <w:webHidden/>
              </w:rPr>
              <w:t>118</w:t>
            </w:r>
            <w:r w:rsidR="001C025E">
              <w:rPr>
                <w:noProof/>
                <w:webHidden/>
              </w:rPr>
              <w:fldChar w:fldCharType="end"/>
            </w:r>
          </w:hyperlink>
        </w:p>
        <w:p w14:paraId="1AE0F6C3" w14:textId="0898BE07" w:rsidR="001C025E" w:rsidRDefault="00000000">
          <w:pPr>
            <w:pStyle w:val="TOC3"/>
            <w:tabs>
              <w:tab w:val="right" w:pos="8828"/>
            </w:tabs>
            <w:rPr>
              <w:rFonts w:eastAsiaTheme="minorEastAsia" w:cstheme="minorBidi"/>
              <w:noProof/>
              <w:color w:val="auto"/>
              <w:sz w:val="24"/>
              <w:szCs w:val="24"/>
              <w:lang w:val="en-TR" w:eastAsia="en-US"/>
            </w:rPr>
          </w:pPr>
          <w:hyperlink w:anchor="_Toc108310789" w:history="1">
            <w:r w:rsidR="001C025E" w:rsidRPr="00AA65ED">
              <w:rPr>
                <w:rStyle w:val="Hyperlink"/>
                <w:noProof/>
              </w:rPr>
              <w:t>4.3.1 Ethics</w:t>
            </w:r>
            <w:r w:rsidR="001C025E">
              <w:rPr>
                <w:noProof/>
                <w:webHidden/>
              </w:rPr>
              <w:tab/>
            </w:r>
            <w:r w:rsidR="001C025E">
              <w:rPr>
                <w:noProof/>
                <w:webHidden/>
              </w:rPr>
              <w:fldChar w:fldCharType="begin"/>
            </w:r>
            <w:r w:rsidR="001C025E">
              <w:rPr>
                <w:noProof/>
                <w:webHidden/>
              </w:rPr>
              <w:instrText xml:space="preserve"> PAGEREF _Toc108310789 \h </w:instrText>
            </w:r>
            <w:r w:rsidR="001C025E">
              <w:rPr>
                <w:noProof/>
                <w:webHidden/>
              </w:rPr>
            </w:r>
            <w:r w:rsidR="001C025E">
              <w:rPr>
                <w:noProof/>
                <w:webHidden/>
              </w:rPr>
              <w:fldChar w:fldCharType="separate"/>
            </w:r>
            <w:r w:rsidR="001C025E">
              <w:rPr>
                <w:noProof/>
                <w:webHidden/>
              </w:rPr>
              <w:t>118</w:t>
            </w:r>
            <w:r w:rsidR="001C025E">
              <w:rPr>
                <w:noProof/>
                <w:webHidden/>
              </w:rPr>
              <w:fldChar w:fldCharType="end"/>
            </w:r>
          </w:hyperlink>
        </w:p>
        <w:p w14:paraId="436760CB" w14:textId="3BB5FB49" w:rsidR="001C025E" w:rsidRDefault="00000000">
          <w:pPr>
            <w:pStyle w:val="TOC3"/>
            <w:tabs>
              <w:tab w:val="right" w:pos="8828"/>
            </w:tabs>
            <w:rPr>
              <w:rFonts w:eastAsiaTheme="minorEastAsia" w:cstheme="minorBidi"/>
              <w:noProof/>
              <w:color w:val="auto"/>
              <w:sz w:val="24"/>
              <w:szCs w:val="24"/>
              <w:lang w:val="en-TR" w:eastAsia="en-US"/>
            </w:rPr>
          </w:pPr>
          <w:hyperlink w:anchor="_Toc108310790" w:history="1">
            <w:r w:rsidR="001C025E" w:rsidRPr="00AA65ED">
              <w:rPr>
                <w:rStyle w:val="Hyperlink"/>
                <w:noProof/>
              </w:rPr>
              <w:t>4.3.2 Participants</w:t>
            </w:r>
            <w:r w:rsidR="001C025E">
              <w:rPr>
                <w:noProof/>
                <w:webHidden/>
              </w:rPr>
              <w:tab/>
            </w:r>
            <w:r w:rsidR="001C025E">
              <w:rPr>
                <w:noProof/>
                <w:webHidden/>
              </w:rPr>
              <w:fldChar w:fldCharType="begin"/>
            </w:r>
            <w:r w:rsidR="001C025E">
              <w:rPr>
                <w:noProof/>
                <w:webHidden/>
              </w:rPr>
              <w:instrText xml:space="preserve"> PAGEREF _Toc108310790 \h </w:instrText>
            </w:r>
            <w:r w:rsidR="001C025E">
              <w:rPr>
                <w:noProof/>
                <w:webHidden/>
              </w:rPr>
            </w:r>
            <w:r w:rsidR="001C025E">
              <w:rPr>
                <w:noProof/>
                <w:webHidden/>
              </w:rPr>
              <w:fldChar w:fldCharType="separate"/>
            </w:r>
            <w:r w:rsidR="001C025E">
              <w:rPr>
                <w:noProof/>
                <w:webHidden/>
              </w:rPr>
              <w:t>119</w:t>
            </w:r>
            <w:r w:rsidR="001C025E">
              <w:rPr>
                <w:noProof/>
                <w:webHidden/>
              </w:rPr>
              <w:fldChar w:fldCharType="end"/>
            </w:r>
          </w:hyperlink>
        </w:p>
        <w:p w14:paraId="6FF9304C" w14:textId="1BA618F6" w:rsidR="001C025E" w:rsidRDefault="00000000">
          <w:pPr>
            <w:pStyle w:val="TOC3"/>
            <w:tabs>
              <w:tab w:val="right" w:pos="8828"/>
            </w:tabs>
            <w:rPr>
              <w:rFonts w:eastAsiaTheme="minorEastAsia" w:cstheme="minorBidi"/>
              <w:noProof/>
              <w:color w:val="auto"/>
              <w:sz w:val="24"/>
              <w:szCs w:val="24"/>
              <w:lang w:val="en-TR" w:eastAsia="en-US"/>
            </w:rPr>
          </w:pPr>
          <w:hyperlink w:anchor="_Toc108310791" w:history="1">
            <w:r w:rsidR="001C025E" w:rsidRPr="00AA65ED">
              <w:rPr>
                <w:rStyle w:val="Hyperlink"/>
                <w:rFonts w:eastAsia="Calibri"/>
                <w:noProof/>
                <w:lang w:eastAsia="en-US"/>
              </w:rPr>
              <w:t>4.3.3 Apparatus and Stimuli</w:t>
            </w:r>
            <w:r w:rsidR="001C025E">
              <w:rPr>
                <w:noProof/>
                <w:webHidden/>
              </w:rPr>
              <w:tab/>
            </w:r>
            <w:r w:rsidR="001C025E">
              <w:rPr>
                <w:noProof/>
                <w:webHidden/>
              </w:rPr>
              <w:fldChar w:fldCharType="begin"/>
            </w:r>
            <w:r w:rsidR="001C025E">
              <w:rPr>
                <w:noProof/>
                <w:webHidden/>
              </w:rPr>
              <w:instrText xml:space="preserve"> PAGEREF _Toc108310791 \h </w:instrText>
            </w:r>
            <w:r w:rsidR="001C025E">
              <w:rPr>
                <w:noProof/>
                <w:webHidden/>
              </w:rPr>
            </w:r>
            <w:r w:rsidR="001C025E">
              <w:rPr>
                <w:noProof/>
                <w:webHidden/>
              </w:rPr>
              <w:fldChar w:fldCharType="separate"/>
            </w:r>
            <w:r w:rsidR="001C025E">
              <w:rPr>
                <w:noProof/>
                <w:webHidden/>
              </w:rPr>
              <w:t>119</w:t>
            </w:r>
            <w:r w:rsidR="001C025E">
              <w:rPr>
                <w:noProof/>
                <w:webHidden/>
              </w:rPr>
              <w:fldChar w:fldCharType="end"/>
            </w:r>
          </w:hyperlink>
        </w:p>
        <w:p w14:paraId="45BECAAC" w14:textId="4F627E2F" w:rsidR="001C025E" w:rsidRDefault="00000000">
          <w:pPr>
            <w:pStyle w:val="TOC3"/>
            <w:tabs>
              <w:tab w:val="right" w:pos="8828"/>
            </w:tabs>
            <w:rPr>
              <w:rFonts w:eastAsiaTheme="minorEastAsia" w:cstheme="minorBidi"/>
              <w:noProof/>
              <w:color w:val="auto"/>
              <w:sz w:val="24"/>
              <w:szCs w:val="24"/>
              <w:lang w:val="en-TR" w:eastAsia="en-US"/>
            </w:rPr>
          </w:pPr>
          <w:hyperlink w:anchor="_Toc108310792" w:history="1">
            <w:r w:rsidR="001C025E" w:rsidRPr="00AA65ED">
              <w:rPr>
                <w:rStyle w:val="Hyperlink"/>
                <w:rFonts w:eastAsia="Calibri"/>
                <w:noProof/>
                <w:lang w:eastAsia="en-US"/>
              </w:rPr>
              <w:t>4.3.4 Design</w:t>
            </w:r>
            <w:r w:rsidR="001C025E">
              <w:rPr>
                <w:noProof/>
                <w:webHidden/>
              </w:rPr>
              <w:tab/>
            </w:r>
            <w:r w:rsidR="001C025E">
              <w:rPr>
                <w:noProof/>
                <w:webHidden/>
              </w:rPr>
              <w:fldChar w:fldCharType="begin"/>
            </w:r>
            <w:r w:rsidR="001C025E">
              <w:rPr>
                <w:noProof/>
                <w:webHidden/>
              </w:rPr>
              <w:instrText xml:space="preserve"> PAGEREF _Toc108310792 \h </w:instrText>
            </w:r>
            <w:r w:rsidR="001C025E">
              <w:rPr>
                <w:noProof/>
                <w:webHidden/>
              </w:rPr>
            </w:r>
            <w:r w:rsidR="001C025E">
              <w:rPr>
                <w:noProof/>
                <w:webHidden/>
              </w:rPr>
              <w:fldChar w:fldCharType="separate"/>
            </w:r>
            <w:r w:rsidR="001C025E">
              <w:rPr>
                <w:noProof/>
                <w:webHidden/>
              </w:rPr>
              <w:t>124</w:t>
            </w:r>
            <w:r w:rsidR="001C025E">
              <w:rPr>
                <w:noProof/>
                <w:webHidden/>
              </w:rPr>
              <w:fldChar w:fldCharType="end"/>
            </w:r>
          </w:hyperlink>
        </w:p>
        <w:p w14:paraId="4371F416" w14:textId="39E6FABC" w:rsidR="001C025E" w:rsidRDefault="00000000">
          <w:pPr>
            <w:pStyle w:val="TOC3"/>
            <w:tabs>
              <w:tab w:val="right" w:pos="8828"/>
            </w:tabs>
            <w:rPr>
              <w:rFonts w:eastAsiaTheme="minorEastAsia" w:cstheme="minorBidi"/>
              <w:noProof/>
              <w:color w:val="auto"/>
              <w:sz w:val="24"/>
              <w:szCs w:val="24"/>
              <w:lang w:val="en-TR" w:eastAsia="en-US"/>
            </w:rPr>
          </w:pPr>
          <w:hyperlink w:anchor="_Toc108310793" w:history="1">
            <w:r w:rsidR="001C025E" w:rsidRPr="00AA65ED">
              <w:rPr>
                <w:rStyle w:val="Hyperlink"/>
                <w:noProof/>
              </w:rPr>
              <w:t>4.3.5</w:t>
            </w:r>
            <w:r w:rsidR="001C025E" w:rsidRPr="00AA65ED">
              <w:rPr>
                <w:rStyle w:val="Hyperlink"/>
                <w:rFonts w:eastAsia="Calibri"/>
                <w:noProof/>
                <w:lang w:eastAsia="en-US"/>
              </w:rPr>
              <w:t xml:space="preserve"> Procedure</w:t>
            </w:r>
            <w:r w:rsidR="001C025E">
              <w:rPr>
                <w:noProof/>
                <w:webHidden/>
              </w:rPr>
              <w:tab/>
            </w:r>
            <w:r w:rsidR="001C025E">
              <w:rPr>
                <w:noProof/>
                <w:webHidden/>
              </w:rPr>
              <w:fldChar w:fldCharType="begin"/>
            </w:r>
            <w:r w:rsidR="001C025E">
              <w:rPr>
                <w:noProof/>
                <w:webHidden/>
              </w:rPr>
              <w:instrText xml:space="preserve"> PAGEREF _Toc108310793 \h </w:instrText>
            </w:r>
            <w:r w:rsidR="001C025E">
              <w:rPr>
                <w:noProof/>
                <w:webHidden/>
              </w:rPr>
            </w:r>
            <w:r w:rsidR="001C025E">
              <w:rPr>
                <w:noProof/>
                <w:webHidden/>
              </w:rPr>
              <w:fldChar w:fldCharType="separate"/>
            </w:r>
            <w:r w:rsidR="001C025E">
              <w:rPr>
                <w:noProof/>
                <w:webHidden/>
              </w:rPr>
              <w:t>130</w:t>
            </w:r>
            <w:r w:rsidR="001C025E">
              <w:rPr>
                <w:noProof/>
                <w:webHidden/>
              </w:rPr>
              <w:fldChar w:fldCharType="end"/>
            </w:r>
          </w:hyperlink>
        </w:p>
        <w:p w14:paraId="05ADD466" w14:textId="28FB2DEC" w:rsidR="001C025E" w:rsidRDefault="00000000">
          <w:pPr>
            <w:pStyle w:val="TOC3"/>
            <w:tabs>
              <w:tab w:val="right" w:pos="8828"/>
            </w:tabs>
            <w:rPr>
              <w:rFonts w:eastAsiaTheme="minorEastAsia" w:cstheme="minorBidi"/>
              <w:noProof/>
              <w:color w:val="auto"/>
              <w:sz w:val="24"/>
              <w:szCs w:val="24"/>
              <w:lang w:val="en-TR" w:eastAsia="en-US"/>
            </w:rPr>
          </w:pPr>
          <w:hyperlink w:anchor="_Toc108310794" w:history="1">
            <w:r w:rsidR="001C025E" w:rsidRPr="00AA65ED">
              <w:rPr>
                <w:rStyle w:val="Hyperlink"/>
                <w:noProof/>
              </w:rPr>
              <w:t>4.3.6 Data pre-processing</w:t>
            </w:r>
            <w:r w:rsidR="001C025E">
              <w:rPr>
                <w:noProof/>
                <w:webHidden/>
              </w:rPr>
              <w:tab/>
            </w:r>
            <w:r w:rsidR="001C025E">
              <w:rPr>
                <w:noProof/>
                <w:webHidden/>
              </w:rPr>
              <w:fldChar w:fldCharType="begin"/>
            </w:r>
            <w:r w:rsidR="001C025E">
              <w:rPr>
                <w:noProof/>
                <w:webHidden/>
              </w:rPr>
              <w:instrText xml:space="preserve"> PAGEREF _Toc108310794 \h </w:instrText>
            </w:r>
            <w:r w:rsidR="001C025E">
              <w:rPr>
                <w:noProof/>
                <w:webHidden/>
              </w:rPr>
            </w:r>
            <w:r w:rsidR="001C025E">
              <w:rPr>
                <w:noProof/>
                <w:webHidden/>
              </w:rPr>
              <w:fldChar w:fldCharType="separate"/>
            </w:r>
            <w:r w:rsidR="001C025E">
              <w:rPr>
                <w:noProof/>
                <w:webHidden/>
              </w:rPr>
              <w:t>131</w:t>
            </w:r>
            <w:r w:rsidR="001C025E">
              <w:rPr>
                <w:noProof/>
                <w:webHidden/>
              </w:rPr>
              <w:fldChar w:fldCharType="end"/>
            </w:r>
          </w:hyperlink>
        </w:p>
        <w:p w14:paraId="78BA0FD0" w14:textId="5772B79F" w:rsidR="001C025E" w:rsidRDefault="00000000">
          <w:pPr>
            <w:pStyle w:val="TOC3"/>
            <w:tabs>
              <w:tab w:val="right" w:pos="8828"/>
            </w:tabs>
            <w:rPr>
              <w:rFonts w:eastAsiaTheme="minorEastAsia" w:cstheme="minorBidi"/>
              <w:noProof/>
              <w:color w:val="auto"/>
              <w:sz w:val="24"/>
              <w:szCs w:val="24"/>
              <w:lang w:val="en-TR" w:eastAsia="en-US"/>
            </w:rPr>
          </w:pPr>
          <w:hyperlink w:anchor="_Toc108310795" w:history="1">
            <w:r w:rsidR="001C025E" w:rsidRPr="00AA65ED">
              <w:rPr>
                <w:rStyle w:val="Hyperlink"/>
                <w:noProof/>
              </w:rPr>
              <w:t>4.3.7 Data exclusion</w:t>
            </w:r>
            <w:r w:rsidR="001C025E">
              <w:rPr>
                <w:noProof/>
                <w:webHidden/>
              </w:rPr>
              <w:tab/>
            </w:r>
            <w:r w:rsidR="001C025E">
              <w:rPr>
                <w:noProof/>
                <w:webHidden/>
              </w:rPr>
              <w:fldChar w:fldCharType="begin"/>
            </w:r>
            <w:r w:rsidR="001C025E">
              <w:rPr>
                <w:noProof/>
                <w:webHidden/>
              </w:rPr>
              <w:instrText xml:space="preserve"> PAGEREF _Toc108310795 \h </w:instrText>
            </w:r>
            <w:r w:rsidR="001C025E">
              <w:rPr>
                <w:noProof/>
                <w:webHidden/>
              </w:rPr>
            </w:r>
            <w:r w:rsidR="001C025E">
              <w:rPr>
                <w:noProof/>
                <w:webHidden/>
              </w:rPr>
              <w:fldChar w:fldCharType="separate"/>
            </w:r>
            <w:r w:rsidR="001C025E">
              <w:rPr>
                <w:noProof/>
                <w:webHidden/>
              </w:rPr>
              <w:t>131</w:t>
            </w:r>
            <w:r w:rsidR="001C025E">
              <w:rPr>
                <w:noProof/>
                <w:webHidden/>
              </w:rPr>
              <w:fldChar w:fldCharType="end"/>
            </w:r>
          </w:hyperlink>
        </w:p>
        <w:p w14:paraId="14FD98B3" w14:textId="31A9D3DE"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796" w:history="1">
            <w:r w:rsidR="001C025E" w:rsidRPr="00AA65ED">
              <w:rPr>
                <w:rStyle w:val="Hyperlink"/>
                <w:noProof/>
              </w:rPr>
              <w:t>4.4 Results</w:t>
            </w:r>
            <w:r w:rsidR="001C025E">
              <w:rPr>
                <w:noProof/>
                <w:webHidden/>
              </w:rPr>
              <w:tab/>
            </w:r>
            <w:r w:rsidR="001C025E">
              <w:rPr>
                <w:noProof/>
                <w:webHidden/>
              </w:rPr>
              <w:fldChar w:fldCharType="begin"/>
            </w:r>
            <w:r w:rsidR="001C025E">
              <w:rPr>
                <w:noProof/>
                <w:webHidden/>
              </w:rPr>
              <w:instrText xml:space="preserve"> PAGEREF _Toc108310796 \h </w:instrText>
            </w:r>
            <w:r w:rsidR="001C025E">
              <w:rPr>
                <w:noProof/>
                <w:webHidden/>
              </w:rPr>
            </w:r>
            <w:r w:rsidR="001C025E">
              <w:rPr>
                <w:noProof/>
                <w:webHidden/>
              </w:rPr>
              <w:fldChar w:fldCharType="separate"/>
            </w:r>
            <w:r w:rsidR="001C025E">
              <w:rPr>
                <w:noProof/>
                <w:webHidden/>
              </w:rPr>
              <w:t>133</w:t>
            </w:r>
            <w:r w:rsidR="001C025E">
              <w:rPr>
                <w:noProof/>
                <w:webHidden/>
              </w:rPr>
              <w:fldChar w:fldCharType="end"/>
            </w:r>
          </w:hyperlink>
        </w:p>
        <w:p w14:paraId="5FD7C180" w14:textId="267942AD" w:rsidR="001C025E" w:rsidRDefault="00000000">
          <w:pPr>
            <w:pStyle w:val="TOC3"/>
            <w:tabs>
              <w:tab w:val="right" w:pos="8828"/>
            </w:tabs>
            <w:rPr>
              <w:rFonts w:eastAsiaTheme="minorEastAsia" w:cstheme="minorBidi"/>
              <w:noProof/>
              <w:color w:val="auto"/>
              <w:sz w:val="24"/>
              <w:szCs w:val="24"/>
              <w:lang w:val="en-TR" w:eastAsia="en-US"/>
            </w:rPr>
          </w:pPr>
          <w:hyperlink w:anchor="_Toc108310797" w:history="1">
            <w:r w:rsidR="001C025E" w:rsidRPr="00AA65ED">
              <w:rPr>
                <w:rStyle w:val="Hyperlink"/>
                <w:noProof/>
              </w:rPr>
              <w:t>4.4.1 Task 1: Learning Phase</w:t>
            </w:r>
            <w:r w:rsidR="001C025E">
              <w:rPr>
                <w:noProof/>
                <w:webHidden/>
              </w:rPr>
              <w:tab/>
            </w:r>
            <w:r w:rsidR="001C025E">
              <w:rPr>
                <w:noProof/>
                <w:webHidden/>
              </w:rPr>
              <w:fldChar w:fldCharType="begin"/>
            </w:r>
            <w:r w:rsidR="001C025E">
              <w:rPr>
                <w:noProof/>
                <w:webHidden/>
              </w:rPr>
              <w:instrText xml:space="preserve"> PAGEREF _Toc108310797 \h </w:instrText>
            </w:r>
            <w:r w:rsidR="001C025E">
              <w:rPr>
                <w:noProof/>
                <w:webHidden/>
              </w:rPr>
            </w:r>
            <w:r w:rsidR="001C025E">
              <w:rPr>
                <w:noProof/>
                <w:webHidden/>
              </w:rPr>
              <w:fldChar w:fldCharType="separate"/>
            </w:r>
            <w:r w:rsidR="001C025E">
              <w:rPr>
                <w:noProof/>
                <w:webHidden/>
              </w:rPr>
              <w:t>133</w:t>
            </w:r>
            <w:r w:rsidR="001C025E">
              <w:rPr>
                <w:noProof/>
                <w:webHidden/>
              </w:rPr>
              <w:fldChar w:fldCharType="end"/>
            </w:r>
          </w:hyperlink>
        </w:p>
        <w:p w14:paraId="7327275C" w14:textId="422A1C62" w:rsidR="001C025E" w:rsidRDefault="00000000">
          <w:pPr>
            <w:pStyle w:val="TOC3"/>
            <w:tabs>
              <w:tab w:val="right" w:pos="8828"/>
            </w:tabs>
            <w:rPr>
              <w:rFonts w:eastAsiaTheme="minorEastAsia" w:cstheme="minorBidi"/>
              <w:noProof/>
              <w:color w:val="auto"/>
              <w:sz w:val="24"/>
              <w:szCs w:val="24"/>
              <w:lang w:val="en-TR" w:eastAsia="en-US"/>
            </w:rPr>
          </w:pPr>
          <w:hyperlink w:anchor="_Toc108310798" w:history="1">
            <w:r w:rsidR="001C025E" w:rsidRPr="00AA65ED">
              <w:rPr>
                <w:rStyle w:val="Hyperlink"/>
                <w:noProof/>
              </w:rPr>
              <w:t>4.4.2 Task 2: Face Ratings</w:t>
            </w:r>
            <w:r w:rsidR="001C025E">
              <w:rPr>
                <w:noProof/>
                <w:webHidden/>
              </w:rPr>
              <w:tab/>
            </w:r>
            <w:r w:rsidR="001C025E">
              <w:rPr>
                <w:noProof/>
                <w:webHidden/>
              </w:rPr>
              <w:fldChar w:fldCharType="begin"/>
            </w:r>
            <w:r w:rsidR="001C025E">
              <w:rPr>
                <w:noProof/>
                <w:webHidden/>
              </w:rPr>
              <w:instrText xml:space="preserve"> PAGEREF _Toc108310798 \h </w:instrText>
            </w:r>
            <w:r w:rsidR="001C025E">
              <w:rPr>
                <w:noProof/>
                <w:webHidden/>
              </w:rPr>
            </w:r>
            <w:r w:rsidR="001C025E">
              <w:rPr>
                <w:noProof/>
                <w:webHidden/>
              </w:rPr>
              <w:fldChar w:fldCharType="separate"/>
            </w:r>
            <w:r w:rsidR="001C025E">
              <w:rPr>
                <w:noProof/>
                <w:webHidden/>
              </w:rPr>
              <w:t>137</w:t>
            </w:r>
            <w:r w:rsidR="001C025E">
              <w:rPr>
                <w:noProof/>
                <w:webHidden/>
              </w:rPr>
              <w:fldChar w:fldCharType="end"/>
            </w:r>
          </w:hyperlink>
        </w:p>
        <w:p w14:paraId="401DE8C9" w14:textId="136C6D96" w:rsidR="001C025E" w:rsidRDefault="00000000">
          <w:pPr>
            <w:pStyle w:val="TOC3"/>
            <w:tabs>
              <w:tab w:val="right" w:pos="8828"/>
            </w:tabs>
            <w:rPr>
              <w:rFonts w:eastAsiaTheme="minorEastAsia" w:cstheme="minorBidi"/>
              <w:noProof/>
              <w:color w:val="auto"/>
              <w:sz w:val="24"/>
              <w:szCs w:val="24"/>
              <w:lang w:val="en-TR" w:eastAsia="en-US"/>
            </w:rPr>
          </w:pPr>
          <w:hyperlink w:anchor="_Toc108310799" w:history="1">
            <w:r w:rsidR="001C025E" w:rsidRPr="00AA65ED">
              <w:rPr>
                <w:rStyle w:val="Hyperlink"/>
                <w:noProof/>
              </w:rPr>
              <w:t>4.4.3 Task 3: Testing Phase</w:t>
            </w:r>
            <w:r w:rsidR="001C025E">
              <w:rPr>
                <w:noProof/>
                <w:webHidden/>
              </w:rPr>
              <w:tab/>
            </w:r>
            <w:r w:rsidR="001C025E">
              <w:rPr>
                <w:noProof/>
                <w:webHidden/>
              </w:rPr>
              <w:fldChar w:fldCharType="begin"/>
            </w:r>
            <w:r w:rsidR="001C025E">
              <w:rPr>
                <w:noProof/>
                <w:webHidden/>
              </w:rPr>
              <w:instrText xml:space="preserve"> PAGEREF _Toc108310799 \h </w:instrText>
            </w:r>
            <w:r w:rsidR="001C025E">
              <w:rPr>
                <w:noProof/>
                <w:webHidden/>
              </w:rPr>
            </w:r>
            <w:r w:rsidR="001C025E">
              <w:rPr>
                <w:noProof/>
                <w:webHidden/>
              </w:rPr>
              <w:fldChar w:fldCharType="separate"/>
            </w:r>
            <w:r w:rsidR="001C025E">
              <w:rPr>
                <w:noProof/>
                <w:webHidden/>
              </w:rPr>
              <w:t>141</w:t>
            </w:r>
            <w:r w:rsidR="001C025E">
              <w:rPr>
                <w:noProof/>
                <w:webHidden/>
              </w:rPr>
              <w:fldChar w:fldCharType="end"/>
            </w:r>
          </w:hyperlink>
        </w:p>
        <w:p w14:paraId="5678444E" w14:textId="3B0CB806" w:rsidR="001C025E" w:rsidRDefault="00000000">
          <w:pPr>
            <w:pStyle w:val="TOC3"/>
            <w:tabs>
              <w:tab w:val="right" w:pos="8828"/>
            </w:tabs>
            <w:rPr>
              <w:rFonts w:eastAsiaTheme="minorEastAsia" w:cstheme="minorBidi"/>
              <w:noProof/>
              <w:color w:val="auto"/>
              <w:sz w:val="24"/>
              <w:szCs w:val="24"/>
              <w:lang w:val="en-TR" w:eastAsia="en-US"/>
            </w:rPr>
          </w:pPr>
          <w:hyperlink w:anchor="_Toc108310800" w:history="1">
            <w:r w:rsidR="001C025E" w:rsidRPr="00AA65ED">
              <w:rPr>
                <w:rStyle w:val="Hyperlink"/>
                <w:noProof/>
              </w:rPr>
              <w:t>4.4.4 Task</w:t>
            </w:r>
            <w:r w:rsidR="001C025E" w:rsidRPr="00AA65ED">
              <w:rPr>
                <w:rStyle w:val="Hyperlink"/>
                <w:i/>
                <w:noProof/>
              </w:rPr>
              <w:t xml:space="preserve"> </w:t>
            </w:r>
            <w:r w:rsidR="001C025E" w:rsidRPr="00AA65ED">
              <w:rPr>
                <w:rStyle w:val="Hyperlink"/>
                <w:noProof/>
              </w:rPr>
              <w:t>4:</w:t>
            </w:r>
            <w:r w:rsidR="001C025E" w:rsidRPr="00AA65ED">
              <w:rPr>
                <w:rStyle w:val="Hyperlink"/>
                <w:i/>
                <w:noProof/>
              </w:rPr>
              <w:t xml:space="preserve"> </w:t>
            </w:r>
            <w:r w:rsidR="001C025E" w:rsidRPr="00AA65ED">
              <w:rPr>
                <w:rStyle w:val="Hyperlink"/>
                <w:noProof/>
              </w:rPr>
              <w:t>Questionnaires</w:t>
            </w:r>
            <w:r w:rsidR="001C025E">
              <w:rPr>
                <w:noProof/>
                <w:webHidden/>
              </w:rPr>
              <w:tab/>
            </w:r>
            <w:r w:rsidR="001C025E">
              <w:rPr>
                <w:noProof/>
                <w:webHidden/>
              </w:rPr>
              <w:fldChar w:fldCharType="begin"/>
            </w:r>
            <w:r w:rsidR="001C025E">
              <w:rPr>
                <w:noProof/>
                <w:webHidden/>
              </w:rPr>
              <w:instrText xml:space="preserve"> PAGEREF _Toc108310800 \h </w:instrText>
            </w:r>
            <w:r w:rsidR="001C025E">
              <w:rPr>
                <w:noProof/>
                <w:webHidden/>
              </w:rPr>
            </w:r>
            <w:r w:rsidR="001C025E">
              <w:rPr>
                <w:noProof/>
                <w:webHidden/>
              </w:rPr>
              <w:fldChar w:fldCharType="separate"/>
            </w:r>
            <w:r w:rsidR="001C025E">
              <w:rPr>
                <w:noProof/>
                <w:webHidden/>
              </w:rPr>
              <w:t>144</w:t>
            </w:r>
            <w:r w:rsidR="001C025E">
              <w:rPr>
                <w:noProof/>
                <w:webHidden/>
              </w:rPr>
              <w:fldChar w:fldCharType="end"/>
            </w:r>
          </w:hyperlink>
        </w:p>
        <w:p w14:paraId="5EE143A5" w14:textId="63105C88"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801" w:history="1">
            <w:r w:rsidR="001C025E" w:rsidRPr="00AA65ED">
              <w:rPr>
                <w:rStyle w:val="Hyperlink"/>
                <w:noProof/>
              </w:rPr>
              <w:t>4.5 Discussion</w:t>
            </w:r>
            <w:r w:rsidR="001C025E">
              <w:rPr>
                <w:noProof/>
                <w:webHidden/>
              </w:rPr>
              <w:tab/>
            </w:r>
            <w:r w:rsidR="001C025E">
              <w:rPr>
                <w:noProof/>
                <w:webHidden/>
              </w:rPr>
              <w:fldChar w:fldCharType="begin"/>
            </w:r>
            <w:r w:rsidR="001C025E">
              <w:rPr>
                <w:noProof/>
                <w:webHidden/>
              </w:rPr>
              <w:instrText xml:space="preserve"> PAGEREF _Toc108310801 \h </w:instrText>
            </w:r>
            <w:r w:rsidR="001C025E">
              <w:rPr>
                <w:noProof/>
                <w:webHidden/>
              </w:rPr>
            </w:r>
            <w:r w:rsidR="001C025E">
              <w:rPr>
                <w:noProof/>
                <w:webHidden/>
              </w:rPr>
              <w:fldChar w:fldCharType="separate"/>
            </w:r>
            <w:r w:rsidR="001C025E">
              <w:rPr>
                <w:noProof/>
                <w:webHidden/>
              </w:rPr>
              <w:t>145</w:t>
            </w:r>
            <w:r w:rsidR="001C025E">
              <w:rPr>
                <w:noProof/>
                <w:webHidden/>
              </w:rPr>
              <w:fldChar w:fldCharType="end"/>
            </w:r>
          </w:hyperlink>
        </w:p>
        <w:p w14:paraId="02ECEC95" w14:textId="781A2765"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802" w:history="1">
            <w:r w:rsidR="001C025E" w:rsidRPr="00AA65ED">
              <w:rPr>
                <w:rStyle w:val="Hyperlink"/>
                <w:noProof/>
              </w:rPr>
              <w:t>4.6 Limitations and Future Directions</w:t>
            </w:r>
            <w:r w:rsidR="001C025E">
              <w:rPr>
                <w:noProof/>
                <w:webHidden/>
              </w:rPr>
              <w:tab/>
            </w:r>
            <w:r w:rsidR="001C025E">
              <w:rPr>
                <w:noProof/>
                <w:webHidden/>
              </w:rPr>
              <w:fldChar w:fldCharType="begin"/>
            </w:r>
            <w:r w:rsidR="001C025E">
              <w:rPr>
                <w:noProof/>
                <w:webHidden/>
              </w:rPr>
              <w:instrText xml:space="preserve"> PAGEREF _Toc108310802 \h </w:instrText>
            </w:r>
            <w:r w:rsidR="001C025E">
              <w:rPr>
                <w:noProof/>
                <w:webHidden/>
              </w:rPr>
            </w:r>
            <w:r w:rsidR="001C025E">
              <w:rPr>
                <w:noProof/>
                <w:webHidden/>
              </w:rPr>
              <w:fldChar w:fldCharType="separate"/>
            </w:r>
            <w:r w:rsidR="001C025E">
              <w:rPr>
                <w:noProof/>
                <w:webHidden/>
              </w:rPr>
              <w:t>149</w:t>
            </w:r>
            <w:r w:rsidR="001C025E">
              <w:rPr>
                <w:noProof/>
                <w:webHidden/>
              </w:rPr>
              <w:fldChar w:fldCharType="end"/>
            </w:r>
          </w:hyperlink>
        </w:p>
        <w:p w14:paraId="563CC939" w14:textId="158227B3" w:rsidR="001C025E" w:rsidRDefault="00000000">
          <w:pPr>
            <w:pStyle w:val="TOC1"/>
            <w:tabs>
              <w:tab w:val="right" w:pos="8828"/>
            </w:tabs>
            <w:rPr>
              <w:rFonts w:eastAsiaTheme="minorEastAsia" w:cstheme="minorBidi"/>
              <w:b w:val="0"/>
              <w:bCs w:val="0"/>
              <w:i w:val="0"/>
              <w:iCs w:val="0"/>
              <w:noProof/>
              <w:color w:val="auto"/>
              <w:lang w:val="en-TR" w:eastAsia="en-US"/>
            </w:rPr>
          </w:pPr>
          <w:hyperlink w:anchor="_Toc108310803" w:history="1">
            <w:r w:rsidR="001C025E" w:rsidRPr="00AA65ED">
              <w:rPr>
                <w:rStyle w:val="Hyperlink"/>
                <w:noProof/>
              </w:rPr>
              <w:t>Chapter 5. General Discussion</w:t>
            </w:r>
            <w:r w:rsidR="001C025E">
              <w:rPr>
                <w:noProof/>
                <w:webHidden/>
              </w:rPr>
              <w:tab/>
            </w:r>
            <w:r w:rsidR="001C025E">
              <w:rPr>
                <w:noProof/>
                <w:webHidden/>
              </w:rPr>
              <w:fldChar w:fldCharType="begin"/>
            </w:r>
            <w:r w:rsidR="001C025E">
              <w:rPr>
                <w:noProof/>
                <w:webHidden/>
              </w:rPr>
              <w:instrText xml:space="preserve"> PAGEREF _Toc108310803 \h </w:instrText>
            </w:r>
            <w:r w:rsidR="001C025E">
              <w:rPr>
                <w:noProof/>
                <w:webHidden/>
              </w:rPr>
            </w:r>
            <w:r w:rsidR="001C025E">
              <w:rPr>
                <w:noProof/>
                <w:webHidden/>
              </w:rPr>
              <w:fldChar w:fldCharType="separate"/>
            </w:r>
            <w:r w:rsidR="001C025E">
              <w:rPr>
                <w:noProof/>
                <w:webHidden/>
              </w:rPr>
              <w:t>150</w:t>
            </w:r>
            <w:r w:rsidR="001C025E">
              <w:rPr>
                <w:noProof/>
                <w:webHidden/>
              </w:rPr>
              <w:fldChar w:fldCharType="end"/>
            </w:r>
          </w:hyperlink>
        </w:p>
        <w:p w14:paraId="75007948" w14:textId="4EA83CAD"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804" w:history="1">
            <w:r w:rsidR="001C025E" w:rsidRPr="00AA65ED">
              <w:rPr>
                <w:rStyle w:val="Hyperlink"/>
                <w:noProof/>
              </w:rPr>
              <w:t>5.1 Summary of main findings</w:t>
            </w:r>
            <w:r w:rsidR="001C025E">
              <w:rPr>
                <w:noProof/>
                <w:webHidden/>
              </w:rPr>
              <w:tab/>
            </w:r>
            <w:r w:rsidR="001C025E">
              <w:rPr>
                <w:noProof/>
                <w:webHidden/>
              </w:rPr>
              <w:fldChar w:fldCharType="begin"/>
            </w:r>
            <w:r w:rsidR="001C025E">
              <w:rPr>
                <w:noProof/>
                <w:webHidden/>
              </w:rPr>
              <w:instrText xml:space="preserve"> PAGEREF _Toc108310804 \h </w:instrText>
            </w:r>
            <w:r w:rsidR="001C025E">
              <w:rPr>
                <w:noProof/>
                <w:webHidden/>
              </w:rPr>
            </w:r>
            <w:r w:rsidR="001C025E">
              <w:rPr>
                <w:noProof/>
                <w:webHidden/>
              </w:rPr>
              <w:fldChar w:fldCharType="separate"/>
            </w:r>
            <w:r w:rsidR="001C025E">
              <w:rPr>
                <w:noProof/>
                <w:webHidden/>
              </w:rPr>
              <w:t>150</w:t>
            </w:r>
            <w:r w:rsidR="001C025E">
              <w:rPr>
                <w:noProof/>
                <w:webHidden/>
              </w:rPr>
              <w:fldChar w:fldCharType="end"/>
            </w:r>
          </w:hyperlink>
        </w:p>
        <w:p w14:paraId="2E39AD61" w14:textId="270E534B" w:rsidR="001C025E" w:rsidRDefault="00000000">
          <w:pPr>
            <w:pStyle w:val="TOC3"/>
            <w:tabs>
              <w:tab w:val="right" w:pos="8828"/>
            </w:tabs>
            <w:rPr>
              <w:rFonts w:eastAsiaTheme="minorEastAsia" w:cstheme="minorBidi"/>
              <w:noProof/>
              <w:color w:val="auto"/>
              <w:sz w:val="24"/>
              <w:szCs w:val="24"/>
              <w:lang w:val="en-TR" w:eastAsia="en-US"/>
            </w:rPr>
          </w:pPr>
          <w:hyperlink w:anchor="_Toc108310805" w:history="1">
            <w:r w:rsidR="001C025E" w:rsidRPr="00AA65ED">
              <w:rPr>
                <w:rStyle w:val="Hyperlink"/>
                <w:noProof/>
              </w:rPr>
              <w:t>5.1.1 1. Theoretical explanation:</w:t>
            </w:r>
            <w:r w:rsidR="001C025E">
              <w:rPr>
                <w:noProof/>
                <w:webHidden/>
              </w:rPr>
              <w:tab/>
            </w:r>
            <w:r w:rsidR="001C025E">
              <w:rPr>
                <w:noProof/>
                <w:webHidden/>
              </w:rPr>
              <w:fldChar w:fldCharType="begin"/>
            </w:r>
            <w:r w:rsidR="001C025E">
              <w:rPr>
                <w:noProof/>
                <w:webHidden/>
              </w:rPr>
              <w:instrText xml:space="preserve"> PAGEREF _Toc108310805 \h </w:instrText>
            </w:r>
            <w:r w:rsidR="001C025E">
              <w:rPr>
                <w:noProof/>
                <w:webHidden/>
              </w:rPr>
            </w:r>
            <w:r w:rsidR="001C025E">
              <w:rPr>
                <w:noProof/>
                <w:webHidden/>
              </w:rPr>
              <w:fldChar w:fldCharType="separate"/>
            </w:r>
            <w:r w:rsidR="001C025E">
              <w:rPr>
                <w:noProof/>
                <w:webHidden/>
              </w:rPr>
              <w:t>150</w:t>
            </w:r>
            <w:r w:rsidR="001C025E">
              <w:rPr>
                <w:noProof/>
                <w:webHidden/>
              </w:rPr>
              <w:fldChar w:fldCharType="end"/>
            </w:r>
          </w:hyperlink>
        </w:p>
        <w:p w14:paraId="75BD1D34" w14:textId="5C1D613A" w:rsidR="001C025E" w:rsidRDefault="00000000">
          <w:pPr>
            <w:pStyle w:val="TOC3"/>
            <w:tabs>
              <w:tab w:val="right" w:pos="8828"/>
            </w:tabs>
            <w:rPr>
              <w:rFonts w:eastAsiaTheme="minorEastAsia" w:cstheme="minorBidi"/>
              <w:noProof/>
              <w:color w:val="auto"/>
              <w:sz w:val="24"/>
              <w:szCs w:val="24"/>
              <w:lang w:val="en-TR" w:eastAsia="en-US"/>
            </w:rPr>
          </w:pPr>
          <w:hyperlink w:anchor="_Toc108310806" w:history="1">
            <w:r w:rsidR="001C025E" w:rsidRPr="00AA65ED">
              <w:rPr>
                <w:rStyle w:val="Hyperlink"/>
                <w:noProof/>
              </w:rPr>
              <w:t>5.1.2 2. Experimental explanation:</w:t>
            </w:r>
            <w:r w:rsidR="001C025E">
              <w:rPr>
                <w:noProof/>
                <w:webHidden/>
              </w:rPr>
              <w:tab/>
            </w:r>
            <w:r w:rsidR="001C025E">
              <w:rPr>
                <w:noProof/>
                <w:webHidden/>
              </w:rPr>
              <w:fldChar w:fldCharType="begin"/>
            </w:r>
            <w:r w:rsidR="001C025E">
              <w:rPr>
                <w:noProof/>
                <w:webHidden/>
              </w:rPr>
              <w:instrText xml:space="preserve"> PAGEREF _Toc108310806 \h </w:instrText>
            </w:r>
            <w:r w:rsidR="001C025E">
              <w:rPr>
                <w:noProof/>
                <w:webHidden/>
              </w:rPr>
            </w:r>
            <w:r w:rsidR="001C025E">
              <w:rPr>
                <w:noProof/>
                <w:webHidden/>
              </w:rPr>
              <w:fldChar w:fldCharType="separate"/>
            </w:r>
            <w:r w:rsidR="001C025E">
              <w:rPr>
                <w:noProof/>
                <w:webHidden/>
              </w:rPr>
              <w:t>152</w:t>
            </w:r>
            <w:r w:rsidR="001C025E">
              <w:rPr>
                <w:noProof/>
                <w:webHidden/>
              </w:rPr>
              <w:fldChar w:fldCharType="end"/>
            </w:r>
          </w:hyperlink>
        </w:p>
        <w:p w14:paraId="73165238" w14:textId="2011CA5E"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807" w:history="1">
            <w:r w:rsidR="001C025E" w:rsidRPr="00AA65ED">
              <w:rPr>
                <w:rStyle w:val="Hyperlink"/>
                <w:noProof/>
              </w:rPr>
              <w:t>5.2 Reflection on the measurements</w:t>
            </w:r>
            <w:r w:rsidR="001C025E">
              <w:rPr>
                <w:noProof/>
                <w:webHidden/>
              </w:rPr>
              <w:tab/>
            </w:r>
            <w:r w:rsidR="001C025E">
              <w:rPr>
                <w:noProof/>
                <w:webHidden/>
              </w:rPr>
              <w:fldChar w:fldCharType="begin"/>
            </w:r>
            <w:r w:rsidR="001C025E">
              <w:rPr>
                <w:noProof/>
                <w:webHidden/>
              </w:rPr>
              <w:instrText xml:space="preserve"> PAGEREF _Toc108310807 \h </w:instrText>
            </w:r>
            <w:r w:rsidR="001C025E">
              <w:rPr>
                <w:noProof/>
                <w:webHidden/>
              </w:rPr>
            </w:r>
            <w:r w:rsidR="001C025E">
              <w:rPr>
                <w:noProof/>
                <w:webHidden/>
              </w:rPr>
              <w:fldChar w:fldCharType="separate"/>
            </w:r>
            <w:r w:rsidR="001C025E">
              <w:rPr>
                <w:noProof/>
                <w:webHidden/>
              </w:rPr>
              <w:t>156</w:t>
            </w:r>
            <w:r w:rsidR="001C025E">
              <w:rPr>
                <w:noProof/>
                <w:webHidden/>
              </w:rPr>
              <w:fldChar w:fldCharType="end"/>
            </w:r>
          </w:hyperlink>
        </w:p>
        <w:p w14:paraId="3A5D11C6" w14:textId="2A372CA9" w:rsidR="001C025E" w:rsidRDefault="00000000">
          <w:pPr>
            <w:pStyle w:val="TOC3"/>
            <w:tabs>
              <w:tab w:val="right" w:pos="8828"/>
            </w:tabs>
            <w:rPr>
              <w:rFonts w:eastAsiaTheme="minorEastAsia" w:cstheme="minorBidi"/>
              <w:noProof/>
              <w:color w:val="auto"/>
              <w:sz w:val="24"/>
              <w:szCs w:val="24"/>
              <w:lang w:val="en-TR" w:eastAsia="en-US"/>
            </w:rPr>
          </w:pPr>
          <w:hyperlink w:anchor="_Toc108310808" w:history="1">
            <w:r w:rsidR="001C025E" w:rsidRPr="00AA65ED">
              <w:rPr>
                <w:rStyle w:val="Hyperlink"/>
                <w:noProof/>
              </w:rPr>
              <w:t>5.2.1 SOA</w:t>
            </w:r>
            <w:r w:rsidR="001C025E">
              <w:rPr>
                <w:noProof/>
                <w:webHidden/>
              </w:rPr>
              <w:tab/>
            </w:r>
            <w:r w:rsidR="001C025E">
              <w:rPr>
                <w:noProof/>
                <w:webHidden/>
              </w:rPr>
              <w:fldChar w:fldCharType="begin"/>
            </w:r>
            <w:r w:rsidR="001C025E">
              <w:rPr>
                <w:noProof/>
                <w:webHidden/>
              </w:rPr>
              <w:instrText xml:space="preserve"> PAGEREF _Toc108310808 \h </w:instrText>
            </w:r>
            <w:r w:rsidR="001C025E">
              <w:rPr>
                <w:noProof/>
                <w:webHidden/>
              </w:rPr>
            </w:r>
            <w:r w:rsidR="001C025E">
              <w:rPr>
                <w:noProof/>
                <w:webHidden/>
              </w:rPr>
              <w:fldChar w:fldCharType="separate"/>
            </w:r>
            <w:r w:rsidR="001C025E">
              <w:rPr>
                <w:noProof/>
                <w:webHidden/>
              </w:rPr>
              <w:t>156</w:t>
            </w:r>
            <w:r w:rsidR="001C025E">
              <w:rPr>
                <w:noProof/>
                <w:webHidden/>
              </w:rPr>
              <w:fldChar w:fldCharType="end"/>
            </w:r>
          </w:hyperlink>
        </w:p>
        <w:p w14:paraId="1F7FB445" w14:textId="6B6C5C03" w:rsidR="001C025E" w:rsidRDefault="00000000">
          <w:pPr>
            <w:pStyle w:val="TOC3"/>
            <w:tabs>
              <w:tab w:val="right" w:pos="8828"/>
            </w:tabs>
            <w:rPr>
              <w:rFonts w:eastAsiaTheme="minorEastAsia" w:cstheme="minorBidi"/>
              <w:noProof/>
              <w:color w:val="auto"/>
              <w:sz w:val="24"/>
              <w:szCs w:val="24"/>
              <w:lang w:val="en-TR" w:eastAsia="en-US"/>
            </w:rPr>
          </w:pPr>
          <w:hyperlink w:anchor="_Toc108310809" w:history="1">
            <w:r w:rsidR="001C025E" w:rsidRPr="00AA65ED">
              <w:rPr>
                <w:rStyle w:val="Hyperlink"/>
                <w:noProof/>
              </w:rPr>
              <w:t>5.2.2 Faces</w:t>
            </w:r>
            <w:r w:rsidR="001C025E">
              <w:rPr>
                <w:noProof/>
                <w:webHidden/>
              </w:rPr>
              <w:tab/>
            </w:r>
            <w:r w:rsidR="001C025E">
              <w:rPr>
                <w:noProof/>
                <w:webHidden/>
              </w:rPr>
              <w:fldChar w:fldCharType="begin"/>
            </w:r>
            <w:r w:rsidR="001C025E">
              <w:rPr>
                <w:noProof/>
                <w:webHidden/>
              </w:rPr>
              <w:instrText xml:space="preserve"> PAGEREF _Toc108310809 \h </w:instrText>
            </w:r>
            <w:r w:rsidR="001C025E">
              <w:rPr>
                <w:noProof/>
                <w:webHidden/>
              </w:rPr>
            </w:r>
            <w:r w:rsidR="001C025E">
              <w:rPr>
                <w:noProof/>
                <w:webHidden/>
              </w:rPr>
              <w:fldChar w:fldCharType="separate"/>
            </w:r>
            <w:r w:rsidR="001C025E">
              <w:rPr>
                <w:noProof/>
                <w:webHidden/>
              </w:rPr>
              <w:t>158</w:t>
            </w:r>
            <w:r w:rsidR="001C025E">
              <w:rPr>
                <w:noProof/>
                <w:webHidden/>
              </w:rPr>
              <w:fldChar w:fldCharType="end"/>
            </w:r>
          </w:hyperlink>
        </w:p>
        <w:p w14:paraId="01337EA8" w14:textId="6965A28B" w:rsidR="001C025E" w:rsidRDefault="00000000">
          <w:pPr>
            <w:pStyle w:val="TOC3"/>
            <w:tabs>
              <w:tab w:val="right" w:pos="8828"/>
            </w:tabs>
            <w:rPr>
              <w:rFonts w:eastAsiaTheme="minorEastAsia" w:cstheme="minorBidi"/>
              <w:noProof/>
              <w:color w:val="auto"/>
              <w:sz w:val="24"/>
              <w:szCs w:val="24"/>
              <w:lang w:val="en-TR" w:eastAsia="en-US"/>
            </w:rPr>
          </w:pPr>
          <w:hyperlink w:anchor="_Toc108310810" w:history="1">
            <w:r w:rsidR="001C025E" w:rsidRPr="00AA65ED">
              <w:rPr>
                <w:rStyle w:val="Hyperlink"/>
                <w:noProof/>
              </w:rPr>
              <w:t>5.2.3 The gaze cueing task</w:t>
            </w:r>
            <w:r w:rsidR="001C025E">
              <w:rPr>
                <w:noProof/>
                <w:webHidden/>
              </w:rPr>
              <w:tab/>
            </w:r>
            <w:r w:rsidR="001C025E">
              <w:rPr>
                <w:noProof/>
                <w:webHidden/>
              </w:rPr>
              <w:fldChar w:fldCharType="begin"/>
            </w:r>
            <w:r w:rsidR="001C025E">
              <w:rPr>
                <w:noProof/>
                <w:webHidden/>
              </w:rPr>
              <w:instrText xml:space="preserve"> PAGEREF _Toc108310810 \h </w:instrText>
            </w:r>
            <w:r w:rsidR="001C025E">
              <w:rPr>
                <w:noProof/>
                <w:webHidden/>
              </w:rPr>
            </w:r>
            <w:r w:rsidR="001C025E">
              <w:rPr>
                <w:noProof/>
                <w:webHidden/>
              </w:rPr>
              <w:fldChar w:fldCharType="separate"/>
            </w:r>
            <w:r w:rsidR="001C025E">
              <w:rPr>
                <w:noProof/>
                <w:webHidden/>
              </w:rPr>
              <w:t>159</w:t>
            </w:r>
            <w:r w:rsidR="001C025E">
              <w:rPr>
                <w:noProof/>
                <w:webHidden/>
              </w:rPr>
              <w:fldChar w:fldCharType="end"/>
            </w:r>
          </w:hyperlink>
        </w:p>
        <w:p w14:paraId="2F8EA05D" w14:textId="683561AB" w:rsidR="001C025E" w:rsidRDefault="00000000">
          <w:pPr>
            <w:pStyle w:val="TOC3"/>
            <w:tabs>
              <w:tab w:val="right" w:pos="8828"/>
            </w:tabs>
            <w:rPr>
              <w:rFonts w:eastAsiaTheme="minorEastAsia" w:cstheme="minorBidi"/>
              <w:noProof/>
              <w:color w:val="auto"/>
              <w:sz w:val="24"/>
              <w:szCs w:val="24"/>
              <w:lang w:val="en-TR" w:eastAsia="en-US"/>
            </w:rPr>
          </w:pPr>
          <w:hyperlink w:anchor="_Toc108310811" w:history="1">
            <w:r w:rsidR="001C025E" w:rsidRPr="00AA65ED">
              <w:rPr>
                <w:rStyle w:val="Hyperlink"/>
                <w:noProof/>
              </w:rPr>
              <w:t>5.2.4 Computer versus real environment</w:t>
            </w:r>
            <w:r w:rsidR="001C025E">
              <w:rPr>
                <w:noProof/>
                <w:webHidden/>
              </w:rPr>
              <w:tab/>
            </w:r>
            <w:r w:rsidR="001C025E">
              <w:rPr>
                <w:noProof/>
                <w:webHidden/>
              </w:rPr>
              <w:fldChar w:fldCharType="begin"/>
            </w:r>
            <w:r w:rsidR="001C025E">
              <w:rPr>
                <w:noProof/>
                <w:webHidden/>
              </w:rPr>
              <w:instrText xml:space="preserve"> PAGEREF _Toc108310811 \h </w:instrText>
            </w:r>
            <w:r w:rsidR="001C025E">
              <w:rPr>
                <w:noProof/>
                <w:webHidden/>
              </w:rPr>
            </w:r>
            <w:r w:rsidR="001C025E">
              <w:rPr>
                <w:noProof/>
                <w:webHidden/>
              </w:rPr>
              <w:fldChar w:fldCharType="separate"/>
            </w:r>
            <w:r w:rsidR="001C025E">
              <w:rPr>
                <w:noProof/>
                <w:webHidden/>
              </w:rPr>
              <w:t>160</w:t>
            </w:r>
            <w:r w:rsidR="001C025E">
              <w:rPr>
                <w:noProof/>
                <w:webHidden/>
              </w:rPr>
              <w:fldChar w:fldCharType="end"/>
            </w:r>
          </w:hyperlink>
        </w:p>
        <w:p w14:paraId="0DAAE582" w14:textId="18B1EF32"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812" w:history="1">
            <w:r w:rsidR="001C025E" w:rsidRPr="00AA65ED">
              <w:rPr>
                <w:rStyle w:val="Hyperlink"/>
                <w:noProof/>
              </w:rPr>
              <w:t>5.3 Themes Emerging from the Thesis</w:t>
            </w:r>
            <w:r w:rsidR="001C025E">
              <w:rPr>
                <w:noProof/>
                <w:webHidden/>
              </w:rPr>
              <w:tab/>
            </w:r>
            <w:r w:rsidR="001C025E">
              <w:rPr>
                <w:noProof/>
                <w:webHidden/>
              </w:rPr>
              <w:fldChar w:fldCharType="begin"/>
            </w:r>
            <w:r w:rsidR="001C025E">
              <w:rPr>
                <w:noProof/>
                <w:webHidden/>
              </w:rPr>
              <w:instrText xml:space="preserve"> PAGEREF _Toc108310812 \h </w:instrText>
            </w:r>
            <w:r w:rsidR="001C025E">
              <w:rPr>
                <w:noProof/>
                <w:webHidden/>
              </w:rPr>
            </w:r>
            <w:r w:rsidR="001C025E">
              <w:rPr>
                <w:noProof/>
                <w:webHidden/>
              </w:rPr>
              <w:fldChar w:fldCharType="separate"/>
            </w:r>
            <w:r w:rsidR="001C025E">
              <w:rPr>
                <w:noProof/>
                <w:webHidden/>
              </w:rPr>
              <w:t>161</w:t>
            </w:r>
            <w:r w:rsidR="001C025E">
              <w:rPr>
                <w:noProof/>
                <w:webHidden/>
              </w:rPr>
              <w:fldChar w:fldCharType="end"/>
            </w:r>
          </w:hyperlink>
        </w:p>
        <w:p w14:paraId="70336369" w14:textId="70794E5C" w:rsidR="001C025E" w:rsidRDefault="00000000">
          <w:pPr>
            <w:pStyle w:val="TOC3"/>
            <w:tabs>
              <w:tab w:val="right" w:pos="8828"/>
            </w:tabs>
            <w:rPr>
              <w:rFonts w:eastAsiaTheme="minorEastAsia" w:cstheme="minorBidi"/>
              <w:noProof/>
              <w:color w:val="auto"/>
              <w:sz w:val="24"/>
              <w:szCs w:val="24"/>
              <w:lang w:val="en-TR" w:eastAsia="en-US"/>
            </w:rPr>
          </w:pPr>
          <w:hyperlink w:anchor="_Toc108310813" w:history="1">
            <w:r w:rsidR="001C025E" w:rsidRPr="00AA65ED">
              <w:rPr>
                <w:rStyle w:val="Hyperlink"/>
                <w:noProof/>
              </w:rPr>
              <w:t>5.3.1 Theme 1: Gender difference of the observer</w:t>
            </w:r>
            <w:r w:rsidR="001C025E">
              <w:rPr>
                <w:noProof/>
                <w:webHidden/>
              </w:rPr>
              <w:tab/>
            </w:r>
            <w:r w:rsidR="001C025E">
              <w:rPr>
                <w:noProof/>
                <w:webHidden/>
              </w:rPr>
              <w:fldChar w:fldCharType="begin"/>
            </w:r>
            <w:r w:rsidR="001C025E">
              <w:rPr>
                <w:noProof/>
                <w:webHidden/>
              </w:rPr>
              <w:instrText xml:space="preserve"> PAGEREF _Toc108310813 \h </w:instrText>
            </w:r>
            <w:r w:rsidR="001C025E">
              <w:rPr>
                <w:noProof/>
                <w:webHidden/>
              </w:rPr>
            </w:r>
            <w:r w:rsidR="001C025E">
              <w:rPr>
                <w:noProof/>
                <w:webHidden/>
              </w:rPr>
              <w:fldChar w:fldCharType="separate"/>
            </w:r>
            <w:r w:rsidR="001C025E">
              <w:rPr>
                <w:noProof/>
                <w:webHidden/>
              </w:rPr>
              <w:t>161</w:t>
            </w:r>
            <w:r w:rsidR="001C025E">
              <w:rPr>
                <w:noProof/>
                <w:webHidden/>
              </w:rPr>
              <w:fldChar w:fldCharType="end"/>
            </w:r>
          </w:hyperlink>
        </w:p>
        <w:p w14:paraId="7E7997A8" w14:textId="1448E175" w:rsidR="001C025E" w:rsidRDefault="00000000">
          <w:pPr>
            <w:pStyle w:val="TOC3"/>
            <w:tabs>
              <w:tab w:val="right" w:pos="8828"/>
            </w:tabs>
            <w:rPr>
              <w:rFonts w:eastAsiaTheme="minorEastAsia" w:cstheme="minorBidi"/>
              <w:noProof/>
              <w:color w:val="auto"/>
              <w:sz w:val="24"/>
              <w:szCs w:val="24"/>
              <w:lang w:val="en-TR" w:eastAsia="en-US"/>
            </w:rPr>
          </w:pPr>
          <w:hyperlink w:anchor="_Toc108310814" w:history="1">
            <w:r w:rsidR="001C025E" w:rsidRPr="00AA65ED">
              <w:rPr>
                <w:rStyle w:val="Hyperlink"/>
                <w:noProof/>
              </w:rPr>
              <w:t>5.3.2 Theme 2: Episodic learning</w:t>
            </w:r>
            <w:r w:rsidR="001C025E">
              <w:rPr>
                <w:noProof/>
                <w:webHidden/>
              </w:rPr>
              <w:tab/>
            </w:r>
            <w:r w:rsidR="001C025E">
              <w:rPr>
                <w:noProof/>
                <w:webHidden/>
              </w:rPr>
              <w:fldChar w:fldCharType="begin"/>
            </w:r>
            <w:r w:rsidR="001C025E">
              <w:rPr>
                <w:noProof/>
                <w:webHidden/>
              </w:rPr>
              <w:instrText xml:space="preserve"> PAGEREF _Toc108310814 \h </w:instrText>
            </w:r>
            <w:r w:rsidR="001C025E">
              <w:rPr>
                <w:noProof/>
                <w:webHidden/>
              </w:rPr>
            </w:r>
            <w:r w:rsidR="001C025E">
              <w:rPr>
                <w:noProof/>
                <w:webHidden/>
              </w:rPr>
              <w:fldChar w:fldCharType="separate"/>
            </w:r>
            <w:r w:rsidR="001C025E">
              <w:rPr>
                <w:noProof/>
                <w:webHidden/>
              </w:rPr>
              <w:t>162</w:t>
            </w:r>
            <w:r w:rsidR="001C025E">
              <w:rPr>
                <w:noProof/>
                <w:webHidden/>
              </w:rPr>
              <w:fldChar w:fldCharType="end"/>
            </w:r>
          </w:hyperlink>
        </w:p>
        <w:p w14:paraId="19BC0ED4" w14:textId="3F1B4755" w:rsidR="001C025E" w:rsidRDefault="00000000">
          <w:pPr>
            <w:pStyle w:val="TOC3"/>
            <w:tabs>
              <w:tab w:val="right" w:pos="8828"/>
            </w:tabs>
            <w:rPr>
              <w:rFonts w:eastAsiaTheme="minorEastAsia" w:cstheme="minorBidi"/>
              <w:noProof/>
              <w:color w:val="auto"/>
              <w:sz w:val="24"/>
              <w:szCs w:val="24"/>
              <w:lang w:val="en-TR" w:eastAsia="en-US"/>
            </w:rPr>
          </w:pPr>
          <w:hyperlink w:anchor="_Toc108310815" w:history="1">
            <w:r w:rsidR="001C025E" w:rsidRPr="00AA65ED">
              <w:rPr>
                <w:rStyle w:val="Hyperlink"/>
                <w:noProof/>
              </w:rPr>
              <w:t>5.3.3 Theme 3: Attention mechanisms</w:t>
            </w:r>
            <w:r w:rsidR="001C025E">
              <w:rPr>
                <w:noProof/>
                <w:webHidden/>
              </w:rPr>
              <w:tab/>
            </w:r>
            <w:r w:rsidR="001C025E">
              <w:rPr>
                <w:noProof/>
                <w:webHidden/>
              </w:rPr>
              <w:fldChar w:fldCharType="begin"/>
            </w:r>
            <w:r w:rsidR="001C025E">
              <w:rPr>
                <w:noProof/>
                <w:webHidden/>
              </w:rPr>
              <w:instrText xml:space="preserve"> PAGEREF _Toc108310815 \h </w:instrText>
            </w:r>
            <w:r w:rsidR="001C025E">
              <w:rPr>
                <w:noProof/>
                <w:webHidden/>
              </w:rPr>
            </w:r>
            <w:r w:rsidR="001C025E">
              <w:rPr>
                <w:noProof/>
                <w:webHidden/>
              </w:rPr>
              <w:fldChar w:fldCharType="separate"/>
            </w:r>
            <w:r w:rsidR="001C025E">
              <w:rPr>
                <w:noProof/>
                <w:webHidden/>
              </w:rPr>
              <w:t>163</w:t>
            </w:r>
            <w:r w:rsidR="001C025E">
              <w:rPr>
                <w:noProof/>
                <w:webHidden/>
              </w:rPr>
              <w:fldChar w:fldCharType="end"/>
            </w:r>
          </w:hyperlink>
        </w:p>
        <w:p w14:paraId="5E91AC29" w14:textId="5F162E1F" w:rsidR="001C025E" w:rsidRDefault="00000000">
          <w:pPr>
            <w:pStyle w:val="TOC3"/>
            <w:tabs>
              <w:tab w:val="right" w:pos="8828"/>
            </w:tabs>
            <w:rPr>
              <w:rFonts w:eastAsiaTheme="minorEastAsia" w:cstheme="minorBidi"/>
              <w:noProof/>
              <w:color w:val="auto"/>
              <w:sz w:val="24"/>
              <w:szCs w:val="24"/>
              <w:lang w:val="en-TR" w:eastAsia="en-US"/>
            </w:rPr>
          </w:pPr>
          <w:hyperlink w:anchor="_Toc108310816" w:history="1">
            <w:r w:rsidR="001C025E" w:rsidRPr="00AA65ED">
              <w:rPr>
                <w:rStyle w:val="Hyperlink"/>
                <w:noProof/>
              </w:rPr>
              <w:t>5.3.4 Theme 4: Implicit versus Explicit</w:t>
            </w:r>
            <w:r w:rsidR="001C025E">
              <w:rPr>
                <w:noProof/>
                <w:webHidden/>
              </w:rPr>
              <w:tab/>
            </w:r>
            <w:r w:rsidR="001C025E">
              <w:rPr>
                <w:noProof/>
                <w:webHidden/>
              </w:rPr>
              <w:fldChar w:fldCharType="begin"/>
            </w:r>
            <w:r w:rsidR="001C025E">
              <w:rPr>
                <w:noProof/>
                <w:webHidden/>
              </w:rPr>
              <w:instrText xml:space="preserve"> PAGEREF _Toc108310816 \h </w:instrText>
            </w:r>
            <w:r w:rsidR="001C025E">
              <w:rPr>
                <w:noProof/>
                <w:webHidden/>
              </w:rPr>
            </w:r>
            <w:r w:rsidR="001C025E">
              <w:rPr>
                <w:noProof/>
                <w:webHidden/>
              </w:rPr>
              <w:fldChar w:fldCharType="separate"/>
            </w:r>
            <w:r w:rsidR="001C025E">
              <w:rPr>
                <w:noProof/>
                <w:webHidden/>
              </w:rPr>
              <w:t>164</w:t>
            </w:r>
            <w:r w:rsidR="001C025E">
              <w:rPr>
                <w:noProof/>
                <w:webHidden/>
              </w:rPr>
              <w:fldChar w:fldCharType="end"/>
            </w:r>
          </w:hyperlink>
        </w:p>
        <w:p w14:paraId="1586963C" w14:textId="14969984"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817" w:history="1">
            <w:r w:rsidR="001C025E" w:rsidRPr="00AA65ED">
              <w:rPr>
                <w:rStyle w:val="Hyperlink"/>
                <w:noProof/>
              </w:rPr>
              <w:t>5.4 Implications</w:t>
            </w:r>
            <w:r w:rsidR="001C025E">
              <w:rPr>
                <w:noProof/>
                <w:webHidden/>
              </w:rPr>
              <w:tab/>
            </w:r>
            <w:r w:rsidR="001C025E">
              <w:rPr>
                <w:noProof/>
                <w:webHidden/>
              </w:rPr>
              <w:fldChar w:fldCharType="begin"/>
            </w:r>
            <w:r w:rsidR="001C025E">
              <w:rPr>
                <w:noProof/>
                <w:webHidden/>
              </w:rPr>
              <w:instrText xml:space="preserve"> PAGEREF _Toc108310817 \h </w:instrText>
            </w:r>
            <w:r w:rsidR="001C025E">
              <w:rPr>
                <w:noProof/>
                <w:webHidden/>
              </w:rPr>
            </w:r>
            <w:r w:rsidR="001C025E">
              <w:rPr>
                <w:noProof/>
                <w:webHidden/>
              </w:rPr>
              <w:fldChar w:fldCharType="separate"/>
            </w:r>
            <w:r w:rsidR="001C025E">
              <w:rPr>
                <w:noProof/>
                <w:webHidden/>
              </w:rPr>
              <w:t>164</w:t>
            </w:r>
            <w:r w:rsidR="001C025E">
              <w:rPr>
                <w:noProof/>
                <w:webHidden/>
              </w:rPr>
              <w:fldChar w:fldCharType="end"/>
            </w:r>
          </w:hyperlink>
        </w:p>
        <w:p w14:paraId="673E4081" w14:textId="47DD0AE8"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818" w:history="1">
            <w:r w:rsidR="001C025E" w:rsidRPr="00AA65ED">
              <w:rPr>
                <w:rStyle w:val="Hyperlink"/>
                <w:noProof/>
              </w:rPr>
              <w:t>5.5 Future Direction</w:t>
            </w:r>
            <w:r w:rsidR="001C025E">
              <w:rPr>
                <w:noProof/>
                <w:webHidden/>
              </w:rPr>
              <w:tab/>
            </w:r>
            <w:r w:rsidR="001C025E">
              <w:rPr>
                <w:noProof/>
                <w:webHidden/>
              </w:rPr>
              <w:fldChar w:fldCharType="begin"/>
            </w:r>
            <w:r w:rsidR="001C025E">
              <w:rPr>
                <w:noProof/>
                <w:webHidden/>
              </w:rPr>
              <w:instrText xml:space="preserve"> PAGEREF _Toc108310818 \h </w:instrText>
            </w:r>
            <w:r w:rsidR="001C025E">
              <w:rPr>
                <w:noProof/>
                <w:webHidden/>
              </w:rPr>
            </w:r>
            <w:r w:rsidR="001C025E">
              <w:rPr>
                <w:noProof/>
                <w:webHidden/>
              </w:rPr>
              <w:fldChar w:fldCharType="separate"/>
            </w:r>
            <w:r w:rsidR="001C025E">
              <w:rPr>
                <w:noProof/>
                <w:webHidden/>
              </w:rPr>
              <w:t>165</w:t>
            </w:r>
            <w:r w:rsidR="001C025E">
              <w:rPr>
                <w:noProof/>
                <w:webHidden/>
              </w:rPr>
              <w:fldChar w:fldCharType="end"/>
            </w:r>
          </w:hyperlink>
        </w:p>
        <w:p w14:paraId="5A3D845B" w14:textId="63CDF860" w:rsidR="001C025E" w:rsidRDefault="00000000">
          <w:pPr>
            <w:pStyle w:val="TOC2"/>
            <w:tabs>
              <w:tab w:val="right" w:pos="8828"/>
            </w:tabs>
            <w:rPr>
              <w:rFonts w:eastAsiaTheme="minorEastAsia" w:cstheme="minorBidi"/>
              <w:b w:val="0"/>
              <w:bCs w:val="0"/>
              <w:noProof/>
              <w:color w:val="auto"/>
              <w:sz w:val="24"/>
              <w:szCs w:val="24"/>
              <w:lang w:val="en-TR" w:eastAsia="en-US"/>
            </w:rPr>
          </w:pPr>
          <w:hyperlink w:anchor="_Toc108310819" w:history="1">
            <w:r w:rsidR="001C025E" w:rsidRPr="00AA65ED">
              <w:rPr>
                <w:rStyle w:val="Hyperlink"/>
                <w:noProof/>
              </w:rPr>
              <w:t>5.6 Conclusion</w:t>
            </w:r>
            <w:r w:rsidR="001C025E">
              <w:rPr>
                <w:noProof/>
                <w:webHidden/>
              </w:rPr>
              <w:tab/>
            </w:r>
            <w:r w:rsidR="001C025E">
              <w:rPr>
                <w:noProof/>
                <w:webHidden/>
              </w:rPr>
              <w:fldChar w:fldCharType="begin"/>
            </w:r>
            <w:r w:rsidR="001C025E">
              <w:rPr>
                <w:noProof/>
                <w:webHidden/>
              </w:rPr>
              <w:instrText xml:space="preserve"> PAGEREF _Toc108310819 \h </w:instrText>
            </w:r>
            <w:r w:rsidR="001C025E">
              <w:rPr>
                <w:noProof/>
                <w:webHidden/>
              </w:rPr>
            </w:r>
            <w:r w:rsidR="001C025E">
              <w:rPr>
                <w:noProof/>
                <w:webHidden/>
              </w:rPr>
              <w:fldChar w:fldCharType="separate"/>
            </w:r>
            <w:r w:rsidR="001C025E">
              <w:rPr>
                <w:noProof/>
                <w:webHidden/>
              </w:rPr>
              <w:t>167</w:t>
            </w:r>
            <w:r w:rsidR="001C025E">
              <w:rPr>
                <w:noProof/>
                <w:webHidden/>
              </w:rPr>
              <w:fldChar w:fldCharType="end"/>
            </w:r>
          </w:hyperlink>
        </w:p>
        <w:p w14:paraId="050B7BB1" w14:textId="3E688BF1" w:rsidR="001C025E" w:rsidRDefault="00000000">
          <w:pPr>
            <w:pStyle w:val="TOC1"/>
            <w:tabs>
              <w:tab w:val="right" w:pos="8828"/>
            </w:tabs>
            <w:rPr>
              <w:rFonts w:eastAsiaTheme="minorEastAsia" w:cstheme="minorBidi"/>
              <w:b w:val="0"/>
              <w:bCs w:val="0"/>
              <w:i w:val="0"/>
              <w:iCs w:val="0"/>
              <w:noProof/>
              <w:color w:val="auto"/>
              <w:lang w:val="en-TR" w:eastAsia="en-US"/>
            </w:rPr>
          </w:pPr>
          <w:hyperlink w:anchor="_Toc108310820" w:history="1">
            <w:r w:rsidR="001C025E" w:rsidRPr="00AA65ED">
              <w:rPr>
                <w:rStyle w:val="Hyperlink"/>
                <w:noProof/>
              </w:rPr>
              <w:t>References</w:t>
            </w:r>
            <w:r w:rsidR="001C025E">
              <w:rPr>
                <w:noProof/>
                <w:webHidden/>
              </w:rPr>
              <w:tab/>
            </w:r>
            <w:r w:rsidR="001C025E">
              <w:rPr>
                <w:noProof/>
                <w:webHidden/>
              </w:rPr>
              <w:fldChar w:fldCharType="begin"/>
            </w:r>
            <w:r w:rsidR="001C025E">
              <w:rPr>
                <w:noProof/>
                <w:webHidden/>
              </w:rPr>
              <w:instrText xml:space="preserve"> PAGEREF _Toc108310820 \h </w:instrText>
            </w:r>
            <w:r w:rsidR="001C025E">
              <w:rPr>
                <w:noProof/>
                <w:webHidden/>
              </w:rPr>
            </w:r>
            <w:r w:rsidR="001C025E">
              <w:rPr>
                <w:noProof/>
                <w:webHidden/>
              </w:rPr>
              <w:fldChar w:fldCharType="separate"/>
            </w:r>
            <w:r w:rsidR="001C025E">
              <w:rPr>
                <w:noProof/>
                <w:webHidden/>
              </w:rPr>
              <w:t>170</w:t>
            </w:r>
            <w:r w:rsidR="001C025E">
              <w:rPr>
                <w:noProof/>
                <w:webHidden/>
              </w:rPr>
              <w:fldChar w:fldCharType="end"/>
            </w:r>
          </w:hyperlink>
        </w:p>
        <w:p w14:paraId="6459DC58" w14:textId="2494E69B" w:rsidR="00072C99" w:rsidRPr="00BD14B0" w:rsidRDefault="00072C99">
          <w:r w:rsidRPr="00BD14B0">
            <w:rPr>
              <w:b/>
              <w:bCs/>
            </w:rPr>
            <w:fldChar w:fldCharType="end"/>
          </w:r>
        </w:p>
      </w:sdtContent>
    </w:sdt>
    <w:p w14:paraId="3C428AEC" w14:textId="77777777" w:rsidR="00072C99" w:rsidRPr="00BD14B0" w:rsidRDefault="00072C99" w:rsidP="00072C99">
      <w:pPr>
        <w:rPr>
          <w:lang w:eastAsia="en-US"/>
        </w:rPr>
      </w:pPr>
    </w:p>
    <w:p w14:paraId="7E6E9539" w14:textId="2A2C5AB6" w:rsidR="00E20102" w:rsidRPr="00BD14B0" w:rsidRDefault="00E20102" w:rsidP="00E20102">
      <w:pPr>
        <w:tabs>
          <w:tab w:val="clear" w:pos="851"/>
        </w:tabs>
        <w:spacing w:before="0" w:after="0" w:line="240" w:lineRule="auto"/>
      </w:pPr>
      <w:r w:rsidRPr="00BD14B0">
        <w:br w:type="page"/>
      </w:r>
    </w:p>
    <w:p w14:paraId="662DB906" w14:textId="77777777" w:rsidR="00A33304" w:rsidRPr="00BD14B0" w:rsidRDefault="00A33304" w:rsidP="00A33304">
      <w:pPr>
        <w:tabs>
          <w:tab w:val="clear" w:pos="851"/>
        </w:tabs>
        <w:spacing w:before="0" w:line="240" w:lineRule="auto"/>
        <w:rPr>
          <w:b/>
          <w:sz w:val="32"/>
          <w:szCs w:val="32"/>
        </w:rPr>
      </w:pPr>
      <w:r w:rsidRPr="00BD14B0">
        <w:rPr>
          <w:b/>
          <w:sz w:val="32"/>
          <w:szCs w:val="32"/>
        </w:rPr>
        <w:lastRenderedPageBreak/>
        <w:t>List of figures</w:t>
      </w:r>
    </w:p>
    <w:p w14:paraId="2C675FD6" w14:textId="7F4FA969" w:rsidR="00074CCD" w:rsidRPr="004F6EC1" w:rsidRDefault="00976B3E" w:rsidP="004F6EC1">
      <w:pPr>
        <w:rPr>
          <w:sz w:val="21"/>
        </w:rPr>
      </w:pPr>
      <w:r w:rsidRPr="00BD14B0">
        <w:rPr>
          <w:noProof/>
          <w:lang w:eastAsia="en-US"/>
        </w:rPr>
        <mc:AlternateContent>
          <mc:Choice Requires="wps">
            <w:drawing>
              <wp:anchor distT="0" distB="0" distL="114300" distR="114300" simplePos="0" relativeHeight="251673600" behindDoc="0" locked="0" layoutInCell="1" allowOverlap="1" wp14:anchorId="68E20F3F" wp14:editId="436FD002">
                <wp:simplePos x="0" y="0"/>
                <wp:positionH relativeFrom="column">
                  <wp:posOffset>0</wp:posOffset>
                </wp:positionH>
                <wp:positionV relativeFrom="paragraph">
                  <wp:posOffset>12065</wp:posOffset>
                </wp:positionV>
                <wp:extent cx="5762846" cy="0"/>
                <wp:effectExtent l="0" t="12700" r="15875" b="12700"/>
                <wp:wrapNone/>
                <wp:docPr id="7201" name="Straight Connector 7201"/>
                <wp:cNvGraphicFramePr/>
                <a:graphic xmlns:a="http://schemas.openxmlformats.org/drawingml/2006/main">
                  <a:graphicData uri="http://schemas.microsoft.com/office/word/2010/wordprocessingShape">
                    <wps:wsp>
                      <wps:cNvCnPr/>
                      <wps:spPr>
                        <a:xfrm>
                          <a:off x="0" y="0"/>
                          <a:ext cx="576284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0064BFB" id="Straight Connector 7201"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0,.95pt" to="453.75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" strokecolor="black [3200]" strokeweight="1.5pt">
                <v:stroke joinstyle="miter"/>
              </v:line>
            </w:pict>
          </mc:Fallback>
        </mc:AlternateContent>
      </w:r>
      <w:bookmarkStart w:id="0" w:name="_Hlk509970596"/>
    </w:p>
    <w:p w14:paraId="38CB70A0" w14:textId="5C17D187" w:rsidR="00A61BCB" w:rsidRPr="00BD14B0" w:rsidRDefault="00A61BCB" w:rsidP="00A61BCB">
      <w:pPr>
        <w:spacing w:line="276" w:lineRule="auto"/>
      </w:pPr>
      <w:r w:rsidRPr="00BD14B0">
        <w:t xml:space="preserve">Figure 1: Central cues combined with peripheral cue (1) and central cue (2) </w:t>
      </w:r>
      <w:r w:rsidR="000A33CF" w:rsidRPr="00BD14B0">
        <w:t>…………</w:t>
      </w:r>
      <w:r w:rsidR="000A33CF" w:rsidRPr="00BD14B0">
        <w:rPr>
          <w:b/>
          <w:bCs/>
        </w:rPr>
        <w:t>8</w:t>
      </w:r>
      <w:r w:rsidR="000A33CF" w:rsidRPr="00BD14B0">
        <w:t xml:space="preserve"> </w:t>
      </w:r>
    </w:p>
    <w:p w14:paraId="6FAC7640" w14:textId="05EC3DCB" w:rsidR="00A61BCB" w:rsidRPr="00BD14B0" w:rsidRDefault="00A61BCB" w:rsidP="00A61BCB">
      <w:pPr>
        <w:spacing w:line="276" w:lineRule="auto"/>
        <w:rPr>
          <w:b/>
        </w:rPr>
      </w:pPr>
      <w:r w:rsidRPr="00BD14B0">
        <w:t xml:space="preserve">Figure 2: </w:t>
      </w:r>
      <w:r w:rsidRPr="00BD14B0">
        <w:rPr>
          <w:bCs/>
        </w:rPr>
        <w:t>Extended system: Neural pathways related to eye gaze perception</w:t>
      </w:r>
      <w:r w:rsidRPr="00BD14B0">
        <w:t>)</w:t>
      </w:r>
      <w:r w:rsidR="000A33CF" w:rsidRPr="00BD14B0">
        <w:t xml:space="preserve"> ……….</w:t>
      </w:r>
      <w:r w:rsidR="000A33CF" w:rsidRPr="00BD14B0">
        <w:rPr>
          <w:b/>
          <w:bCs/>
        </w:rPr>
        <w:t>12</w:t>
      </w:r>
    </w:p>
    <w:p w14:paraId="46416412" w14:textId="68C562C2" w:rsidR="00A61BCB" w:rsidRPr="00BD14B0" w:rsidRDefault="00A61BCB" w:rsidP="00A61BCB">
      <w:pPr>
        <w:tabs>
          <w:tab w:val="clear" w:pos="851"/>
          <w:tab w:val="right" w:leader="dot" w:pos="8496"/>
        </w:tabs>
        <w:spacing w:line="276" w:lineRule="auto"/>
        <w:ind w:left="900" w:hanging="900"/>
      </w:pPr>
      <w:r w:rsidRPr="00BD14B0">
        <w:t>Figure 3: (A) Illustration of the fixation stimuli, can be perceived as a car or as a hat pulled down to the eyes depending on the given instructions. (B) The corrected RT for the stimuli which is appearing at the cued and non-cued locations and when perceived as Eyes or a Car</w:t>
      </w:r>
      <w:r w:rsidR="000A33CF" w:rsidRPr="00BD14B0">
        <w:t xml:space="preserve"> </w:t>
      </w:r>
      <w:r w:rsidR="000A33CF" w:rsidRPr="00BD14B0">
        <w:tab/>
      </w:r>
      <w:r w:rsidR="000A33CF" w:rsidRPr="00BD14B0">
        <w:rPr>
          <w:b/>
          <w:bCs/>
        </w:rPr>
        <w:t>1</w:t>
      </w:r>
      <w:r w:rsidR="00833EE7">
        <w:rPr>
          <w:b/>
          <w:bCs/>
        </w:rPr>
        <w:t>4</w:t>
      </w:r>
    </w:p>
    <w:p w14:paraId="55A8D2E4" w14:textId="50D45360" w:rsidR="00A61BCB" w:rsidRPr="00BD14B0" w:rsidRDefault="00A61BCB" w:rsidP="00A61BCB">
      <w:pPr>
        <w:tabs>
          <w:tab w:val="clear" w:pos="851"/>
          <w:tab w:val="right" w:leader="dot" w:pos="8496"/>
        </w:tabs>
        <w:spacing w:line="276" w:lineRule="auto"/>
        <w:ind w:left="900" w:hanging="900"/>
      </w:pPr>
      <w:r w:rsidRPr="00BD14B0">
        <w:t>Figure 4: The scores for each question by story type</w:t>
      </w:r>
      <w:r w:rsidR="000A33CF" w:rsidRPr="00BD14B0">
        <w:tab/>
      </w:r>
      <w:r w:rsidR="000A33CF" w:rsidRPr="00BD14B0">
        <w:rPr>
          <w:b/>
          <w:bCs/>
        </w:rPr>
        <w:t>5</w:t>
      </w:r>
      <w:r w:rsidR="00833EE7">
        <w:rPr>
          <w:b/>
          <w:bCs/>
        </w:rPr>
        <w:t>9</w:t>
      </w:r>
    </w:p>
    <w:p w14:paraId="48AF5230" w14:textId="25F69DE0" w:rsidR="00A61BCB" w:rsidRPr="00BD14B0" w:rsidRDefault="00A61BCB" w:rsidP="00A61BCB">
      <w:pPr>
        <w:spacing w:line="276" w:lineRule="auto"/>
      </w:pPr>
      <w:r w:rsidRPr="00BD14B0">
        <w:t xml:space="preserve">Figure 5: Example face stimuli with averted gaze and A) non-target, B) congruent target and C) incongruent target </w:t>
      </w:r>
      <w:r w:rsidR="000A33CF" w:rsidRPr="00BD14B0">
        <w:t>……………………………………………………………...</w:t>
      </w:r>
      <w:r w:rsidR="000A33CF" w:rsidRPr="00BD14B0">
        <w:rPr>
          <w:b/>
          <w:bCs/>
        </w:rPr>
        <w:t>6</w:t>
      </w:r>
      <w:r w:rsidR="00833EE7">
        <w:rPr>
          <w:b/>
          <w:bCs/>
        </w:rPr>
        <w:t>4</w:t>
      </w:r>
    </w:p>
    <w:p w14:paraId="08F0E1B8" w14:textId="27376074" w:rsidR="00A61BCB" w:rsidRPr="00BD14B0" w:rsidRDefault="00A61BCB" w:rsidP="00A61BCB">
      <w:pPr>
        <w:spacing w:line="276" w:lineRule="auto"/>
      </w:pPr>
      <w:r w:rsidRPr="00BD14B0">
        <w:t>Figure 6: A congruent version of the gaze cueing trial with a left side eye gaze and target location</w:t>
      </w:r>
      <w:r w:rsidR="000A33CF" w:rsidRPr="00BD14B0">
        <w:t xml:space="preserve"> </w:t>
      </w:r>
      <w:r w:rsidR="000A33CF" w:rsidRPr="00BD14B0">
        <w:tab/>
        <w:t>…………………………………………………………………………</w:t>
      </w:r>
      <w:proofErr w:type="gramStart"/>
      <w:r w:rsidR="000A33CF" w:rsidRPr="00BD14B0">
        <w:t>….…</w:t>
      </w:r>
      <w:r w:rsidR="006E12C6" w:rsidRPr="00BD14B0">
        <w:t>.</w:t>
      </w:r>
      <w:r w:rsidR="000A33CF" w:rsidRPr="00BD14B0">
        <w:t>.</w:t>
      </w:r>
      <w:proofErr w:type="gramEnd"/>
      <w:r w:rsidR="00833EE7">
        <w:rPr>
          <w:b/>
          <w:bCs/>
        </w:rPr>
        <w:t>71</w:t>
      </w:r>
    </w:p>
    <w:p w14:paraId="1C100100" w14:textId="3BE050AA" w:rsidR="00A61BCB" w:rsidRPr="00BD14B0" w:rsidRDefault="00A61BCB" w:rsidP="00A61BCB">
      <w:pPr>
        <w:tabs>
          <w:tab w:val="clear" w:pos="851"/>
          <w:tab w:val="right" w:leader="dot" w:pos="8496"/>
        </w:tabs>
        <w:spacing w:line="276" w:lineRule="auto"/>
        <w:ind w:left="900" w:hanging="900"/>
      </w:pPr>
      <w:r w:rsidRPr="00BD14B0">
        <w:t>Figure 7: Mean reaction times (</w:t>
      </w:r>
      <w:proofErr w:type="spellStart"/>
      <w:r w:rsidR="00BC5A70" w:rsidRPr="00BD14B0">
        <w:t>m</w:t>
      </w:r>
      <w:r w:rsidRPr="00BD14B0">
        <w:t>s</w:t>
      </w:r>
      <w:proofErr w:type="spellEnd"/>
      <w:r w:rsidRPr="00BD14B0">
        <w:t xml:space="preserve">) and standard errors for University of Sheffield student story and </w:t>
      </w:r>
      <w:proofErr w:type="gramStart"/>
      <w:r w:rsidRPr="00BD14B0">
        <w:t>Non-Student</w:t>
      </w:r>
      <w:proofErr w:type="gramEnd"/>
      <w:r w:rsidRPr="00BD14B0">
        <w:t xml:space="preserve"> story by congruency type (congruent/incongruent)</w:t>
      </w:r>
      <w:r w:rsidR="000A33CF" w:rsidRPr="00BD14B0">
        <w:tab/>
      </w:r>
    </w:p>
    <w:p w14:paraId="2D031679" w14:textId="3372BE08" w:rsidR="00A61BCB" w:rsidRPr="00BD14B0" w:rsidRDefault="00A61BCB" w:rsidP="00A61BCB">
      <w:pPr>
        <w:spacing w:line="276" w:lineRule="auto"/>
      </w:pPr>
      <w:r w:rsidRPr="00BD14B0">
        <w:t xml:space="preserve">Figure 8: Mean response to group belonging question scored 1 (not at all) to 6 (extremely) by story type </w:t>
      </w:r>
      <w:r w:rsidR="000A33CF" w:rsidRPr="00BD14B0">
        <w:t>…………………………………………………………………………</w:t>
      </w:r>
      <w:r w:rsidR="006E12C6" w:rsidRPr="00BD14B0">
        <w:t>…</w:t>
      </w:r>
      <w:r w:rsidR="000A33CF" w:rsidRPr="00BD14B0">
        <w:rPr>
          <w:b/>
          <w:bCs/>
        </w:rPr>
        <w:t>7</w:t>
      </w:r>
      <w:r w:rsidR="00833EE7">
        <w:rPr>
          <w:b/>
          <w:bCs/>
        </w:rPr>
        <w:t>2</w:t>
      </w:r>
    </w:p>
    <w:p w14:paraId="6A81DFA5" w14:textId="60ED8C21" w:rsidR="00A61BCB" w:rsidRPr="00BD14B0" w:rsidRDefault="00A61BCB" w:rsidP="00A61BCB">
      <w:pPr>
        <w:spacing w:line="276" w:lineRule="auto"/>
        <w:rPr>
          <w:lang w:eastAsia="en-US"/>
        </w:rPr>
      </w:pPr>
      <w:r w:rsidRPr="00BD14B0">
        <w:t xml:space="preserve">Figure 9: </w:t>
      </w:r>
      <w:r w:rsidRPr="00BD14B0">
        <w:rPr>
          <w:lang w:eastAsia="en-US"/>
        </w:rPr>
        <w:t>Example of face gazing left and right side of the screen - congruent trials</w:t>
      </w:r>
      <w:r w:rsidR="006E12C6" w:rsidRPr="00BD14B0">
        <w:rPr>
          <w:lang w:eastAsia="en-US"/>
        </w:rPr>
        <w:t xml:space="preserve"> ….</w:t>
      </w:r>
      <w:r w:rsidR="006E12C6" w:rsidRPr="00BD14B0">
        <w:rPr>
          <w:b/>
          <w:bCs/>
          <w:lang w:eastAsia="en-US"/>
        </w:rPr>
        <w:t>9</w:t>
      </w:r>
      <w:r w:rsidR="00833EE7">
        <w:rPr>
          <w:b/>
          <w:bCs/>
          <w:lang w:eastAsia="en-US"/>
        </w:rPr>
        <w:t>2</w:t>
      </w:r>
    </w:p>
    <w:p w14:paraId="136DA5EB" w14:textId="049B7692" w:rsidR="00A61BCB" w:rsidRPr="00BD14B0" w:rsidRDefault="00A61BCB" w:rsidP="00A61BCB">
      <w:pPr>
        <w:spacing w:line="276" w:lineRule="auto"/>
        <w:rPr>
          <w:lang w:eastAsia="en-US"/>
        </w:rPr>
      </w:pPr>
      <w:r w:rsidRPr="00BD14B0">
        <w:t xml:space="preserve">Figure 10: </w:t>
      </w:r>
      <w:r w:rsidRPr="00BD14B0">
        <w:rPr>
          <w:rFonts w:eastAsia="Calibri"/>
          <w:lang w:eastAsia="en-US"/>
        </w:rPr>
        <w:t>Gaze cueing effect divided by gender of the gazer, reaction time scores and standard error mean were presented</w:t>
      </w:r>
      <w:r w:rsidR="006E12C6" w:rsidRPr="00BD14B0">
        <w:rPr>
          <w:rFonts w:eastAsia="Calibri"/>
          <w:lang w:eastAsia="en-US"/>
        </w:rPr>
        <w:t xml:space="preserve"> ……………………………………………………</w:t>
      </w:r>
      <w:r w:rsidR="006E12C6" w:rsidRPr="00BD14B0">
        <w:rPr>
          <w:rFonts w:eastAsia="Calibri"/>
          <w:b/>
          <w:bCs/>
          <w:lang w:eastAsia="en-US"/>
        </w:rPr>
        <w:t>9</w:t>
      </w:r>
      <w:r w:rsidR="00833EE7">
        <w:rPr>
          <w:rFonts w:eastAsia="Calibri"/>
          <w:b/>
          <w:bCs/>
          <w:lang w:eastAsia="en-US"/>
        </w:rPr>
        <w:t>9</w:t>
      </w:r>
    </w:p>
    <w:p w14:paraId="7082EE34" w14:textId="35F9393C" w:rsidR="00A61BCB" w:rsidRPr="00BD14B0" w:rsidRDefault="00A61BCB" w:rsidP="00A61BCB">
      <w:pPr>
        <w:tabs>
          <w:tab w:val="clear" w:pos="851"/>
          <w:tab w:val="right" w:leader="dot" w:pos="8496"/>
        </w:tabs>
        <w:spacing w:line="276" w:lineRule="auto"/>
        <w:ind w:left="900" w:hanging="900"/>
      </w:pPr>
      <w:r w:rsidRPr="00BD14B0">
        <w:t xml:space="preserve">Figure 11: </w:t>
      </w:r>
      <w:r w:rsidRPr="00BD14B0">
        <w:rPr>
          <w:lang w:eastAsia="en-US"/>
        </w:rPr>
        <w:t>Gaze cueing effect by gender of the participant, gender of the gazer and social power</w:t>
      </w:r>
      <w:r w:rsidR="006E12C6" w:rsidRPr="00BD14B0">
        <w:rPr>
          <w:lang w:eastAsia="en-US"/>
        </w:rPr>
        <w:tab/>
      </w:r>
      <w:r w:rsidR="00833EE7">
        <w:rPr>
          <w:b/>
          <w:bCs/>
          <w:lang w:eastAsia="en-US"/>
        </w:rPr>
        <w:t>100</w:t>
      </w:r>
    </w:p>
    <w:p w14:paraId="69F925D1" w14:textId="02BEFD99" w:rsidR="00A61BCB" w:rsidRPr="00BD14B0" w:rsidRDefault="00A61BCB" w:rsidP="00A61BCB">
      <w:pPr>
        <w:spacing w:line="276" w:lineRule="auto"/>
        <w:rPr>
          <w:rFonts w:eastAsia="Calibri"/>
          <w:lang w:eastAsia="en-US"/>
        </w:rPr>
      </w:pPr>
      <w:r w:rsidRPr="00BD14B0">
        <w:t xml:space="preserve">Figure 12: </w:t>
      </w:r>
      <w:r w:rsidRPr="00BD14B0">
        <w:rPr>
          <w:rFonts w:eastAsia="Calibri"/>
          <w:lang w:eastAsia="en-US"/>
        </w:rPr>
        <w:t>Example of 9 versions of a face with all angles</w:t>
      </w:r>
      <w:r w:rsidR="006E12C6" w:rsidRPr="00BD14B0">
        <w:rPr>
          <w:rFonts w:eastAsia="Calibri"/>
          <w:lang w:eastAsia="en-US"/>
        </w:rPr>
        <w:t xml:space="preserve"> …………………………...</w:t>
      </w:r>
      <w:r w:rsidR="006E12C6" w:rsidRPr="00BD14B0">
        <w:rPr>
          <w:rFonts w:eastAsia="Calibri"/>
          <w:b/>
          <w:bCs/>
          <w:lang w:eastAsia="en-US"/>
        </w:rPr>
        <w:t>12</w:t>
      </w:r>
      <w:r w:rsidR="004F6EC1">
        <w:rPr>
          <w:rFonts w:eastAsia="Calibri"/>
          <w:b/>
          <w:bCs/>
          <w:lang w:eastAsia="en-US"/>
        </w:rPr>
        <w:t>3</w:t>
      </w:r>
    </w:p>
    <w:p w14:paraId="162CB68B" w14:textId="2E3980E4" w:rsidR="00A61BCB" w:rsidRPr="00BD14B0" w:rsidRDefault="00A61BCB" w:rsidP="00A61BCB">
      <w:pPr>
        <w:tabs>
          <w:tab w:val="clear" w:pos="851"/>
          <w:tab w:val="right" w:leader="dot" w:pos="8496"/>
        </w:tabs>
        <w:spacing w:line="276" w:lineRule="auto"/>
        <w:ind w:left="900" w:hanging="900"/>
      </w:pPr>
      <w:r w:rsidRPr="00BD14B0">
        <w:t xml:space="preserve">Figure 13: </w:t>
      </w:r>
      <w:r w:rsidRPr="00BD14B0">
        <w:rPr>
          <w:rFonts w:eastAsia="Calibri"/>
          <w:lang w:eastAsia="en-US"/>
        </w:rPr>
        <w:t>Example of leader versus follower trials, congruent versus incongruent versions and head turns</w:t>
      </w:r>
      <w:r w:rsidR="006E12C6" w:rsidRPr="00BD14B0">
        <w:rPr>
          <w:rFonts w:eastAsia="Calibri"/>
          <w:lang w:eastAsia="en-US"/>
        </w:rPr>
        <w:t xml:space="preserve"> </w:t>
      </w:r>
      <w:r w:rsidR="006E12C6" w:rsidRPr="00BD14B0">
        <w:rPr>
          <w:rFonts w:eastAsia="Calibri"/>
          <w:lang w:eastAsia="en-US"/>
        </w:rPr>
        <w:tab/>
      </w:r>
      <w:r w:rsidR="006E12C6" w:rsidRPr="00BD14B0">
        <w:rPr>
          <w:rFonts w:eastAsia="Calibri"/>
          <w:b/>
          <w:bCs/>
          <w:lang w:eastAsia="en-US"/>
        </w:rPr>
        <w:t>12</w:t>
      </w:r>
      <w:r w:rsidR="004F6EC1">
        <w:rPr>
          <w:rFonts w:eastAsia="Calibri"/>
          <w:b/>
          <w:bCs/>
          <w:lang w:eastAsia="en-US"/>
        </w:rPr>
        <w:t>6</w:t>
      </w:r>
    </w:p>
    <w:p w14:paraId="4C63B063" w14:textId="31424AC8" w:rsidR="00A61BCB" w:rsidRPr="00BD14B0" w:rsidRDefault="00A61BCB" w:rsidP="00A61BCB">
      <w:pPr>
        <w:tabs>
          <w:tab w:val="clear" w:pos="851"/>
          <w:tab w:val="right" w:leader="dot" w:pos="8496"/>
        </w:tabs>
        <w:spacing w:line="276" w:lineRule="auto"/>
        <w:ind w:left="900" w:hanging="900"/>
      </w:pPr>
      <w:r w:rsidRPr="00BD14B0">
        <w:t xml:space="preserve">Figure 14: </w:t>
      </w:r>
      <w:r w:rsidRPr="00BD14B0">
        <w:rPr>
          <w:rFonts w:eastAsia="Calibri"/>
          <w:lang w:eastAsia="en-US"/>
        </w:rPr>
        <w:t>Example of face rating trials with leader or follower faces</w:t>
      </w:r>
      <w:r w:rsidR="006E12C6" w:rsidRPr="00BD14B0">
        <w:rPr>
          <w:rFonts w:eastAsia="Calibri"/>
          <w:lang w:eastAsia="en-US"/>
        </w:rPr>
        <w:tab/>
      </w:r>
      <w:r w:rsidR="006E12C6" w:rsidRPr="00BD14B0">
        <w:rPr>
          <w:rFonts w:eastAsia="Calibri"/>
          <w:b/>
          <w:bCs/>
          <w:lang w:eastAsia="en-US"/>
        </w:rPr>
        <w:t>12</w:t>
      </w:r>
      <w:r w:rsidR="004F6EC1">
        <w:rPr>
          <w:rFonts w:eastAsia="Calibri"/>
          <w:b/>
          <w:bCs/>
          <w:lang w:eastAsia="en-US"/>
        </w:rPr>
        <w:t>8</w:t>
      </w:r>
    </w:p>
    <w:p w14:paraId="2772A128" w14:textId="26DED0F3" w:rsidR="00A61BCB" w:rsidRPr="00BD14B0" w:rsidRDefault="00A61BCB" w:rsidP="00A61BCB">
      <w:pPr>
        <w:spacing w:line="276" w:lineRule="auto"/>
      </w:pPr>
      <w:r w:rsidRPr="00BD14B0">
        <w:t xml:space="preserve">Figure 15:  </w:t>
      </w:r>
      <w:r w:rsidRPr="00BD14B0">
        <w:rPr>
          <w:rFonts w:eastAsia="Calibri"/>
          <w:lang w:eastAsia="en-US"/>
        </w:rPr>
        <w:t>Gaze cueing task: An example of congruent and incongruent trials</w:t>
      </w:r>
      <w:r w:rsidR="006E12C6" w:rsidRPr="00BD14B0">
        <w:rPr>
          <w:rFonts w:eastAsia="Calibri"/>
          <w:lang w:eastAsia="en-US"/>
        </w:rPr>
        <w:t>……...</w:t>
      </w:r>
      <w:r w:rsidR="006E12C6" w:rsidRPr="00BD14B0">
        <w:rPr>
          <w:rFonts w:eastAsia="Calibri"/>
          <w:b/>
          <w:bCs/>
          <w:lang w:eastAsia="en-US"/>
        </w:rPr>
        <w:t>12</w:t>
      </w:r>
      <w:r w:rsidR="004F6EC1">
        <w:rPr>
          <w:rFonts w:eastAsia="Calibri"/>
          <w:b/>
          <w:bCs/>
          <w:lang w:eastAsia="en-US"/>
        </w:rPr>
        <w:t>9</w:t>
      </w:r>
    </w:p>
    <w:p w14:paraId="739D312D" w14:textId="7FE99C11" w:rsidR="00A61BCB" w:rsidRPr="00BD14B0" w:rsidRDefault="00A61BCB" w:rsidP="00A61BCB">
      <w:pPr>
        <w:tabs>
          <w:tab w:val="clear" w:pos="851"/>
          <w:tab w:val="right" w:leader="dot" w:pos="8496"/>
        </w:tabs>
        <w:spacing w:line="276" w:lineRule="auto"/>
        <w:ind w:left="900" w:hanging="900"/>
      </w:pPr>
      <w:r w:rsidRPr="00BD14B0">
        <w:t xml:space="preserve">Figure 16 Crossover interaction between leadership (leader X follower) and gender of gazer (male X female) </w:t>
      </w:r>
      <w:r w:rsidR="006E12C6" w:rsidRPr="00BD14B0">
        <w:tab/>
      </w:r>
      <w:r w:rsidR="006E12C6" w:rsidRPr="00BD14B0">
        <w:rPr>
          <w:b/>
          <w:bCs/>
        </w:rPr>
        <w:t>13</w:t>
      </w:r>
      <w:r w:rsidR="004F6EC1">
        <w:rPr>
          <w:b/>
          <w:bCs/>
        </w:rPr>
        <w:t>4</w:t>
      </w:r>
    </w:p>
    <w:p w14:paraId="70748DA5" w14:textId="39A0E66C" w:rsidR="00A61BCB" w:rsidRPr="00BD14B0" w:rsidRDefault="00A61BCB" w:rsidP="00A61BCB">
      <w:pPr>
        <w:tabs>
          <w:tab w:val="clear" w:pos="851"/>
          <w:tab w:val="right" w:leader="dot" w:pos="8496"/>
        </w:tabs>
        <w:spacing w:line="276" w:lineRule="auto"/>
        <w:ind w:left="900" w:hanging="900"/>
      </w:pPr>
      <w:r w:rsidRPr="00BD14B0">
        <w:t>Figure 17: Learning phase: Mean total accuracy response of leader and follower conditions divided by gender</w:t>
      </w:r>
      <w:r w:rsidR="006E12C6" w:rsidRPr="00BD14B0">
        <w:tab/>
      </w:r>
      <w:r w:rsidR="006E12C6" w:rsidRPr="00BD14B0">
        <w:rPr>
          <w:b/>
          <w:bCs/>
        </w:rPr>
        <w:t>13</w:t>
      </w:r>
      <w:r w:rsidR="004F6EC1">
        <w:rPr>
          <w:b/>
          <w:bCs/>
        </w:rPr>
        <w:t>5</w:t>
      </w:r>
    </w:p>
    <w:p w14:paraId="426AEE59" w14:textId="6393ADEC" w:rsidR="00A61BCB" w:rsidRPr="00BD14B0" w:rsidRDefault="00A61BCB" w:rsidP="00A61BCB">
      <w:pPr>
        <w:spacing w:line="276" w:lineRule="auto"/>
      </w:pPr>
      <w:r w:rsidRPr="00BD14B0">
        <w:t>Figure 18: Learning phase- The accuracy rating of male and female gazers divided by leadership</w:t>
      </w:r>
      <w:r w:rsidR="006E12C6" w:rsidRPr="00BD14B0">
        <w:t>……………………………………………………………………………...</w:t>
      </w:r>
      <w:r w:rsidR="006E12C6" w:rsidRPr="00BD14B0">
        <w:rPr>
          <w:b/>
          <w:bCs/>
        </w:rPr>
        <w:t>13</w:t>
      </w:r>
      <w:r w:rsidR="004F6EC1">
        <w:rPr>
          <w:b/>
          <w:bCs/>
        </w:rPr>
        <w:t>6</w:t>
      </w:r>
    </w:p>
    <w:p w14:paraId="1B46AC78" w14:textId="6F680772" w:rsidR="00A61BCB" w:rsidRPr="00BD14B0" w:rsidRDefault="00A61BCB" w:rsidP="00A61BCB">
      <w:pPr>
        <w:tabs>
          <w:tab w:val="clear" w:pos="851"/>
          <w:tab w:val="right" w:leader="dot" w:pos="8496"/>
        </w:tabs>
        <w:spacing w:line="276" w:lineRule="auto"/>
        <w:ind w:left="900" w:hanging="900"/>
      </w:pPr>
      <w:r w:rsidRPr="00BD14B0">
        <w:lastRenderedPageBreak/>
        <w:t>Figure 19 Learning phase- The accuracy rating of male and female gazers divided by leadership</w:t>
      </w:r>
      <w:r w:rsidR="006E12C6" w:rsidRPr="00BD14B0">
        <w:tab/>
      </w:r>
      <w:r w:rsidR="006E12C6" w:rsidRPr="00BD14B0">
        <w:rPr>
          <w:b/>
          <w:bCs/>
        </w:rPr>
        <w:t>13</w:t>
      </w:r>
      <w:r w:rsidR="004F6EC1">
        <w:rPr>
          <w:b/>
          <w:bCs/>
        </w:rPr>
        <w:t>7</w:t>
      </w:r>
    </w:p>
    <w:p w14:paraId="01532CCC" w14:textId="6B5EDB43" w:rsidR="00A61BCB" w:rsidRPr="00BD14B0" w:rsidRDefault="00A61BCB" w:rsidP="00A61BCB">
      <w:pPr>
        <w:tabs>
          <w:tab w:val="clear" w:pos="851"/>
          <w:tab w:val="right" w:leader="dot" w:pos="8496"/>
        </w:tabs>
        <w:spacing w:line="276" w:lineRule="auto"/>
        <w:ind w:left="900" w:hanging="900"/>
      </w:pPr>
      <w:r w:rsidRPr="00BD14B0">
        <w:t>Figure 20: Learning phase- Overall average face rating scores divided by adjective and gender of gazer</w:t>
      </w:r>
      <w:r w:rsidR="006E12C6" w:rsidRPr="00BD14B0">
        <w:tab/>
      </w:r>
      <w:r w:rsidR="006E12C6" w:rsidRPr="00BD14B0">
        <w:rPr>
          <w:b/>
          <w:bCs/>
        </w:rPr>
        <w:t>13</w:t>
      </w:r>
      <w:r w:rsidR="004F6EC1">
        <w:rPr>
          <w:b/>
          <w:bCs/>
        </w:rPr>
        <w:t>9</w:t>
      </w:r>
    </w:p>
    <w:p w14:paraId="6EEA403C" w14:textId="45EE8EF6" w:rsidR="00A61BCB" w:rsidRPr="00BD14B0" w:rsidRDefault="00A61BCB" w:rsidP="00A61BCB">
      <w:pPr>
        <w:tabs>
          <w:tab w:val="clear" w:pos="851"/>
          <w:tab w:val="right" w:leader="dot" w:pos="8496"/>
        </w:tabs>
        <w:spacing w:line="276" w:lineRule="auto"/>
      </w:pPr>
      <w:r w:rsidRPr="00BD14B0">
        <w:t>Figure 21: Overall mean reaction times and error bars divided by adjective</w:t>
      </w:r>
      <w:r w:rsidR="006E12C6" w:rsidRPr="00BD14B0">
        <w:tab/>
      </w:r>
      <w:r w:rsidR="006E12C6" w:rsidRPr="00BD14B0">
        <w:rPr>
          <w:b/>
          <w:bCs/>
        </w:rPr>
        <w:t>1</w:t>
      </w:r>
      <w:r w:rsidR="004F6EC1">
        <w:rPr>
          <w:b/>
          <w:bCs/>
        </w:rPr>
        <w:t>40</w:t>
      </w:r>
    </w:p>
    <w:p w14:paraId="2BAF2B7F" w14:textId="6107B2A6" w:rsidR="00A61BCB" w:rsidRPr="00BD14B0" w:rsidRDefault="00A61BCB" w:rsidP="00A61BCB">
      <w:pPr>
        <w:tabs>
          <w:tab w:val="clear" w:pos="851"/>
          <w:tab w:val="right" w:leader="dot" w:pos="8496"/>
        </w:tabs>
        <w:spacing w:line="276" w:lineRule="auto"/>
      </w:pPr>
      <w:r w:rsidRPr="00BD14B0">
        <w:t>Figure 22: Overall mean RT divided by gender and adjective.</w:t>
      </w:r>
      <w:r w:rsidR="006E12C6" w:rsidRPr="00BD14B0">
        <w:tab/>
      </w:r>
      <w:r w:rsidR="006E12C6" w:rsidRPr="00BD14B0">
        <w:rPr>
          <w:b/>
          <w:bCs/>
        </w:rPr>
        <w:t>1</w:t>
      </w:r>
      <w:r w:rsidR="004F6EC1">
        <w:rPr>
          <w:b/>
          <w:bCs/>
        </w:rPr>
        <w:t>41</w:t>
      </w:r>
    </w:p>
    <w:p w14:paraId="7A246327" w14:textId="3E4D604D" w:rsidR="00A61BCB" w:rsidRPr="00BD14B0" w:rsidRDefault="00A61BCB" w:rsidP="00A61BCB">
      <w:pPr>
        <w:tabs>
          <w:tab w:val="clear" w:pos="851"/>
          <w:tab w:val="right" w:leader="dot" w:pos="8496"/>
        </w:tabs>
        <w:spacing w:line="276" w:lineRule="auto"/>
        <w:ind w:left="900" w:hanging="900"/>
      </w:pPr>
      <w:r w:rsidRPr="00BD14B0">
        <w:t>Figure 23: Overall mean accuracy ratings divided by gender congruency and leadership</w:t>
      </w:r>
      <w:r w:rsidR="00030FBA" w:rsidRPr="00BD14B0">
        <w:tab/>
      </w:r>
      <w:r w:rsidR="00030FBA" w:rsidRPr="00BD14B0">
        <w:tab/>
      </w:r>
      <w:r w:rsidR="00030FBA" w:rsidRPr="00BD14B0">
        <w:rPr>
          <w:b/>
          <w:bCs/>
        </w:rPr>
        <w:t>14</w:t>
      </w:r>
      <w:r w:rsidR="004F6EC1">
        <w:rPr>
          <w:b/>
          <w:bCs/>
        </w:rPr>
        <w:t>3</w:t>
      </w:r>
    </w:p>
    <w:bookmarkEnd w:id="0"/>
    <w:p w14:paraId="736764EF" w14:textId="609811B2" w:rsidR="00E20102" w:rsidRPr="00BD14B0" w:rsidRDefault="00E20102" w:rsidP="00E20102">
      <w:pPr>
        <w:tabs>
          <w:tab w:val="clear" w:pos="851"/>
        </w:tabs>
        <w:spacing w:before="0" w:line="240" w:lineRule="auto"/>
        <w:rPr>
          <w:b/>
          <w:sz w:val="32"/>
          <w:szCs w:val="32"/>
        </w:rPr>
      </w:pPr>
    </w:p>
    <w:p w14:paraId="44EBB0A8" w14:textId="20E4F274" w:rsidR="00E20102" w:rsidRPr="00BD14B0" w:rsidRDefault="00E20102" w:rsidP="00E20102">
      <w:pPr>
        <w:tabs>
          <w:tab w:val="clear" w:pos="851"/>
        </w:tabs>
        <w:spacing w:before="0" w:line="240" w:lineRule="auto"/>
        <w:rPr>
          <w:b/>
          <w:sz w:val="32"/>
          <w:szCs w:val="32"/>
        </w:rPr>
      </w:pPr>
    </w:p>
    <w:p w14:paraId="0A360251" w14:textId="55039D6A" w:rsidR="00E20102" w:rsidRPr="00BD14B0" w:rsidRDefault="00E20102" w:rsidP="00E20102">
      <w:pPr>
        <w:tabs>
          <w:tab w:val="clear" w:pos="851"/>
        </w:tabs>
        <w:spacing w:before="0" w:line="240" w:lineRule="auto"/>
        <w:rPr>
          <w:b/>
          <w:sz w:val="32"/>
          <w:szCs w:val="32"/>
        </w:rPr>
      </w:pPr>
    </w:p>
    <w:p w14:paraId="0ECA643D" w14:textId="13A33430" w:rsidR="00E20102" w:rsidRPr="00BD14B0" w:rsidRDefault="00E20102" w:rsidP="00E20102">
      <w:pPr>
        <w:tabs>
          <w:tab w:val="clear" w:pos="851"/>
        </w:tabs>
        <w:spacing w:before="0" w:line="240" w:lineRule="auto"/>
        <w:rPr>
          <w:b/>
          <w:sz w:val="32"/>
          <w:szCs w:val="32"/>
        </w:rPr>
      </w:pPr>
    </w:p>
    <w:p w14:paraId="7715E3E2" w14:textId="1DD45C20" w:rsidR="00A61BCB" w:rsidRPr="00BD14B0" w:rsidRDefault="00A61BCB" w:rsidP="00E20102">
      <w:pPr>
        <w:tabs>
          <w:tab w:val="clear" w:pos="851"/>
        </w:tabs>
        <w:spacing w:before="0" w:line="240" w:lineRule="auto"/>
        <w:rPr>
          <w:b/>
          <w:sz w:val="32"/>
          <w:szCs w:val="32"/>
        </w:rPr>
      </w:pPr>
    </w:p>
    <w:p w14:paraId="76DEF763" w14:textId="62C580E8" w:rsidR="00A61BCB" w:rsidRPr="00BD14B0" w:rsidRDefault="00A61BCB" w:rsidP="00E20102">
      <w:pPr>
        <w:tabs>
          <w:tab w:val="clear" w:pos="851"/>
        </w:tabs>
        <w:spacing w:before="0" w:line="240" w:lineRule="auto"/>
        <w:rPr>
          <w:b/>
          <w:sz w:val="32"/>
          <w:szCs w:val="32"/>
        </w:rPr>
      </w:pPr>
    </w:p>
    <w:p w14:paraId="4DEF2C82" w14:textId="6B8B441A" w:rsidR="00A61BCB" w:rsidRPr="00BD14B0" w:rsidRDefault="00A61BCB" w:rsidP="00E20102">
      <w:pPr>
        <w:tabs>
          <w:tab w:val="clear" w:pos="851"/>
        </w:tabs>
        <w:spacing w:before="0" w:line="240" w:lineRule="auto"/>
        <w:rPr>
          <w:b/>
          <w:sz w:val="32"/>
          <w:szCs w:val="32"/>
        </w:rPr>
      </w:pPr>
    </w:p>
    <w:p w14:paraId="58C08138" w14:textId="6C2A3136" w:rsidR="00A61BCB" w:rsidRPr="00BD14B0" w:rsidRDefault="00A61BCB" w:rsidP="00E20102">
      <w:pPr>
        <w:tabs>
          <w:tab w:val="clear" w:pos="851"/>
        </w:tabs>
        <w:spacing w:before="0" w:line="240" w:lineRule="auto"/>
        <w:rPr>
          <w:b/>
          <w:sz w:val="32"/>
          <w:szCs w:val="32"/>
        </w:rPr>
      </w:pPr>
    </w:p>
    <w:p w14:paraId="29AEC5BA" w14:textId="30E433A2" w:rsidR="00A61BCB" w:rsidRPr="00BD14B0" w:rsidRDefault="00A61BCB" w:rsidP="00E20102">
      <w:pPr>
        <w:tabs>
          <w:tab w:val="clear" w:pos="851"/>
        </w:tabs>
        <w:spacing w:before="0" w:line="240" w:lineRule="auto"/>
        <w:rPr>
          <w:b/>
          <w:sz w:val="32"/>
          <w:szCs w:val="32"/>
        </w:rPr>
      </w:pPr>
    </w:p>
    <w:p w14:paraId="3D9D9722" w14:textId="61BBBF8D" w:rsidR="00A61BCB" w:rsidRPr="00BD14B0" w:rsidRDefault="00A61BCB" w:rsidP="00E20102">
      <w:pPr>
        <w:tabs>
          <w:tab w:val="clear" w:pos="851"/>
        </w:tabs>
        <w:spacing w:before="0" w:line="240" w:lineRule="auto"/>
        <w:rPr>
          <w:b/>
          <w:sz w:val="32"/>
          <w:szCs w:val="32"/>
        </w:rPr>
      </w:pPr>
    </w:p>
    <w:p w14:paraId="7AB07A02" w14:textId="5F458D3F" w:rsidR="00A61BCB" w:rsidRPr="00BD14B0" w:rsidRDefault="00A61BCB" w:rsidP="00E20102">
      <w:pPr>
        <w:tabs>
          <w:tab w:val="clear" w:pos="851"/>
        </w:tabs>
        <w:spacing w:before="0" w:line="240" w:lineRule="auto"/>
        <w:rPr>
          <w:b/>
          <w:sz w:val="32"/>
          <w:szCs w:val="32"/>
        </w:rPr>
      </w:pPr>
    </w:p>
    <w:p w14:paraId="0A4880BB" w14:textId="1A7F4D6B" w:rsidR="00A61BCB" w:rsidRPr="00BD14B0" w:rsidRDefault="00A61BCB" w:rsidP="00E20102">
      <w:pPr>
        <w:tabs>
          <w:tab w:val="clear" w:pos="851"/>
        </w:tabs>
        <w:spacing w:before="0" w:line="240" w:lineRule="auto"/>
        <w:rPr>
          <w:b/>
          <w:sz w:val="32"/>
          <w:szCs w:val="32"/>
        </w:rPr>
      </w:pPr>
    </w:p>
    <w:p w14:paraId="20C9C04A" w14:textId="76E2961F" w:rsidR="00A61BCB" w:rsidRPr="00BD14B0" w:rsidRDefault="00A61BCB" w:rsidP="00E20102">
      <w:pPr>
        <w:tabs>
          <w:tab w:val="clear" w:pos="851"/>
        </w:tabs>
        <w:spacing w:before="0" w:line="240" w:lineRule="auto"/>
        <w:rPr>
          <w:b/>
          <w:sz w:val="32"/>
          <w:szCs w:val="32"/>
        </w:rPr>
      </w:pPr>
    </w:p>
    <w:p w14:paraId="6DA608C9" w14:textId="15AC0C05" w:rsidR="00A61BCB" w:rsidRPr="00BD14B0" w:rsidRDefault="00A61BCB" w:rsidP="00E20102">
      <w:pPr>
        <w:tabs>
          <w:tab w:val="clear" w:pos="851"/>
        </w:tabs>
        <w:spacing w:before="0" w:line="240" w:lineRule="auto"/>
        <w:rPr>
          <w:b/>
          <w:sz w:val="32"/>
          <w:szCs w:val="32"/>
        </w:rPr>
      </w:pPr>
    </w:p>
    <w:p w14:paraId="0455DF2E" w14:textId="6D5FA680" w:rsidR="00A61BCB" w:rsidRPr="00BD14B0" w:rsidRDefault="00A61BCB" w:rsidP="00E20102">
      <w:pPr>
        <w:tabs>
          <w:tab w:val="clear" w:pos="851"/>
        </w:tabs>
        <w:spacing w:before="0" w:line="240" w:lineRule="auto"/>
        <w:rPr>
          <w:b/>
          <w:sz w:val="32"/>
          <w:szCs w:val="32"/>
        </w:rPr>
      </w:pPr>
    </w:p>
    <w:p w14:paraId="09835E96" w14:textId="0FD04B21" w:rsidR="00A61BCB" w:rsidRPr="00BD14B0" w:rsidRDefault="00A61BCB" w:rsidP="00E20102">
      <w:pPr>
        <w:tabs>
          <w:tab w:val="clear" w:pos="851"/>
        </w:tabs>
        <w:spacing w:before="0" w:line="240" w:lineRule="auto"/>
        <w:rPr>
          <w:b/>
          <w:sz w:val="32"/>
          <w:szCs w:val="32"/>
        </w:rPr>
      </w:pPr>
    </w:p>
    <w:p w14:paraId="44DEF207" w14:textId="37F7C37F" w:rsidR="00A61BCB" w:rsidRPr="00BD14B0" w:rsidRDefault="00A61BCB" w:rsidP="00E20102">
      <w:pPr>
        <w:tabs>
          <w:tab w:val="clear" w:pos="851"/>
        </w:tabs>
        <w:spacing w:before="0" w:line="240" w:lineRule="auto"/>
        <w:rPr>
          <w:b/>
          <w:sz w:val="32"/>
          <w:szCs w:val="32"/>
        </w:rPr>
      </w:pPr>
    </w:p>
    <w:p w14:paraId="3713A785" w14:textId="080E5EA1" w:rsidR="00A61BCB" w:rsidRPr="00BD14B0" w:rsidRDefault="00A61BCB" w:rsidP="00E20102">
      <w:pPr>
        <w:tabs>
          <w:tab w:val="clear" w:pos="851"/>
        </w:tabs>
        <w:spacing w:before="0" w:line="240" w:lineRule="auto"/>
        <w:rPr>
          <w:b/>
          <w:sz w:val="32"/>
          <w:szCs w:val="32"/>
        </w:rPr>
      </w:pPr>
    </w:p>
    <w:p w14:paraId="2A50FAA4" w14:textId="77777777" w:rsidR="00A61BCB" w:rsidRPr="00BD14B0" w:rsidRDefault="00A61BCB" w:rsidP="00E20102">
      <w:pPr>
        <w:tabs>
          <w:tab w:val="clear" w:pos="851"/>
        </w:tabs>
        <w:spacing w:before="0" w:line="240" w:lineRule="auto"/>
        <w:rPr>
          <w:b/>
          <w:sz w:val="32"/>
          <w:szCs w:val="32"/>
        </w:rPr>
      </w:pPr>
    </w:p>
    <w:p w14:paraId="25BB8C01" w14:textId="26F6D22A" w:rsidR="00E20102" w:rsidRPr="00BD14B0" w:rsidRDefault="00E20102" w:rsidP="00E20102">
      <w:pPr>
        <w:tabs>
          <w:tab w:val="clear" w:pos="851"/>
        </w:tabs>
        <w:spacing w:before="0" w:line="240" w:lineRule="auto"/>
        <w:rPr>
          <w:b/>
          <w:sz w:val="32"/>
          <w:szCs w:val="32"/>
        </w:rPr>
      </w:pPr>
    </w:p>
    <w:p w14:paraId="12279DC7" w14:textId="77777777" w:rsidR="00A33304" w:rsidRPr="00BD14B0" w:rsidRDefault="00A33304" w:rsidP="00A33304">
      <w:pPr>
        <w:outlineLvl w:val="0"/>
        <w:rPr>
          <w:b/>
          <w:sz w:val="32"/>
          <w:szCs w:val="32"/>
        </w:rPr>
      </w:pPr>
      <w:bookmarkStart w:id="1" w:name="_Toc108310746"/>
      <w:r w:rsidRPr="00BD14B0">
        <w:rPr>
          <w:b/>
          <w:sz w:val="32"/>
          <w:szCs w:val="32"/>
        </w:rPr>
        <w:lastRenderedPageBreak/>
        <w:t>List of Tables</w:t>
      </w:r>
      <w:bookmarkEnd w:id="1"/>
    </w:p>
    <w:p w14:paraId="14DC9058" w14:textId="0668E004" w:rsidR="00A33304" w:rsidRPr="00BD14B0" w:rsidRDefault="00976B3E" w:rsidP="00A33304">
      <w:pPr>
        <w:rPr>
          <w:sz w:val="21"/>
        </w:rPr>
      </w:pPr>
      <w:r w:rsidRPr="00BD14B0">
        <w:rPr>
          <w:noProof/>
          <w:lang w:eastAsia="en-US"/>
        </w:rPr>
        <mc:AlternateContent>
          <mc:Choice Requires="wps">
            <w:drawing>
              <wp:anchor distT="0" distB="0" distL="114300" distR="114300" simplePos="0" relativeHeight="251671552" behindDoc="0" locked="0" layoutInCell="1" allowOverlap="1" wp14:anchorId="0066BB18" wp14:editId="00243FB2">
                <wp:simplePos x="0" y="0"/>
                <wp:positionH relativeFrom="column">
                  <wp:posOffset>0</wp:posOffset>
                </wp:positionH>
                <wp:positionV relativeFrom="paragraph">
                  <wp:posOffset>12065</wp:posOffset>
                </wp:positionV>
                <wp:extent cx="5762846" cy="0"/>
                <wp:effectExtent l="0" t="12700" r="15875" b="12700"/>
                <wp:wrapNone/>
                <wp:docPr id="7200" name="Straight Connector 7200"/>
                <wp:cNvGraphicFramePr/>
                <a:graphic xmlns:a="http://schemas.openxmlformats.org/drawingml/2006/main">
                  <a:graphicData uri="http://schemas.microsoft.com/office/word/2010/wordprocessingShape">
                    <wps:wsp>
                      <wps:cNvCnPr/>
                      <wps:spPr>
                        <a:xfrm>
                          <a:off x="0" y="0"/>
                          <a:ext cx="576284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1A1D863" id="Straight Connector 7200"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0,.95pt" to="453.75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" strokecolor="black [3200]" strokeweight="1.5pt">
                <v:stroke joinstyle="miter"/>
              </v:line>
            </w:pict>
          </mc:Fallback>
        </mc:AlternateContent>
      </w:r>
    </w:p>
    <w:p w14:paraId="600F1448" w14:textId="2B7BF3BE" w:rsidR="00224DA0" w:rsidRDefault="00224DA0" w:rsidP="001F28C7">
      <w:pPr>
        <w:tabs>
          <w:tab w:val="clear" w:pos="851"/>
          <w:tab w:val="right" w:leader="dot" w:pos="8496"/>
        </w:tabs>
        <w:spacing w:line="276" w:lineRule="auto"/>
        <w:ind w:left="900" w:hanging="900"/>
      </w:pPr>
    </w:p>
    <w:p w14:paraId="7FB3A294" w14:textId="12C37C1A" w:rsidR="001F28C7" w:rsidRPr="00BD14B0" w:rsidRDefault="001F28C7" w:rsidP="001F28C7">
      <w:pPr>
        <w:tabs>
          <w:tab w:val="clear" w:pos="851"/>
          <w:tab w:val="right" w:leader="dot" w:pos="8496"/>
        </w:tabs>
        <w:spacing w:line="276" w:lineRule="auto"/>
        <w:ind w:left="900" w:hanging="900"/>
        <w:rPr>
          <w:u w:val="single"/>
        </w:rPr>
      </w:pPr>
      <w:r w:rsidRPr="00BD14B0">
        <w:t>Table 1: Stimulus counterbalancing table: Photos in order in each version of the online questionnaire</w:t>
      </w:r>
      <w:r w:rsidR="00030FBA" w:rsidRPr="00BD14B0">
        <w:tab/>
      </w:r>
      <w:r w:rsidR="00030FBA" w:rsidRPr="00BD14B0">
        <w:rPr>
          <w:b/>
          <w:bCs/>
        </w:rPr>
        <w:t>5</w:t>
      </w:r>
      <w:r w:rsidR="004F6EC1">
        <w:rPr>
          <w:b/>
          <w:bCs/>
        </w:rPr>
        <w:t>3</w:t>
      </w:r>
    </w:p>
    <w:p w14:paraId="29710220" w14:textId="7A7C1022" w:rsidR="001F28C7" w:rsidRPr="00BD14B0" w:rsidRDefault="001F28C7" w:rsidP="001F28C7">
      <w:pPr>
        <w:tabs>
          <w:tab w:val="clear" w:pos="851"/>
          <w:tab w:val="right" w:leader="dot" w:pos="8496"/>
        </w:tabs>
        <w:spacing w:line="276" w:lineRule="auto"/>
        <w:ind w:left="900" w:hanging="900"/>
      </w:pPr>
      <w:r w:rsidRPr="00BD14B0">
        <w:t>Table 2: Means and standard deviation of nine question divided by story type</w:t>
      </w:r>
      <w:r w:rsidR="00030FBA" w:rsidRPr="00BD14B0">
        <w:tab/>
      </w:r>
      <w:r w:rsidR="00030FBA" w:rsidRPr="00BD14B0">
        <w:rPr>
          <w:b/>
          <w:bCs/>
        </w:rPr>
        <w:t>5</w:t>
      </w:r>
      <w:r w:rsidR="004F6EC1">
        <w:rPr>
          <w:b/>
          <w:bCs/>
        </w:rPr>
        <w:t>6</w:t>
      </w:r>
    </w:p>
    <w:p w14:paraId="6F6B50ED" w14:textId="5366625E" w:rsidR="001F28C7" w:rsidRPr="00BD14B0" w:rsidRDefault="001F28C7" w:rsidP="001F28C7">
      <w:pPr>
        <w:tabs>
          <w:tab w:val="clear" w:pos="851"/>
          <w:tab w:val="right" w:leader="dot" w:pos="8496"/>
        </w:tabs>
        <w:spacing w:line="276" w:lineRule="auto"/>
        <w:ind w:left="900" w:hanging="900"/>
      </w:pPr>
      <w:r w:rsidRPr="00BD14B0">
        <w:t>Table 3: Face stimuli X life story combination versions for the counterbalancing procedure</w:t>
      </w:r>
      <w:r w:rsidR="00030FBA" w:rsidRPr="00BD14B0">
        <w:tab/>
      </w:r>
      <w:r w:rsidR="00030FBA" w:rsidRPr="00BD14B0">
        <w:rPr>
          <w:b/>
          <w:bCs/>
        </w:rPr>
        <w:t>6</w:t>
      </w:r>
      <w:r w:rsidR="004F6EC1">
        <w:rPr>
          <w:b/>
          <w:bCs/>
        </w:rPr>
        <w:t>6</w:t>
      </w:r>
    </w:p>
    <w:p w14:paraId="030C82FF" w14:textId="3870DB4C" w:rsidR="001F28C7" w:rsidRPr="00BD14B0" w:rsidRDefault="001F28C7" w:rsidP="001F28C7">
      <w:pPr>
        <w:tabs>
          <w:tab w:val="clear" w:pos="851"/>
          <w:tab w:val="right" w:leader="dot" w:pos="8496"/>
        </w:tabs>
        <w:spacing w:line="276" w:lineRule="auto"/>
      </w:pPr>
      <w:r w:rsidRPr="00BD14B0">
        <w:t>Table 4: Sample size and percentage divided by gender and condition</w:t>
      </w:r>
      <w:r w:rsidR="00030FBA" w:rsidRPr="00BD14B0">
        <w:t xml:space="preserve"> </w:t>
      </w:r>
      <w:r w:rsidR="00030FBA" w:rsidRPr="00BD14B0">
        <w:tab/>
      </w:r>
      <w:r w:rsidR="001418A1">
        <w:rPr>
          <w:b/>
          <w:bCs/>
        </w:rPr>
        <w:t>9</w:t>
      </w:r>
      <w:r w:rsidR="00E552A8">
        <w:rPr>
          <w:b/>
          <w:bCs/>
        </w:rPr>
        <w:t>3</w:t>
      </w:r>
    </w:p>
    <w:p w14:paraId="120A1D86" w14:textId="138FE617" w:rsidR="001F28C7" w:rsidRPr="00BD14B0" w:rsidRDefault="001F28C7" w:rsidP="001F28C7">
      <w:pPr>
        <w:tabs>
          <w:tab w:val="clear" w:pos="851"/>
          <w:tab w:val="right" w:leader="dot" w:pos="8496"/>
        </w:tabs>
        <w:spacing w:line="276" w:lineRule="auto"/>
        <w:ind w:left="900" w:hanging="900"/>
      </w:pPr>
      <w:r w:rsidRPr="00BD14B0">
        <w:t>Table 5: Means and standard deviation of the Reaction time divided by social power and gender of the gazer</w:t>
      </w:r>
      <w:r w:rsidR="00030FBA" w:rsidRPr="00BD14B0">
        <w:t xml:space="preserve"> </w:t>
      </w:r>
      <w:r w:rsidR="00030FBA" w:rsidRPr="00BD14B0">
        <w:tab/>
      </w:r>
      <w:r w:rsidR="00030FBA" w:rsidRPr="00BD14B0">
        <w:rPr>
          <w:b/>
          <w:bCs/>
        </w:rPr>
        <w:t>9</w:t>
      </w:r>
      <w:r w:rsidR="00E552A8">
        <w:rPr>
          <w:b/>
          <w:bCs/>
        </w:rPr>
        <w:t>6</w:t>
      </w:r>
    </w:p>
    <w:p w14:paraId="291B4997" w14:textId="0D6F7B0A" w:rsidR="001F28C7" w:rsidRPr="00BD14B0" w:rsidRDefault="001F28C7" w:rsidP="001F28C7">
      <w:pPr>
        <w:tabs>
          <w:tab w:val="clear" w:pos="851"/>
          <w:tab w:val="right" w:leader="dot" w:pos="8496"/>
        </w:tabs>
        <w:spacing w:line="276" w:lineRule="auto"/>
        <w:ind w:left="900" w:hanging="900"/>
      </w:pPr>
      <w:r w:rsidRPr="00BD14B0">
        <w:t>Table 6:  Number of items and example questions from each of the five subscales of the AQ</w:t>
      </w:r>
      <w:r w:rsidR="00030FBA" w:rsidRPr="00BD14B0">
        <w:tab/>
      </w:r>
      <w:r w:rsidR="00030FBA" w:rsidRPr="00BD14B0">
        <w:rPr>
          <w:b/>
          <w:bCs/>
        </w:rPr>
        <w:t>1</w:t>
      </w:r>
      <w:r w:rsidR="00E552A8">
        <w:rPr>
          <w:b/>
          <w:bCs/>
        </w:rPr>
        <w:t>20</w:t>
      </w:r>
    </w:p>
    <w:p w14:paraId="16E30145" w14:textId="5D4A8464" w:rsidR="001F28C7" w:rsidRPr="00BD14B0" w:rsidRDefault="001F28C7" w:rsidP="001F28C7">
      <w:pPr>
        <w:tabs>
          <w:tab w:val="clear" w:pos="851"/>
          <w:tab w:val="right" w:leader="dot" w:pos="8496"/>
        </w:tabs>
        <w:spacing w:line="276" w:lineRule="auto"/>
      </w:pPr>
      <w:r w:rsidRPr="00BD14B0">
        <w:t>Table 7: Mean and standard deviation reaction times for each condition in Phase 1</w:t>
      </w:r>
      <w:r w:rsidR="00030FBA" w:rsidRPr="00BD14B0">
        <w:tab/>
      </w:r>
      <w:r w:rsidR="00030FBA" w:rsidRPr="00BD14B0">
        <w:rPr>
          <w:b/>
          <w:bCs/>
        </w:rPr>
        <w:t>130</w:t>
      </w:r>
    </w:p>
    <w:p w14:paraId="1DB47E9F" w14:textId="2CBCFFD7" w:rsidR="001F28C7" w:rsidRPr="00BD14B0" w:rsidRDefault="001F28C7" w:rsidP="001F28C7">
      <w:pPr>
        <w:tabs>
          <w:tab w:val="clear" w:pos="851"/>
          <w:tab w:val="right" w:leader="dot" w:pos="8496"/>
        </w:tabs>
        <w:spacing w:line="276" w:lineRule="auto"/>
        <w:ind w:left="900" w:hanging="900"/>
      </w:pPr>
      <w:r w:rsidRPr="00BD14B0">
        <w:t>Table 8: Mean and standard deviation reaction times for each condition in Phase 3</w:t>
      </w:r>
      <w:r w:rsidR="00030FBA" w:rsidRPr="00BD14B0">
        <w:tab/>
      </w:r>
      <w:r w:rsidR="00030FBA" w:rsidRPr="00BD14B0">
        <w:rPr>
          <w:b/>
          <w:bCs/>
        </w:rPr>
        <w:t>13</w:t>
      </w:r>
      <w:r w:rsidR="00E552A8">
        <w:rPr>
          <w:b/>
          <w:bCs/>
        </w:rPr>
        <w:t>3</w:t>
      </w:r>
    </w:p>
    <w:p w14:paraId="306A6956" w14:textId="151F3531" w:rsidR="001F28C7" w:rsidRPr="00BD14B0" w:rsidRDefault="001F28C7" w:rsidP="001F28C7">
      <w:pPr>
        <w:tabs>
          <w:tab w:val="clear" w:pos="851"/>
          <w:tab w:val="right" w:leader="dot" w:pos="8496"/>
        </w:tabs>
        <w:spacing w:line="276" w:lineRule="auto"/>
        <w:ind w:left="900" w:hanging="900"/>
      </w:pPr>
      <w:r w:rsidRPr="00BD14B0">
        <w:t>Table 9: Mean and standard deviation of accuracy rating response</w:t>
      </w:r>
      <w:r w:rsidR="00030FBA" w:rsidRPr="00BD14B0">
        <w:tab/>
      </w:r>
      <w:r w:rsidR="00030FBA" w:rsidRPr="00BD14B0">
        <w:rPr>
          <w:b/>
          <w:bCs/>
        </w:rPr>
        <w:t>14</w:t>
      </w:r>
      <w:r w:rsidR="00E552A8">
        <w:rPr>
          <w:b/>
          <w:bCs/>
        </w:rPr>
        <w:t>2</w:t>
      </w:r>
    </w:p>
    <w:p w14:paraId="7D57DE55" w14:textId="17917B39" w:rsidR="001F28C7" w:rsidRPr="00BD14B0" w:rsidRDefault="001F28C7" w:rsidP="001F28C7">
      <w:pPr>
        <w:tabs>
          <w:tab w:val="clear" w:pos="851"/>
          <w:tab w:val="right" w:leader="dot" w:pos="8496"/>
        </w:tabs>
        <w:spacing w:line="276" w:lineRule="auto"/>
        <w:ind w:left="900" w:hanging="900"/>
      </w:pPr>
      <w:r w:rsidRPr="00BD14B0">
        <w:t>Table 10: Mean and standard deviation of AQ scores</w:t>
      </w:r>
      <w:r w:rsidR="00030FBA" w:rsidRPr="00BD14B0">
        <w:tab/>
      </w:r>
      <w:r w:rsidR="00030FBA" w:rsidRPr="00BD14B0">
        <w:rPr>
          <w:b/>
          <w:bCs/>
        </w:rPr>
        <w:t>14</w:t>
      </w:r>
      <w:r w:rsidR="00E552A8">
        <w:rPr>
          <w:b/>
          <w:bCs/>
        </w:rPr>
        <w:t>4</w:t>
      </w:r>
    </w:p>
    <w:p w14:paraId="4289B955" w14:textId="1FEC63E0" w:rsidR="00766AD5" w:rsidRPr="00BD14B0" w:rsidRDefault="00766AD5" w:rsidP="00A33304">
      <w:pPr>
        <w:tabs>
          <w:tab w:val="clear" w:pos="851"/>
          <w:tab w:val="right" w:leader="dot" w:pos="8496"/>
        </w:tabs>
        <w:ind w:left="900" w:hanging="900"/>
      </w:pPr>
    </w:p>
    <w:p w14:paraId="4AC04464" w14:textId="4C5C2D2D" w:rsidR="001F28C7" w:rsidRDefault="001F28C7" w:rsidP="00A33304">
      <w:pPr>
        <w:tabs>
          <w:tab w:val="clear" w:pos="851"/>
          <w:tab w:val="right" w:leader="dot" w:pos="8496"/>
        </w:tabs>
        <w:ind w:left="900" w:hanging="900"/>
      </w:pPr>
    </w:p>
    <w:p w14:paraId="073DF2B0" w14:textId="6E940D85" w:rsidR="00C00494" w:rsidRDefault="00C00494" w:rsidP="00A33304">
      <w:pPr>
        <w:tabs>
          <w:tab w:val="clear" w:pos="851"/>
          <w:tab w:val="right" w:leader="dot" w:pos="8496"/>
        </w:tabs>
        <w:ind w:left="900" w:hanging="900"/>
      </w:pPr>
    </w:p>
    <w:p w14:paraId="40D7A160" w14:textId="2B56B5AB" w:rsidR="00C00494" w:rsidRDefault="00C00494" w:rsidP="00A33304">
      <w:pPr>
        <w:tabs>
          <w:tab w:val="clear" w:pos="851"/>
          <w:tab w:val="right" w:leader="dot" w:pos="8496"/>
        </w:tabs>
        <w:ind w:left="900" w:hanging="900"/>
      </w:pPr>
    </w:p>
    <w:p w14:paraId="38843A23" w14:textId="43B72276" w:rsidR="00C00494" w:rsidRDefault="00C00494" w:rsidP="00A33304">
      <w:pPr>
        <w:tabs>
          <w:tab w:val="clear" w:pos="851"/>
          <w:tab w:val="right" w:leader="dot" w:pos="8496"/>
        </w:tabs>
        <w:ind w:left="900" w:hanging="900"/>
      </w:pPr>
    </w:p>
    <w:p w14:paraId="63B1E939" w14:textId="3B4D202D" w:rsidR="00C00494" w:rsidRDefault="00C00494" w:rsidP="00A33304">
      <w:pPr>
        <w:tabs>
          <w:tab w:val="clear" w:pos="851"/>
          <w:tab w:val="right" w:leader="dot" w:pos="8496"/>
        </w:tabs>
        <w:ind w:left="900" w:hanging="900"/>
      </w:pPr>
    </w:p>
    <w:p w14:paraId="18D82A7A" w14:textId="37E252C7" w:rsidR="00C00494" w:rsidRDefault="00C00494" w:rsidP="00A33304">
      <w:pPr>
        <w:tabs>
          <w:tab w:val="clear" w:pos="851"/>
          <w:tab w:val="right" w:leader="dot" w:pos="8496"/>
        </w:tabs>
        <w:ind w:left="900" w:hanging="900"/>
      </w:pPr>
    </w:p>
    <w:p w14:paraId="008E6893" w14:textId="77777777" w:rsidR="00C00494" w:rsidRPr="00BD14B0" w:rsidRDefault="00C00494" w:rsidP="00A33304">
      <w:pPr>
        <w:tabs>
          <w:tab w:val="clear" w:pos="851"/>
          <w:tab w:val="right" w:leader="dot" w:pos="8496"/>
        </w:tabs>
        <w:ind w:left="900" w:hanging="900"/>
      </w:pPr>
    </w:p>
    <w:p w14:paraId="6294CA88" w14:textId="012AB886" w:rsidR="00E20102" w:rsidRPr="00BD14B0" w:rsidRDefault="00E20102" w:rsidP="00E20102">
      <w:pPr>
        <w:tabs>
          <w:tab w:val="clear" w:pos="851"/>
        </w:tabs>
        <w:spacing w:before="0" w:after="0" w:line="240" w:lineRule="auto"/>
        <w:rPr>
          <w:rFonts w:eastAsiaTheme="majorEastAsia"/>
          <w:b/>
          <w:bCs/>
          <w:sz w:val="32"/>
          <w:szCs w:val="32"/>
        </w:rPr>
      </w:pPr>
    </w:p>
    <w:p w14:paraId="5EF59C7B" w14:textId="0F81168B" w:rsidR="00E20102" w:rsidRPr="00BD14B0" w:rsidRDefault="00E20102" w:rsidP="00E20102">
      <w:pPr>
        <w:tabs>
          <w:tab w:val="clear" w:pos="851"/>
        </w:tabs>
        <w:spacing w:before="0" w:after="0" w:line="240" w:lineRule="auto"/>
        <w:rPr>
          <w:rFonts w:eastAsiaTheme="majorEastAsia"/>
          <w:b/>
          <w:bCs/>
          <w:sz w:val="32"/>
          <w:szCs w:val="32"/>
        </w:rPr>
      </w:pPr>
    </w:p>
    <w:p w14:paraId="7FE01C30" w14:textId="53A64BE2" w:rsidR="00E20102" w:rsidRPr="00BD14B0" w:rsidRDefault="00E20102" w:rsidP="00E20102">
      <w:pPr>
        <w:tabs>
          <w:tab w:val="clear" w:pos="851"/>
        </w:tabs>
        <w:spacing w:before="0" w:after="0" w:line="240" w:lineRule="auto"/>
        <w:rPr>
          <w:rFonts w:eastAsiaTheme="majorEastAsia"/>
          <w:b/>
          <w:bCs/>
          <w:sz w:val="32"/>
          <w:szCs w:val="32"/>
        </w:rPr>
      </w:pPr>
    </w:p>
    <w:p w14:paraId="5B3C78F4" w14:textId="77777777" w:rsidR="00A33304" w:rsidRPr="00BD14B0" w:rsidRDefault="00A33304" w:rsidP="00A33304">
      <w:pPr>
        <w:rPr>
          <w:b/>
          <w:sz w:val="32"/>
          <w:szCs w:val="32"/>
        </w:rPr>
      </w:pPr>
      <w:r w:rsidRPr="00BD14B0">
        <w:rPr>
          <w:b/>
          <w:sz w:val="32"/>
          <w:szCs w:val="32"/>
        </w:rPr>
        <w:lastRenderedPageBreak/>
        <w:t>Acknowledgements</w:t>
      </w:r>
    </w:p>
    <w:p w14:paraId="21C6F003" w14:textId="12BF1377" w:rsidR="00A33304" w:rsidRPr="00BD14B0" w:rsidRDefault="00C724EC" w:rsidP="00A33304">
      <w:r w:rsidRPr="00BD14B0">
        <w:rPr>
          <w:noProof/>
          <w:lang w:eastAsia="en-US"/>
        </w:rPr>
        <mc:AlternateContent>
          <mc:Choice Requires="wps">
            <w:drawing>
              <wp:anchor distT="0" distB="0" distL="114300" distR="114300" simplePos="0" relativeHeight="251669504" behindDoc="0" locked="0" layoutInCell="1" allowOverlap="1" wp14:anchorId="29C0C2DE" wp14:editId="630088C0">
                <wp:simplePos x="0" y="0"/>
                <wp:positionH relativeFrom="column">
                  <wp:posOffset>0</wp:posOffset>
                </wp:positionH>
                <wp:positionV relativeFrom="paragraph">
                  <wp:posOffset>12065</wp:posOffset>
                </wp:positionV>
                <wp:extent cx="5762846" cy="0"/>
                <wp:effectExtent l="0" t="12700" r="15875" b="12700"/>
                <wp:wrapNone/>
                <wp:docPr id="63" name="Straight Connector 63"/>
                <wp:cNvGraphicFramePr/>
                <a:graphic xmlns:a="http://schemas.openxmlformats.org/drawingml/2006/main">
                  <a:graphicData uri="http://schemas.microsoft.com/office/word/2010/wordprocessingShape">
                    <wps:wsp>
                      <wps:cNvCnPr/>
                      <wps:spPr>
                        <a:xfrm>
                          <a:off x="0" y="0"/>
                          <a:ext cx="576284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2B1E373" id="Straight Connector 63"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95pt" to="453.75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" strokecolor="black [3200]" strokeweight="1.5pt">
                <v:stroke joinstyle="miter"/>
              </v:line>
            </w:pict>
          </mc:Fallback>
        </mc:AlternateContent>
      </w:r>
    </w:p>
    <w:p w14:paraId="67F265B3" w14:textId="1B644970" w:rsidR="00A33304" w:rsidRPr="00BD14B0" w:rsidRDefault="00A33304" w:rsidP="00A33304">
      <w:r w:rsidRPr="00BD14B0">
        <w:tab/>
        <w:t xml:space="preserve">First, I would like to thank my supervisor </w:t>
      </w:r>
      <w:proofErr w:type="spellStart"/>
      <w:r w:rsidRPr="00BD14B0">
        <w:t>Dr.</w:t>
      </w:r>
      <w:proofErr w:type="spellEnd"/>
      <w:r w:rsidRPr="00BD14B0">
        <w:t xml:space="preserve"> Megan Freeth for the continuous support of my PhD study, for her patience and guidance. Her positive attitude and motivation always helped me to keep going.</w:t>
      </w:r>
      <w:r w:rsidR="00996A63" w:rsidRPr="00BD14B0">
        <w:t xml:space="preserve"> I also want to thank Paul </w:t>
      </w:r>
      <w:proofErr w:type="gramStart"/>
      <w:r w:rsidR="00996A63" w:rsidRPr="00BD14B0">
        <w:t>Norman,</w:t>
      </w:r>
      <w:proofErr w:type="gramEnd"/>
      <w:r w:rsidR="00996A63" w:rsidRPr="00BD14B0">
        <w:t xml:space="preserve"> his </w:t>
      </w:r>
      <w:r w:rsidR="003371DB" w:rsidRPr="00BD14B0">
        <w:t>encouragement</w:t>
      </w:r>
      <w:r w:rsidR="00996A63" w:rsidRPr="00BD14B0">
        <w:t xml:space="preserve"> kept me going.</w:t>
      </w:r>
      <w:r w:rsidRPr="00BD14B0">
        <w:t xml:space="preserve"> I also would like to express gratitude for the members of </w:t>
      </w:r>
      <w:proofErr w:type="spellStart"/>
      <w:r w:rsidRPr="00BD14B0">
        <w:t>ShARL</w:t>
      </w:r>
      <w:proofErr w:type="spellEnd"/>
      <w:r w:rsidRPr="00BD14B0">
        <w:t xml:space="preserve">. Thanks to all my friend who become a family during this journey. I also would like to thank all the participants who attended my experiments, and patiently finished the study. I would like to thank my husband for letting me be myself always and supporting me. Thank you for acting as a root for me when I was ready to fall. Also, I want to thank my parents, my brother, my </w:t>
      </w:r>
      <w:proofErr w:type="gramStart"/>
      <w:r w:rsidRPr="00BD14B0">
        <w:t>uncle</w:t>
      </w:r>
      <w:proofErr w:type="gramEnd"/>
      <w:r w:rsidRPr="00BD14B0">
        <w:t xml:space="preserve"> and my grandparents for being there for me always. Lastly, I would like to thank past Nazli to dare taking this chance. </w:t>
      </w:r>
    </w:p>
    <w:p w14:paraId="59347039" w14:textId="77777777" w:rsidR="00A33304" w:rsidRPr="00BD14B0" w:rsidRDefault="00A33304" w:rsidP="00A33304"/>
    <w:p w14:paraId="6175A4AA" w14:textId="4A9689F7" w:rsidR="00E20102" w:rsidRPr="00BD14B0" w:rsidRDefault="00E20102" w:rsidP="00E20102">
      <w:pPr>
        <w:rPr>
          <w:b/>
          <w:sz w:val="32"/>
          <w:szCs w:val="32"/>
        </w:rPr>
      </w:pPr>
    </w:p>
    <w:p w14:paraId="0C37A14D" w14:textId="4D33AEE9" w:rsidR="00E20102" w:rsidRPr="00BD14B0" w:rsidRDefault="00E20102" w:rsidP="00E20102">
      <w:pPr>
        <w:rPr>
          <w:b/>
          <w:sz w:val="32"/>
          <w:szCs w:val="32"/>
        </w:rPr>
      </w:pPr>
    </w:p>
    <w:p w14:paraId="52C9F35D" w14:textId="288A2502" w:rsidR="00E20102" w:rsidRPr="00BD14B0" w:rsidRDefault="00E20102" w:rsidP="00E20102">
      <w:pPr>
        <w:rPr>
          <w:b/>
          <w:sz w:val="32"/>
          <w:szCs w:val="32"/>
        </w:rPr>
      </w:pPr>
    </w:p>
    <w:p w14:paraId="56BA789F" w14:textId="4AB23CC2" w:rsidR="00E20102" w:rsidRPr="00BD14B0" w:rsidRDefault="00E20102" w:rsidP="00E20102">
      <w:pPr>
        <w:rPr>
          <w:b/>
          <w:sz w:val="32"/>
          <w:szCs w:val="32"/>
        </w:rPr>
      </w:pPr>
    </w:p>
    <w:p w14:paraId="32D1C5E1" w14:textId="34A115B1" w:rsidR="00E20102" w:rsidRPr="00BD14B0" w:rsidRDefault="00E20102" w:rsidP="00E20102">
      <w:pPr>
        <w:rPr>
          <w:b/>
          <w:sz w:val="32"/>
          <w:szCs w:val="32"/>
        </w:rPr>
      </w:pPr>
    </w:p>
    <w:p w14:paraId="22C9EFAF" w14:textId="37FCD1E2" w:rsidR="00E20102" w:rsidRPr="00BD14B0" w:rsidRDefault="00E20102" w:rsidP="00E20102">
      <w:pPr>
        <w:rPr>
          <w:b/>
          <w:sz w:val="32"/>
          <w:szCs w:val="32"/>
        </w:rPr>
      </w:pPr>
    </w:p>
    <w:p w14:paraId="790CA59D" w14:textId="753A620E" w:rsidR="00E20102" w:rsidRPr="00BD14B0" w:rsidRDefault="00E20102" w:rsidP="00E20102">
      <w:pPr>
        <w:rPr>
          <w:b/>
          <w:sz w:val="32"/>
          <w:szCs w:val="32"/>
        </w:rPr>
      </w:pPr>
    </w:p>
    <w:p w14:paraId="5BD0B430" w14:textId="06D097E4" w:rsidR="00E20102" w:rsidRPr="00BD14B0" w:rsidRDefault="00E20102" w:rsidP="00E20102">
      <w:pPr>
        <w:rPr>
          <w:b/>
          <w:sz w:val="32"/>
          <w:szCs w:val="32"/>
        </w:rPr>
      </w:pPr>
    </w:p>
    <w:p w14:paraId="0B5FAE71" w14:textId="70B3E9C2" w:rsidR="00E20102" w:rsidRPr="00BD14B0" w:rsidRDefault="00E20102" w:rsidP="00E20102">
      <w:pPr>
        <w:rPr>
          <w:b/>
          <w:sz w:val="32"/>
          <w:szCs w:val="32"/>
        </w:rPr>
      </w:pPr>
    </w:p>
    <w:p w14:paraId="4CAEFCDF" w14:textId="7027E4C7" w:rsidR="00E20102" w:rsidRPr="00BD14B0" w:rsidRDefault="00E20102" w:rsidP="00E20102">
      <w:pPr>
        <w:rPr>
          <w:b/>
          <w:sz w:val="32"/>
          <w:szCs w:val="32"/>
        </w:rPr>
      </w:pPr>
    </w:p>
    <w:p w14:paraId="10BC8330" w14:textId="58926D1C" w:rsidR="00A33304" w:rsidRPr="00BD14B0" w:rsidRDefault="00C724EC" w:rsidP="00A33304">
      <w:pPr>
        <w:rPr>
          <w:b/>
          <w:sz w:val="32"/>
          <w:szCs w:val="32"/>
        </w:rPr>
      </w:pPr>
      <w:r w:rsidRPr="00BD14B0">
        <w:rPr>
          <w:noProof/>
          <w:lang w:eastAsia="en-US"/>
        </w:rPr>
        <w:lastRenderedPageBreak/>
        <mc:AlternateContent>
          <mc:Choice Requires="wps">
            <w:drawing>
              <wp:anchor distT="0" distB="0" distL="114300" distR="114300" simplePos="0" relativeHeight="251667456" behindDoc="0" locked="0" layoutInCell="1" allowOverlap="1" wp14:anchorId="049E7CB5" wp14:editId="2274DB4F">
                <wp:simplePos x="0" y="0"/>
                <wp:positionH relativeFrom="column">
                  <wp:posOffset>16510</wp:posOffset>
                </wp:positionH>
                <wp:positionV relativeFrom="paragraph">
                  <wp:posOffset>405027</wp:posOffset>
                </wp:positionV>
                <wp:extent cx="5762846" cy="0"/>
                <wp:effectExtent l="0" t="12700" r="15875" b="12700"/>
                <wp:wrapNone/>
                <wp:docPr id="62" name="Straight Connector 62"/>
                <wp:cNvGraphicFramePr/>
                <a:graphic xmlns:a="http://schemas.openxmlformats.org/drawingml/2006/main">
                  <a:graphicData uri="http://schemas.microsoft.com/office/word/2010/wordprocessingShape">
                    <wps:wsp>
                      <wps:cNvCnPr/>
                      <wps:spPr>
                        <a:xfrm>
                          <a:off x="0" y="0"/>
                          <a:ext cx="576284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5CA8EDA" id="Straight Connector 62"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3pt,31.9pt" to="455.05pt,31.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" strokecolor="black [3200]" strokeweight="1.5pt">
                <v:stroke joinstyle="miter"/>
              </v:line>
            </w:pict>
          </mc:Fallback>
        </mc:AlternateContent>
      </w:r>
      <w:r w:rsidR="00A33304" w:rsidRPr="00BD14B0">
        <w:rPr>
          <w:b/>
          <w:sz w:val="32"/>
          <w:szCs w:val="32"/>
        </w:rPr>
        <w:t>Abstract</w:t>
      </w:r>
    </w:p>
    <w:p w14:paraId="76656A5D" w14:textId="77777777" w:rsidR="00A33304" w:rsidRPr="00BD14B0" w:rsidRDefault="00A33304" w:rsidP="00A33304"/>
    <w:p w14:paraId="6F485B51" w14:textId="51D77D5E" w:rsidR="00E76150" w:rsidRPr="00BD14B0" w:rsidRDefault="00A33304" w:rsidP="00E76150">
      <w:pPr>
        <w:rPr>
          <w:rFonts w:eastAsia="Calibri"/>
          <w:iCs/>
          <w:shd w:val="clear" w:color="auto" w:fill="FFFFFF"/>
        </w:rPr>
        <w:sectPr w:rsidR="00E76150" w:rsidRPr="00BD14B0" w:rsidSect="00E76150">
          <w:footerReference w:type="even" r:id="rId9"/>
          <w:footerReference w:type="default" r:id="rId10"/>
          <w:pgSz w:w="12240" w:h="15840"/>
          <w:pgMar w:top="1134" w:right="1134" w:bottom="1134" w:left="2268" w:header="709" w:footer="709" w:gutter="0"/>
          <w:pgNumType w:fmt="lowerRoman" w:start="1"/>
          <w:cols w:space="708"/>
          <w:docGrid w:linePitch="360"/>
        </w:sectPr>
      </w:pPr>
      <w:r w:rsidRPr="00BD14B0">
        <w:rPr>
          <w:rFonts w:eastAsia="Calibri"/>
          <w:iCs/>
          <w:shd w:val="clear" w:color="auto" w:fill="FFFFFF"/>
        </w:rPr>
        <w:tab/>
        <w:t>This thesis examines the socio-cognitive variables that effects eye gaze following in neurotypical adults.</w:t>
      </w:r>
      <w:r w:rsidR="00996A63" w:rsidRPr="00BD14B0">
        <w:rPr>
          <w:rFonts w:eastAsia="Calibri"/>
          <w:iCs/>
          <w:shd w:val="clear" w:color="auto" w:fill="FFFFFF"/>
        </w:rPr>
        <w:t xml:space="preserve"> Existing literature defined these socio-cognitive variables by showing visual representations or changing physical features of the observed gazer. </w:t>
      </w:r>
      <w:r w:rsidR="00996A63" w:rsidRPr="00081D3E">
        <w:rPr>
          <w:rFonts w:eastAsia="Calibri"/>
          <w:iCs/>
          <w:shd w:val="clear" w:color="auto" w:fill="FFFFFF"/>
        </w:rPr>
        <w:t>However, in real world interactions, social relations are not only defined by visual awareness but also observes pre-existing memories.</w:t>
      </w:r>
      <w:r w:rsidR="002330A3" w:rsidRPr="00BD14B0">
        <w:rPr>
          <w:rFonts w:eastAsia="Calibri"/>
          <w:iCs/>
          <w:shd w:val="clear" w:color="auto" w:fill="FFFFFF"/>
        </w:rPr>
        <w:t xml:space="preserve"> </w:t>
      </w:r>
      <w:r w:rsidRPr="00BD14B0">
        <w:rPr>
          <w:rFonts w:eastAsia="Calibri"/>
          <w:iCs/>
          <w:shd w:val="clear" w:color="auto" w:fill="FFFFFF"/>
        </w:rPr>
        <w:t xml:space="preserve">This is particularly important for laboratory based social attention studies that conducted in highly controlled environment since, it might cause losing the social context behind the social relations by only focus on visual attentional effects. </w:t>
      </w:r>
      <w:r w:rsidRPr="00BD14B0">
        <w:rPr>
          <w:rFonts w:eastAsia="Calibri"/>
          <w:lang w:eastAsia="en-US"/>
        </w:rPr>
        <w:t xml:space="preserve">Three experiments conducted to see if the gaze cueing effect would be enhanced by the information that participants know about the gazer face. </w:t>
      </w:r>
      <w:r w:rsidRPr="00BD14B0">
        <w:rPr>
          <w:rFonts w:eastAsia="Calibri"/>
          <w:iCs/>
          <w:shd w:val="clear" w:color="auto" w:fill="FFFFFF"/>
        </w:rPr>
        <w:t>Study one showed that, a</w:t>
      </w:r>
      <w:r w:rsidRPr="00BD14B0">
        <w:rPr>
          <w:rFonts w:eastAsia="Calibri" w:cs="Calibri"/>
          <w:iCs/>
          <w:shd w:val="clear" w:color="auto" w:fill="FFFFFF"/>
        </w:rPr>
        <w:t xml:space="preserve">lthough participants did not have any knowledge about the gazer face besides which </w:t>
      </w:r>
      <w:proofErr w:type="gramStart"/>
      <w:r w:rsidRPr="00BD14B0">
        <w:rPr>
          <w:rFonts w:eastAsia="Calibri" w:cs="Calibri"/>
          <w:iCs/>
          <w:shd w:val="clear" w:color="auto" w:fill="FFFFFF"/>
        </w:rPr>
        <w:t>group</w:t>
      </w:r>
      <w:proofErr w:type="gramEnd"/>
      <w:r w:rsidRPr="00BD14B0">
        <w:rPr>
          <w:rFonts w:eastAsia="Calibri" w:cs="Calibri"/>
          <w:iCs/>
          <w:shd w:val="clear" w:color="auto" w:fill="FFFFFF"/>
        </w:rPr>
        <w:t xml:space="preserve"> they belong, they significantly reported themselves to be in the same group with in-group condition compared to outgroup condition. </w:t>
      </w:r>
      <w:proofErr w:type="gramStart"/>
      <w:r w:rsidRPr="00BD14B0">
        <w:rPr>
          <w:rFonts w:eastAsia="Calibri" w:cs="Calibri"/>
          <w:iCs/>
          <w:shd w:val="clear" w:color="auto" w:fill="FFFFFF"/>
        </w:rPr>
        <w:t>But,</w:t>
      </w:r>
      <w:proofErr w:type="gramEnd"/>
      <w:r w:rsidRPr="00BD14B0">
        <w:rPr>
          <w:rFonts w:eastAsia="Calibri" w:cs="Calibri"/>
          <w:iCs/>
          <w:shd w:val="clear" w:color="auto" w:fill="FFFFFF"/>
        </w:rPr>
        <w:t xml:space="preserve"> this did not affect the strength of gaze cueing. Participants showed similar gaze following both to in-group and outgroup faces. </w:t>
      </w:r>
      <w:r w:rsidRPr="00BD14B0">
        <w:rPr>
          <w:rFonts w:eastAsia="Calibri"/>
          <w:iCs/>
          <w:shd w:val="clear" w:color="auto" w:fill="FFFFFF"/>
        </w:rPr>
        <w:t xml:space="preserve">In study two, perceived social power manipulated in dangerous scenario and results indicated that female participants were more </w:t>
      </w:r>
      <w:r w:rsidRPr="00BD14B0">
        <w:rPr>
          <w:rFonts w:eastAsia="Calibri" w:cs="Calibri"/>
          <w:iCs/>
          <w:shd w:val="clear" w:color="auto" w:fill="FFFFFF"/>
        </w:rPr>
        <w:t xml:space="preserve">sensitive to social stimuli in dangerous situations. Study </w:t>
      </w:r>
      <w:r w:rsidR="00996A63" w:rsidRPr="00BD14B0">
        <w:rPr>
          <w:rFonts w:eastAsia="Calibri" w:cs="Calibri"/>
          <w:iCs/>
          <w:shd w:val="clear" w:color="auto" w:fill="FFFFFF"/>
        </w:rPr>
        <w:t>three</w:t>
      </w:r>
      <w:r w:rsidRPr="00BD14B0">
        <w:rPr>
          <w:rFonts w:eastAsia="Calibri" w:cs="Calibri"/>
          <w:iCs/>
          <w:shd w:val="clear" w:color="auto" w:fill="FFFFFF"/>
        </w:rPr>
        <w:t>, focused on observation of</w:t>
      </w:r>
      <w:r w:rsidRPr="00BD14B0">
        <w:rPr>
          <w:rFonts w:eastAsia="Calibri"/>
          <w:iCs/>
          <w:shd w:val="clear" w:color="auto" w:fill="FFFFFF"/>
        </w:rPr>
        <w:t xml:space="preserve"> a person as a leader or a follower in group context. This study conducted with neurotypical females to see the effect of autistic traits in social attention as a continuum. Finding suggested that leadership manipulation was effective at the first </w:t>
      </w:r>
      <w:r w:rsidR="003371DB" w:rsidRPr="00BD14B0">
        <w:rPr>
          <w:rFonts w:eastAsia="Calibri"/>
          <w:iCs/>
          <w:shd w:val="clear" w:color="auto" w:fill="FFFFFF"/>
        </w:rPr>
        <w:t>observation,</w:t>
      </w:r>
      <w:r w:rsidRPr="00BD14B0">
        <w:rPr>
          <w:rFonts w:eastAsia="Calibri"/>
          <w:iCs/>
          <w:shd w:val="clear" w:color="auto" w:fill="FFFFFF"/>
        </w:rPr>
        <w:t xml:space="preserve"> but this e</w:t>
      </w:r>
      <w:r w:rsidR="0098254D" w:rsidRPr="00BD14B0">
        <w:rPr>
          <w:rFonts w:eastAsia="Calibri"/>
          <w:iCs/>
          <w:shd w:val="clear" w:color="auto" w:fill="FFFFFF"/>
        </w:rPr>
        <w:t>f</w:t>
      </w:r>
      <w:r w:rsidRPr="00BD14B0">
        <w:rPr>
          <w:rFonts w:eastAsia="Calibri"/>
          <w:iCs/>
          <w:shd w:val="clear" w:color="auto" w:fill="FFFFFF"/>
        </w:rPr>
        <w:t xml:space="preserve">fect did not manipulate later social attention encounters with the observed face. Altogether, results suggested that visual awareness of social context was important to create the social categorization in computer-based gaze cueing tasks. </w:t>
      </w:r>
    </w:p>
    <w:p w14:paraId="1737E42D" w14:textId="77777777" w:rsidR="00E20102" w:rsidRPr="00BD14B0" w:rsidRDefault="00E20102" w:rsidP="00E20102">
      <w:pPr>
        <w:tabs>
          <w:tab w:val="clear" w:pos="851"/>
        </w:tabs>
        <w:spacing w:before="0" w:after="0" w:line="240" w:lineRule="auto"/>
        <w:rPr>
          <w:rFonts w:eastAsiaTheme="majorEastAsia"/>
          <w:b/>
          <w:bCs/>
          <w:sz w:val="32"/>
          <w:szCs w:val="32"/>
        </w:rPr>
      </w:pPr>
    </w:p>
    <w:p w14:paraId="6FDB199B" w14:textId="257C6F02" w:rsidR="007630CE" w:rsidRPr="00BD14B0" w:rsidRDefault="007630CE" w:rsidP="00E20102">
      <w:pPr>
        <w:pStyle w:val="Heading1"/>
      </w:pPr>
      <w:bookmarkStart w:id="2" w:name="_Toc108310747"/>
      <w:r w:rsidRPr="00BD14B0">
        <w:t>Review of the Literature</w:t>
      </w:r>
      <w:bookmarkEnd w:id="2"/>
    </w:p>
    <w:p w14:paraId="5A3FEEB0" w14:textId="32EE7CC1" w:rsidR="00E3203E" w:rsidRPr="00BD14B0" w:rsidRDefault="00D24FEE" w:rsidP="00553E01">
      <w:r w:rsidRPr="00BD14B0">
        <w:rPr>
          <w:noProof/>
          <w:lang w:eastAsia="en-US"/>
        </w:rPr>
        <mc:AlternateContent>
          <mc:Choice Requires="wps">
            <w:drawing>
              <wp:anchor distT="0" distB="0" distL="114300" distR="114300" simplePos="0" relativeHeight="251665408" behindDoc="0" locked="0" layoutInCell="1" allowOverlap="1" wp14:anchorId="1AA31B14" wp14:editId="7E5296A5">
                <wp:simplePos x="0" y="0"/>
                <wp:positionH relativeFrom="column">
                  <wp:posOffset>0</wp:posOffset>
                </wp:positionH>
                <wp:positionV relativeFrom="paragraph">
                  <wp:posOffset>12065</wp:posOffset>
                </wp:positionV>
                <wp:extent cx="5762846" cy="0"/>
                <wp:effectExtent l="0" t="12700" r="15875" b="12700"/>
                <wp:wrapNone/>
                <wp:docPr id="14" name="Straight Connector 14"/>
                <wp:cNvGraphicFramePr/>
                <a:graphic xmlns:a="http://schemas.openxmlformats.org/drawingml/2006/main">
                  <a:graphicData uri="http://schemas.microsoft.com/office/word/2010/wordprocessingShape">
                    <wps:wsp>
                      <wps:cNvCnPr/>
                      <wps:spPr>
                        <a:xfrm>
                          <a:off x="0" y="0"/>
                          <a:ext cx="576284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208850E" id="Straight Connector 14"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0,.95pt" to="453.75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" strokecolor="black [3200]" strokeweight="1.5pt">
                <v:stroke joinstyle="miter"/>
              </v:line>
            </w:pict>
          </mc:Fallback>
        </mc:AlternateContent>
      </w:r>
    </w:p>
    <w:p w14:paraId="6EF60999" w14:textId="14DD2E16" w:rsidR="007630CE" w:rsidRPr="00BD14B0" w:rsidRDefault="00E3203E" w:rsidP="00553E01">
      <w:pPr>
        <w:pStyle w:val="Heading2"/>
      </w:pPr>
      <w:bookmarkStart w:id="3" w:name="_Toc108310748"/>
      <w:r w:rsidRPr="00BD14B0">
        <w:t>Introduction</w:t>
      </w:r>
      <w:bookmarkEnd w:id="3"/>
    </w:p>
    <w:p w14:paraId="558EAC39" w14:textId="07D2B43D" w:rsidR="00E63BFA" w:rsidRPr="00BD14B0" w:rsidRDefault="007630CE" w:rsidP="00553E01">
      <w:r w:rsidRPr="00BD14B0">
        <w:tab/>
      </w:r>
      <w:r w:rsidR="00E63BFA" w:rsidRPr="00BD14B0">
        <w:t xml:space="preserve">Humans are social animals by nature and the underlying mechanisms of social cognition are yet to be fully explored. Social cognition can be defined as “how we interpret, analyse and remember information about the social world” </w:t>
      </w:r>
      <w:r w:rsidR="00E63BFA" w:rsidRPr="00BD14B0">
        <w:fldChar w:fldCharType="begin" w:fldLock="1"/>
      </w:r>
      <w:r w:rsidR="00E63BFA" w:rsidRPr="00BD14B0">
        <w:instrText>ADDIN CSL_CITATION {"citationItems":[{"id":"ITEM-1","itemData":{"ISBN":"9780205263509","author":[{"dropping-particle":"","family":"Baron","given":"R A","non-dropping-particle":"","parse-names":false,"suffix":""},{"dropping-particle":"","family":"Byrne","given":"D E","non-dropping-particle":"","parse-names":false,"suffix":""},{"dropping-particle":"","family":"Byrne","given":"D","non-dropping-particle":"","parse-names":false,"suffix":""}],"id":"ITEM-1","issued":{"date-parts":[["1997"]]},"publisher":"Allyn and Bacon","title":"Social Psychology","type":"book"},"uris":["http://www.mendeley.com/documents/?uuid=f3d0ed28-5811-4929-b11e-5ada4753b490"]}],"mendeley":{"formattedCitation":"(Baron et al., 1997)","manualFormatting":"(Baron &amp; Byrne, 1997)","plainTextFormattedCitation":"(Baron et al., 1997)","previouslyFormattedCitation":"(Baron et al., 1997)"},"properties":{"noteIndex":0},"schema":"https://github.com/citation-style-language/schema/raw/master/csl-citation.json"}</w:instrText>
      </w:r>
      <w:r w:rsidR="00E63BFA" w:rsidRPr="00BD14B0">
        <w:fldChar w:fldCharType="separate"/>
      </w:r>
      <w:r w:rsidR="00E63BFA" w:rsidRPr="00BD14B0">
        <w:rPr>
          <w:noProof/>
        </w:rPr>
        <w:t>(Baron &amp; Byrne, 1997)</w:t>
      </w:r>
      <w:r w:rsidR="00E63BFA" w:rsidRPr="00BD14B0">
        <w:fldChar w:fldCharType="end"/>
      </w:r>
      <w:r w:rsidR="00E63BFA" w:rsidRPr="00BD14B0">
        <w:t xml:space="preserve">. As a first step, the information that we perceive is often interpreted using the social context and cultural values. Following this, the interpreted information is analysed to adjust, </w:t>
      </w:r>
      <w:proofErr w:type="gramStart"/>
      <w:r w:rsidR="00E63BFA" w:rsidRPr="00BD14B0">
        <w:t>change</w:t>
      </w:r>
      <w:proofErr w:type="gramEnd"/>
      <w:r w:rsidR="00E63BFA" w:rsidRPr="00BD14B0">
        <w:t xml:space="preserve"> and even reject the initial input. Finally, social information </w:t>
      </w:r>
      <w:r w:rsidR="00A76A9E" w:rsidRPr="00BD14B0">
        <w:t xml:space="preserve">is </w:t>
      </w:r>
      <w:r w:rsidR="00E63BFA" w:rsidRPr="00BD14B0">
        <w:t>stored in memory and can be recalled or retrieved at a later time. Early studies of social cognition focused on</w:t>
      </w:r>
      <w:r w:rsidR="00A76A9E" w:rsidRPr="00BD14B0">
        <w:t xml:space="preserve"> the</w:t>
      </w:r>
      <w:r w:rsidR="00E63BFA" w:rsidRPr="00BD14B0">
        <w:t xml:space="preserve"> perceived causes of behaviour, also known as attribution theories </w:t>
      </w:r>
      <w:r w:rsidR="00E63BFA" w:rsidRPr="00BD14B0">
        <w:fldChar w:fldCharType="begin" w:fldLock="1"/>
      </w:r>
      <w:r w:rsidR="00E63BFA" w:rsidRPr="00BD14B0">
        <w:instrText>ADDIN CSL_CITATION {"citationItems":[{"id":"ITEM-1","itemData":{"DOI":"10.2307/1416950","ISSN":"1939-8298(Electronic),0002-9556(Print)","abstract":"\"A motion picture which shows movements of three geometrical figures was the material of the investigation. It was presented to a first group of 34 Ss with the instruction to describe it; to a second group (36 Ss) with the instruction to interpret the movements as actions of persons and to answer a number of questions relating to them. A third group (44 Ss) was treated like the second, except that the picture was shown in reverse and with fewer questions. The reports show that all but one S of Group I, all of Group II, and all but two of Group III interpreted the picture in terms of actions of animated beings, chiefly of persons. A characteristic feature of this organization in terms of actions is the attribution of the origin of movements to figural units and to motives. It has been shown that this attribution of the origin influences the interpretation of the movements, and that it depends in some cases on the characteristics of the movements themselves, in others on surrounding objects. The way in which the actors are judged is closely connected with this attribution of origin. It is held that this method is useful in investigating the way the behavior of other persons is perceived.\" (PsycINFO Database Record (c) 2017 APA, all rights reserved)","author":[{"dropping-particle":"","family":"Heider","given":"F","non-dropping-particle":"","parse-names":false,"suffix":""},{"dropping-particle":"","family":"Simmel","given":"M","non-dropping-particle":"","parse-names":false,"suffix":""}],"container-title":"The American Journal of Psychology","id":"ITEM-1","issued":{"date-parts":[["1944"]]},"page":"243-259","publisher":"Univ of Illinois Press","publisher-place":"US","title":"An experimental study of apparent behavior.","type":"article-journal","volume":"57"},"uris":["http://www.mendeley.com/documents/?uuid=680dac7c-7e12-43ee-8acc-cf3d11d122f6"]},{"id":"ITEM-2","itemData":{"DOI":"10.1037/10628-000","abstract":"As the title suggests, this book examines the psychology of interpersonal relations. In the context of this book, the term \"interpersonal relations\" denotes relations between a few, usually between two, people. How one person thinks and feels about another person, how he perceives him and what he does to him, what he expects him to do or think, how he reacts to the actions of the other--these are some of the phenomena that will be treated. Our concern will be with \"surface\" matters, the events that occur in everyday life on a conscious level, rather than with the unconscious processes studied by psychoanalysis in \"depth\" psychology. These intuitively understood and \"obvious\" human relations can, as we shall see, be just as challenging and psychologically significant as the deeper and stranger phenomena. The discussion will center on the person as the basic unit to be investigated. That is to say, the two-person group and its properties as a superindividual unit will not be the focus of attention. Of course, in dealing with the person as a member of a dyad, he cannot be described as a lone subject in an impersonal environment, but must be represented as standing in relation to and interacting with another person. The chapter topics included in this book include: Perceiving the Other Person; The Other Person as Perceiver; The Naive Analysis of Action; Desire and Pleasure; Environmental Effects; Sentiment; Ought and Value; Request and Command; Benefit and Harm; and Reaction to the Lot of the Other Person. (PsycINFO Database Record (c) 2016 APA, all rights reserved)","author":[{"dropping-particle":"","family":"Heider","given":"Fritz","non-dropping-particle":"","parse-names":false,"suffix":""}],"container-title":"The psychology of interpersonal relations.","id":"ITEM-2","issued":{"date-parts":[["1958"]]},"number-of-pages":"ix, 326-ix, 326","publisher":"John Wiley &amp; Sons Inc","publisher-place":"Hoboken","title":"The psychology of interpersonal relations.","type":"book"},"uris":["http://www.mendeley.com/documents/?uuid=15941eaa-24ec-4da0-b50a-d576ca5a2d7f"]},{"id":"ITEM-3","itemData":{"abstract":"The book published originally in 1946 reports systematic experiments on the perception of causality. A distinction is made between the cognitive and the perceptual aspect of causality. It is the later concept which Michotte investigated extensively. The current translation of the book is augmented by a special chapter in which the author revises his theory of 1946 in the light of recent experimental evidence. Now as before the theory revolves around the concept of ampliation of movement. It characterizes the crucial moment within the stimulus sequence where an active object extends its movement to a passive object which is displaced in addition. Critical reflections on causality theories by Hume, de Biran, and Piaget conclude the book. Special concepts are defined in a short glossary added by the translators T. and E. Miles. (PsycINFO Database Record (c) 2016 APA, all rights reserved)","author":[{"dropping-particle":"","family":"Michotte","given":"A","non-dropping-particle":"","parse-names":false,"suffix":""}],"container-title":"The perception of causality.","id":"ITEM-3","issued":{"date-parts":[["1963"]]},"number-of-pages":"xxii, 424-xxii, 424","publisher":"Basic Books","publisher-place":"Oxford,  England","title":"The perception of causality.","type":"book"},"uris":["http://www.mendeley.com/documents/?uuid=3a90dea9-13db-4ff7-8fdd-76f641d24cb6"]},{"id":"ITEM-4","itemData":{"DOI":"10.1016/S0065-2601(08)60107-0","ISBN":"0065-2601","abstract":"Publisher Summary This chapter describes the naive explanation of human actions, theory of correspondent inferences, personal involvement and correspondence, and the recent research concerning phenomenal causality and the attribution of intentions. The cognitive task of establishing sufficient reason for an action involves processing the available information about, or making assumptions about, the links between stable individual dispositions and observed action. The dispositional attributes are inferred from the effects of action, but not every effect is equally salient in the inference process. The perceiver's fundamental task is to interpret or infer the causal antecedents of action. When a person's actions have certain consequences, it is important for the perceiver to determine whether the person was capable of producing these consequences in response to his intentions. Where an actor fails to produce certain effects that might have been anticipated by the perceiver, there may be ambiguity as to whether the actor did not want to produce the effects, or wanted but was not able to. The attribution of intentions is that actions are informative to the extent that they have emerged out of a context of choice and reflect a selection of one among plural alternatives. However, the distinctiveness of the effects achieved and the extent to which they do not represent stereotypic cultural values, determine the likelihood that information about the actor can be extracted from an action. To say that an inference is correspondent, then, is to say that a disposition is being rather directly reflected in behavior, and that this disposition is unusual in its strength or intensity. In-role behavior is supported by too many reasons to be informative about the actor. However, out-of-role behavior is more informative because the effects of such actions are distinctive and not to be dismissed as culturally desirable.","author":[{"dropping-particle":"","family":"Jones","given":"Edward E","non-dropping-particle":"","parse-names":false,"suffix":""},{"dropping-particle":"","family":"Davis","given":"Keith E","non-dropping-particle":"","parse-names":false,"suffix":""}],"editor":[{"dropping-particle":"","family":"Berkowitz","given":"Leonard B T - Advances in Experimental Social Psychology","non-dropping-particle":"","parse-names":false,"suffix":""}],"id":"ITEM-4","issued":{"date-parts":[["1965"]]},"page":"219-266","publisher":"Academic Press","title":"From Acts To Dispositions The Attribution Process In Person Perception","type":"chapter","volume":"2"},"uris":["http://www.mendeley.com/documents/?uuid=9a3d4289-fafb-455f-bfef-d64a72a6c97b"]}],"mendeley":{"formattedCitation":"(F Heider &amp; Simmel, 1944; Fritz Heider, 1958; E. E. Jones &amp; Davis, 1965; Michotte, 1963)","manualFormatting":"(Heider &amp; Simmel, 1944; Heider, 1958; Jones &amp; Davis, 1965; Michotte, 1963)","plainTextFormattedCitation":"(F Heider &amp; Simmel, 1944; Fritz Heider, 1958; E. E. Jones &amp; Davis, 1965; Michotte, 1963)","previouslyFormattedCitation":"(F Heider &amp; Simmel, 1944; Fritz Heider, 1958; E. E. Jones &amp; Davis, 1965; Michotte, 1963)"},"properties":{"noteIndex":0},"schema":"https://github.com/citation-style-language/schema/raw/master/csl-citation.json"}</w:instrText>
      </w:r>
      <w:r w:rsidR="00E63BFA" w:rsidRPr="00BD14B0">
        <w:fldChar w:fldCharType="separate"/>
      </w:r>
      <w:r w:rsidR="00E63BFA" w:rsidRPr="00BD14B0">
        <w:rPr>
          <w:noProof/>
        </w:rPr>
        <w:t>(Heider &amp; Simmel, 1944; Heider, 1958; Jones &amp; Davis, 1965; Michotte, 1963)</w:t>
      </w:r>
      <w:r w:rsidR="00E63BFA" w:rsidRPr="00BD14B0">
        <w:fldChar w:fldCharType="end"/>
      </w:r>
      <w:r w:rsidR="00E63BFA" w:rsidRPr="00BD14B0">
        <w:t xml:space="preserve">. These theories suggest that people attempt to predict, understand and control their social environments like a naive scientist by exploring reasons and causes </w:t>
      </w:r>
      <w:r w:rsidR="00A76A9E" w:rsidRPr="00BD14B0">
        <w:t xml:space="preserve">for why </w:t>
      </w:r>
      <w:r w:rsidR="00E63BFA" w:rsidRPr="00BD14B0">
        <w:t xml:space="preserve">people, including </w:t>
      </w:r>
      <w:r w:rsidR="00A76A9E" w:rsidRPr="00BD14B0">
        <w:t xml:space="preserve">the </w:t>
      </w:r>
      <w:r w:rsidR="00E63BFA" w:rsidRPr="00BD14B0">
        <w:t xml:space="preserve">self and others, behave in a particular way </w:t>
      </w:r>
      <w:r w:rsidR="00E63BFA" w:rsidRPr="00BD14B0">
        <w:fldChar w:fldCharType="begin" w:fldLock="1"/>
      </w:r>
      <w:r w:rsidR="00E63BFA" w:rsidRPr="00BD14B0">
        <w:instrText>ADDIN CSL_CITATION {"citationItems":[{"id":"ITEM-1","itemData":{"ISBN":"9780415217040","author":[{"dropping-particle":"","family":"Pennington","given":"D C","non-dropping-particle":"","parse-names":false,"suffix":""}],"collection-title":"Routledge modular psychology","id":"ITEM-1","issued":{"date-parts":[["2000"]]},"publisher":"Routledge","title":"Social Cognition","type":"book"},"uris":["http://www.mendeley.com/documents/?uuid=59e1145c-5667-44b9-9679-15894741a532"]}],"mendeley":{"formattedCitation":"(Pennington, 2000)","plainTextFormattedCitation":"(Pennington, 2000)","previouslyFormattedCitation":"(Pennington, 2000)"},"properties":{"noteIndex":0},"schema":"https://github.com/citation-style-language/schema/raw/master/csl-citation.json"}</w:instrText>
      </w:r>
      <w:r w:rsidR="00E63BFA" w:rsidRPr="00BD14B0">
        <w:fldChar w:fldCharType="separate"/>
      </w:r>
      <w:r w:rsidR="00E63BFA" w:rsidRPr="00BD14B0">
        <w:rPr>
          <w:noProof/>
        </w:rPr>
        <w:t>(Pennington, 2000)</w:t>
      </w:r>
      <w:r w:rsidR="00E63BFA" w:rsidRPr="00BD14B0">
        <w:fldChar w:fldCharType="end"/>
      </w:r>
      <w:r w:rsidR="00E63BFA" w:rsidRPr="00BD14B0">
        <w:t xml:space="preserve">. Simple situations such as not receiving an invitation from an acquaintance for a social gathering necessitate the use of such interpretations to fully understand the situation. </w:t>
      </w:r>
      <w:r w:rsidR="00A76A9E" w:rsidRPr="00BD14B0">
        <w:t>P</w:t>
      </w:r>
      <w:r w:rsidR="00E63BFA" w:rsidRPr="00BD14B0">
        <w:t xml:space="preserve">eople interpret the behaviour of others in terms of its causes and these interpretations play an important role in determining appropriate reactions to that behaviour. For instance, the person can think that they are deliberately dismissed or forgotten, yet it is also possible that the invitation is not received for an unrelated reason after being sent. </w:t>
      </w:r>
      <w:r w:rsidR="00E63BFA" w:rsidRPr="00BD14B0">
        <w:fldChar w:fldCharType="begin" w:fldLock="1"/>
      </w:r>
      <w:r w:rsidR="004D2901" w:rsidRPr="00BD14B0">
        <w:instrText>ADDIN CSL_CITATION {"citationItems":[{"id":"ITEM-1","itemData":{"DOI":"10.1037/10628-000","abstract":"As the title suggests, this book examines the psychology of interpersonal relations. In the context of this book, the term \"interpersonal relations\" denotes relations between a few, usually between two, people. How one person thinks and feels about another person, how he perceives him and what he does to him, what he expects him to do or think, how he reacts to the actions of the other--these are some of the phenomena that will be treated. Our concern will be with \"surface\" matters, the events that occur in everyday life on a conscious level, rather than with the unconscious processes studied by psychoanalysis in \"depth\" psychology. These intuitively understood and \"obvious\" human relations can, as we shall see, be just as challenging and psychologically significant as the deeper and stranger phenomena. The discussion will center on the person as the basic unit to be investigated. That is to say, the two-person group and its properties as a superindividual unit will not be the focus of attention. Of course, in dealing with the person as a member of a dyad, he cannot be described as a lone subject in an impersonal environment, but must be represented as standing in relation to and interacting with another person. The chapter topics included in this book include: Perceiving the Other Person; The Other Person as Perceiver; The Naive Analysis of Action; Desire and Pleasure; Environmental Effects; Sentiment; Ought and Value; Request and Command; Benefit and Harm; and Reaction to the Lot of the Other Person. (PsycINFO Database Record (c) 2016 APA, all rights reserved)","author":[{"dropping-particle":"","family":"Heider","given":"Fritz","non-dropping-particle":"","parse-names":false,"suffix":""}],"container-title":"The psychology of interpersonal relations.","id":"ITEM-1","issued":{"date-parts":[["1958"]]},"number-of-pages":"ix, 326-ix, 326","publisher":"John Wiley &amp; Sons Inc","publisher-place":"Hoboken","title":"The psychology of interpersonal relations.","type":"book"},"uris":["http://www.mendeley.com/documents/?uuid=15941eaa-24ec-4da0-b50a-d576ca5a2d7f"]}],"mendeley":{"formattedCitation":"(Fritz Heider, 1958)","manualFormatting":"Heider (1958)","plainTextFormattedCitation":"(Fritz Heider, 1958)","previouslyFormattedCitation":"(Fritz Heider, 1958)"},"properties":{"noteIndex":0},"schema":"https://github.com/citation-style-language/schema/raw/master/csl-citation.json"}</w:instrText>
      </w:r>
      <w:r w:rsidR="00E63BFA" w:rsidRPr="00BD14B0">
        <w:fldChar w:fldCharType="separate"/>
      </w:r>
      <w:r w:rsidR="00E63BFA" w:rsidRPr="00BD14B0">
        <w:rPr>
          <w:noProof/>
        </w:rPr>
        <w:t>Heider (1958)</w:t>
      </w:r>
      <w:r w:rsidR="00E63BFA" w:rsidRPr="00BD14B0">
        <w:fldChar w:fldCharType="end"/>
      </w:r>
      <w:r w:rsidR="00E63BFA" w:rsidRPr="00BD14B0">
        <w:t xml:space="preserve"> distinguishes such examples between causes within the person (i.e., traits or personality dispositions) and causes derived from the situation (e.g., social pressure).</w:t>
      </w:r>
    </w:p>
    <w:p w14:paraId="5D71E770" w14:textId="14DF22F7" w:rsidR="00E63BFA" w:rsidRPr="00BD14B0" w:rsidRDefault="00E63BFA" w:rsidP="00553E01">
      <w:r w:rsidRPr="00BD14B0">
        <w:tab/>
        <w:t xml:space="preserve">As a social animal, humans want to know other’s intentions and dispositions </w:t>
      </w:r>
      <w:r w:rsidRPr="00BD14B0">
        <w:fldChar w:fldCharType="begin" w:fldLock="1"/>
      </w:r>
      <w:r w:rsidRPr="00BD14B0">
        <w:instrText>ADDIN CSL_CITATION {"citationItems":[{"id":"ITEM-1","itemData":{"DOI":"10.1016/j.neuroimage.2005.05.021","ISSN":"10538119","abstract":"People need to predict what other people will do, and the other person's perceived disposition is the preferred mode of prediction. People less often use, for example, shared social norms to explain another person's behavior. Social psychology's last half-century of research on attribution theory offers precise, validated paradigms for testing how people think about other people's minds. Neuro-imaging data from one classic attribution paradigm shows the unique priority given to inferring chronic, idiosyncratic dispositions (unique attitudes, individual personality, idiosyncratic intent), compared to other kinds of mental contents. Specifically, sentences describing behavior that is low in consensus across actors, low in distinctiveness across entities, and high in consistency over time (compared with the other 7 low–high combinations) uniquely elicits (a) person attributions and (b) activation in the superior temporal sulcus. Ignoring consensus, both low-distinctiveness, high-consistency combinations (compared to 6 remaining combinations) also activate the MPFC, consistent with decades of behavioral data showing that general social cognition neglects consensus information. Thus, activated areas converge with prior neuro-imaging data on theory of mind and social cognition, but more precisely isolate the exact nature of the inferences that activate these areas.","author":[{"dropping-particle":"","family":"Harris","given":"Lasana T","non-dropping-particle":"","parse-names":false,"suffix":""},{"dropping-particle":"","family":"Todorov","given":"Alexander","non-dropping-particle":"","parse-names":false,"suffix":""},{"dropping-particle":"","family":"Fiske","given":"Susan T","non-dropping-particle":"","parse-names":false,"suffix":""}],"container-title":"NeuroImage","id":"ITEM-1","issue":"4","issued":{"date-parts":[["2005","12"]]},"page":"763-769","title":"Attributions on the brain: Neuro-imaging dispositional inferences, beyond theory of mind","type":"article-journal","volume":"28"},"uris":["http://www.mendeley.com/documents/?uuid=f63b4627-76fd-45a2-a02d-200c7e578ff2"]}],"mendeley":{"formattedCitation":"(Harris et al., 2005)","plainTextFormattedCitation":"(Harris et al., 2005)","previouslyFormattedCitation":"(Harris et al., 2005)"},"properties":{"noteIndex":0},"schema":"https://github.com/citation-style-language/schema/raw/master/csl-citation.json"}</w:instrText>
      </w:r>
      <w:r w:rsidRPr="00BD14B0">
        <w:fldChar w:fldCharType="separate"/>
      </w:r>
      <w:r w:rsidRPr="00BD14B0">
        <w:rPr>
          <w:noProof/>
        </w:rPr>
        <w:t>(Harris et al., 2005)</w:t>
      </w:r>
      <w:r w:rsidRPr="00BD14B0">
        <w:fldChar w:fldCharType="end"/>
      </w:r>
      <w:r w:rsidRPr="00BD14B0">
        <w:t xml:space="preserve"> so they can communicate better in society. Therefore, gaining insights into the mind of the self and others is fundamental for social skills. Advances in neuroscience </w:t>
      </w:r>
      <w:r w:rsidR="00A76A9E" w:rsidRPr="00BD14B0">
        <w:t xml:space="preserve">has </w:t>
      </w:r>
      <w:r w:rsidRPr="00BD14B0">
        <w:t xml:space="preserve">led researchers to explore the capacity of the human brain in terms of social cognition. Humans have a larger brain than those of their nearest primate relatives </w:t>
      </w:r>
      <w:r w:rsidRPr="00BD14B0">
        <w:lastRenderedPageBreak/>
        <w:fldChar w:fldCharType="begin" w:fldLock="1"/>
      </w:r>
      <w:r w:rsidRPr="00BD14B0">
        <w:instrText>ADDIN CSL_CITATION {"citationItems":[{"id":"ITEM-1","itemData":{"DOI":"10.1126/science.1146282","ISSN":"0036-8075","abstract":"Humans have many cognitive skills not possessed by their nearest primate relatives. The cultural intelligence hypothesis argues that this is mainly due to a species-specific set of social-cognitive skills, emerging early in ontogeny, for participating and exchanging knowledge in cultural groups. We tested this hypothesis by giving a comprehensive battery of cognitive tests to large numbers of two of humans' closest primate relatives, chimpanzees and orangutans, as well as to 2.5-year-old human children before literacy and schooling. Supporting the cultural intelligence hypothesis and contradicting the hypothesis that humans simply have more \"general intelligence,\" we found that the children and chimpanzees had very similar cognitive skills for dealing with the physical world but that the children had more sophisticated cognitive skills than either of the ape species for dealing with the social world.","author":[{"dropping-particle":"","family":"Herrmann","given":"Esther","non-dropping-particle":"","parse-names":false,"suffix":""},{"dropping-particle":"","family":"Call","given":"Josep","non-dropping-particle":"","parse-names":false,"suffix":""},{"dropping-particle":"V.","family":"Hernandez-Lloreda","given":"M.","non-dropping-particle":"","parse-names":false,"suffix":""},{"dropping-particle":"","family":"Hare","given":"Brian","non-dropping-particle":"","parse-names":false,"suffix":""},{"dropping-particle":"","family":"Tomasello","given":"Michael","non-dropping-particle":"","parse-names":false,"suffix":""}],"container-title":"Science","id":"ITEM-1","issue":"5843","issued":{"date-parts":[["2007","9","7"]]},"page":"1360-1366","title":"Humans Have Evolved Specialized Skills of Social Cognition: The Cultural Intelligence Hypothesis","type":"article-journal","volume":"317"},"uris":["http://www.mendeley.com/documents/?uuid=d2a0078d-b6fb-4271-b280-099d67ac9dbc"]}],"mendeley":{"formattedCitation":"(Herrmann et al., 2007)","plainTextFormattedCitation":"(Herrmann et al., 2007)","previouslyFormattedCitation":"(Herrmann et al., 2007)"},"properties":{"noteIndex":0},"schema":"https://github.com/citation-style-language/schema/raw/master/csl-citation.json"}</w:instrText>
      </w:r>
      <w:r w:rsidRPr="00BD14B0">
        <w:fldChar w:fldCharType="separate"/>
      </w:r>
      <w:r w:rsidRPr="00BD14B0">
        <w:rPr>
          <w:noProof/>
        </w:rPr>
        <w:t>(Herrmann et al., 2007)</w:t>
      </w:r>
      <w:r w:rsidRPr="00BD14B0">
        <w:fldChar w:fldCharType="end"/>
      </w:r>
      <w:r w:rsidRPr="00BD14B0">
        <w:t xml:space="preserve"> and the social brain hypothesis suggest that larger brains enable humans to perform all kinds of cognitive tasks more efficiently </w:t>
      </w:r>
      <w:r w:rsidRPr="00BD14B0">
        <w:fldChar w:fldCharType="begin" w:fldLock="1"/>
      </w:r>
      <w:r w:rsidRPr="00BD14B0">
        <w:instrText>ADDIN CSL_CITATION {"citationItems":[{"id":"ITEM-1","itemData":{"ISBN":"0716750767","author":[{"dropping-particle":"","family":"Allman","given":"John Morgan","non-dropping-particle":"","parse-names":false,"suffix":""},{"dropping-particle":"","family":"Martin","given":"Bob","non-dropping-particle":"","parse-names":false,"suffix":""}],"id":"ITEM-1","issue":"68","issued":{"date-parts":[["1999"]]},"publisher":"Scientific American Library New York","title":"Evolving brains","type":"book"},"uris":["http://www.mendeley.com/documents/?uuid=075270e5-ff2b-4786-9a34-0529d66fbfd0"]},{"id":"ITEM-2","itemData":{"DOI":"10.1098/rspb.2005.3200","ISSN":"0962-8452","abstract":"The hypothesis that the enlarged brain size of the primates was selected for by social, rather than purely ecological, factors has been strongly influential in studies of primate cognition and behaviour over the past two decades. However, the Machiavellian intelligence hypothesis, also known as the social brain hypothesis, tends to emphasize certain traits and behaviours, like exploitation and deception, at the expense of others, such as tolerance and behavioural coordination, and therefore presents only one view of how social life may shape cognition. This review outlines work from other relevant disciplines, including evolutionary economics, cognitive science and neurophysiology, to illustrate how these can be used to build a more general theoretical framework, incorporating notions of embodied and distributed cognition, in which to situate questions concerning the evolution of primate social cognition. © 2005 The Royal Society.","author":[{"dropping-particle":"","family":"Barrett","given":"Louise","non-dropping-particle":"","parse-names":false,"suffix":""},{"dropping-particle":"","family":"Henzi","given":"Peter","non-dropping-particle":"","parse-names":false,"suffix":""}],"container-title":"Proceedings of the Royal Society B: Biological Sciences","id":"ITEM-2","issue":"1575","issued":{"date-parts":[["2005","9","22"]]},"page":"1865-1875","title":"The social nature of primate cognition","type":"article-journal","volume":"272"},"uris":["http://www.mendeley.com/documents/?uuid=5bac5159-515f-459b-a4b6-857fb621690e"]},{"id":"ITEM-3","itemData":{"DOI":"10.1002/(SICI)1520-6505(1998)6:5&lt;178::AID-EVAN5&gt;3.3.CO;2-P","ISSN":"10601538","abstract":"Conventional wisdom over the past 160 years in the cognitive and neurosciences has assumed that brains evolved to process factual information about the world. Most attention has therefore been focused on such features as pattern recognition, color vision, and speech perception. By extension, it was assumed that brains evolved to deal with essentially ecological problem-solving tasks","author":[{"dropping-particle":"","family":"Dunbar","given":"Robin I.M.","non-dropping-particle":"","parse-names":false,"suffix":""}],"container-title":"Evolutionary Anthropology: Issues, News, and Reviews","id":"ITEM-3","issue":"5","issued":{"date-parts":[["1998"]]},"page":"178-190","title":"The social brain hypothesis","type":"article-journal","volume":"6"},"uris":["http://www.mendeley.com/documents/?uuid=f165dd7d-b0ad-4589-8e5e-8ae403f75708"]}],"mendeley":{"formattedCitation":"(Allman &amp; Martin, 1999; Barrett &amp; Henzi, 2005; Dunbar, 1998)","plainTextFormattedCitation":"(Allman &amp; Martin, 1999; Barrett &amp; Henzi, 2005; Dunbar, 1998)","previouslyFormattedCitation":"(Allman &amp; Martin, 1999; Barrett &amp; Henzi, 2005; Dunbar, 1998)"},"properties":{"noteIndex":0},"schema":"https://github.com/citation-style-language/schema/raw/master/csl-citation.json"}</w:instrText>
      </w:r>
      <w:r w:rsidRPr="00BD14B0">
        <w:fldChar w:fldCharType="separate"/>
      </w:r>
      <w:r w:rsidRPr="00BD14B0">
        <w:rPr>
          <w:noProof/>
        </w:rPr>
        <w:t>(Allman &amp; Martin, 1999; Barrett &amp; Henzi, 2005; Dunbar, 1998)</w:t>
      </w:r>
      <w:r w:rsidRPr="00BD14B0">
        <w:fldChar w:fldCharType="end"/>
      </w:r>
      <w:r w:rsidRPr="00BD14B0">
        <w:t xml:space="preserve"> including greater memory, faster learning, faster perceptual processing, more robust inferences, longer-range planning in decision-making and so on. Moreover, there is a correlation between mean group size among various primate species and their neocortex volume. This relationship has also been observed in several other mammals with complex social structure, such as bats and toothed whales </w:t>
      </w:r>
      <w:r w:rsidRPr="00BD14B0">
        <w:fldChar w:fldCharType="begin" w:fldLock="1"/>
      </w:r>
      <w:r w:rsidRPr="00BD14B0">
        <w:instrText>ADDIN CSL_CITATION {"citationItems":[{"id":"ITEM-1","itemData":{"ISBN":"0716750767","author":[{"dropping-particle":"","family":"Allman","given":"John Morgan","non-dropping-particle":"","parse-names":false,"suffix":""},{"dropping-particle":"","family":"Martin","given":"Bob","non-dropping-particle":"","parse-names":false,"suffix":""}],"id":"ITEM-1","issue":"68","issued":{"date-parts":[["1999"]]},"publisher":"Scientific American Library New York","title":"Evolving brains","type":"book"},"uris":["http://www.mendeley.com/documents/?uuid=075270e5-ff2b-4786-9a34-0529d66fbfd0"]}],"mendeley":{"formattedCitation":"(Allman &amp; Martin, 1999)","plainTextFormattedCitation":"(Allman &amp; Martin, 1999)","previouslyFormattedCitation":"(Allman &amp; Martin, 1999)"},"properties":{"noteIndex":0},"schema":"https://github.com/citation-style-language/schema/raw/master/csl-citation.json"}</w:instrText>
      </w:r>
      <w:r w:rsidRPr="00BD14B0">
        <w:fldChar w:fldCharType="separate"/>
      </w:r>
      <w:r w:rsidRPr="00BD14B0">
        <w:rPr>
          <w:noProof/>
        </w:rPr>
        <w:t>(Allman &amp; Martin, 1999)</w:t>
      </w:r>
      <w:r w:rsidRPr="00BD14B0">
        <w:fldChar w:fldCharType="end"/>
      </w:r>
      <w:r w:rsidRPr="00BD14B0">
        <w:t xml:space="preserve">. Such complex social structures include both cooperation for better security and more reliable food sources and also within-group competition </w:t>
      </w:r>
      <w:r w:rsidRPr="00BD14B0">
        <w:fldChar w:fldCharType="begin" w:fldLock="1"/>
      </w:r>
      <w:r w:rsidR="0028287E" w:rsidRPr="00BD14B0">
        <w:instrText>ADDIN CSL_CITATION {"citationItems":[{"id":"ITEM-1","itemData":{"DOI":"10.1016/s0149-7634(00)00025-7","ISSN":"0149-7634","abstract":"Gaze is an important component of social interaction. The function, evolution and neurobiology of gaze processing are therefore of interest to a number of researchers. This review discusses the evolutionary role of social gaze in vertebrates (focusing on primates), and a hypothesis that this role has changed substantially for primates compared to other animals. This change may have been driven by morphological changes to the face and eyes of primates, limitations in the facial anatomy of other vertebrates, changes in the ecology of the environment in which primates live, and a necessity to communicate information about the environment, emotional and mental states. The eyes represent different levels of signal value depending on the status, disposition and emotional state of the sender and receiver of such signals. There are regions in the monkey and human brain which contain neurons that respond selectively to faces, bodies and eye gaze. The ability to follow another individual's gaze direction is affected in individuals with autism and other psychopathological disorders, and after particular localized brain lesions. The hypothesis that gaze following is \"hard-wired\" in the brain, and may be localized within a circuit linking the superior temporal sulcus, amygdala and orbitofrontal cortex is discussed. (C) 2000 Elsevier Science Ltd. All rights reserved.","author":[{"dropping-particle":"","family":"Emery","given":"N J","non-dropping-particle":"","parse-names":false,"suffix":""}],"container-title":"Neuroscience and Biobehavioral Reviews","id":"ITEM-1","issue":"6","issued":{"date-parts":[["2000"]]},"note":"Times Cited: 535\n547","page":"581-604","title":"The eyes have it: the neuroethology, function and evolution of social gaze","type":"article-journal","volume":"24"},"uris":["http://www.mendeley.com/documents/?uuid=5d58b576-b76a-4e08-ae1a-27007bed123f"]}],"mendeley":{"formattedCitation":"(N J Emery, 2000)","manualFormatting":"(Emery, 2000)","plainTextFormattedCitation":"(N J Emery, 2000)","previouslyFormattedCitation":"(N J Emery, 2000)"},"properties":{"noteIndex":0},"schema":"https://github.com/citation-style-language/schema/raw/master/csl-citation.json"}</w:instrText>
      </w:r>
      <w:r w:rsidRPr="00BD14B0">
        <w:fldChar w:fldCharType="separate"/>
      </w:r>
      <w:r w:rsidR="004D2901" w:rsidRPr="00BD14B0">
        <w:rPr>
          <w:noProof/>
        </w:rPr>
        <w:t>(Emery, 2000)</w:t>
      </w:r>
      <w:r w:rsidRPr="00BD14B0">
        <w:fldChar w:fldCharType="end"/>
      </w:r>
      <w:r w:rsidRPr="00BD14B0">
        <w:t xml:space="preserve"> or hierarchical differences </w:t>
      </w:r>
      <w:r w:rsidRPr="00BD14B0">
        <w:fldChar w:fldCharType="begin" w:fldLock="1"/>
      </w:r>
      <w:r w:rsidRPr="00BD14B0">
        <w:instrText>ADDIN CSL_CITATION {"citationItems":[{"id":"ITEM-1","itemData":{"DOI":"10.1287/orsc.1110.0734","ISSN":"1047-7039","abstract":"We introduce status conflicts?defined as disputes over people's relative status (i.e., respect) positions in their group's social hierarchy?as a key group process that affects task group performance. Using mixed research methods, we qualitatively identify the characteristics of status conflicts, validate a four-item survey scale that distinctly measures status conflict, and investigate the relationship between status conflict and group performance. We determine that status conflict exerts a significant negative main effect, moderates the effects of task conflict on group performance, and hurts performance by undermining information sharing more than other types of conflict do.","author":[{"dropping-particle":"","family":"Bendersky","given":"Corinne","non-dropping-particle":"","parse-names":false,"suffix":""},{"dropping-particle":"","family":"Hays","given":"Nicholas A","non-dropping-particle":"","parse-names":false,"suffix":""}],"container-title":"Organization Science","id":"ITEM-1","issue":"2","issued":{"date-parts":[["2012","4","22"]]},"note":"doi: 10.1287/orsc.1110.0734","page":"323-340","publisher":"INFORMS","title":"Status Conflict in Groups","type":"article-journal","volume":"23"},"uris":["http://www.mendeley.com/documents/?uuid=f30f5e44-10ee-4ccc-80aa-12c4a96d6e58"]}],"mendeley":{"formattedCitation":"(Bendersky &amp; Hays, 2012)","plainTextFormattedCitation":"(Bendersky &amp; Hays, 2012)","previouslyFormattedCitation":"(Bendersky &amp; Hays, 2012)"},"properties":{"noteIndex":0},"schema":"https://github.com/citation-style-language/schema/raw/master/csl-citation.json"}</w:instrText>
      </w:r>
      <w:r w:rsidRPr="00BD14B0">
        <w:fldChar w:fldCharType="separate"/>
      </w:r>
      <w:r w:rsidRPr="00BD14B0">
        <w:rPr>
          <w:noProof/>
        </w:rPr>
        <w:t>(Bendersky &amp; Hays, 2012)</w:t>
      </w:r>
      <w:r w:rsidRPr="00BD14B0">
        <w:fldChar w:fldCharType="end"/>
      </w:r>
      <w:r w:rsidRPr="00BD14B0">
        <w:t xml:space="preserve">. Social interactions between humans are frequent and it is adaptive to prioritize social information to survive and thrive in the social world. Thus, an evolutionary approach to social cognition predicts mechanisms for cooperativity, altruism, and other aspects of prosocial behaviour as well as mechanisms for coercion, </w:t>
      </w:r>
      <w:proofErr w:type="gramStart"/>
      <w:r w:rsidRPr="00BD14B0">
        <w:t>deception</w:t>
      </w:r>
      <w:proofErr w:type="gramEnd"/>
      <w:r w:rsidRPr="00BD14B0">
        <w:t xml:space="preserve"> and manipulation of others. </w:t>
      </w:r>
    </w:p>
    <w:p w14:paraId="75C8A0A1" w14:textId="05DAC9A2" w:rsidR="00E63BFA" w:rsidRPr="00BD14B0" w:rsidRDefault="00E63BFA" w:rsidP="00553E01">
      <w:r w:rsidRPr="00BD14B0">
        <w:tab/>
        <w:t xml:space="preserve">Faces and gaze perception are particularly important in social communication. One of the richest information sources for social functioning is the face. Faces can reveal socially relevant information such as identity, group membership, age, gender, and race as well providing information about emotional state or current intentions </w:t>
      </w:r>
      <w:r w:rsidRPr="00BD14B0">
        <w:fldChar w:fldCharType="begin" w:fldLock="1"/>
      </w:r>
      <w:r w:rsidRPr="00BD14B0">
        <w:instrText>ADDIN CSL_CITATION {"citationItems":[{"id":"ITEM-1","itemData":{"DOI":"10.1016/S0006-3223(01)01330-0","ISBN":"0006-3223","ISSN":"0006-3223","PMID":"11801231","abstract":"Face perception is mediated by a distributed neural system in humans that consists of multiple, bilateral regions. The functional organization of this system embodies a distinction between the representation of invariant aspects of faces, which is the basis for recognizing individuals, and the representation of changeable aspects, such as eye gaze, expression, and lip movement, which underlies the perception of information that facilitates social communication. The system also has a hierarchical organization. A core system, consisting of occipitotemporal regions in extrastriate visual cortex, mediates the visual analysis of faces. An extended system consists of regions from neural systems for other cognitive functions that can act in concert with the core system to extract meaning from faces. Of regions in the extended system for face perception, the amygdala plays a central role in processing the social relevance of information gleaned from faces, particularly when that information may signal a potential threat.","author":[{"dropping-particle":"V","family":"Haxby","given":"J","non-dropping-particle":"","parse-names":false,"suffix":""},{"dropping-particle":"","family":"Hoffman","given":"E A","non-dropping-particle":"","parse-names":false,"suffix":""},{"dropping-particle":"","family":"Gobbini","given":"M I","non-dropping-particle":"","parse-names":false,"suffix":""}],"container-title":"Biol Psychiatry","id":"ITEM-1","issue":"1","issued":{"date-parts":[["2002"]]},"page":"59-67","title":"Human neural systems for face recognition and social communication","type":"article-journal","volume":"51"},"uris":["http://www.mendeley.com/documents/?uuid=09e15335-c5dd-4d08-960c-f47aca34f75e"]}],"mendeley":{"formattedCitation":"(Haxby et al., 2002)","plainTextFormattedCitation":"(Haxby et al., 2002)","previouslyFormattedCitation":"(Haxby et al., 2002)"},"properties":{"noteIndex":0},"schema":"https://github.com/citation-style-language/schema/raw/master/csl-citation.json"}</w:instrText>
      </w:r>
      <w:r w:rsidRPr="00BD14B0">
        <w:fldChar w:fldCharType="separate"/>
      </w:r>
      <w:r w:rsidRPr="00BD14B0">
        <w:rPr>
          <w:noProof/>
        </w:rPr>
        <w:t>(Haxby et al., 2002)</w:t>
      </w:r>
      <w:r w:rsidRPr="00BD14B0">
        <w:fldChar w:fldCharType="end"/>
      </w:r>
      <w:r w:rsidRPr="00BD14B0">
        <w:t>. Gazing into a person’s eyes represents a fundamental dimension of nonverbal and social communication. The eyes of another person can provide important information regarding the focus of their attention, as well as discern their emotions, attitudes, and thoughts. Among the many parts of the human face, the eyes are possibly the most critical when it comes to</w:t>
      </w:r>
      <w:r w:rsidRPr="00BD14B0">
        <w:rPr>
          <w:rFonts w:eastAsia="Arial Unicode MS"/>
        </w:rPr>
        <w:t xml:space="preserve"> social attention</w:t>
      </w:r>
      <w:r w:rsidRPr="00BD14B0">
        <w:t xml:space="preserve">. Indeed, the eyes of animals have evolved in a special way </w:t>
      </w:r>
      <w:r w:rsidRPr="00BD14B0">
        <w:fldChar w:fldCharType="begin" w:fldLock="1"/>
      </w:r>
      <w:r w:rsidRPr="00BD14B0">
        <w:instrText>ADDIN CSL_CITATION {"citationItems":[{"id":"ITEM-1","itemData":{"ISSN":"0028-0836","author":[{"dropping-particle":"","family":"Kobayashi","given":"H","non-dropping-particle":"","parse-names":false,"suffix":""},{"dropping-particle":"","family":"Kohshima","given":"S","non-dropping-particle":"","parse-names":false,"suffix":""}],"container-title":"Nature","id":"ITEM-1","issue":"6635","issued":{"date-parts":[["1997"]]},"page":"767-768","title":"Unique morphology of the human eye","type":"article-journal","volume":"387"},"uris":["http://www.mendeley.com/documents/?uuid=afdc48a4-dbc7-4d5e-9776-a9b386b62c93"]}],"mendeley":{"formattedCitation":"(Kobayashi &amp; Kohshima, 1997)","plainTextFormattedCitation":"(Kobayashi &amp; Kohshima, 1997)","previouslyFormattedCitation":"(Kobayashi &amp; Kohshima, 1997)"},"properties":{"noteIndex":0},"schema":"https://github.com/citation-style-language/schema/raw/master/csl-citation.json"}</w:instrText>
      </w:r>
      <w:r w:rsidRPr="00BD14B0">
        <w:fldChar w:fldCharType="separate"/>
      </w:r>
      <w:r w:rsidRPr="00BD14B0">
        <w:rPr>
          <w:noProof/>
        </w:rPr>
        <w:t>(Kobayashi &amp; Kohshima, 1997)</w:t>
      </w:r>
      <w:r w:rsidRPr="00BD14B0">
        <w:fldChar w:fldCharType="end"/>
      </w:r>
      <w:r w:rsidRPr="00BD14B0">
        <w:t>. Research suggests that human eyes, unlike those of other animals, have large sclera that is lighter than skin tone, and irises and pupils that are darker (</w:t>
      </w:r>
      <w:r w:rsidRPr="00BD14B0">
        <w:fldChar w:fldCharType="begin" w:fldLock="1"/>
      </w:r>
      <w:r w:rsidRPr="00BD14B0">
        <w:instrText>ADDIN CSL_CITATION {"citationItems":[{"id":"ITEM-1","itemData":{"ISSN":"0047-2484","author":[{"dropping-particle":"","family":"Kobayashi","given":"H","non-dropping-particle":"","parse-names":false,"suffix":""},{"dropping-particle":"","family":"Kohshima","given":"S","non-dropping-particle":"","parse-names":false,"suffix":""}],"container-title":"Journal Of Human Evolution","id":"ITEM-1","issue":"5","issued":{"date-parts":[["2001"]]},"page":"419-435","title":"Unique morphology of the human eye and its adaptive meaning: comparative studies on external morphology of the primate eye","type":"article-journal","volume":"40"},"uris":["http://www.mendeley.com/documents/?uuid=3254c75e-35b0-471c-8131-bfa72b95cc0c"]}],"mendeley":{"formattedCitation":"(Kobayashi &amp; Kohshima, 2001)","manualFormatting":"Kobayashi &amp; Kohshima, 2001)","plainTextFormattedCitation":"(Kobayashi &amp; Kohshima, 2001)","previouslyFormattedCitation":"(Kobayashi &amp; Kohshima, 2001)"},"properties":{"noteIndex":0},"schema":"https://github.com/citation-style-language/schema/raw/master/csl-citation.json"}</w:instrText>
      </w:r>
      <w:r w:rsidRPr="00BD14B0">
        <w:fldChar w:fldCharType="separate"/>
      </w:r>
      <w:r w:rsidRPr="00BD14B0">
        <w:rPr>
          <w:noProof/>
        </w:rPr>
        <w:t>Kobayashi &amp; Kohshima, 2001)</w:t>
      </w:r>
      <w:r w:rsidRPr="00BD14B0">
        <w:fldChar w:fldCharType="end"/>
      </w:r>
      <w:r w:rsidRPr="00BD14B0">
        <w:t xml:space="preserve">. As a consequence, human eyes appear to be morphologically unique. </w:t>
      </w:r>
      <w:proofErr w:type="spellStart"/>
      <w:r w:rsidRPr="00BD14B0">
        <w:t>Newborn</w:t>
      </w:r>
      <w:proofErr w:type="spellEnd"/>
      <w:r w:rsidRPr="00BD14B0">
        <w:t xml:space="preserve"> babies show preferences for focusing on faces with open or gaze-directed eyes compared to the same faces with closed eyes or averted gaze </w:t>
      </w:r>
      <w:r w:rsidRPr="00BD14B0">
        <w:fldChar w:fldCharType="begin" w:fldLock="1"/>
      </w:r>
      <w:r w:rsidRPr="00BD14B0">
        <w:instrText>ADDIN CSL_CITATION {"citationItems":[{"id":"ITEM-1","itemData":{"DOI":"10.1016/j.jecp.2013.12.010","ISSN":"0022-0965","author":[{"dropping-particle":"","family":"Dupierrix","given":"E","non-dropping-particle":"","parse-names":false,"suffix":""},{"dropping-particle":"","family":"Boisferon","given":"Ah","non-dropping-particle":"de","parse-names":false,"suffix":""},{"dropping-particle":"","family":"Meary","given":"D","non-dropping-particle":"","parse-names":false,"suffix":""},{"dropping-particle":"","family":"Lee","given":"K","non-dropping-particle":"","parse-names":false,"suffix":""},{"dropping-particle":"","family":"Quinn","given":"P C","non-dropping-particle":"","parse-names":false,"suffix":""},{"dropping-particle":"","family":"Giorgio","given":"E","non-dropping-particle":"Di","parse-names":false,"suffix":""},{"dropping-particle":"","family":"Simion","given":"F","non-dropping-particle":"","parse-names":false,"suffix":""},{"dropping-particle":"","family":"Tomonaga","given":"M","non-dropping-particle":"","parse-names":false,"suffix":""},{"dropping-particle":"","family":"Pascalis","given":"O","non-dropping-particle":"","parse-names":false,"suffix":""}],"container-title":"Journal Of Experimental Child Psychology","id":"ITEM-1","issued":{"date-parts":[["2014"]]},"page":"138-146","title":"Preference for human eyes in human infants","type":"article-journal","volume":"123"},"uris":["http://www.mendeley.com/documents/?uuid=a5fb3cc4-a6b8-490f-8756-f495dfa9426d"]},{"id":"ITEM-2","itemData":{"DOI":"10.1073/pnas.152159999","ISSN":"0027-8424","abstract":"Making eye contact is the most powerful mode of establishing a communicative link between humans. During their first year of life, infants learn rapidly that the looking behaviors of others conveys significant information. Two experiments were carried out to demonstrate special sensitivity to direct eye contact from birth. The first experiment tested the ability of 2- to 5-day-old newborns to discriminate between direct and averted gaze. In the second experiment, we measured 4-month-old infants&amp;#039; brain electric activity to assess neural processing of faces when accompanied by direct (as opposed to averted) eye gaze. The results show that, from birth, human infants prefer to look at faces that engage them in mutual gaze and that, from an early age, healthy babies show enhanced neural processing of direct gaze. The exceptionally early sensitivity to mutual gaze demonstrated in these studies is arguably the major foundation for the later development of social skills.","author":[{"dropping-particle":"","family":"Farroni","given":"T","non-dropping-particle":"","parse-names":false,"suffix":""},{"dropping-particle":"","family":"Csibra","given":"G","non-dropping-particle":"","parse-names":false,"suffix":""},{"dropping-particle":"","family":"Simion","given":"G","non-dropping-particle":"","parse-names":false,"suffix":""},{"dropping-particle":"","family":"Johnson","given":"M H","non-dropping-particle":"","parse-names":false,"suffix":""}],"container-title":"Proc. Natl. Acad. Sci. U. S. A.","id":"ITEM-2","issue":"14","issued":{"date-parts":[["2002"]]},"page":"9602-9605","title":"Eye contact detection in humans from birth","type":"article-journal","volume":"99"},"uris":["http://www.mendeley.com/documents/?uuid=0fa874fa-f6c3-4860-ab58-af0ffbf13bad"]},{"id":"ITEM-3","itemData":{"DOI":"10.1073/pnas.0502205102","ISSN":"0027-8424","abstract":"There is currently no agreement as to how specific or general are the mechanisms underlying newborns&amp;#039; face preferences. We address this issue by manipulating the contrast polarity of schematic and naturalistic face-related images and assessing the preferences of newborns. We find that for both schematic and naturalistic face images, the contrast polarity is important. Newborns did not show a preference for an upright face-related image unless it was composed of darker areas around the eyes and mouth. This result is consistent with either sensitivity to the shadowed areas of a face with overhead (natural) illumination and/or to the detection of eye contact.","author":[{"dropping-particle":"","family":"Farroni","given":"T","non-dropping-particle":"","parse-names":false,"suffix":""},{"dropping-particle":"","family":"Johnson","given":"M H","non-dropping-particle":"","parse-names":false,"suffix":""},{"dropping-particle":"","family":"Menon","given":"E","non-dropping-particle":"","parse-names":false,"suffix":""},{"dropping-particle":"","family":"Zulian","given":"L","non-dropping-particle":"","parse-names":false,"suffix":""},{"dropping-particle":"","family":"Faraguna","given":"D","non-dropping-particle":"","parse-names":false,"suffix":""},{"dropping-particle":"","family":"Csibra","given":"G","non-dropping-particle":"","parse-names":false,"suffix":""}],"container-title":"Proc. Natl. Acad. Sci. U. S. A.","id":"ITEM-3","issue":"47","issued":{"date-parts":[["2005"]]},"page":"17245-17250","title":"Newborns&amp;#039; preference for face- relevant stimuli: Effects of contrast polarity","type":"article-journal","volume":"102"},"uris":["http://www.mendeley.com/documents/?uuid=c77e89f0-e67d-4e44-bf1b-826c72c01a39"]}],"mendeley":{"formattedCitation":"(Dupierrix et al., 2014; Farroni et al., 2002, 2005)","plainTextFormattedCitation":"(Dupierrix et al., 2014; Farroni et al., 2002, 2005)","previouslyFormattedCitation":"(Dupierrix et al., 2014; Farroni et al., 2002, 2005)"},"properties":{"noteIndex":0},"schema":"https://github.com/citation-style-language/schema/raw/master/csl-citation.json"}</w:instrText>
      </w:r>
      <w:r w:rsidRPr="00BD14B0">
        <w:fldChar w:fldCharType="separate"/>
      </w:r>
      <w:r w:rsidRPr="00BD14B0">
        <w:rPr>
          <w:noProof/>
        </w:rPr>
        <w:t>(Dupierrix et al., 2014; Farroni et al., 2002, 2005)</w:t>
      </w:r>
      <w:r w:rsidRPr="00BD14B0">
        <w:fldChar w:fldCharType="end"/>
      </w:r>
      <w:r w:rsidRPr="00BD14B0">
        <w:t xml:space="preserve">. Adults also use eye contact when engaged in face-to-face communication </w:t>
      </w:r>
      <w:r w:rsidRPr="00BD14B0">
        <w:fldChar w:fldCharType="begin" w:fldLock="1"/>
      </w:r>
      <w:r w:rsidRPr="00BD14B0">
        <w:instrText>ADDIN CSL_CITATION {"citationItems":[{"id":"ITEM-1","itemData":{"author":[{"dropping-particle":"","family":"Argyle","given":"Michael","non-dropping-particle":"","parse-names":false,"suffix":""},{"dropping-particle":"","family":"Cook","given":"Mark","non-dropping-particle":"","parse-names":false,"suffix":""}],"id":"ITEM-1","issued":{"date-parts":[["1976"]]},"publisher":"New York: Cambridge","publisher-place":"New York","title":"Gaze and Mutual Gaze","type":"book"},"uris":["http://www.mendeley.com/documents/?uuid=c66fa364-7e4f-4de2-bc75-65345126e93d"]}],"mendeley":{"formattedCitation":"(Argyle &amp; Cook, 1976)","plainTextFormattedCitation":"(Argyle &amp; Cook, 1976)","previouslyFormattedCitation":"(Argyle &amp; Cook, 1976)"},"properties":{"noteIndex":0},"schema":"https://github.com/citation-style-language/schema/raw/master/csl-citation.json"}</w:instrText>
      </w:r>
      <w:r w:rsidRPr="00BD14B0">
        <w:fldChar w:fldCharType="separate"/>
      </w:r>
      <w:r w:rsidRPr="00BD14B0">
        <w:rPr>
          <w:noProof/>
        </w:rPr>
        <w:t>(Argyle &amp; Cook, 1976)</w:t>
      </w:r>
      <w:r w:rsidRPr="00BD14B0">
        <w:fldChar w:fldCharType="end"/>
      </w:r>
      <w:r w:rsidRPr="00BD14B0">
        <w:t xml:space="preserve">. Face scanning always begins with eyes, despite the emotions shown in the face </w:t>
      </w:r>
      <w:r w:rsidRPr="00BD14B0">
        <w:fldChar w:fldCharType="begin" w:fldLock="1"/>
      </w:r>
      <w:r w:rsidRPr="00BD14B0">
        <w:instrText>ADDIN CSL_CITATION {"citationItems":[{"id":"ITEM-1","itemData":{"ISSN":"0003-990X","author":[{"dropping-particle":"","family":"Jones","given":"W","non-dropping-particle":"","parse-names":false,"suffix":""},{"dropping-particle":"","family":"Carr","given":"K","non-dropping-particle":"","parse-names":false,"suffix":""},{"dropping-particle":"","family":"Klin","given":"A","non-dropping-particle":"","parse-names":false,"suffix":""}],"container-title":"Archives Of General Psychiatry","id":"ITEM-1","issue":"8","issued":{"date-parts":[["2008"]]},"page":"946-954","title":"Absence of preferential looking to the eyes of approaching adults predicts level of social disability in 2- year- old toddlers with autism spectrum disorder","type":"article-journal","volume":"65"},"uris":["http://www.mendeley.com/documents/?uuid=0ab0a09f-9fb2-418c-9964-603d072727ba"]}],"mendeley":{"formattedCitation":"(W. Jones et al., 2008)","manualFormatting":"(Jones, Carr, &amp; Klin, 2008)","plainTextFormattedCitation":"(W. Jones et al., 2008)","previouslyFormattedCitation":"(W. Jones et al., 2008)"},"properties":{"noteIndex":0},"schema":"https://github.com/citation-style-language/schema/raw/master/csl-citation.json"}</w:instrText>
      </w:r>
      <w:r w:rsidRPr="00BD14B0">
        <w:fldChar w:fldCharType="separate"/>
      </w:r>
      <w:r w:rsidRPr="00BD14B0">
        <w:rPr>
          <w:noProof/>
        </w:rPr>
        <w:t>(Jones, Carr, &amp; Klin, 2008)</w:t>
      </w:r>
      <w:r w:rsidRPr="00BD14B0">
        <w:fldChar w:fldCharType="end"/>
      </w:r>
      <w:r w:rsidRPr="00BD14B0">
        <w:t xml:space="preserve">. Eyes </w:t>
      </w:r>
      <w:r w:rsidRPr="00BD14B0">
        <w:lastRenderedPageBreak/>
        <w:t>convey remarkable information about another person’s attentive, emotional, and cognitive state, often resulting in the modification</w:t>
      </w:r>
      <w:r w:rsidRPr="00BD14B0">
        <w:rPr>
          <w:spacing w:val="7"/>
        </w:rPr>
        <w:t xml:space="preserve"> of </w:t>
      </w:r>
      <w:r w:rsidRPr="00BD14B0">
        <w:t xml:space="preserve">actions. </w:t>
      </w:r>
      <w:r w:rsidRPr="00BD14B0">
        <w:rPr>
          <w:lang w:eastAsia="zh-TW"/>
        </w:rPr>
        <w:t xml:space="preserve">Eyes can attract attention automatically and play a central role not only in processing faces but also social communication in general </w:t>
      </w:r>
      <w:r w:rsidRPr="00BD14B0">
        <w:rPr>
          <w:lang w:eastAsia="zh-TW"/>
        </w:rPr>
        <w:fldChar w:fldCharType="begin" w:fldLock="1"/>
      </w:r>
      <w:r w:rsidR="0028287E" w:rsidRPr="00BD14B0">
        <w:rPr>
          <w:lang w:eastAsia="zh-TW"/>
        </w:rPr>
        <w:instrText>ADDIN CSL_CITATION {"citationItems":[{"id":"ITEM-1","itemData":{"DOI":"10.1016/s0149-7634(00)00025-7","ISSN":"0149-7634","abstract":"Gaze is an important component of social interaction. The function, evolution and neurobiology of gaze processing are therefore of interest to a number of researchers. This review discusses the evolutionary role of social gaze in vertebrates (focusing on primates), and a hypothesis that this role has changed substantially for primates compared to other animals. This change may have been driven by morphological changes to the face and eyes of primates, limitations in the facial anatomy of other vertebrates, changes in the ecology of the environment in which primates live, and a necessity to communicate information about the environment, emotional and mental states. The eyes represent different levels of signal value depending on the status, disposition and emotional state of the sender and receiver of such signals. There are regions in the monkey and human brain which contain neurons that respond selectively to faces, bodies and eye gaze. The ability to follow another individual's gaze direction is affected in individuals with autism and other psychopathological disorders, and after particular localized brain lesions. The hypothesis that gaze following is \"hard-wired\" in the brain, and may be localized within a circuit linking the superior temporal sulcus, amygdala and orbitofrontal cortex is discussed. (C) 2000 Elsevier Science Ltd. All rights reserved.","author":[{"dropping-particle":"","family":"Emery","given":"N J","non-dropping-particle":"","parse-names":false,"suffix":""}],"container-title":"Neuroscience and Biobehavioral Reviews","id":"ITEM-1","issue":"6","issued":{"date-parts":[["2000"]]},"note":"Times Cited: 535\n547","page":"581-604","title":"The eyes have it: the neuroethology, function and evolution of social gaze","type":"article-journal","volume":"24"},"uris":["http://www.mendeley.com/documents/?uuid=5d58b576-b76a-4e08-ae1a-27007bed123f"]}],"mendeley":{"formattedCitation":"(N J Emery, 2000)","manualFormatting":"(Emery, 2000)","plainTextFormattedCitation":"(N J Emery, 2000)","previouslyFormattedCitation":"(N J Emery, 2000)"},"properties":{"noteIndex":0},"schema":"https://github.com/citation-style-language/schema/raw/master/csl-citation.json"}</w:instrText>
      </w:r>
      <w:r w:rsidRPr="00BD14B0">
        <w:rPr>
          <w:lang w:eastAsia="zh-TW"/>
        </w:rPr>
        <w:fldChar w:fldCharType="separate"/>
      </w:r>
      <w:r w:rsidR="00EE5540" w:rsidRPr="00BD14B0">
        <w:rPr>
          <w:noProof/>
          <w:lang w:eastAsia="zh-TW"/>
        </w:rPr>
        <w:t>(</w:t>
      </w:r>
      <w:r w:rsidR="004D2901" w:rsidRPr="00BD14B0">
        <w:rPr>
          <w:noProof/>
          <w:lang w:eastAsia="zh-TW"/>
        </w:rPr>
        <w:t>Emery, 2000)</w:t>
      </w:r>
      <w:r w:rsidRPr="00BD14B0">
        <w:rPr>
          <w:lang w:eastAsia="zh-TW"/>
        </w:rPr>
        <w:fldChar w:fldCharType="end"/>
      </w:r>
      <w:r w:rsidRPr="00BD14B0">
        <w:rPr>
          <w:lang w:eastAsia="zh-TW"/>
        </w:rPr>
        <w:t>.</w:t>
      </w:r>
    </w:p>
    <w:p w14:paraId="224F11AB" w14:textId="4E8F8E24" w:rsidR="001362E5" w:rsidRPr="00BD14B0" w:rsidRDefault="00E63BFA" w:rsidP="00553E01">
      <w:r w:rsidRPr="00BD14B0">
        <w:rPr>
          <w:lang w:eastAsia="zh-TW"/>
        </w:rPr>
        <w:tab/>
      </w:r>
      <w:r w:rsidR="001362E5" w:rsidRPr="00BD14B0">
        <w:rPr>
          <w:lang w:eastAsia="zh-TW"/>
        </w:rPr>
        <w:t xml:space="preserve">Human eyes might be evolutionally linked to a system of social cognition </w:t>
      </w:r>
      <w:r w:rsidR="001362E5" w:rsidRPr="00BD14B0">
        <w:rPr>
          <w:lang w:eastAsia="zh-TW"/>
        </w:rPr>
        <w:fldChar w:fldCharType="begin" w:fldLock="1"/>
      </w:r>
      <w:r w:rsidR="0028287E" w:rsidRPr="00BD14B0">
        <w:rPr>
          <w:lang w:eastAsia="zh-TW"/>
        </w:rPr>
        <w:instrText>ADDIN CSL_CITATION {"citationItems":[{"id":"ITEM-1","itemData":{"DOI":"10.1016/s0149-7634(00)00025-7","ISSN":"0149-7634","abstract":"Gaze is an important component of social interaction. The function, evolution and neurobiology of gaze processing are therefore of interest to a number of researchers. This review discusses the evolutionary role of social gaze in vertebrates (focusing on primates), and a hypothesis that this role has changed substantially for primates compared to other animals. This change may have been driven by morphological changes to the face and eyes of primates, limitations in the facial anatomy of other vertebrates, changes in the ecology of the environment in which primates live, and a necessity to communicate information about the environment, emotional and mental states. The eyes represent different levels of signal value depending on the status, disposition and emotional state of the sender and receiver of such signals. There are regions in the monkey and human brain which contain neurons that respond selectively to faces, bodies and eye gaze. The ability to follow another individual's gaze direction is affected in individuals with autism and other psychopathological disorders, and after particular localized brain lesions. The hypothesis that gaze following is \"hard-wired\" in the brain, and may be localized within a circuit linking the superior temporal sulcus, amygdala and orbitofrontal cortex is discussed. (C) 2000 Elsevier Science Ltd. All rights reserved.","author":[{"dropping-particle":"","family":"Emery","given":"N J","non-dropping-particle":"","parse-names":false,"suffix":""}],"container-title":"Neuroscience and Biobehavioral Reviews","id":"ITEM-1","issue":"6","issued":{"date-parts":[["2000"]]},"note":"Times Cited: 535\n547","page":"581-604","title":"The eyes have it: the neuroethology, function and evolution of social gaze","type":"article-journal","volume":"24"},"uris":["http://www.mendeley.com/documents/?uuid=5d58b576-b76a-4e08-ae1a-27007bed123f"]}],"mendeley":{"formattedCitation":"(N J Emery, 2000)","manualFormatting":"(Emery, 2000)","plainTextFormattedCitation":"(N J Emery, 2000)","previouslyFormattedCitation":"(N J Emery, 2000)"},"properties":{"noteIndex":0},"schema":"https://github.com/citation-style-language/schema/raw/master/csl-citation.json"}</w:instrText>
      </w:r>
      <w:r w:rsidR="001362E5" w:rsidRPr="00BD14B0">
        <w:rPr>
          <w:lang w:eastAsia="zh-TW"/>
        </w:rPr>
        <w:fldChar w:fldCharType="separate"/>
      </w:r>
      <w:r w:rsidR="004D2901" w:rsidRPr="00BD14B0">
        <w:rPr>
          <w:noProof/>
          <w:lang w:eastAsia="zh-TW"/>
        </w:rPr>
        <w:t>(Emery, 2000)</w:t>
      </w:r>
      <w:r w:rsidR="001362E5" w:rsidRPr="00BD14B0">
        <w:rPr>
          <w:lang w:eastAsia="zh-TW"/>
        </w:rPr>
        <w:fldChar w:fldCharType="end"/>
      </w:r>
      <w:r w:rsidR="001362E5" w:rsidRPr="00BD14B0">
        <w:rPr>
          <w:lang w:eastAsia="zh-TW"/>
        </w:rPr>
        <w:t xml:space="preserve">. </w:t>
      </w:r>
      <w:r w:rsidR="001362E5" w:rsidRPr="00BD14B0">
        <w:rPr>
          <w:lang w:eastAsia="zh-TW"/>
        </w:rPr>
        <w:fldChar w:fldCharType="begin" w:fldLock="1"/>
      </w:r>
      <w:r w:rsidR="004D2901" w:rsidRPr="00BD14B0">
        <w:rPr>
          <w:lang w:eastAsia="zh-TW"/>
        </w:rPr>
        <w:instrText>ADDIN CSL_CITATION {"citationItems":[{"id":"ITEM-1","itemData":{"DOI":"10.1111/j.1468-0017.1992.tb00203.x","ISSN":"0268-1064","author":[{"dropping-particle":"","family":"Baron‐cohen","given":"Simon","non-dropping-particle":"","parse-names":false,"suffix":""},{"dropping-particle":"","family":"Cross","given":"Pippa","non-dropping-particle":"","parse-names":false,"suffix":""}],"container-title":"Mind &amp;amp; Language","id":"ITEM-1","issue":"1‐2","issued":{"date-parts":[["1992"]]},"page":"172-186","title":"Reading the Eyes: Evidence for the Role of Perception in the Development of a Theory of Mind","type":"article-journal","volume":"7"},"uris":["http://www.mendeley.com/documents/?uuid=e1b0f247-f373-43ac-a9cb-7544cd4acc25"]}],"mendeley":{"formattedCitation":"(Baron‐cohen &amp; Cross, 1992)","manualFormatting":"Baron-Cohen and Cross (1992)","plainTextFormattedCitation":"(Baron‐cohen &amp; Cross, 1992)","previouslyFormattedCitation":"(Baron‐cohen &amp; Cross, 1992)"},"properties":{"noteIndex":0},"schema":"https://github.com/citation-style-language/schema/raw/master/csl-citation.json"}</w:instrText>
      </w:r>
      <w:r w:rsidR="001362E5" w:rsidRPr="00BD14B0">
        <w:rPr>
          <w:lang w:eastAsia="zh-TW"/>
        </w:rPr>
        <w:fldChar w:fldCharType="separate"/>
      </w:r>
      <w:r w:rsidR="001362E5" w:rsidRPr="00BD14B0">
        <w:rPr>
          <w:noProof/>
          <w:lang w:eastAsia="zh-TW"/>
        </w:rPr>
        <w:t>Baron</w:t>
      </w:r>
      <w:r w:rsidR="00A76A9E" w:rsidRPr="00BD14B0">
        <w:rPr>
          <w:noProof/>
          <w:lang w:eastAsia="zh-TW"/>
        </w:rPr>
        <w:t>-</w:t>
      </w:r>
      <w:r w:rsidRPr="00BD14B0">
        <w:rPr>
          <w:noProof/>
          <w:lang w:eastAsia="zh-TW"/>
        </w:rPr>
        <w:t>C</w:t>
      </w:r>
      <w:r w:rsidR="001362E5" w:rsidRPr="00BD14B0">
        <w:rPr>
          <w:noProof/>
          <w:lang w:eastAsia="zh-TW"/>
        </w:rPr>
        <w:t xml:space="preserve">ohen </w:t>
      </w:r>
      <w:r w:rsidR="00A76A9E" w:rsidRPr="00BD14B0">
        <w:rPr>
          <w:noProof/>
          <w:lang w:eastAsia="zh-TW"/>
        </w:rPr>
        <w:t>and</w:t>
      </w:r>
      <w:r w:rsidR="001362E5" w:rsidRPr="00BD14B0">
        <w:rPr>
          <w:noProof/>
          <w:lang w:eastAsia="zh-TW"/>
        </w:rPr>
        <w:t xml:space="preserve"> Cross (1992)</w:t>
      </w:r>
      <w:r w:rsidR="001362E5" w:rsidRPr="00BD14B0">
        <w:rPr>
          <w:lang w:eastAsia="zh-TW"/>
        </w:rPr>
        <w:fldChar w:fldCharType="end"/>
      </w:r>
      <w:r w:rsidR="001362E5" w:rsidRPr="00BD14B0">
        <w:rPr>
          <w:lang w:eastAsia="zh-TW"/>
        </w:rPr>
        <w:t xml:space="preserve"> </w:t>
      </w:r>
      <w:r w:rsidR="001362E5" w:rsidRPr="00BD14B0">
        <w:t xml:space="preserve">suggested the existence of an “eye direction detector” in cognitive processes that play an important role in the early face processing system. This system comprises two main functions. First, eyes are detected, and second, their directions are coded. </w:t>
      </w:r>
      <w:r w:rsidR="001362E5" w:rsidRPr="00BD14B0">
        <w:fldChar w:fldCharType="begin" w:fldLock="1"/>
      </w:r>
      <w:r w:rsidR="004D2901" w:rsidRPr="00BD14B0">
        <w:instrText>ADDIN CSL_CITATION {"citationItems":[{"id":"ITEM-1","itemData":{"DOI":"10.1111/j.1468-0017.1992.tb00203.x","ISSN":"0268-1064","author":[{"dropping-particle":"","family":"Baron‐cohen","given":"Simon","non-dropping-particle":"","parse-names":false,"suffix":""},{"dropping-particle":"","family":"Cross","given":"Pippa","non-dropping-particle":"","parse-names":false,"suffix":""}],"container-title":"Mind &amp;amp; Language","id":"ITEM-1","issue":"1‐2","issued":{"date-parts":[["1992"]]},"page":"172-186","title":"Reading the Eyes: Evidence for the Role of Perception in the Development of a Theory of Mind","type":"article-journal","volume":"7"},"uris":["http://www.mendeley.com/documents/?uuid=e1b0f247-f373-43ac-a9cb-7544cd4acc25"]}],"mendeley":{"formattedCitation":"(Baron‐cohen &amp; Cross, 1992)","manualFormatting":"Baron-Cohen and Cross (1992)","plainTextFormattedCitation":"(Baron‐cohen &amp; Cross, 1992)","previouslyFormattedCitation":"(Baron‐cohen &amp; Cross, 1992)"},"properties":{"noteIndex":0},"schema":"https://github.com/citation-style-language/schema/raw/master/csl-citation.json"}</w:instrText>
      </w:r>
      <w:r w:rsidR="001362E5" w:rsidRPr="00BD14B0">
        <w:fldChar w:fldCharType="separate"/>
      </w:r>
      <w:r w:rsidR="001362E5" w:rsidRPr="00BD14B0">
        <w:rPr>
          <w:noProof/>
        </w:rPr>
        <w:t>Baron</w:t>
      </w:r>
      <w:r w:rsidR="00A76A9E" w:rsidRPr="00BD14B0">
        <w:rPr>
          <w:noProof/>
        </w:rPr>
        <w:t>-C</w:t>
      </w:r>
      <w:r w:rsidR="001362E5" w:rsidRPr="00BD14B0">
        <w:rPr>
          <w:noProof/>
        </w:rPr>
        <w:t>ohen</w:t>
      </w:r>
      <w:r w:rsidR="00A76A9E" w:rsidRPr="00BD14B0">
        <w:rPr>
          <w:noProof/>
        </w:rPr>
        <w:t xml:space="preserve"> and</w:t>
      </w:r>
      <w:r w:rsidR="001362E5" w:rsidRPr="00BD14B0">
        <w:rPr>
          <w:noProof/>
        </w:rPr>
        <w:t xml:space="preserve"> Cross (1992)</w:t>
      </w:r>
      <w:r w:rsidR="001362E5" w:rsidRPr="00BD14B0">
        <w:fldChar w:fldCharType="end"/>
      </w:r>
      <w:r w:rsidR="001362E5" w:rsidRPr="00BD14B0">
        <w:t xml:space="preserve"> also forwarded that the first function is innate, whereas the second may emerge later in life. </w:t>
      </w:r>
      <w:r w:rsidR="001362E5" w:rsidRPr="00BD14B0">
        <w:fldChar w:fldCharType="begin" w:fldLock="1"/>
      </w:r>
      <w:r w:rsidR="004D2901" w:rsidRPr="00BD14B0">
        <w:instrText>ADDIN CSL_CITATION {"citationItems":[{"id":"ITEM-1","itemData":{"DOI":"10.1080/713756761","ISSN":"1350-6285","abstract":"Previous work suggests that a range of mental states can be read from facial expressions, beyond the ''basic emotions''. Experiment 1 tested this in more detail, by using a standardized method, and by testing the role of face parts (eyes vs. mouth vs. the whole face). Adult subjects were shown photographs of an actress posing 10 basic emotions (happy, sad, angry, afraid, etc.) and 10 complex mental states (scheme, admire, interest, thoughtfulness, etc.). For each mental state, each subject was shown the whole face, the eyes alone, or the mouth alone, and were given a forced choice of two mental state terms. Results indicated that: (1) Subjects show remarkable agreement in ascribing a wide range of mental states to facial expressions, (2) for the basic emotions, the whole face is more informative than either the eyes or the mouth, (3) for the complex mental states, seeing the eyes alone produced significantly better performance than seeing the mouth alone, and was as informative as the whole face. In Experiment 2, the eye-region effect was re-tested, this time using an actor's face, in order to test if this effect generalized across faces of different sex. Results were broadly similar to those found in Experiment 1. In Experiment 3, adults with autism or Asperger Syndrome were tested using the same procedure as Experiment 1. Results showed a significant impairment relative to normal adults on the complex mental states, and this was most marked on the eyes-alone condition. The results from all three experiments are discussed in relation to the role or perception in the use of our everyday ''theory of mind'', and the role of eye-contact in this.","author":[{"dropping-particle":"","family":"BaronCohen","given":"S","non-dropping-particle":"","parse-names":false,"suffix":""},{"dropping-particle":"","family":"Wheelwright","given":"S","non-dropping-particle":"","parse-names":false,"suffix":""},{"dropping-particle":"","family":"Jolliffe","given":"T","non-dropping-particle":"","parse-names":false,"suffix":""}],"container-title":"Visual Cognition","id":"ITEM-1","issue":"3","issued":{"date-parts":[["1997"]]},"note":"Times Cited: 315\n324","page":"311-331","title":"Is there a ''language of the eyes''? Evidence from normal adults, and adults with autism or Asperger Syndrome","type":"article-journal","volume":"4"},"uris":["http://www.mendeley.com/documents/?uuid=a91f0520-d093-4635-a4b2-5ab6147e075a"]}],"mendeley":{"formattedCitation":"(BaronCohen et al., 1997)","manualFormatting":"Baron-Cohen et al. (1997)","plainTextFormattedCitation":"(BaronCohen et al., 1997)","previouslyFormattedCitation":"(BaronCohen et al., 1997)"},"properties":{"noteIndex":0},"schema":"https://github.com/citation-style-language/schema/raw/master/csl-citation.json"}</w:instrText>
      </w:r>
      <w:r w:rsidR="001362E5" w:rsidRPr="00BD14B0">
        <w:fldChar w:fldCharType="separate"/>
      </w:r>
      <w:r w:rsidR="001362E5" w:rsidRPr="00BD14B0">
        <w:rPr>
          <w:noProof/>
        </w:rPr>
        <w:t>Baron</w:t>
      </w:r>
      <w:r w:rsidR="00336FD8" w:rsidRPr="00BD14B0">
        <w:rPr>
          <w:noProof/>
        </w:rPr>
        <w:t>-</w:t>
      </w:r>
      <w:r w:rsidR="001362E5" w:rsidRPr="00BD14B0">
        <w:rPr>
          <w:noProof/>
        </w:rPr>
        <w:t xml:space="preserve">Cohen et al. </w:t>
      </w:r>
      <w:r w:rsidR="00336FD8" w:rsidRPr="00BD14B0">
        <w:rPr>
          <w:noProof/>
        </w:rPr>
        <w:t>(</w:t>
      </w:r>
      <w:r w:rsidR="001362E5" w:rsidRPr="00BD14B0">
        <w:rPr>
          <w:noProof/>
        </w:rPr>
        <w:t>1997)</w:t>
      </w:r>
      <w:r w:rsidR="001362E5" w:rsidRPr="00BD14B0">
        <w:fldChar w:fldCharType="end"/>
      </w:r>
      <w:r w:rsidR="001362E5" w:rsidRPr="00BD14B0">
        <w:t xml:space="preserve"> examined the importance of eyes for evaluating facial emotions. In their study, participants were shown photographs of an actress with 10 basic emotions and 10 complex mental states (admire, interest, thoughtfulness, etc.). For each mental state, subjects were shown either the whole face, the eyes alone, or the mouth alone. The results showed eyes were more informative compared to the mouth in the interpretation of mental states, and that eyes were found to be as informative as a full face. This study suggests that eyes are critical in social communication because they help express emotions that are related to social interaction and attention. </w:t>
      </w:r>
    </w:p>
    <w:p w14:paraId="763710DF" w14:textId="32B81296" w:rsidR="00E63BFA" w:rsidRPr="00BD14B0" w:rsidRDefault="00DD20B2" w:rsidP="00553E01">
      <w:r w:rsidRPr="00BD14B0">
        <w:tab/>
      </w:r>
      <w:r w:rsidR="00E63BFA" w:rsidRPr="00BD14B0">
        <w:t xml:space="preserve">Mounting research suggests that eye gaze is a potential source of social information. Direct eye contact demonstrates that a person is paying attention, signalling the desire to approach, whereas averted eye gaze signals avoidance or the general lack of attention. Although the context is clearly important to understand the effects of eye gaze, such as threat or attraction, a period of mutual eye contact is associated with elevated galvanic skin response, which is thought to be a measurement of emotional arousal </w:t>
      </w:r>
      <w:r w:rsidR="00E63BFA" w:rsidRPr="00BD14B0">
        <w:fldChar w:fldCharType="begin" w:fldLock="1"/>
      </w:r>
      <w:r w:rsidR="00E63BFA" w:rsidRPr="00BD14B0">
        <w:instrText>ADDIN CSL_CITATION {"citationItems":[{"id":"ITEM-1","itemData":{"DOI":"10.1016/0022-1031(71)90024-2","ISSN":"0022-1031","abstract":"An experimental situation was designed to investigate the differential effects of eye contact and unreciprocated gaze upon GSR activity. Twenty male and twenty female subjects gazed continuously at the eyes of a confederate, who either returned the gaze or looked at a spot on a wall 30° to the right of the subject&amp;#039;s head, according to a prearranged program. The subjects&amp;#039; GSR was monitored throughout the period. Both frequency ( p &amp;lt; .02) and amplitude ( p &amp;lt; .001) of GSR responses were greater when subjects&amp;#039; gazes were reciprocated, (eye contact), than when unreciprocated. There were no main effects of sex.","author":[{"dropping-particle":"","family":"Nichols","given":"K A","non-dropping-particle":"","parse-names":false,"suffix":""},{"dropping-particle":"","family":"Champness","given":"B G","non-dropping-particle":"","parse-names":false,"suffix":""}],"container-title":"Journal of Experimental Social Psychology","id":"ITEM-1","issue":"6","issued":{"date-parts":[["1971"]]},"page":"623-626","title":"Eye gaze and the GSR","type":"article-journal","volume":"7"},"uris":["http://www.mendeley.com/documents/?uuid=39c9dd40-945e-4b7d-9d25-56f685706e5d"]}],"mendeley":{"formattedCitation":"(Nichols &amp; Champness, 1971)","plainTextFormattedCitation":"(Nichols &amp; Champness, 1971)","previouslyFormattedCitation":"(Nichols &amp; Champness, 1971)"},"properties":{"noteIndex":0},"schema":"https://github.com/citation-style-language/schema/raw/master/csl-citation.json"}</w:instrText>
      </w:r>
      <w:r w:rsidR="00E63BFA" w:rsidRPr="00BD14B0">
        <w:fldChar w:fldCharType="separate"/>
      </w:r>
      <w:r w:rsidR="00E63BFA" w:rsidRPr="00BD14B0">
        <w:rPr>
          <w:noProof/>
        </w:rPr>
        <w:t>(Nichols &amp; Champness, 1971)</w:t>
      </w:r>
      <w:r w:rsidR="00E63BFA" w:rsidRPr="00BD14B0">
        <w:fldChar w:fldCharType="end"/>
      </w:r>
      <w:r w:rsidR="00E63BFA" w:rsidRPr="00BD14B0">
        <w:t xml:space="preserve">, as well as increased heart rate </w:t>
      </w:r>
      <w:r w:rsidR="00E63BFA" w:rsidRPr="00BD14B0">
        <w:fldChar w:fldCharType="begin" w:fldLock="1"/>
      </w:r>
      <w:r w:rsidR="00E63BFA" w:rsidRPr="00BD14B0">
        <w:instrText>ADDIN CSL_CITATION {"citationItems":[{"id":"ITEM-1","itemData":{"DOI":"10.1371/journal.pone.0059312","ISBN":"1932-6203 (Electronic)\\r1932-6203 (Linking)","ISSN":"19326203","PMID":"23516627","abstract":"Eye contact has a fundamental role in human social interaction. The special appearance of the human eye (i.e., white sclera contrasted with a coloured iris) implies the importance of detecting another person's face through eye contact. Empirical studies have demonstrated that faces making eye contact are detected quickly and processed preferentially (i.e., the eye contact effect). Such sensitivity to eye contact seems to be innate and universal among humans; however, several studies suggest that cultural norms affect eye contact behaviours. For example, Japanese individuals exhibit less eye contact than do individuals from Western European or North American cultures. However, how culture modulates eye contact behaviour is unclear. The present study investigated cultural differences in autonomic correlates of attentional orienting (i.e., heart rate) and looking time. Additionally, we examined evaluative ratings of eye contact with another real person, displaying an emotionally neutral expression, between participants from Western European (Finnish) and East Asian (Japanese) cultures. Our results showed that eye contact elicited stronger heart rate deceleration responses (i.e., attentional orienting), shorter looking times, and higher ratings of subjective feelings of arousal as compared to averted gaze in both cultures. Instead, cultural differences in the eye contact effect were observed in various evaluative responses regarding the stimulus faces (e.g., facial emotion, approachability etc.). The rating results suggest that individuals from an East Asian culture perceive another's face as being angrier, unapproachable, and unpleasant when making eye contact as compared to individuals from a Western European culture. The rating results also revealed that gaze direction (direct vs. averted) could influence perceptions about another person's facial affect and disposition. These results suggest that cultural differences in eye contact behaviour emerge from differential display rules and cultural norms, as opposed to culture affecting eye contact behaviour directly at the physiological level.","author":[{"dropping-particle":"","family":"Akechi","given":"Hironori","non-dropping-particle":"","parse-names":false,"suffix":""},{"dropping-particle":"","family":"Senju","given":"Atsushi","non-dropping-particle":"","parse-names":false,"suffix":""},{"dropping-particle":"","family":"Uibo","given":"Helen","non-dropping-particle":"","parse-names":false,"suffix":""},{"dropping-particle":"","family":"Kikuchi","given":"Yukiko","non-dropping-particle":"","parse-names":false,"suffix":""},{"dropping-particle":"","family":"Hasegawa","given":"Toshikazu","non-dropping-particle":"","parse-names":false,"suffix":""},{"dropping-particle":"","family":"Hietanen","given":"Jari K.","non-dropping-particle":"","parse-names":false,"suffix":""}],"container-title":"PLoS ONE","id":"ITEM-1","issue":"3","issued":{"date-parts":[["2013"]]},"title":"Attention to Eye Contact in the West and East: Autonomic Responses and Evaluative Ratings","type":"article-journal","volume":"8"},"uris":["http://www.mendeley.com/documents/?uuid=cd543a39-daec-494a-93ef-d09331cce5f0"]}],"mendeley":{"formattedCitation":"(Akechi et al., 2013)","plainTextFormattedCitation":"(Akechi et al., 2013)","previouslyFormattedCitation":"(Akechi et al., 2013)"},"properties":{"noteIndex":0},"schema":"https://github.com/citation-style-language/schema/raw/master/csl-citation.json"}</w:instrText>
      </w:r>
      <w:r w:rsidR="00E63BFA" w:rsidRPr="00BD14B0">
        <w:fldChar w:fldCharType="separate"/>
      </w:r>
      <w:r w:rsidR="00E63BFA" w:rsidRPr="00BD14B0">
        <w:rPr>
          <w:noProof/>
        </w:rPr>
        <w:t>(Akechi et al., 2013)</w:t>
      </w:r>
      <w:r w:rsidR="00E63BFA" w:rsidRPr="00BD14B0">
        <w:fldChar w:fldCharType="end"/>
      </w:r>
      <w:r w:rsidR="00E63BFA" w:rsidRPr="00BD14B0">
        <w:t xml:space="preserve">. The ability of animals to perceive being watched has been demonstrated across species ranging from iguanas to non-human primates and humans </w:t>
      </w:r>
      <w:r w:rsidR="00E63BFA" w:rsidRPr="00BD14B0">
        <w:fldChar w:fldCharType="begin" w:fldLock="1"/>
      </w:r>
      <w:r w:rsidR="00E63BFA" w:rsidRPr="00BD14B0">
        <w:instrText>ADDIN CSL_CITATION {"citationItems":[{"id":"ITEM-1","itemData":{"DOI":"10.1098/rstb.2006.1995","ISSN":"09628436","abstract":"The social brain hypothesis is a well-accepted and well-supported evolutionary theory of enlarged brain size in the non-human primates. Nevertheless, it tends to emphasize an anthropocentric view of social life and cognition. This often leads to confusion between ultimate and proximate mechanisms, and an over-reliance on a Cartesian, narratively structured view of the mind and social life, which in turn lead to views of social complexity that are congenial to our views of ourselves, rather than necessarily representative of primate social worlds. In this paper, we argue for greater attention to embodied and distributed theories of cognition, which get us away from current fixations on &amp;#039;theory of mind&amp;#039; and other high-level anthropocentric constructions, and allow for the generation of testable hypotheses that combine neurobiology, psychology and behaviour in a mutually reinforcing manner.","author":[{"dropping-particle":"","family":"Barrett","given":"Louise","non-dropping-particle":"","parse-names":false,"suffix":""},{"dropping-particle":"","family":"Henzi","given":"Peter","non-dropping-particle":"","parse-names":false,"suffix":""},{"dropping-particle":"","family":"Rendall","given":"Drew","non-dropping-particle":"","parse-names":false,"suffix":""}],"container-title":"Philosophical Transactions: Biological Sciences","id":"ITEM-1","issue":"1480","issued":{"date-parts":[["2007"]]},"page":"561-575","title":"Social Brains, Simple Minds: Does Social Complexity Really Require Cognitive Complexity?","type":"article-journal","volume":"362"},"uris":["http://www.mendeley.com/documents/?uuid=284705a3-dc5d-4395-80f3-5a47ac63911f"]},{"id":"ITEM-2","itemData":{"DOI":"10.1037/0735-7036.106.1.97","ISSN":"0735-7036","abstract":"We examined the ability of basking black iguanas ( Ctenosaura similis ) to discriminate risk from a person walking directly toward them versus one walking tangentially by them when the person looked either directly at them or away from them. All iguanas were tested near the Organization for Tropical Studies Palo Verde, Costa Rica field station or the refuge hacienda, where they were habituated to the presence of humans. The animals responded most quickly to a direct approach with a direct gaze, followed by a direct approach with an averted gaze and a tangential approach with a direct gaze, and least quickly to a tangential approach with an averted gaze. Behavioral responses were not related to body size but were intercorrelated. These results demonstrate that iguanas can use both body orientation and gaze direction to assess the threat of an approaching predator.","author":[{"dropping-particle":"","family":"Burger","given":"Joanna","non-dropping-particle":"","parse-names":false,"suffix":""},{"dropping-particle":"","family":"Gochfeld","given":"Michael","non-dropping-particle":"","parse-names":false,"suffix":""},{"dropping-particle":"","family":"Murray","given":"Bertram G","non-dropping-particle":"","parse-names":false,"suffix":""}],"container-title":"Journal of Comparative Psychology","id":"ITEM-2","issue":"1","issued":{"date-parts":[["1992"]]},"note":"(editor)","page":"97-101","title":"Risk Discrimination of Eye Contact and Directness of Approach in Black Iguanas ( Ctenosaura similis )","type":"article-journal","volume":"106"},"uris":["http://www.mendeley.com/documents/?uuid=7ed9f885-bc8a-4054-9408-68189cc2a3d8"]},{"id":"ITEM-3","itemData":{"abstract":"In the superior temporal sulcus (STS) of the macaque brain there are populations of cells which respond selectively to faces. Studies of these cells reveal that they are very sensitive to the direction of eye gaze and posture of the head of other subjects. It is argued that one function of the cells is to enable analysis of where other individuals are directing their attention. Given this selectivity for complex socially relevant stimuli it is surprising that the STS contains cells that respond to touch anywhere on the body or to any movement seen in the visual environment. We have investigated these tactile and motion sensitive cells to determine their behavioural significance. In the awake, behaving monkey we found that the critical dimension for polymodal coding is whether or not the sensations are expected. Tactile stimulation out of sight cannot be predicted and elicits neuronal responses. By contrast, when the monkey can see and, therefore, predict impending contact, or when the monkey touches a familiar surface in a predictable location, cell responses are reduced or abolished. In an analogous way some cells are unresponsive to the sight of the monkey&amp;#039;s own limbs moving but respond to the sight of other moving stimuli. Since unpredictable sensations are often caused by other animals, the STS area appears well suited to defining sensory stimuli that are important in social or predator/prey interactions.","author":[{"dropping-particle":"","family":"Perrett","given":"D I","non-dropping-particle":"","parse-names":false,"suffix":""},{"dropping-particle":"","family":"Harris","given":"M H","non-dropping-particle":"","parse-names":false,"suffix":""},{"dropping-particle":"","family":"Mistlin","given":"A J","non-dropping-particle":"","parse-names":false,"suffix":""},{"dropping-particle":"","family":"Hietanen","given":"J K","non-dropping-particle":"","parse-names":false,"suffix":""},{"dropping-particle":"","family":"Benson","given":"P J","non-dropping-particle":"","parse-names":false,"suffix":""},{"dropping-particle":"","family":"Bevan","given":"R","non-dropping-particle":"","parse-names":false,"suffix":""},{"dropping-particle":"","family":"Thomas","given":"S","non-dropping-particle":"","parse-names":false,"suffix":""},{"dropping-particle":"","family":"Oram","given":"M W","non-dropping-particle":"","parse-names":false,"suffix":""},{"dropping-particle":"","family":"Ortega","given":"J","non-dropping-particle":"","parse-names":false,"suffix":""},{"dropping-particle":"","family":"Brierly","given":"K","non-dropping-particle":"","parse-names":false,"suffix":""}],"id":"ITEM-3","issued":{"date-parts":[["1990"]]},"title":"Social Signals Analyzed at the Single Cell Level: Someone is Looking at Me, Something Moved!","type":"article-journal"},"uris":["http://www.mendeley.com/documents/?uuid=b989199f-702d-49f3-9386-f6779eae58ef"]}],"mendeley":{"formattedCitation":"(Barrett et al., 2007; Burger et al., 1992; Perrett et al., 1990)","plainTextFormattedCitation":"(Barrett et al., 2007; Burger et al., 1992; Perrett et al., 1990)","previouslyFormattedCitation":"(Barrett et al., 2007; Burger et al., 1992; Perrett et al., 1990)"},"properties":{"noteIndex":0},"schema":"https://github.com/citation-style-language/schema/raw/master/csl-citation.json"}</w:instrText>
      </w:r>
      <w:r w:rsidR="00E63BFA" w:rsidRPr="00BD14B0">
        <w:fldChar w:fldCharType="separate"/>
      </w:r>
      <w:r w:rsidR="00E63BFA" w:rsidRPr="00BD14B0">
        <w:rPr>
          <w:noProof/>
        </w:rPr>
        <w:t>(Barrett et al., 2007; Burger et al., 1992; Perrett et al., 1990)</w:t>
      </w:r>
      <w:r w:rsidR="00E63BFA" w:rsidRPr="00BD14B0">
        <w:fldChar w:fldCharType="end"/>
      </w:r>
      <w:r w:rsidR="00E63BFA" w:rsidRPr="00BD14B0">
        <w:t xml:space="preserve">. The direct eye gaze in humans does not require focused attention, thus research suggests that it is automatic </w:t>
      </w:r>
      <w:r w:rsidR="00E63BFA" w:rsidRPr="00BD14B0">
        <w:fldChar w:fldCharType="begin" w:fldLock="1"/>
      </w:r>
      <w:r w:rsidR="00E63BFA" w:rsidRPr="00BD14B0">
        <w:instrText>ADDIN CSL_CITATION {"citationItems":[{"id":"ITEM-1","itemData":{"DOI":"10.1073/pnas.152159999","ISSN":"0027-8424","abstract":"Making eye contact is the most powerful mode of establishing a communicative link between humans. During their first year of life, infants learn rapidly that the looking behaviors of others conveys significant information. Two experiments were carried out to demonstrate special sensitivity to direct eye contact from birth. The first experiment tested the ability of 2- to 5-day-old newborns to discriminate between direct and averted gaze. In the second experiment, we measured 4-month-old infants&amp;#039; brain electric activity to assess neural processing of faces when accompanied by direct (as opposed to averted) eye gaze. The results show that, from birth, human infants prefer to look at faces that engage them in mutual gaze and that, from an early age, healthy babies show enhanced neural processing of direct gaze. The exceptionally early sensitivity to mutual gaze demonstrated in these studies is arguably the major foundation for the later development of social skills.","author":[{"dropping-particle":"","family":"Farroni","given":"T","non-dropping-particle":"","parse-names":false,"suffix":""},{"dropping-particle":"","family":"Csibra","given":"G","non-dropping-particle":"","parse-names":false,"suffix":""},{"dropping-particle":"","family":"Simion","given":"G","non-dropping-particle":"","parse-names":false,"suffix":""},{"dropping-particle":"","family":"Johnson","given":"M H","non-dropping-particle":"","parse-names":false,"suffix":""}],"container-title":"Proc. Natl. Acad. Sci. U. S. A.","id":"ITEM-1","issue":"14","issued":{"date-parts":[["2002"]]},"page":"9602-9605","title":"Eye contact detection in humans from birth","type":"article-journal","volume":"99"},"uris":["http://www.mendeley.com/documents/?uuid=0fa874fa-f6c3-4860-ab58-af0ffbf13bad"]}],"mendeley":{"formattedCitation":"(Farroni et al., 2002)","plainTextFormattedCitation":"(Farroni et al., 2002)","previouslyFormattedCitation":"(Farroni et al., 2002)"},"properties":{"noteIndex":0},"schema":"https://github.com/citation-style-language/schema/raw/master/csl-citation.json"}</w:instrText>
      </w:r>
      <w:r w:rsidR="00E63BFA" w:rsidRPr="00BD14B0">
        <w:fldChar w:fldCharType="separate"/>
      </w:r>
      <w:r w:rsidR="00E63BFA" w:rsidRPr="00BD14B0">
        <w:rPr>
          <w:noProof/>
        </w:rPr>
        <w:t>(Farroni et al., 2002)</w:t>
      </w:r>
      <w:r w:rsidR="00E63BFA" w:rsidRPr="00BD14B0">
        <w:fldChar w:fldCharType="end"/>
      </w:r>
      <w:r w:rsidR="00E63BFA" w:rsidRPr="00BD14B0">
        <w:t xml:space="preserve">. Additionally, studies have found that the visual information gathered from direct eye gaze reaches conscious awareness </w:t>
      </w:r>
      <w:r w:rsidR="00E63BFA" w:rsidRPr="00BD14B0">
        <w:lastRenderedPageBreak/>
        <w:t xml:space="preserve">faster than the faces with averted eye gaze </w:t>
      </w:r>
      <w:r w:rsidR="00E63BFA" w:rsidRPr="00BD14B0">
        <w:fldChar w:fldCharType="begin" w:fldLock="1"/>
      </w:r>
      <w:r w:rsidR="00E63BFA" w:rsidRPr="00BD14B0">
        <w:instrText>ADDIN CSL_CITATION {"citationItems":[{"id":"ITEM-1","itemData":{"DOI":"10.1016/j.neuropsychologia.2013.04.002","ISBN":"1873-3514 (Electronic)\\r0028-3932 (Linking)","ISSN":"00283932","PMID":"23603242","abstract":"Humans detect faces with direct gaze more rapidly than they do faces with averted gaze. Evidence suggests that the visual information of faces with direct gaze reaches conscious awareness faster than that of faces with averted gaze. This suggests that faces with direct gaze are effectively processed in the brain before they reach conscious awareness; however, it is unclear how the unconscious perception of faces with direct gaze is processed in the brain. To address this unanswered question, we recorded event-related potentials while observers viewed faces with direct or averted gaze that were either visible or rendered invisible during continuous flash suppression. We observed that invisible faces with direct gaze elicited significantly larger negative deflections than did invisible faces with averted gaze at 200, 250, and 350. ms over the parietofrontal electrodes, whereas we did not observe such effects when facial images were visible. Our results suggest that the visual information of faces with direct gaze is preferentially processed in the brain when they are presented unconsciously. ?? 2013 Elsevier Ltd.","author":[{"dropping-particle":"","family":"Yokoyama","given":"Takemasa","non-dropping-particle":"","parse-names":false,"suffix":""},{"dropping-particle":"","family":"Noguchi","given":"Yasuki","non-dropping-particle":"","parse-names":false,"suffix":""},{"dropping-particle":"","family":"Kita","given":"Shinichi","non-dropping-particle":"","parse-names":false,"suffix":""}],"container-title":"Neuropsychologia","id":"ITEM-1","issue":"7","issued":{"date-parts":[["2013"]]},"page":"1161-1168","publisher":"Elsevier","title":"Unconscious processing of direct gaze: Evidence from an ERP study","type":"article-journal","volume":"51"},"uris":["http://www.mendeley.com/documents/?uuid=ef7fc2ef-ba23-4924-b6e6-0d95d8968088"]}],"mendeley":{"formattedCitation":"(Yokoyama et al., 2013)","plainTextFormattedCitation":"(Yokoyama et al., 2013)","previouslyFormattedCitation":"(Yokoyama et al., 2013)"},"properties":{"noteIndex":0},"schema":"https://github.com/citation-style-language/schema/raw/master/csl-citation.json"}</w:instrText>
      </w:r>
      <w:r w:rsidR="00E63BFA" w:rsidRPr="00BD14B0">
        <w:fldChar w:fldCharType="separate"/>
      </w:r>
      <w:r w:rsidR="00E63BFA" w:rsidRPr="00BD14B0">
        <w:rPr>
          <w:noProof/>
        </w:rPr>
        <w:t>(Yokoyama et al., 2013)</w:t>
      </w:r>
      <w:r w:rsidR="00E63BFA" w:rsidRPr="00BD14B0">
        <w:fldChar w:fldCharType="end"/>
      </w:r>
      <w:r w:rsidR="00E63BFA" w:rsidRPr="00BD14B0">
        <w:t>. Therefore, it is apparent that processing information from the eyes and the ability to follow eye gaze is important for many aspects of social communication. This is the focal topic of this thesis.</w:t>
      </w:r>
    </w:p>
    <w:p w14:paraId="295EE419" w14:textId="426614FB" w:rsidR="001362E5" w:rsidRPr="00BD14B0" w:rsidRDefault="00DD20B2" w:rsidP="00553E01">
      <w:r w:rsidRPr="00BD14B0">
        <w:tab/>
      </w:r>
      <w:r w:rsidR="00BC5FB0" w:rsidRPr="00BD14B0">
        <w:t xml:space="preserve">In the subsequent literature review, the following topics are addressed. First, the attention mechanism relating to eyes and visual attention will be explored, focusing on the specific style of attention called social attention. Second, the neural basis of gaze perception will be discussed. Third, the notions of eye gaze and gaze cueing will be introduced. Fourth, the context, personal traits, and faces, and their effects of gaze cueing behaviour will be examined. Fifth, the effects of faces in more depth, both with respect to physical features (e.g., race and physical similarity, dominance, age, and gender), social factors (e.g., social group belonging and social similarity, social </w:t>
      </w:r>
      <w:proofErr w:type="gramStart"/>
      <w:r w:rsidR="00BC5FB0" w:rsidRPr="00BD14B0">
        <w:t>status</w:t>
      </w:r>
      <w:proofErr w:type="gramEnd"/>
      <w:r w:rsidR="00BC5FB0" w:rsidRPr="00BD14B0">
        <w:t xml:space="preserve"> and lastly social power) and personal differences (e.g., gender and autistic traits) will be explored. These sections form an important theoretical basis for the empirical chapters that are introduced later in the thesis. Chapter 2 and 3 will examine the social factors in more depth and Chapter 4 will focus on personal differences. </w:t>
      </w:r>
    </w:p>
    <w:p w14:paraId="24637129" w14:textId="77777777" w:rsidR="00CD317E" w:rsidRPr="00BD14B0" w:rsidRDefault="00CD317E" w:rsidP="00553E01"/>
    <w:p w14:paraId="15F8FCE7" w14:textId="750F17BB" w:rsidR="00CD317E" w:rsidRPr="00BD14B0" w:rsidRDefault="00CD317E" w:rsidP="00553E01">
      <w:pPr>
        <w:pStyle w:val="Heading2"/>
      </w:pPr>
      <w:bookmarkStart w:id="4" w:name="_Hlk509832356"/>
      <w:bookmarkStart w:id="5" w:name="_Toc108310749"/>
      <w:r w:rsidRPr="00BD14B0">
        <w:t>Mechanisms of Visual Attention</w:t>
      </w:r>
      <w:bookmarkEnd w:id="4"/>
      <w:bookmarkEnd w:id="5"/>
    </w:p>
    <w:p w14:paraId="0C0AD694" w14:textId="53D6428F" w:rsidR="00CD317E" w:rsidRPr="00BD14B0" w:rsidRDefault="00DD20B2" w:rsidP="00553E01">
      <w:r w:rsidRPr="00BD14B0">
        <w:tab/>
      </w:r>
      <w:r w:rsidR="00CD317E" w:rsidRPr="00BD14B0">
        <w:t xml:space="preserve">We are constantly bombarded with all sorts of sensory information, especially visual stimuli; therefore, it is essential to be able to determine what information is relevant for the current space and time. We need selection because there are information bottlenecks (one process in a chain of processes) in the visual pathway. Visual data is about 25 megabytes per second, coming from 25 images per second received by about 126 </w:t>
      </w:r>
      <w:proofErr w:type="gramStart"/>
      <w:r w:rsidR="00CD317E" w:rsidRPr="00BD14B0">
        <w:t>millions</w:t>
      </w:r>
      <w:proofErr w:type="gramEnd"/>
      <w:r w:rsidR="00CD317E" w:rsidRPr="00BD14B0">
        <w:t xml:space="preserve"> of photoreceptors (around 12 millions of rods, 6-7 cons) at our retina. To navigate successfully, multiple attentional systems filter this flow of input, detect relevant ones and prepare to respond accordingly </w:t>
      </w:r>
      <w:r w:rsidR="00CD317E" w:rsidRPr="00BD14B0">
        <w:fldChar w:fldCharType="begin" w:fldLock="1"/>
      </w:r>
      <w:r w:rsidR="00CD317E" w:rsidRPr="00BD14B0">
        <w:instrText>ADDIN CSL_CITATION {"citationItems":[{"id":"ITEM-1","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Cognition","id":"ITEM-1","issue":"5","issued":{"date-parts":[["1999"]]},"page":"509-540","title":"Gaze perception triggers reflexive visuospatial orienting","type":"article-journal","volume":"6"},"uris":["http://www.mendeley.com/documents/?uuid=d75d6f62-db29-416a-8682-3ddf8bb6262f"]}],"mendeley":{"formattedCitation":"(Driver et al., 1999)","plainTextFormattedCitation":"(Driver et al., 1999)","previouslyFormattedCitation":"(Driver et al., 1999)"},"properties":{"noteIndex":0},"schema":"https://github.com/citation-style-language/schema/raw/master/csl-citation.json"}</w:instrText>
      </w:r>
      <w:r w:rsidR="00CD317E" w:rsidRPr="00BD14B0">
        <w:fldChar w:fldCharType="separate"/>
      </w:r>
      <w:r w:rsidR="00CD317E" w:rsidRPr="00BD14B0">
        <w:rPr>
          <w:noProof/>
        </w:rPr>
        <w:t>(Driver et al., 1999)</w:t>
      </w:r>
      <w:r w:rsidR="00CD317E" w:rsidRPr="00BD14B0">
        <w:fldChar w:fldCharType="end"/>
      </w:r>
      <w:r w:rsidR="00CD317E" w:rsidRPr="00BD14B0">
        <w:t xml:space="preserve">. This selection mechanism is considered to help focus on highly relevant items and suppress less important stimuli </w:t>
      </w:r>
      <w:r w:rsidR="00CD317E" w:rsidRPr="00BD14B0">
        <w:fldChar w:fldCharType="begin" w:fldLock="1"/>
      </w:r>
      <w:r w:rsidR="0028287E" w:rsidRPr="00BD14B0">
        <w:instrText>ADDIN CSL_CITATION {"citationItems":[{"id":"ITEM-1","itemData":{"ISBN":"0-262-13284-2 (Hardcover)","abstract":"certain enduring assumptions about the nature of attention and about the functional architecture of cognitive and perceptual-motor processes continue to exert their hold / two (intertwined) controversies in particular are still widely perceived as the central, and the most fundamental, issues to be resolved / these are (1) the controversy over \"early\" versus \"late\" perceptual selection, where the question at issue is whether attentional selection occurs before or after the encoding of categorical stimulus identity; and (2) the question of which cognitive processes \"require attention\" (and are therefore \"limited\"), and which processes can be performed \"without attention\" (or \"automatically\")  purpose . . . is to look again at these long-standing underlying assumptions, in the light of available neurophysiological and neuropsychological evidence (PsycINFO Database Record (c) 2016 APA, all rights reserved)","author":[{"dropping-particle":"","family":"Allport","given":"Alan","non-dropping-particle":"","parse-names":false,"suffix":""}],"container-title":"Attention and performance 14:  Synergies in experimental psychology, artificial intelligence, and cognitive neuroscience.","id":"ITEM-1","issued":{"date-parts":[["1993"]]},"page":"183-218","publisher":"The MIT Press","publisher-place":"Cambridge,  MA,  US","title":"Attention and control: Have we been asking the wrong questions? A critical review of twenty-five years.","type":"chapter"},"uris":["http://www.mendeley.com/documents/?uuid=6624cd6e-18dd-4b58-a4d3-80b550104fad"]}],"mendeley":{"formattedCitation":"(A. Allport, 1993)","manualFormatting":"(Allport, 1993)","plainTextFormattedCitation":"(A. Allport, 1993)","previouslyFormattedCitation":"(A. Allport, 1993)"},"properties":{"noteIndex":0},"schema":"https://github.com/citation-style-language/schema/raw/master/csl-citation.json"}</w:instrText>
      </w:r>
      <w:r w:rsidR="00CD317E" w:rsidRPr="00BD14B0">
        <w:fldChar w:fldCharType="separate"/>
      </w:r>
      <w:r w:rsidR="004D2901" w:rsidRPr="00BD14B0">
        <w:rPr>
          <w:noProof/>
        </w:rPr>
        <w:t>(Allport, 1993)</w:t>
      </w:r>
      <w:r w:rsidR="00CD317E" w:rsidRPr="00BD14B0">
        <w:fldChar w:fldCharType="end"/>
      </w:r>
      <w:r w:rsidR="00CD317E" w:rsidRPr="00BD14B0">
        <w:t xml:space="preserve">. </w:t>
      </w:r>
      <w:r w:rsidR="00CD317E" w:rsidRPr="00BD14B0">
        <w:fldChar w:fldCharType="begin" w:fldLock="1"/>
      </w:r>
      <w:r w:rsidR="004D2901" w:rsidRPr="00BD14B0">
        <w:instrText>ADDIN CSL_CITATION {"citationItems":[{"id":"ITEM-1","itemData":{"DOI":"10.1080/00335558008248231","ISSN":"0033-555X","author":[{"dropping-particle":"","family":"Posner","given":"Michael I","non-dropping-particle":"","parse-names":false,"suffix":""}],"container-title":"Quarterly Journal of Experimental Psychology","id":"ITEM-1","issue":"1","issued":{"date-parts":[["1980","2","29"]]},"note":"Times Cited: 4028\n4097","page":"3-25","title":"Orienting of attention","type":"article-journal","volume":"32"},"uris":["http://www.mendeley.com/documents/?uuid=98d0473a-5902-4ce5-ad3a-922ac06d9c5c"]}],"mendeley":{"formattedCitation":"(M. I. Posner, 1980)","manualFormatting":"Posner (1980)","plainTextFormattedCitation":"(M. I. Posner, 1980)","previouslyFormattedCitation":"(M. I. Posner, 1980)"},"properties":{"noteIndex":0},"schema":"https://github.com/citation-style-language/schema/raw/master/csl-citation.json"}</w:instrText>
      </w:r>
      <w:r w:rsidR="00CD317E" w:rsidRPr="00BD14B0">
        <w:fldChar w:fldCharType="separate"/>
      </w:r>
      <w:r w:rsidR="00CD317E" w:rsidRPr="00BD14B0">
        <w:rPr>
          <w:noProof/>
        </w:rPr>
        <w:t>Posner (1980)</w:t>
      </w:r>
      <w:r w:rsidR="00CD317E" w:rsidRPr="00BD14B0">
        <w:fldChar w:fldCharType="end"/>
      </w:r>
      <w:r w:rsidR="00CD317E" w:rsidRPr="00BD14B0">
        <w:t xml:space="preserve"> suggested that </w:t>
      </w:r>
      <w:r w:rsidR="00336FD8" w:rsidRPr="00BD14B0">
        <w:t xml:space="preserve">one </w:t>
      </w:r>
      <w:r w:rsidR="00CD317E" w:rsidRPr="00BD14B0">
        <w:t>need</w:t>
      </w:r>
      <w:r w:rsidR="00336FD8" w:rsidRPr="00BD14B0">
        <w:t>s</w:t>
      </w:r>
      <w:r w:rsidR="00CD317E" w:rsidRPr="00BD14B0">
        <w:t xml:space="preserve"> to be able to do </w:t>
      </w:r>
      <w:r w:rsidR="00336FD8" w:rsidRPr="00BD14B0">
        <w:t xml:space="preserve">three </w:t>
      </w:r>
      <w:r w:rsidR="00CD317E" w:rsidRPr="00BD14B0">
        <w:t>things to pay attention to something. First</w:t>
      </w:r>
      <w:r w:rsidR="00336FD8" w:rsidRPr="00BD14B0">
        <w:t>,</w:t>
      </w:r>
      <w:r w:rsidR="00CD317E" w:rsidRPr="00BD14B0">
        <w:t xml:space="preserve"> </w:t>
      </w:r>
      <w:r w:rsidR="00336FD8" w:rsidRPr="00BD14B0">
        <w:t>one</w:t>
      </w:r>
      <w:r w:rsidR="00CD317E" w:rsidRPr="00BD14B0">
        <w:t xml:space="preserve"> need</w:t>
      </w:r>
      <w:r w:rsidR="00336FD8" w:rsidRPr="00BD14B0">
        <w:t>s</w:t>
      </w:r>
      <w:r w:rsidR="00CD317E" w:rsidRPr="00BD14B0">
        <w:t xml:space="preserve"> to disengage from whatever </w:t>
      </w:r>
      <w:r w:rsidR="00336FD8" w:rsidRPr="00BD14B0">
        <w:t xml:space="preserve">is </w:t>
      </w:r>
      <w:r w:rsidR="000F453A" w:rsidRPr="00BD14B0">
        <w:t>currently</w:t>
      </w:r>
      <w:r w:rsidR="00336FD8" w:rsidRPr="00BD14B0">
        <w:t xml:space="preserve"> being </w:t>
      </w:r>
      <w:r w:rsidR="00CD317E" w:rsidRPr="00BD14B0">
        <w:t>focused on</w:t>
      </w:r>
      <w:r w:rsidR="00336FD8" w:rsidRPr="00BD14B0">
        <w:t>;</w:t>
      </w:r>
      <w:r w:rsidR="00CD317E" w:rsidRPr="00BD14B0">
        <w:t xml:space="preserve"> second</w:t>
      </w:r>
      <w:r w:rsidR="00336FD8" w:rsidRPr="00BD14B0">
        <w:t>,</w:t>
      </w:r>
      <w:r w:rsidR="00A10FD1" w:rsidRPr="00BD14B0">
        <w:t xml:space="preserve"> identify what should be focused on</w:t>
      </w:r>
      <w:r w:rsidR="00CD317E" w:rsidRPr="00BD14B0">
        <w:t xml:space="preserve"> next</w:t>
      </w:r>
      <w:r w:rsidR="00336FD8" w:rsidRPr="00BD14B0">
        <w:t>;</w:t>
      </w:r>
      <w:r w:rsidR="00CD317E" w:rsidRPr="00BD14B0">
        <w:t xml:space="preserve"> and third</w:t>
      </w:r>
      <w:r w:rsidR="00336FD8" w:rsidRPr="00BD14B0">
        <w:t>,</w:t>
      </w:r>
      <w:r w:rsidR="00CD317E" w:rsidRPr="00BD14B0">
        <w:t xml:space="preserve"> shift </w:t>
      </w:r>
      <w:r w:rsidR="00336FD8" w:rsidRPr="00BD14B0">
        <w:t xml:space="preserve">one’s </w:t>
      </w:r>
      <w:r w:rsidR="00CD317E" w:rsidRPr="00BD14B0">
        <w:t>attention to the new focus.</w:t>
      </w:r>
      <w:r w:rsidR="00730CC6" w:rsidRPr="00BD14B0">
        <w:t xml:space="preserve"> </w:t>
      </w:r>
      <w:r w:rsidR="00CD317E" w:rsidRPr="00BD14B0">
        <w:t xml:space="preserve">Selective attention has also been divided into three components: </w:t>
      </w:r>
      <w:r w:rsidR="00CD317E" w:rsidRPr="00BD14B0">
        <w:lastRenderedPageBreak/>
        <w:t xml:space="preserve">engaging, disengaging, and shifting </w:t>
      </w:r>
      <w:r w:rsidR="00CD317E" w:rsidRPr="00BD14B0">
        <w:fldChar w:fldCharType="begin" w:fldLock="1"/>
      </w:r>
      <w:r w:rsidR="00CD317E" w:rsidRPr="00BD14B0">
        <w:instrText>ADDIN CSL_CITATION {"citationItems":[{"id":"ITEM-1","itemData":{"DOI":"10.1523/JNEUROSCI.04-07-01863.1984","ISSN":"0270-6474","author":[{"dropping-particle":"","family":"Posner","given":"MI","non-dropping-particle":"","parse-names":false,"suffix":""},{"dropping-particle":"","family":"Walker","given":"JA","non-dropping-particle":"","parse-names":false,"suffix":""},{"dropping-particle":"","family":"Friedrich","given":"FJ","non-dropping-particle":"","parse-names":false,"suffix":""},{"dropping-particle":"","family":"Rafal","given":"RD","non-dropping-particle":"","parse-names":false,"suffix":""}],"container-title":"The Journal of Neuroscience","id":"ITEM-1","issue":"7","issued":{"date-parts":[["1984","7","1"]]},"page":"1863-1874","title":"Effects of parietal injury on covert orienting of attention","type":"article-journal","volume":"4"},"uris":["http://www.mendeley.com/documents/?uuid=65344989-3a74-448f-848e-69f26ef1ac83"]},{"id":"ITEM-2","itemData":{"DOI":"10.1146/annurev.ne.13.030190.000325","ISSN":"0147-006X","abstract":"Annu. Rev. Neurosci. 1990.13:25-42","author":[{"dropping-particle":"","family":"Posner","given":"Michael I.","non-dropping-particle":"","parse-names":false,"suffix":""},{"dropping-particle":"","family":"Petersen","given":"Steven E.","non-dropping-particle":"","parse-names":false,"suffix":""}],"container-title":"Annual Review of Neuroscience","id":"ITEM-2","issue":"1","issued":{"date-parts":[["1990","3"]]},"page":"25-42","title":"The Attention System of the Human Brain","type":"article-journal","volume":"13"},"uris":["http://www.mendeley.com/documents/?uuid=85ef197d-ece4-4f00-972e-58c371828046"]}],"mendeley":{"formattedCitation":"(M. Posner et al., 1984; M. I. Posner &amp; Petersen, 1990)","manualFormatting":"(Posner, Walker, Friedrich, &amp; Rafal, 1984; Posner &amp; Petersen, 1990)","plainTextFormattedCitation":"(M. Posner et al., 1984; M. I. Posner &amp; Petersen, 1990)","previouslyFormattedCitation":"(M. Posner et al., 1984; M. I. Posner &amp; Petersen, 1990)"},"properties":{"noteIndex":0},"schema":"https://github.com/citation-style-language/schema/raw/master/csl-citation.json"}</w:instrText>
      </w:r>
      <w:r w:rsidR="00CD317E" w:rsidRPr="00BD14B0">
        <w:fldChar w:fldCharType="separate"/>
      </w:r>
      <w:r w:rsidR="00CD317E" w:rsidRPr="00BD14B0">
        <w:rPr>
          <w:noProof/>
        </w:rPr>
        <w:t>(Posner, Walker, Friedrich, &amp; Rafal, 1984; Posner &amp; Petersen, 1990)</w:t>
      </w:r>
      <w:r w:rsidR="00CD317E" w:rsidRPr="00BD14B0">
        <w:fldChar w:fldCharType="end"/>
      </w:r>
      <w:r w:rsidR="00CD317E" w:rsidRPr="00BD14B0">
        <w:t xml:space="preserve">. </w:t>
      </w:r>
      <w:r w:rsidR="00336FD8" w:rsidRPr="00BD14B0">
        <w:t>Selective attention</w:t>
      </w:r>
      <w:r w:rsidR="00CD317E" w:rsidRPr="00BD14B0">
        <w:t xml:space="preserve"> begins with orienting of attention. Orienting is the process of moving attention to a location in space (spatial orienting) or time (temporal orienting).</w:t>
      </w:r>
      <w:r w:rsidR="00730CC6" w:rsidRPr="00BD14B0">
        <w:t xml:space="preserve"> </w:t>
      </w:r>
      <w:r w:rsidR="00CD317E" w:rsidRPr="00BD14B0">
        <w:t xml:space="preserve">Stimuli or signals at a given location are enhanced, and therefore, it is possible to detect an important or relevant stimulus and to orient towards a significant event. Behaviourally, </w:t>
      </w:r>
      <w:r w:rsidR="00336FD8" w:rsidRPr="00BD14B0">
        <w:t xml:space="preserve">selective </w:t>
      </w:r>
      <w:r w:rsidR="00CD317E" w:rsidRPr="00BD14B0">
        <w:t xml:space="preserve">attention creates a focused perception leading to faster stimulus selection or heightened contrast sensitivity </w:t>
      </w:r>
      <w:r w:rsidR="00CD317E" w:rsidRPr="00BD14B0">
        <w:fldChar w:fldCharType="begin" w:fldLock="1"/>
      </w:r>
      <w:r w:rsidR="00CD317E" w:rsidRPr="00BD14B0">
        <w:instrText>ADDIN CSL_CITATION {"citationItems":[{"id":"ITEM-1","itemData":{"DOI":"10.1016/j.visres.2011.04.012","ISSN":"00426989","abstract":"This review focuses on covert attention and how it alters early vision. I explain why attention is considered a selective process, the constructs of covert attention, spatial endogenous and exogenous attention, and feature-based attention. I explain how in the last 25. years research on attention has characterized the effects of covert attention on spatial filters and how attention influences the selection of stimuli of interest. This review includes the effects of spatial attention on discriminability and appearance in tasks mediated by contrast sensitivity and spatial resolution; the effects of feature-based attention on basic visual processes, and a comparison of the effects of spatial and feature-based attention. The emphasis of this review is on psychophysical studies, but relevant electrophysiological and neuroimaging studies and models regarding how and where neuronal responses are modulated are also discussed. © 2011 Elsevier Ltd.","author":[{"dropping-particle":"","family":"Carrasco","given":"Marisa","non-dropping-particle":"","parse-names":false,"suffix":""}],"container-title":"Vision Research","id":"ITEM-1","issue":"13","issued":{"date-parts":[["2011","7"]]},"page":"1484-1525","title":"Visual attention: The past 25 years","type":"article-journal","volume":"51"},"uris":["http://www.mendeley.com/documents/?uuid=488464e2-cba2-4ae7-a4ab-789468065491"]}],"mendeley":{"formattedCitation":"(Carrasco, 2011)","plainTextFormattedCitation":"(Carrasco, 2011)","previouslyFormattedCitation":"(Carrasco, 2011)"},"properties":{"noteIndex":0},"schema":"https://github.com/citation-style-language/schema/raw/master/csl-citation.json"}</w:instrText>
      </w:r>
      <w:r w:rsidR="00CD317E" w:rsidRPr="00BD14B0">
        <w:fldChar w:fldCharType="separate"/>
      </w:r>
      <w:r w:rsidR="00CD317E" w:rsidRPr="00BD14B0">
        <w:rPr>
          <w:noProof/>
        </w:rPr>
        <w:t>(Carrasco, 2011)</w:t>
      </w:r>
      <w:r w:rsidR="00CD317E" w:rsidRPr="00BD14B0">
        <w:fldChar w:fldCharType="end"/>
      </w:r>
      <w:r w:rsidR="00CD317E" w:rsidRPr="00BD14B0">
        <w:t>.</w:t>
      </w:r>
    </w:p>
    <w:p w14:paraId="5DF83CE8" w14:textId="355D3FA1" w:rsidR="00906590" w:rsidRPr="00BD14B0" w:rsidRDefault="00CD317E" w:rsidP="00553E01">
      <w:pPr>
        <w:rPr>
          <w:bCs/>
          <w:i/>
          <w:sz w:val="20"/>
          <w:szCs w:val="20"/>
        </w:rPr>
      </w:pPr>
      <w:r w:rsidRPr="00BD14B0">
        <w:tab/>
        <w:t xml:space="preserve">How attention is directed behaviourally is an important question for attention studies. In daily life, people move their eyes to the locations they wish to attend, our natural behaviour shows that gaze always follows where our attention is directed. On the other hand, Helmholtz (1871) proposed that it is possible to direct attention to a particular location voluntarily and selectively without making an eye movement, which was considered to be one of the most important contributions to the theory of attention </w:t>
      </w:r>
      <w:r w:rsidRPr="00BD14B0">
        <w:fldChar w:fldCharType="begin" w:fldLock="1"/>
      </w:r>
      <w:r w:rsidR="004D2901" w:rsidRPr="00BD14B0">
        <w:instrText>ADDIN CSL_CITATION {"citationItems":[{"id":"ITEM-1","itemData":{"DOI":"10.1037/10538-000","ISBN":"1602063141","abstract":"This book provides a foundation to the principles of psychology. It draws upon the natural sciences, avoiding metaphysics, for the basis of its information. According to James, this book, assuming that thoughts and feelings exist and are vehicles of knowledge, thereupon contends that psychology, when it has ascertained the empirical correlation of the various sorts of thought or feeling with definite conditions of the brain, can go no farther as a natural science. (PsycINFO Database Record (c) 2016 APA, all rights reserved)","author":[{"dropping-particle":"","family":"James","given":"William","non-dropping-particle":"","parse-names":false,"suffix":""}],"container-title":"The principles of psychology, Vol I.","id":"ITEM-1","issued":{"date-parts":[["2007"]]},"note":"From Duplicate 2 (The principles of psychology - James, William)\n\nFrom Duplicate 2 (The principles of psychology - James, William)\n\nNULL","number-of-pages":"xii, 697-xii, 697","publisher":"Henry Holt and Co","publisher-place":"New York","title":"The principles of psychology","type":"book","volume":"1"},"uris":["http://www.mendeley.com/documents/?uuid=c0581387-7f7a-4e71-849b-c292ea00948a"]}],"mendeley":{"formattedCitation":"(James, 2007)","plainTextFormattedCitation":"(James, 2007)","previouslyFormattedCitation":"(James, 2007)"},"properties":{"noteIndex":0},"schema":"https://github.com/citation-style-language/schema/raw/master/csl-citation.json"}</w:instrText>
      </w:r>
      <w:r w:rsidRPr="00BD14B0">
        <w:fldChar w:fldCharType="separate"/>
      </w:r>
      <w:r w:rsidR="004D2901" w:rsidRPr="00BD14B0">
        <w:rPr>
          <w:noProof/>
        </w:rPr>
        <w:t>(James, 2007)</w:t>
      </w:r>
      <w:r w:rsidRPr="00BD14B0">
        <w:fldChar w:fldCharType="end"/>
      </w:r>
      <w:r w:rsidRPr="00BD14B0">
        <w:t>. In terms of the eye movement</w:t>
      </w:r>
      <w:r w:rsidR="00336FD8" w:rsidRPr="00BD14B0">
        <w:t xml:space="preserve">, </w:t>
      </w:r>
      <w:r w:rsidRPr="00BD14B0">
        <w:t xml:space="preserve">attention can be directed overtly by moving our gaze to where we select visual inputs or covertly by selecting from the corner of our eyes. It is now well-established that people can choose to attend to locations without moving their eyes </w:t>
      </w:r>
      <w:r w:rsidRPr="00BD14B0">
        <w:fldChar w:fldCharType="begin" w:fldLock="1"/>
      </w:r>
      <w:r w:rsidRPr="00BD14B0">
        <w:instrText>ADDIN CSL_CITATION {"citationItems":[{"id":"ITEM-1","itemData":{"DOI":"10.3758/BF03198630","ISSN":"0031-5117","abstract":"Circular visual displays of 12 elements, consisting of A, H, M, and U, were presented to S. She responded with a lever movement in one direction if a given letter designated by a bar indicator was a member of the set A-U and in the opposite direction if it was from the other set. The principal experimental variables were the SOA by which the indicator preceded the display and whether the target letter was flanked by letters of the same or opposite set. The results indicated that the interference produced by noise letters is primarily on the response as opposed to the processing side. Also, there is a limit to the precision of selective attention in the visual field. The interference of opposite-set letters was inversely proportional to their distance from the target. © 1973 Psychonomic Society, Inc.","author":[{"dropping-particle":"","family":"Eriksen","given":"Charles W.","non-dropping-particle":"","parse-names":false,"suffix":""},{"dropping-particle":"","family":"Hoffman","given":"James E.","non-dropping-particle":"","parse-names":false,"suffix":""}],"container-title":"Perception &amp; Psychophysics","id":"ITEM-1","issue":"1","issued":{"date-parts":[["1973","2"]]},"page":"155-160","title":"The extent of processing of noise elements during selective encoding from visual displays","type":"article-journal","volume":"14"},"uris":["http://www.mendeley.com/documents/?uuid=823cbff4-220d-4652-9c47-e31dcc9c2c93"]},{"id":"ITEM-2","itemData":{"DOI":"10.3758/BF03207451","ISSN":"0031-5117","abstract":"Displays of eight capital letters were presented in a circular arrangement around a central fixation point at tachistoscopic durations. Under different experimental conditions, one or two indicators, presented either 250 msec before, simultaneously with, or after the display, designated the letters that S was to report. The arrangement of conditions permitted inferences as to the order in","author":[{"dropping-particle":"","family":"Eriksen","given":"Charles W","non-dropping-particle":"","parse-names":false,"suffix":""},{"dropping-particle":"","family":"Colegate","given":"Robert L","non-dropping-particle":"","parse-names":false,"suffix":""}],"container-title":"Perception &amp; Psychophysics","id":"ITEM-2","issue":"5","issued":{"date-parts":[["1971","9"]]},"page":"321-326","title":"Selective attention and serial processing in briefly presented visual displays","type":"article-journal","volume":"10"},"uris":["http://www.mendeley.com/documents/?uuid=9f2a302b-1762-45e7-83c1-5213240db06d"]}],"mendeley":{"formattedCitation":"(Eriksen &amp; Colegate, 1971; Eriksen &amp; Hoffman, 1973)","plainTextFormattedCitation":"(Eriksen &amp; Colegate, 1971; Eriksen &amp; Hoffman, 1973)","previouslyFormattedCitation":"(Eriksen &amp; Colegate, 1971; Eriksen &amp; Hoffman, 1973)"},"properties":{"noteIndex":0},"schema":"https://github.com/citation-style-language/schema/raw/master/csl-citation.json"}</w:instrText>
      </w:r>
      <w:r w:rsidRPr="00BD14B0">
        <w:fldChar w:fldCharType="separate"/>
      </w:r>
      <w:r w:rsidRPr="00BD14B0">
        <w:rPr>
          <w:noProof/>
        </w:rPr>
        <w:t>(Eriksen &amp; Colegate, 1971; Eriksen &amp; Hoffman, 1973)</w:t>
      </w:r>
      <w:r w:rsidRPr="00BD14B0">
        <w:fldChar w:fldCharType="end"/>
      </w:r>
      <w:r w:rsidRPr="00BD14B0">
        <w:t xml:space="preserve">. Thus, as </w:t>
      </w:r>
      <w:r w:rsidRPr="00BD14B0">
        <w:fldChar w:fldCharType="begin" w:fldLock="1"/>
      </w:r>
      <w:r w:rsidR="004D2901" w:rsidRPr="00BD14B0">
        <w:instrText>ADDIN CSL_CITATION {"citationItems":[{"id":"ITEM-1","itemData":{"DOI":"10.1080/00335558008248231","ISSN":"0033-555X","author":[{"dropping-particle":"","family":"Posner","given":"Michael I","non-dropping-particle":"","parse-names":false,"suffix":""}],"container-title":"Quarterly Journal of Experimental Psychology","id":"ITEM-1","issue":"1","issued":{"date-parts":[["1980","2","29"]]},"note":"Times Cited: 4028\n4097","page":"3-25","title":"Orienting of attention","type":"article-journal","volume":"32"},"uris":["http://www.mendeley.com/documents/?uuid=98d0473a-5902-4ce5-ad3a-922ac06d9c5c"]}],"mendeley":{"formattedCitation":"(M. I. Posner, 1980)","manualFormatting":"Posner (1980)","plainTextFormattedCitation":"(M. I. Posner, 1980)","previouslyFormattedCitation":"(M. I. Posner, 1980)"},"properties":{"noteIndex":0},"schema":"https://github.com/citation-style-language/schema/raw/master/csl-citation.json"}</w:instrText>
      </w:r>
      <w:r w:rsidRPr="00BD14B0">
        <w:fldChar w:fldCharType="separate"/>
      </w:r>
      <w:r w:rsidRPr="00BD14B0">
        <w:rPr>
          <w:noProof/>
        </w:rPr>
        <w:t>Posner (1980)</w:t>
      </w:r>
      <w:r w:rsidRPr="00BD14B0">
        <w:fldChar w:fldCharType="end"/>
      </w:r>
      <w:r w:rsidRPr="00BD14B0">
        <w:t xml:space="preserve"> suggested, selective attention can be directed in two distinct ways: overtly (by using eyes and head orientation) and covertly (without eye movements)</w:t>
      </w:r>
      <w:r w:rsidR="00336FD8" w:rsidRPr="00BD14B0">
        <w:t>.</w:t>
      </w:r>
      <w:r w:rsidRPr="00BD14B0">
        <w:t xml:space="preserve"> </w:t>
      </w:r>
    </w:p>
    <w:p w14:paraId="24669153" w14:textId="7AEC7822" w:rsidR="00873EFE" w:rsidRPr="00BD14B0" w:rsidRDefault="00906590" w:rsidP="00553E01">
      <w:r w:rsidRPr="00BD14B0">
        <w:tab/>
      </w:r>
      <w:r w:rsidR="00873EFE" w:rsidRPr="00BD14B0">
        <w:fldChar w:fldCharType="begin" w:fldLock="1"/>
      </w:r>
      <w:r w:rsidR="004D2901" w:rsidRPr="00BD14B0">
        <w:instrText>ADDIN CSL_CITATION {"citationItems":[{"id":"ITEM-1","itemData":{"DOI":"10.1080/00335558008248231","ISSN":"0033-555X","author":[{"dropping-particle":"","family":"Posner","given":"Michael I","non-dropping-particle":"","parse-names":false,"suffix":""}],"container-title":"Quarterly Journal of Experimental Psychology","id":"ITEM-1","issue":"1","issued":{"date-parts":[["1980","2","29"]]},"note":"Times Cited: 4028\n4097","page":"3-25","title":"Orienting of attention","type":"article-journal","volume":"32"},"uris":["http://www.mendeley.com/documents/?uuid=98d0473a-5902-4ce5-ad3a-922ac06d9c5c"]}],"mendeley":{"formattedCitation":"(M. I. Posner, 1980)","manualFormatting":"Posner (1980)","plainTextFormattedCitation":"(M. I. Posner, 1980)","previouslyFormattedCitation":"(M. I. Posner, 1980)"},"properties":{"noteIndex":0},"schema":"https://github.com/citation-style-language/schema/raw/master/csl-citation.json"}</w:instrText>
      </w:r>
      <w:r w:rsidR="00873EFE" w:rsidRPr="00BD14B0">
        <w:fldChar w:fldCharType="separate"/>
      </w:r>
      <w:r w:rsidR="00873EFE" w:rsidRPr="00BD14B0">
        <w:rPr>
          <w:noProof/>
        </w:rPr>
        <w:t>Posner (1980)</w:t>
      </w:r>
      <w:r w:rsidR="00873EFE" w:rsidRPr="00BD14B0">
        <w:fldChar w:fldCharType="end"/>
      </w:r>
      <w:r w:rsidR="00873EFE" w:rsidRPr="00BD14B0">
        <w:t xml:space="preserve"> was the first to propose that there are two modes of control over visual orienting: The first mode was exogenous or bottom-up attention, involving reflexive orienting in response to salient stimuli in the visual field whereas the second mode was endogenous or top-down attention, involving voluntary orienting in response to goal-relevant indicators. In an analogy to the guidance of saccadic eye movements, these two modes are referred to as reflexive and voluntary. The distinction between reflexive attention and voluntary attention is about the way in which attention is engaged. Unpredictable and/or unexpected events (such as loud noise from outside) in the environment are engaged with reflexively </w:t>
      </w:r>
      <w:r w:rsidR="00873EFE" w:rsidRPr="00BD14B0">
        <w:fldChar w:fldCharType="begin" w:fldLock="1"/>
      </w:r>
      <w:r w:rsidR="00873EFE" w:rsidRPr="00BD14B0">
        <w:instrText>ADDIN CSL_CITATION {"citationItems":[{"id":"ITEM-1","itemData":{"DOI":"10.1080/17470218.2014.937446","ISBN":"1747-0218","ISSN":"1747-0226","PMID":"25176352","abstract":"It is nearly 35 years since I gave the 7th Sir Frederick Bartlett lecture at Oxford University. This was published as a paper entitled \"Orienting of attention in the quarterly journal\". The topic was then primarily in psychology, but now equally often in neuroscience. This paper summarizes the background of the reaction time methods used in the original paper and findings that emerged later on the sensory consequences of orienting, mainly in the visual system. It then discusses the brain network that is the source of the sensory amplification and other brain networks that are involved in attention. Next, it reviews studies of the development of attentional networks in early life. Finally, it indicates how the new tools available to explore the human brain can lead to further progress.","author":[{"dropping-particle":"","family":"Posner","given":"Michael I","non-dropping-particle":"","parse-names":false,"suffix":""}],"container-title":"Quarterly journal of experimental psychology (2006)","id":"ITEM-1","issue":"September","issued":{"date-parts":[["2014"]]},"page":"1-12","title":"Orienting of attention: Then and now.","type":"article-journal","volume":"0218"},"uris":["http://www.mendeley.com/documents/?uuid=954f811f-ec71-4335-8fdd-859f188224ac"]}],"mendeley":{"formattedCitation":"(M. I. Posner, 2014)","manualFormatting":"(Posner, 2014)","plainTextFormattedCitation":"(M. I. Posner, 2014)","previouslyFormattedCitation":"(M. I. Posner, 2014)"},"properties":{"noteIndex":0},"schema":"https://github.com/citation-style-language/schema/raw/master/csl-citation.json"}</w:instrText>
      </w:r>
      <w:r w:rsidR="00873EFE" w:rsidRPr="00BD14B0">
        <w:fldChar w:fldCharType="separate"/>
      </w:r>
      <w:r w:rsidR="00873EFE" w:rsidRPr="00BD14B0">
        <w:rPr>
          <w:noProof/>
        </w:rPr>
        <w:t>(Posner, 2014)</w:t>
      </w:r>
      <w:r w:rsidR="00873EFE" w:rsidRPr="00BD14B0">
        <w:fldChar w:fldCharType="end"/>
      </w:r>
      <w:r w:rsidR="00873EFE" w:rsidRPr="00BD14B0">
        <w:t xml:space="preserve"> whereas attentional shifts which controlled by internal processes of a particular individual are more voluntary and goal-oriented </w:t>
      </w:r>
      <w:r w:rsidR="00873EFE" w:rsidRPr="00BD14B0">
        <w:fldChar w:fldCharType="begin" w:fldLock="1"/>
      </w:r>
      <w:r w:rsidR="00873EFE" w:rsidRPr="00BD14B0">
        <w:instrText>ADDIN CSL_CITATION {"citationItems":[{"id":"ITEM-1","itemData":{"DOI":"10.1080/17470218.2014.937446","ISBN":"1747-0218","ISSN":"1747-0226","PMID":"25176352","abstract":"It is nearly 35 years since I gave the 7th Sir Frederick Bartlett lecture at Oxford University. This was published as a paper entitled \"Orienting of attention in the quarterly journal\". The topic was then primarily in psychology, but now equally often in neuroscience. This paper summarizes the background of the reaction time methods used in the original paper and findings that emerged later on the sensory consequences of orienting, mainly in the visual system. It then discusses the brain network that is the source of the sensory amplification and other brain networks that are involved in attention. Next, it reviews studies of the development of attentional networks in early life. Finally, it indicates how the new tools available to explore the human brain can lead to further progress.","author":[{"dropping-particle":"","family":"Posner","given":"Michael I","non-dropping-particle":"","parse-names":false,"suffix":""}],"container-title":"Quarterly journal of experimental psychology (2006)","id":"ITEM-1","issue":"September","issued":{"date-parts":[["2014"]]},"page":"1-12","title":"Orienting of attention: Then and now.","type":"article-journal","volume":"0218"},"uris":["http://www.mendeley.com/documents/?uuid=954f811f-ec71-4335-8fdd-859f188224ac"]}],"mendeley":{"formattedCitation":"(M. I. Posner, 2014)","manualFormatting":"(Posner, 2014)","plainTextFormattedCitation":"(M. I. Posner, 2014)","previouslyFormattedCitation":"(M. I. Posner, 2014)"},"properties":{"noteIndex":0},"schema":"https://github.com/citation-style-language/schema/raw/master/csl-citation.json"}</w:instrText>
      </w:r>
      <w:r w:rsidR="00873EFE" w:rsidRPr="00BD14B0">
        <w:fldChar w:fldCharType="separate"/>
      </w:r>
      <w:r w:rsidR="00873EFE" w:rsidRPr="00BD14B0">
        <w:rPr>
          <w:noProof/>
        </w:rPr>
        <w:t>(Posner, 2014)</w:t>
      </w:r>
      <w:r w:rsidR="00873EFE" w:rsidRPr="00BD14B0">
        <w:fldChar w:fldCharType="end"/>
      </w:r>
      <w:r w:rsidR="00873EFE" w:rsidRPr="00BD14B0">
        <w:t xml:space="preserve">. Reflective attention is fast engaged (by 100- 300 </w:t>
      </w:r>
      <w:proofErr w:type="spellStart"/>
      <w:r w:rsidR="00873EFE" w:rsidRPr="00BD14B0">
        <w:t>ms</w:t>
      </w:r>
      <w:proofErr w:type="spellEnd"/>
      <w:r w:rsidR="00873EFE" w:rsidRPr="00BD14B0">
        <w:t xml:space="preserve">) and fades </w:t>
      </w:r>
      <w:r w:rsidR="00873EFE" w:rsidRPr="00BD14B0">
        <w:lastRenderedPageBreak/>
        <w:t>quickly (around 500</w:t>
      </w:r>
      <w:r w:rsidR="00BC5A70" w:rsidRPr="00BD14B0">
        <w:t xml:space="preserve"> </w:t>
      </w:r>
      <w:proofErr w:type="spellStart"/>
      <w:r w:rsidR="00873EFE" w:rsidRPr="00BD14B0">
        <w:t>ms</w:t>
      </w:r>
      <w:proofErr w:type="spellEnd"/>
      <w:r w:rsidR="00873EFE" w:rsidRPr="00BD14B0">
        <w:t xml:space="preserve">) </w:t>
      </w:r>
      <w:r w:rsidR="00873EFE" w:rsidRPr="00BD14B0">
        <w:fldChar w:fldCharType="begin" w:fldLock="1"/>
      </w:r>
      <w:r w:rsidR="00873EFE" w:rsidRPr="00BD14B0">
        <w:instrText>ADDIN CSL_CITATION {"citationItems":[{"id":"ITEM-1","itemData":{"DOI":"10.1016/0001-6918(88)90003-0","ISSN":"00016918","abstract":"It is often claimed that advance knowledge of target location enhances target recognition only when there are competing stimuli simultaneously present in the visual field (e.g., Grindley and Townsend 1968). This study reinvestigated this question applying a ‘cost-benefit’ analysis to a discrimination plus localisation task adapted from Grindley and Townsend. Spatial cueing produced benefits in accuracy for cued and costs for uncued locations, both with single and with multiple displays. However, costs plus benefits were more marked for multiple displays. Peripheral cues produced strong facilitation for cued and strong inhibition for uncued locations at short cue-target SOAs. Central cues showed a comparatively delayed build-up of facilitation and weaker inhibition. Costs plus benefits decreased at long SOAs, mainly because of a decrease in inhibition for uncued locations. This decrease was more marked for single than for multiple displays. This pattern suggests that there is an early ‘automatic’ (peripheral cues only) and a later ‘controlled’ (both central and peripheral cues) mechanism of spatial orienting, which differ in their interruptability by competing strimuli, e.g. targets at uncued locations. These are more likely to be detected in single than in multiple displays because a single luminance increment can attract attention through the same mechanism as a peripheral cue.","author":[{"dropping-particle":"","family":"Müller","given":"Hermann J","non-dropping-particle":"","parse-names":false,"suffix":""},{"dropping-particle":"","family":"Findlay","given":"John M","non-dropping-particle":"","parse-names":false,"suffix":""}],"container-title":"Acta Psychologica","id":"ITEM-1","issue":"2","issued":{"date-parts":[["1988","11"]]},"page":"129-155","title":"The effect of visual attention of peripheral discrimination thresholds in single and multiple element displays","type":"article-journal","volume":"69"},"uris":["http://www.mendeley.com/documents/?uuid=14183697-2c60-48fe-b488-e1ca3d42b254"]}],"mendeley":{"formattedCitation":"(Müller &amp; Findlay, 1988)","plainTextFormattedCitation":"(Müller &amp; Findlay, 1988)","previouslyFormattedCitation":"(Müller &amp; Findlay, 1988)"},"properties":{"noteIndex":0},"schema":"https://github.com/citation-style-language/schema/raw/master/csl-citation.json"}</w:instrText>
      </w:r>
      <w:r w:rsidR="00873EFE" w:rsidRPr="00BD14B0">
        <w:fldChar w:fldCharType="separate"/>
      </w:r>
      <w:r w:rsidR="00873EFE" w:rsidRPr="00BD14B0">
        <w:rPr>
          <w:noProof/>
        </w:rPr>
        <w:t>(Müller &amp; Findlay, 1988)</w:t>
      </w:r>
      <w:r w:rsidR="00873EFE" w:rsidRPr="00BD14B0">
        <w:fldChar w:fldCharType="end"/>
      </w:r>
      <w:r w:rsidR="00873EFE" w:rsidRPr="00BD14B0">
        <w:t xml:space="preserve">. Voluntary attention, however, requires a longer time to emerge (300–500 </w:t>
      </w:r>
      <w:proofErr w:type="spellStart"/>
      <w:r w:rsidR="00873EFE" w:rsidRPr="00BD14B0">
        <w:t>ms</w:t>
      </w:r>
      <w:proofErr w:type="spellEnd"/>
      <w:r w:rsidR="00873EFE" w:rsidRPr="00BD14B0">
        <w:t xml:space="preserve">) and lasts longer (1000 </w:t>
      </w:r>
      <w:proofErr w:type="spellStart"/>
      <w:r w:rsidR="00873EFE" w:rsidRPr="00BD14B0">
        <w:t>ms</w:t>
      </w:r>
      <w:proofErr w:type="spellEnd"/>
      <w:r w:rsidR="00873EFE" w:rsidRPr="00BD14B0">
        <w:t xml:space="preserve">) </w:t>
      </w:r>
      <w:r w:rsidR="00873EFE" w:rsidRPr="00BD14B0">
        <w:fldChar w:fldCharType="begin" w:fldLock="1"/>
      </w:r>
      <w:r w:rsidR="00873EFE" w:rsidRPr="00BD14B0">
        <w:instrText>ADDIN CSL_CITATION {"citationItems":[{"id":"ITEM-1","itemData":{"DOI":"10.1037/0096-1523.15.2.315","ISBN":"1939-1277(Electronic),0096-1523(Print)","ISSN":"1939-1277","abstract":"To study the mechanisms underlying covert orienting of attention in visual space, subjects were given advance cues indicating the probable locations of targets that they had to discriminate and localize. Direct peripheral cues (brightening of one of four boxes in peripheral vision) and symbolic central cues (an arrow at the fixation point indicating a probable peripheral box) were compared. Peripheral and central cues are believed to activate different reflexive and voluntary modes of orienting (J. Jonides, 1981; M. I. Posner; see record 1981-09397-001). Experiment 1 showed that the time courses of facilitation and inhibition from peripheral and central cues were characteristic and different. Experiment 2 showed that voluntary orienting in response to symbolic central cues is interrupted by reflexive orienting to random peripheral flashes. Experiment 3 showed that irrelevant peripheral flashes also compete with relevant peripheral cues. The amount of interference varied systematically with the interval between the onset of the relevant cue and of the distracting flash (cue-flash onset asynchrony) and with the cuing condition. (PsycINFO Database Record (c) 2016 APA, all rights reserved)","author":[{"dropping-particle":"","family":"Müller","given":"Hermann J","non-dropping-particle":"","parse-names":false,"suffix":""},{"dropping-particle":"","family":"Rabbitt","given":"Patrick M","non-dropping-particle":"","parse-names":false,"suffix":""}],"container-title":"Journal of Experimental Psychology: Human Perception and Performance","id":"ITEM-1","issue":"2","issued":{"date-parts":[["1989"]]},"page":"315-330","publisher":"American Psychological Association","publisher-place":"US","title":"Reflexive and voluntary orienting of visual attention: Time course of activation and resistance to interruption.","type":"article-journal","volume":"15"},"uris":["http://www.mendeley.com/documents/?uuid=d4687186-ebb2-4dbe-9ac0-66be3741ab98"]}],"mendeley":{"formattedCitation":"(Müller &amp; Rabbitt, 1989)","plainTextFormattedCitation":"(Müller &amp; Rabbitt, 1989)","previouslyFormattedCitation":"(Müller &amp; Rabbitt, 1989)"},"properties":{"noteIndex":0},"schema":"https://github.com/citation-style-language/schema/raw/master/csl-citation.json"}</w:instrText>
      </w:r>
      <w:r w:rsidR="00873EFE" w:rsidRPr="00BD14B0">
        <w:fldChar w:fldCharType="separate"/>
      </w:r>
      <w:r w:rsidR="00873EFE" w:rsidRPr="00BD14B0">
        <w:rPr>
          <w:noProof/>
        </w:rPr>
        <w:t>(Müller &amp; Rabbitt, 1989)</w:t>
      </w:r>
      <w:r w:rsidR="00873EFE" w:rsidRPr="00BD14B0">
        <w:fldChar w:fldCharType="end"/>
      </w:r>
      <w:r w:rsidR="00873EFE" w:rsidRPr="00BD14B0">
        <w:t xml:space="preserve">. </w:t>
      </w:r>
    </w:p>
    <w:p w14:paraId="0DE1DA4C" w14:textId="07EE6300" w:rsidR="00873EFE" w:rsidRPr="00BD14B0" w:rsidRDefault="00873EFE" w:rsidP="00553E01">
      <w:pPr>
        <w:rPr>
          <w:strike/>
        </w:rPr>
      </w:pPr>
      <w:r w:rsidRPr="00BD14B0">
        <w:tab/>
        <w:t xml:space="preserve">Bottom-up attention is derived only from low-level image properties, typically using contrast features. Bottom-up attention biases the observer towards selecting salient stimuli, which stands out from the environment </w:t>
      </w:r>
      <w:r w:rsidRPr="00BD14B0">
        <w:fldChar w:fldCharType="begin" w:fldLock="1"/>
      </w:r>
      <w:r w:rsidRPr="00BD14B0">
        <w:instrText>ADDIN CSL_CITATION {"citationItems":[{"id":"ITEM-1","itemData":{"DOI":"10.1038/35058500","ISSN":"1471-003X","abstract":"We review recent work on computational models of focal visual attention, with emphasis on the bottom-up, saliency- or image-based control of attentional deployment. We highlight five important trends that have emerged from the computational literature: First, the perceptual saliency of stimuli critically depends on surrounding context; that is, the same object may or may not appear salient depending on the nature and arrangement of other objects in the scene. Computationally, this means that contextual influences, such as non-classical surround interactions, must be included in models. Second, a unique 'saliency map' topographically encoding for stimulus conspicuity over the visual scene has proved to be an efficient and plausible bottom-up control strategy. Many successful models are based on such architecture, and electrophysiological as well as psychophysical studies have recently supported the idea that saliency is explicitly encoded in the brain. Third, inhibition-of-return (IOR), the process by which the currently attended location is transiently inhibited, is a critical element of attentional deployment. Without IOR, attention would endlessly be attracted towards the most salient stimulus. IOR thus implements a memory of recently visited locations, and allows attention to thoroughly scan our visual environment. Fourth, attention and eye movements tightly interplay, posing computational challenges with respect to the coordinate system used to control attention. Understanding the interaction between overt and covert attention is particularly important for models concerned with visual search. Last, scene understanding and object recognition strongly constrain the selection of attended locations. Although several models have approached, in an information-theoretical sense, the problem of optimally deploying attention to analyse a scene, biologically plausible implementations of such a computational strategy remain to be developed.","author":[{"dropping-particle":"","family":"Itti","given":"Laurent","non-dropping-particle":"","parse-names":false,"suffix":""},{"dropping-particle":"","family":"Koch","given":"Christof","non-dropping-particle":"","parse-names":false,"suffix":""}],"container-title":"Nature Reviews Neuroscience","id":"ITEM-1","issue":"3","issued":{"date-parts":[["2001","3"]]},"page":"194-203","title":"Computational modelling of visual attention","type":"article-journal","volume":"2"},"uris":["http://www.mendeley.com/documents/?uuid=2f299566-503d-4bbf-beee-46ee54e0a2ef"]}],"mendeley":{"formattedCitation":"(Itti &amp; Koch, 2001)","plainTextFormattedCitation":"(Itti &amp; Koch, 2001)","previouslyFormattedCitation":"(Itti &amp; Koch, 2001)"},"properties":{"noteIndex":0},"schema":"https://github.com/citation-style-language/schema/raw/master/csl-citation.json"}</w:instrText>
      </w:r>
      <w:r w:rsidRPr="00BD14B0">
        <w:fldChar w:fldCharType="separate"/>
      </w:r>
      <w:r w:rsidRPr="00BD14B0">
        <w:rPr>
          <w:noProof/>
        </w:rPr>
        <w:t>(Itti &amp; Koch, 2001)</w:t>
      </w:r>
      <w:r w:rsidRPr="00BD14B0">
        <w:fldChar w:fldCharType="end"/>
      </w:r>
      <w:r w:rsidRPr="00BD14B0">
        <w:t xml:space="preserve">. The basic assumption for bottom-up saliency is that pre-attentive processing is driven by the bottom-up features of a stimulus (such as colour, orientation), prior to the allocation of attention </w:t>
      </w:r>
      <w:r w:rsidRPr="00BD14B0">
        <w:fldChar w:fldCharType="begin" w:fldLock="1"/>
      </w:r>
      <w:r w:rsidRPr="00BD14B0">
        <w:instrText>ADDIN CSL_CITATION {"citationItems":[{"id":"ITEM-1","itemData":{"DOI":"10.1016/j.actpsy.2010.02.006","ISSN":"00016918","abstract":"The present paper argues for the notion that when attention is spread across the visual field in the first sweep of information through the brain visual selection is completely stimulus-driven. Only later in time, through recurrent feedback processing, volitional control based on expectancy and goal set will bias visual selection in a top–down manner. Here we review behavioral evidence as well as evidence from ERP, fMRI, TMS and single cell recording consistent with stimulus-driven selection. Alternative viewpoints that assume a large role for top–down processing are discussed. It is argued that in most cases evidence supporting top–down control on visual selection in fact demonstrates top–down control on processes occurring later in time, following initial selection. We conclude that top–down knowledge regarding non-spatial features of the objects cannot alter the initial selection priority. Only by adjusting the size of the attentional window, the initial sweep of information through the brain may be altered in a top–down way.","author":[{"dropping-particle":"","family":"Theeuwes","given":"Jan","non-dropping-particle":"","parse-names":false,"suffix":""}],"container-title":"Acta Psychologica","id":"ITEM-1","issue":"2","issued":{"date-parts":[["2010","10"]]},"page":"77-99","title":"Top–down and bottom–up control of visual selection","type":"article-journal","volume":"135"},"uris":["http://www.mendeley.com/documents/?uuid=1b55c90d-da24-41dd-91be-124ae0458d7e"]}],"mendeley":{"formattedCitation":"(Theeuwes, 2010)","plainTextFormattedCitation":"(Theeuwes, 2010)","previouslyFormattedCitation":"(Theeuwes, 2010)"},"properties":{"noteIndex":0},"schema":"https://github.com/citation-style-language/schema/raw/master/csl-citation.json"}</w:instrText>
      </w:r>
      <w:r w:rsidRPr="00BD14B0">
        <w:fldChar w:fldCharType="separate"/>
      </w:r>
      <w:r w:rsidRPr="00BD14B0">
        <w:rPr>
          <w:noProof/>
        </w:rPr>
        <w:t>(Theeuwes, 2010)</w:t>
      </w:r>
      <w:r w:rsidRPr="00BD14B0">
        <w:fldChar w:fldCharType="end"/>
      </w:r>
      <w:r w:rsidRPr="00BD14B0">
        <w:t xml:space="preserve">. After the initial pre-attentive analysis of a scene, one object is selected on the basis of local feature contrast obtained from its relationship with respect to its surroundings </w:t>
      </w:r>
      <w:r w:rsidRPr="00BD14B0">
        <w:fldChar w:fldCharType="begin" w:fldLock="1"/>
      </w:r>
      <w:r w:rsidRPr="00BD14B0">
        <w:instrText>ADDIN CSL_CITATION {"citationItems":[{"id":"ITEM-1","itemData":{"DOI":"10.1146/annurev.psych.48.1.269","ISSN":"0066-4308","abstract":"Three central problems in the recent literature on visual attention are reviewed. The first concerns the control of attention by top-down (or goal-directed) and bottom-up (or stimulus-driven) processes. The second concerns the representational basis for visual selection, including how much attention can be said to be location- or object-based. Finally, we consider the time course of attention as it is directed to one stimulus after another.","author":[{"dropping-particle":"","family":"Egeth","given":"Howard E.","non-dropping-particle":"","parse-names":false,"suffix":""},{"dropping-particle":"","family":"Yantis","given":"Steven","non-dropping-particle":"","parse-names":false,"suffix":""}],"container-title":"Annual Review of Psychology","id":"ITEM-1","issue":"1","issued":{"date-parts":[["1997","2"]]},"page":"269-297","title":"VISUAL ATTENTION: Control, Representation, and Time Course","type":"article-journal","volume":"48"},"uris":["http://www.mendeley.com/documents/?uuid=270e545a-580b-42e6-8152-7e7d79df147f"]}],"mendeley":{"formattedCitation":"(Egeth &amp; Yantis, 1997)","plainTextFormattedCitation":"(Egeth &amp; Yantis, 1997)","previouslyFormattedCitation":"(Egeth &amp; Yantis, 1997)"},"properties":{"noteIndex":0},"schema":"https://github.com/citation-style-language/schema/raw/master/csl-citation.json"}</w:instrText>
      </w:r>
      <w:r w:rsidRPr="00BD14B0">
        <w:fldChar w:fldCharType="separate"/>
      </w:r>
      <w:r w:rsidRPr="00BD14B0">
        <w:rPr>
          <w:noProof/>
        </w:rPr>
        <w:t>(Egeth &amp; Yantis, 1997)</w:t>
      </w:r>
      <w:r w:rsidRPr="00BD14B0">
        <w:fldChar w:fldCharType="end"/>
      </w:r>
      <w:r w:rsidRPr="00BD14B0">
        <w:t xml:space="preserve">. This mode of attention is considered to be fast, automatic, and </w:t>
      </w:r>
      <w:r w:rsidR="000F453A" w:rsidRPr="00BD14B0">
        <w:t>task independent</w:t>
      </w:r>
      <w:r w:rsidRPr="00BD14B0">
        <w:t xml:space="preserve">. </w:t>
      </w:r>
    </w:p>
    <w:p w14:paraId="19E89FBA" w14:textId="335C20B3" w:rsidR="009B17D5" w:rsidRPr="00BD14B0" w:rsidRDefault="00CD317E" w:rsidP="00553E01">
      <w:r w:rsidRPr="00BD14B0">
        <w:tab/>
      </w:r>
      <w:r w:rsidR="009B17D5" w:rsidRPr="00BD14B0">
        <w:t xml:space="preserve">Top-down attention is driven by a task or a motive, and compared to bottom-up saliency, its deployment is slow and controlled by volition; this is why it is called “voluntary attention” in some research. In one seminal experimental method that investigated attention orienting, participants were asked to locate a target that could appear to the left or right of a fixation point </w:t>
      </w:r>
      <w:r w:rsidR="009B17D5" w:rsidRPr="00BD14B0">
        <w:fldChar w:fldCharType="begin" w:fldLock="1"/>
      </w:r>
      <w:r w:rsidR="009B17D5" w:rsidRPr="00BD14B0">
        <w:instrText>ADDIN CSL_CITATION {"citationItems":[{"id":"ITEM-1","itemData":{"DOI":"10.1080/00335558008248231","ISSN":"0033-555X","author":[{"dropping-particle":"","family":"Posner","given":"Michael I","non-dropping-particle":"","parse-names":false,"suffix":""}],"container-title":"Quarterly Journal of Experimental Psychology","id":"ITEM-1","issue":"1","issued":{"date-parts":[["1980","2","29"]]},"note":"Times Cited: 4028\n4097","page":"3-25","title":"Orienting of attention","type":"article-journal","volume":"32"},"uris":["http://www.mendeley.com/documents/?uuid=98d0473a-5902-4ce5-ad3a-922ac06d9c5c"]}],"mendeley":{"formattedCitation":"(M. I. Posner, 1980)","manualFormatting":"(Posner, 1980)","plainTextFormattedCitation":"(M. I. Posner, 1980)","previouslyFormattedCitation":"(M. I. Posner, 1980)"},"properties":{"noteIndex":0},"schema":"https://github.com/citation-style-language/schema/raw/master/csl-citation.json"}</w:instrText>
      </w:r>
      <w:r w:rsidR="009B17D5" w:rsidRPr="00BD14B0">
        <w:fldChar w:fldCharType="separate"/>
      </w:r>
      <w:r w:rsidR="009B17D5" w:rsidRPr="00BD14B0">
        <w:rPr>
          <w:noProof/>
        </w:rPr>
        <w:t>(Posner, 1980)</w:t>
      </w:r>
      <w:r w:rsidR="009B17D5" w:rsidRPr="00BD14B0">
        <w:fldChar w:fldCharType="end"/>
      </w:r>
      <w:r w:rsidR="009B17D5" w:rsidRPr="00BD14B0">
        <w:t xml:space="preserve">. So-called spatial cueing involves identifying one of the possible target locations that appear in the middle of the screen, where faster reaction times indicate stronger orientation. Different cue types differentiate exogenous and endogenous orientation, and visual attention can be categorised according to how it is controlled. Exogenous attention is driven by stimuli and endogenous attention is determined by the internal expectations about events in the environment. </w:t>
      </w:r>
      <w:r w:rsidR="009B17D5" w:rsidRPr="00BD14B0">
        <w:fldChar w:fldCharType="begin" w:fldLock="1"/>
      </w:r>
      <w:r w:rsidR="004D2901" w:rsidRPr="00BD14B0">
        <w:instrText>ADDIN CSL_CITATION {"citationItems":[{"id":"ITEM-1","itemData":{"DOI":"10.1080/00335558008248231","ISSN":"0033-555X","author":[{"dropping-particle":"","family":"Posner","given":"Michael I","non-dropping-particle":"","parse-names":false,"suffix":""}],"container-title":"Quarterly Journal of Experimental Psychology","id":"ITEM-1","issue":"1","issued":{"date-parts":[["1980","2","29"]]},"note":"Times Cited: 4028\n4097","page":"3-25","title":"Orienting of attention","type":"article-journal","volume":"32"},"uris":["http://www.mendeley.com/documents/?uuid=98d0473a-5902-4ce5-ad3a-922ac06d9c5c"]}],"mendeley":{"formattedCitation":"(M. I. Posner, 1980)","manualFormatting":"Posner (1980)","plainTextFormattedCitation":"(M. I. Posner, 1980)","previouslyFormattedCitation":"(M. I. Posner, 1980)"},"properties":{"noteIndex":0},"schema":"https://github.com/citation-style-language/schema/raw/master/csl-citation.json"}</w:instrText>
      </w:r>
      <w:r w:rsidR="009B17D5" w:rsidRPr="00BD14B0">
        <w:fldChar w:fldCharType="separate"/>
      </w:r>
      <w:r w:rsidR="009B17D5" w:rsidRPr="00BD14B0">
        <w:rPr>
          <w:noProof/>
        </w:rPr>
        <w:t>Posner (1980)</w:t>
      </w:r>
      <w:r w:rsidR="009B17D5" w:rsidRPr="00BD14B0">
        <w:fldChar w:fldCharType="end"/>
      </w:r>
      <w:r w:rsidR="009B17D5" w:rsidRPr="00BD14B0">
        <w:t xml:space="preserve"> first described a so-called endogenous cueing procedure, which reflects top-down selection. In this paradigm, observers receive a cue showing them the likely location of the upcoming target. Typically, observers are faster and make fewer errors when the target appears at the cued location compared to when it appears at an un-cued location. Responding to an endogenous verbal cue as in the Posner cueing tasks takes about 200 to 300 </w:t>
      </w:r>
      <w:proofErr w:type="spellStart"/>
      <w:r w:rsidR="009B17D5" w:rsidRPr="00BD14B0">
        <w:t>ms</w:t>
      </w:r>
      <w:proofErr w:type="spellEnd"/>
      <w:r w:rsidR="009B17D5" w:rsidRPr="00BD14B0">
        <w:t xml:space="preserve"> </w:t>
      </w:r>
      <w:r w:rsidR="009B17D5" w:rsidRPr="00BD14B0">
        <w:fldChar w:fldCharType="begin" w:fldLock="1"/>
      </w:r>
      <w:r w:rsidR="009B17D5" w:rsidRPr="00BD14B0">
        <w:instrText>ADDIN CSL_CITATION {"citationItems":[{"id":"ITEM-1","itemData":{"DOI":"10.1037/0096-1523.15.2.315","ISBN":"1939-1277(Electronic),0096-1523(Print)","ISSN":"1939-1277","abstract":"To study the mechanisms underlying covert orienting of attention in visual space, subjects were given advance cues indicating the probable locations of targets that they had to discriminate and localize. Direct peripheral cues (brightening of one of four boxes in peripheral vision) and symbolic central cues (an arrow at the fixation point indicating a probable peripheral box) were compared. Peripheral and central cues are believed to activate different reflexive and voluntary modes of orienting (J. Jonides, 1981; M. I. Posner; see record 1981-09397-001). Experiment 1 showed that the time courses of facilitation and inhibition from peripheral and central cues were characteristic and different. Experiment 2 showed that voluntary orienting in response to symbolic central cues is interrupted by reflexive orienting to random peripheral flashes. Experiment 3 showed that irrelevant peripheral flashes also compete with relevant peripheral cues. The amount of interference varied systematically with the interval between the onset of the relevant cue and of the distracting flash (cue-flash onset asynchrony) and with the cuing condition. (PsycINFO Database Record (c) 2016 APA, all rights reserved)","author":[{"dropping-particle":"","family":"Müller","given":"Hermann J","non-dropping-particle":"","parse-names":false,"suffix":""},{"dropping-particle":"","family":"Rabbitt","given":"Patrick M","non-dropping-particle":"","parse-names":false,"suffix":""}],"container-title":"Journal of Experimental Psychology: Human Perception and Performance","id":"ITEM-1","issue":"2","issued":{"date-parts":[["1989"]]},"page":"315-330","publisher":"American Psychological Association","publisher-place":"US","title":"Reflexive and voluntary orienting of visual attention: Time course of activation and resistance to interruption.","type":"article-journal","volume":"15"},"uris":["http://www.mendeley.com/documents/?uuid=d4687186-ebb2-4dbe-9ac0-66be3741ab98"]}],"mendeley":{"formattedCitation":"(Müller &amp; Rabbitt, 1989)","plainTextFormattedCitation":"(Müller &amp; Rabbitt, 1989)","previouslyFormattedCitation":"(Müller &amp; Rabbitt, 1989)"},"properties":{"noteIndex":0},"schema":"https://github.com/citation-style-language/schema/raw/master/csl-citation.json"}</w:instrText>
      </w:r>
      <w:r w:rsidR="009B17D5" w:rsidRPr="00BD14B0">
        <w:fldChar w:fldCharType="separate"/>
      </w:r>
      <w:r w:rsidR="009B17D5" w:rsidRPr="00BD14B0">
        <w:rPr>
          <w:noProof/>
        </w:rPr>
        <w:t>(Müller &amp; Rabbitt, 1989)</w:t>
      </w:r>
      <w:r w:rsidR="009B17D5" w:rsidRPr="00BD14B0">
        <w:fldChar w:fldCharType="end"/>
      </w:r>
      <w:r w:rsidR="009B17D5" w:rsidRPr="00BD14B0">
        <w:t xml:space="preserve"> whereas exogenous shift to peripheral onset (i.e., bottom-up attention) only takes about 100 </w:t>
      </w:r>
      <w:proofErr w:type="spellStart"/>
      <w:r w:rsidR="009B17D5" w:rsidRPr="00BD14B0">
        <w:t>ms</w:t>
      </w:r>
      <w:proofErr w:type="spellEnd"/>
      <w:r w:rsidR="009B17D5" w:rsidRPr="00BD14B0">
        <w:t xml:space="preserve"> </w:t>
      </w:r>
      <w:r w:rsidR="009B17D5" w:rsidRPr="00BD14B0">
        <w:fldChar w:fldCharType="begin" w:fldLock="1"/>
      </w:r>
      <w:r w:rsidR="009B17D5" w:rsidRPr="00BD14B0">
        <w:instrText>ADDIN CSL_CITATION {"citationItems":[{"id":"ITEM-1","itemData":{"DOI":"10.1016/0042-6989(89)90144-2","ISSN":"00426989","abstract":"Human observers fixated the center of a search array and were required to discriminate the color of an odd target if it was present. The array consisted of horizontal or vertical black or white bars. In the simple case, only orientation was necessary to define the odd target, whereas in the conjunctive case, both orientation and color were necessary. A cue located at the critical target position was either visible all the time (sustained cuing) or it appeared at a short variable delay before the array presentation (transient cuing). Sustained visual cuing enhanced perception greatly in the conjunctive, but not in the simple condition. Perception of the odd target in the conjunctive display was improved even further by transient cuing, and peak discrimination performance occurred if the cue preceded the target array by 70–150 msec. Longer delays led to a marked downturn in performance. Control experiments indicated that this transient attentional component was independent of the observers' prior knowledge of target position and was not subject to voluntary control. We provide evidence to suggest that the transient component does not originate at the earliest stages of visual processing, since it could not be extended in duration by flickering the cue, nor did it require a local sensory transient to trigger its onset. Neither the variation in retinal eccentricity nor changing the paradigm to a vernier acuity task altered the basic pattern of results. Our findings indicate the existence of a sustained and a transient component of attention, and we hypothesize that of the two, the transient component is operative at an earlier stage of visual cortical processing.","author":[{"dropping-particle":"","family":"Nakayama","given":"Ken","non-dropping-particle":"","parse-names":false,"suffix":""},{"dropping-particle":"","family":"Mackeben","given":"Manfred","non-dropping-particle":"","parse-names":false,"suffix":""}],"container-title":"Vision Research","id":"ITEM-1","issue":"11","issued":{"date-parts":[["1989","1"]]},"page":"1631-1647","title":"Sustained and transient components of focal visual attention","type":"article-journal","volume":"29"},"uris":["http://www.mendeley.com/documents/?uuid=44feaba2-4db1-4aec-ab96-dd3caba80a7e"]}],"mendeley":{"formattedCitation":"(Nakayama &amp; Mackeben, 1989)","plainTextFormattedCitation":"(Nakayama &amp; Mackeben, 1989)","previouslyFormattedCitation":"(Nakayama &amp; Mackeben, 1989)"},"properties":{"noteIndex":0},"schema":"https://github.com/citation-style-language/schema/raw/master/csl-citation.json"}</w:instrText>
      </w:r>
      <w:r w:rsidR="009B17D5" w:rsidRPr="00BD14B0">
        <w:fldChar w:fldCharType="separate"/>
      </w:r>
      <w:r w:rsidR="009B17D5" w:rsidRPr="00BD14B0">
        <w:rPr>
          <w:noProof/>
        </w:rPr>
        <w:t>(Nakayama &amp; Mackeben, 1989)</w:t>
      </w:r>
      <w:r w:rsidR="009B17D5" w:rsidRPr="00BD14B0">
        <w:fldChar w:fldCharType="end"/>
      </w:r>
      <w:r w:rsidR="009B17D5" w:rsidRPr="00BD14B0">
        <w:t xml:space="preserve">. The other essential point here is that observers direct their attention to a particular location in space using their own volitional act when cued endogenously. The assumption here is that information from higher cortical </w:t>
      </w:r>
      <w:r w:rsidR="009B17D5" w:rsidRPr="00BD14B0">
        <w:lastRenderedPageBreak/>
        <w:t xml:space="preserve">areas needs to be sent to earlier areas to guide attention in a top-down manner. </w:t>
      </w:r>
      <w:r w:rsidR="009B17D5" w:rsidRPr="00BD14B0">
        <w:fldChar w:fldCharType="begin" w:fldLock="1"/>
      </w:r>
      <w:r w:rsidR="004D2901" w:rsidRPr="00BD14B0">
        <w:instrText>ADDIN CSL_CITATION {"citationItems":[{"id":"ITEM-1","itemData":{"DOI":"10.5334/joc.13","ISSN":"2514-4820","abstract":"Recently it was argued that in addition to top-down and bottom-up processes, lingering biases of selection history play a major role in visual selection (Awh, Belopolsky &amp; Theeuwes, 2012). Since its publication there has been a growing controversy about the terms top-down, bottom-up and selection-history in relation to visual selection. In the current paper we define these terms, discuss some controversies about these terms and explain what kind of effects should be considered to be the result of lingering biases of selection history, i.e., priming, reward/fear, and statistical learning. We discuss the properties of top-down selection (slow, effortfull, and controlled) versus the properties of lingering biases of selection history (fast, effortless, and automatic). We adhere the position that the experience with selecting a particular feature or the location of a feature, may boost and sharpening its representation within the priority selection map above and beyond its physical salience. It is as if the experience may render a feature or location subjectively more salient. Our message of the current review is that true top-down control of visual selection occurs far less often than what is typically assumed. Most of the time, selection is based on experience and history. It is fast, automatic and occurs without much, if any, effort.","author":[{"dropping-particle":"","family":"Theeuwes","given":"Jan","non-dropping-particle":"","parse-names":false,"suffix":""}],"container-title":"Journal of Cognition","id":"ITEM-1","issue":"1","issued":{"date-parts":[["2018","5","14"]]},"page":"1-15","title":"Visual Selection: Usually Fast and Automatic; Seldom Slow and Volitional","type":"article-journal","volume":"1"},"uris":["http://www.mendeley.com/documents/?uuid=d9b50429-ebbb-446c-8bd9-a0db5f39ad99"]},{"id":"ITEM-2","itemData":{"DOI":"10.1016/j.tics.2012.06.010.Top-down","ISSN":"1879-307X","PMID":"22795563","abstract":"Prominent models of attentional control assert a dichotomy between top-down and bottom-up control, with the former determined by current selection goals and the latter determined by physical salience. This theoretical dichotomy, however, fails to explain a growing number of cases in which neither current goals nor physical salience can account for strong selection biases. For example, equally salient stimuli associated with reward can capture attention, even when this contradicts current selection goals. Thus, although ‘top-down’ sources of bias are sometimes defined as those that are not due to physical salience, this conception conflates distinct – and sometimes contradictory – sources of selection bias. We describe an alternative framework, in which past selection history is integrated with current goals and physical salience to shape an integrated priority map. The","author":[{"dropping-particle":"","family":"Awh","given":"Edward","non-dropping-particle":"","parse-names":false,"suffix":""},{"dropping-particle":"V.","family":"Belepolsky","given":"Artem","non-dropping-particle":"","parse-names":false,"suffix":""},{"dropping-particle":"","family":"Theeuwes","given":"Jan","non-dropping-particle":"","parse-names":false,"suffix":""},{"dropping-particle":"V","family":"Belopolsky","given":"Artem","non-dropping-particle":"","parse-names":false,"suffix":""}],"container-title":"Trends in Cognitive Science","id":"ITEM-2","issue":"8","issued":{"date-parts":[["2012"]]},"page":"437-443","title":"Theoretical Dichotomy","type":"article-journal","volume":"16"},"uris":["http://www.mendeley.com/documents/?uuid=ce56cf9d-24f9-4646-8555-1b1df0d5934a"]}],"mendeley":{"formattedCitation":"(Awh et al., 2012; Theeuwes, 2018)","manualFormatting":"Awh et al. (2012) and Theeuwes (2018)","plainTextFormattedCitation":"(Awh et al., 2012; Theeuwes, 2018)","previouslyFormattedCitation":"(Awh et al., 2012; Theeuwes, 2018)"},"properties":{"noteIndex":0},"schema":"https://github.com/citation-style-language/schema/raw/master/csl-citation.json"}</w:instrText>
      </w:r>
      <w:r w:rsidR="009B17D5" w:rsidRPr="00BD14B0">
        <w:fldChar w:fldCharType="separate"/>
      </w:r>
      <w:r w:rsidR="009B17D5" w:rsidRPr="00BD14B0">
        <w:rPr>
          <w:noProof/>
        </w:rPr>
        <w:t>Awh et al. (2012) and Theeuwes (2018)</w:t>
      </w:r>
      <w:r w:rsidR="009B17D5" w:rsidRPr="00BD14B0">
        <w:fldChar w:fldCharType="end"/>
      </w:r>
      <w:r w:rsidR="009B17D5" w:rsidRPr="00BD14B0">
        <w:t xml:space="preserve"> both point out that attentional selection can sometimes neither be explained by the stimulus-driven or goal-driven manner; rather "selection history" can guide attention. The stimulus that receives "value" from the past episodes of attentional selection (i.e., through implicit or explicit learning) influences current attention above and beyond the dichotomy of endogenous or exogenous attention. Priming is the effect of past history and is considered to be a low-level facilitatory factor on perception </w:t>
      </w:r>
      <w:r w:rsidR="009B17D5" w:rsidRPr="00BD14B0">
        <w:fldChar w:fldCharType="begin" w:fldLock="1"/>
      </w:r>
      <w:r w:rsidR="004D2901" w:rsidRPr="00BD14B0">
        <w:instrText>ADDIN CSL_CITATION {"citationItems":[{"id":"ITEM-1","itemData":{"DOI":"10.5334/joc.13","ISSN":"2514-4820","abstract":"Recently it was argued that in addition to top-down and bottom-up processes, lingering biases of selection history play a major role in visual selection (Awh, Belopolsky &amp; Theeuwes, 2012). Since its publication there has been a growing controversy about the terms top-down, bottom-up and selection-history in relation to visual selection. In the current paper we define these terms, discuss some controversies about these terms and explain what kind of effects should be considered to be the result of lingering biases of selection history, i.e., priming, reward/fear, and statistical learning. We discuss the properties of top-down selection (slow, effortfull, and controlled) versus the properties of lingering biases of selection history (fast, effortless, and automatic). We adhere the position that the experience with selecting a particular feature or the location of a feature, may boost and sharpening its representation within the priority selection map above and beyond its physical salience. It is as if the experience may render a feature or location subjectively more salient. Our message of the current review is that true top-down control of visual selection occurs far less often than what is typically assumed. Most of the time, selection is based on experience and history. It is fast, automatic and occurs without much, if any, effort.","author":[{"dropping-particle":"","family":"Theeuwes","given":"Jan","non-dropping-particle":"","parse-names":false,"suffix":""}],"container-title":"Journal of Cognition","id":"ITEM-1","issue":"1","issued":{"date-parts":[["2018","5","14"]]},"page":"1-15","title":"Visual Selection: Usually Fast and Automatic; Seldom Slow and Volitional","type":"article-journal","volume":"1"},"uris":["http://www.mendeley.com/documents/?uuid=d9b50429-ebbb-446c-8bd9-a0db5f39ad99"]}],"mendeley":{"formattedCitation":"(Theeuwes, 2018)","manualFormatting":"(see Theeuwes, 2018)","plainTextFormattedCitation":"(Theeuwes, 2018)","previouslyFormattedCitation":"(Theeuwes, 2018)"},"properties":{"noteIndex":0},"schema":"https://github.com/citation-style-language/schema/raw/master/csl-citation.json"}</w:instrText>
      </w:r>
      <w:r w:rsidR="009B17D5" w:rsidRPr="00BD14B0">
        <w:fldChar w:fldCharType="separate"/>
      </w:r>
      <w:r w:rsidR="009B17D5" w:rsidRPr="00BD14B0">
        <w:rPr>
          <w:noProof/>
        </w:rPr>
        <w:t>(see Theeuwes, 2018)</w:t>
      </w:r>
      <w:r w:rsidR="009B17D5" w:rsidRPr="00BD14B0">
        <w:fldChar w:fldCharType="end"/>
      </w:r>
      <w:r w:rsidR="009B17D5" w:rsidRPr="00BD14B0">
        <w:t xml:space="preserve">. Even early examples of attentional research demonstrated that the locations that had been attended previously were responded faster compare to an unattended location </w:t>
      </w:r>
      <w:r w:rsidR="009B17D5" w:rsidRPr="00BD14B0">
        <w:fldChar w:fldCharType="begin" w:fldLock="1"/>
      </w:r>
      <w:r w:rsidR="009B17D5" w:rsidRPr="00BD14B0">
        <w:instrText>ADDIN CSL_CITATION {"citationItems":[{"id":"ITEM-1","itemData":{"DOI":"10.1080/00335558008248231","ISSN":"0033-555X","author":[{"dropping-particle":"","family":"Posner","given":"Michael I","non-dropping-particle":"","parse-names":false,"suffix":""}],"container-title":"Quarterly Journal of Experimental Psychology","id":"ITEM-1","issue":"1","issued":{"date-parts":[["1980","2","29"]]},"note":"Times Cited: 4028\n4097","page":"3-25","title":"Orienting of attention","type":"article-journal","volume":"32"},"uris":["http://www.mendeley.com/documents/?uuid=98d0473a-5902-4ce5-ad3a-922ac06d9c5c"]}],"mendeley":{"formattedCitation":"(M. I. Posner, 1980)","manualFormatting":"(Posner, 1980)","plainTextFormattedCitation":"(M. I. Posner, 1980)","previouslyFormattedCitation":"(M. I. Posner, 1980)"},"properties":{"noteIndex":0},"schema":"https://github.com/citation-style-language/schema/raw/master/csl-citation.json"}</w:instrText>
      </w:r>
      <w:r w:rsidR="009B17D5" w:rsidRPr="00BD14B0">
        <w:fldChar w:fldCharType="separate"/>
      </w:r>
      <w:r w:rsidR="009B17D5" w:rsidRPr="00BD14B0">
        <w:rPr>
          <w:noProof/>
        </w:rPr>
        <w:t>(Posner, 1980)</w:t>
      </w:r>
      <w:r w:rsidR="009B17D5" w:rsidRPr="00BD14B0">
        <w:fldChar w:fldCharType="end"/>
      </w:r>
      <w:r w:rsidR="009B17D5" w:rsidRPr="00BD14B0">
        <w:t xml:space="preserve">. Research has confirmed the robustness of the priming effect even when the observer's goal was irrelevant or inconsistent with the primed cues </w:t>
      </w:r>
      <w:r w:rsidR="009B17D5" w:rsidRPr="00BD14B0">
        <w:fldChar w:fldCharType="begin" w:fldLock="1"/>
      </w:r>
      <w:r w:rsidR="009B17D5" w:rsidRPr="00BD14B0">
        <w:instrText>ADDIN CSL_CITATION {"citationItems":[{"id":"ITEM-1","itemData":{"DOI":"10.1016/j.actpsy.2010.02.006","ISSN":"00016918","abstract":"The present paper argues for the notion that when attention is spread across the visual field in the first sweep of information through the brain visual selection is completely stimulus-driven. Only later in time, through recurrent feedback processing, volitional control based on expectancy and goal set will bias visual selection in a top–down manner. Here we review behavioral evidence as well as evidence from ERP, fMRI, TMS and single cell recording consistent with stimulus-driven selection. Alternative viewpoints that assume a large role for top–down processing are discussed. It is argued that in most cases evidence supporting top–down control on visual selection in fact demonstrates top–down control on processes occurring later in time, following initial selection. We conclude that top–down knowledge regarding non-spatial features of the objects cannot alter the initial selection priority. Only by adjusting the size of the attentional window, the initial sweep of information through the brain may be altered in a top–down way.","author":[{"dropping-particle":"","family":"Theeuwes","given":"Jan","non-dropping-particle":"","parse-names":false,"suffix":""}],"container-title":"Acta Psychologica","id":"ITEM-1","issue":"2","issued":{"date-parts":[["2010","10"]]},"page":"77-99","title":"Top–down and bottom–up control of visual selection","type":"article-journal","volume":"135"},"uris":["http://www.mendeley.com/documents/?uuid=1b55c90d-da24-41dd-91be-124ae0458d7e"]},{"id":"ITEM-2","itemData":{"DOI":"10.5334/joc.13","ISSN":"2514-4820","abstract":"Recently it was argued that in addition to top-down and bottom-up processes, lingering biases of selection history play a major role in visual selection (Awh, Belopolsky &amp; Theeuwes, 2012). Since its publication there has been a growing controversy about the terms top-down, bottom-up and selection-history in relation to visual selection. In the current paper we define these terms, discuss some controversies about these terms and explain what kind of effects should be considered to be the result of lingering biases of selection history, i.e., priming, reward/fear, and statistical learning. We discuss the properties of top-down selection (slow, effortfull, and controlled) versus the properties of lingering biases of selection history (fast, effortless, and automatic). We adhere the position that the experience with selecting a particular feature or the location of a feature, may boost and sharpening its representation within the priority selection map above and beyond its physical salience. It is as if the experience may render a feature or location subjectively more salient. Our message of the current review is that true top-down control of visual selection occurs far less often than what is typically assumed. Most of the time, selection is based on experience and history. It is fast, automatic and occurs without much, if any, effort.","author":[{"dropping-particle":"","family":"Theeuwes","given":"Jan","non-dropping-particle":"","parse-names":false,"suffix":""}],"container-title":"Journal of Cognition","id":"ITEM-2","issue":"1","issued":{"date-parts":[["2018","5","14"]]},"page":"1-15","title":"Visual Selection: Usually Fast and Automatic; Seldom Slow and Volitional","type":"article-journal","volume":"1"},"uris":["http://www.mendeley.com/documents/?uuid=d9b50429-ebbb-446c-8bd9-a0db5f39ad99"]}],"mendeley":{"formattedCitation":"(Theeuwes, 2010, 2018)","plainTextFormattedCitation":"(Theeuwes, 2010, 2018)","previouslyFormattedCitation":"(Theeuwes, 2010, 2018)"},"properties":{"noteIndex":0},"schema":"https://github.com/citation-style-language/schema/raw/master/csl-citation.json"}</w:instrText>
      </w:r>
      <w:r w:rsidR="009B17D5" w:rsidRPr="00BD14B0">
        <w:fldChar w:fldCharType="separate"/>
      </w:r>
      <w:r w:rsidR="009B17D5" w:rsidRPr="00BD14B0">
        <w:rPr>
          <w:noProof/>
        </w:rPr>
        <w:t>(Theeuwes, 2010, 2018)</w:t>
      </w:r>
      <w:r w:rsidR="009B17D5" w:rsidRPr="00BD14B0">
        <w:fldChar w:fldCharType="end"/>
      </w:r>
      <w:r w:rsidR="009B17D5" w:rsidRPr="00BD14B0">
        <w:t xml:space="preserve">. Attention can be also controlled by overlearning particular behaviourally relevant stimuli such as those associated with arrows </w:t>
      </w:r>
      <w:r w:rsidR="009B17D5" w:rsidRPr="00BD14B0">
        <w:fldChar w:fldCharType="begin" w:fldLock="1"/>
      </w:r>
      <w:r w:rsidR="009B17D5" w:rsidRPr="00BD14B0">
        <w:instrText>ADDIN CSL_CITATION {"citationItems":[{"id":"ITEM-1","itemData":{"DOI":"10.1080/13506285.2012.658101","ISSN":"1350-6285","abstract":"The control of human attention is typically conceptualized either in terms of exogenous automatic processes that are driven by external sensory stimulation or endogenous strategic processes that are driven by internal expectancies about events in the environment. However, this classic dichotomy has struggled to explain a wealth of new data demonstrating that behaviourally and biologically relevant visual stimuli, like arrow and eye direction, elicit shifts of spatial attention that on the one hand, appear exogenous, and on the other hand, endogenous. To address this issue, we used a double-cueing task that combined arrows with classic cues known to invoke either exogenous or endogenous orienting. Our data suggest that behaviourally relevant directional cues, like arrows, engage a new form of cortically mediated orienting-automated symbolic orienting-that operates independent of, and in parallel with, the two classic forms of exogenous and endogenous spatial attention.","author":[{"dropping-particle":"","family":"Ristic","given":"Jelena","non-dropping-particle":"","parse-names":false,"suffix":""},{"dropping-particle":"","family":"Kingstone","given":"Alan","non-dropping-particle":"","parse-names":false,"suffix":""}],"container-title":"Visual Cognition","id":"ITEM-1","issue":"3","issued":{"date-parts":[["2012"]]},"note":"Times Cited: 18\n18","page":"244-264","title":"A new form of human spatial attention: Automated symbolic orienting","type":"article-journal","volume":"20"},"uris":["http://www.mendeley.com/documents/?uuid=048b5532-4178-46f3-ad57-29be2535b165"]}],"mendeley":{"formattedCitation":"(Jelena Ristic &amp; Kingstone, 2012)","manualFormatting":"(Ristic &amp; Kingstone, 2012)","plainTextFormattedCitation":"(Jelena Ristic &amp; Kingstone, 2012)","previouslyFormattedCitation":"(Jelena Ristic &amp; Kingstone, 2012)"},"properties":{"noteIndex":0},"schema":"https://github.com/citation-style-language/schema/raw/master/csl-citation.json"}</w:instrText>
      </w:r>
      <w:r w:rsidR="009B17D5" w:rsidRPr="00BD14B0">
        <w:fldChar w:fldCharType="separate"/>
      </w:r>
      <w:r w:rsidR="009B17D5" w:rsidRPr="00BD14B0">
        <w:rPr>
          <w:noProof/>
        </w:rPr>
        <w:t>(Ristic &amp; Kingstone, 2012)</w:t>
      </w:r>
      <w:r w:rsidR="009B17D5" w:rsidRPr="00BD14B0">
        <w:fldChar w:fldCharType="end"/>
      </w:r>
      <w:r w:rsidR="009B17D5" w:rsidRPr="00BD14B0">
        <w:t xml:space="preserve">. According to the literature, non-predictive arrows produce complex results </w:t>
      </w:r>
      <w:r w:rsidR="009B17D5" w:rsidRPr="00BD14B0">
        <w:fldChar w:fldCharType="begin" w:fldLock="1"/>
      </w:r>
      <w:r w:rsidR="009B17D5" w:rsidRPr="00BD14B0">
        <w:instrText>ADDIN CSL_CITATION {"citationItems":[{"id":"ITEM-1","itemData":{"ISSN":"0956-7976","author":[{"dropping-particle":"","family":"Gibson","given":"B S","non-dropping-particle":"","parse-names":false,"suffix":""},{"dropping-particle":"","family":"Kingstone","given":"A","non-dropping-particle":"","parse-names":false,"suffix":""}],"container-title":"Psychological Science","id":"ITEM-1","issue":"7","issued":{"date-parts":[["2006"]]},"page":"622-627","title":"Visual attention and the semantics of space: Beyond central and peripheral cues","type":"article-journal","volume":"17"},"uris":["http://www.mendeley.com/documents/?uuid=14c772f7-2659-4e87-af7d-32ffa061816f"]}],"mendeley":{"formattedCitation":"(Gibson &amp; Kingstone, 2006)","plainTextFormattedCitation":"(Gibson &amp; Kingstone, 2006)","previouslyFormattedCitation":"(Gibson &amp; Kingstone, 2006)"},"properties":{"noteIndex":0},"schema":"https://github.com/citation-style-language/schema/raw/master/csl-citation.json"}</w:instrText>
      </w:r>
      <w:r w:rsidR="009B17D5" w:rsidRPr="00BD14B0">
        <w:fldChar w:fldCharType="separate"/>
      </w:r>
      <w:r w:rsidR="009B17D5" w:rsidRPr="00BD14B0">
        <w:rPr>
          <w:noProof/>
        </w:rPr>
        <w:t>(Gibson &amp; Kingstone, 2006)</w:t>
      </w:r>
      <w:r w:rsidR="009B17D5" w:rsidRPr="00BD14B0">
        <w:fldChar w:fldCharType="end"/>
      </w:r>
      <w:r w:rsidR="009B17D5" w:rsidRPr="00BD14B0">
        <w:t xml:space="preserve">. Earlier studies suggested that endogenous cues, such as arrows, can shift attention only when they predicted the location of the target. But later studies suggested otherwise, as </w:t>
      </w:r>
      <w:r w:rsidR="00497778" w:rsidRPr="00BD14B0">
        <w:t xml:space="preserve">indicated </w:t>
      </w:r>
      <w:r w:rsidR="009B17D5" w:rsidRPr="00BD14B0">
        <w:t xml:space="preserve">by research indicating that non-predictive arrow cues can also cause attentional shifts </w:t>
      </w:r>
      <w:r w:rsidR="009B17D5" w:rsidRPr="00BD14B0">
        <w:fldChar w:fldCharType="begin" w:fldLock="1"/>
      </w:r>
      <w:r w:rsidR="009B17D5" w:rsidRPr="00BD14B0">
        <w:instrText>ADDIN CSL_CITATION {"citationItems":[{"id":"ITEM-1","itemData":{"DOI":"10.3758/bf03196306","ISSN":"1069-9384","abstract":"Recent behavioral data have shown that central nonpredictive gaze direction triggers reflexive shifts of attention toward the gazed-at location (e.g., Friesen &amp; Kingstone, 1998). Friesen and Kingstone suggested that this reflexive orienting effect is unique to biologically relevant stimuli. Three experiments were conducted to test this proposal by comparing the attentional orienting produced by nonpredictive gaze cues (biologically relevant) with the attentional orienting produced by nonpredictive arrow cues (biologically irrelevant). Both types of cues produced reflexive orienting in adults (Experiment 1) and preschoolers (Experiment 2), suggesting that gaze cues are not special. However, Experiment 3 showed that nonpredictive arrows produced reflexive orienting in both hemispheres of a split-brain patient. This contrasts with Kingstone, Friesen, and Gazzaniga's (2000) finding that nonpredictive gaze cues produce reflexive orienting only in the face-processing hemisphere of split-brain patients. Therefore, although nonpredictive eyes and arrows may produce similar behavioral effects, they are not sub-served by the same brain systems. Together, these data provide important insight into the nature of the representations of directional stimuli involved in reflexive attentional orienting.","author":[{"dropping-particle":"","family":"Ristic","given":"J","non-dropping-particle":"","parse-names":false,"suffix":""},{"dropping-particle":"","family":"Friesen","given":"C K","non-dropping-particle":"","parse-names":false,"suffix":""},{"dropping-particle":"","family":"Kingstone","given":"A","non-dropping-particle":"","parse-names":false,"suffix":""}],"container-title":"Psychonomic Bulletin &amp; Review","id":"ITEM-1","issue":"3","issued":{"date-parts":[["2002"]]},"note":"Times Cited: 203\n208","page":"507-513","title":"Are eyes special? It depends on how you look at it","type":"article-journal","volume":"9"},"uris":["http://www.mendeley.com/documents/?uuid=c1e42a86-5be1-4663-870f-911a8c5c2c3c"]},{"id":"ITEM-2","itemData":{"ISSN":"1069-9384","author":[{"dropping-particle":"","family":"Tipples","given":"J","non-dropping-particle":"","parse-names":false,"suffix":""}],"container-title":"Psychonomic Bulletin &amp;amp; Review","id":"ITEM-2","issue":"2","issued":{"date-parts":[["2002"]]},"page":"314-318","title":"Eye gaze is not unique: Automatic orienting in response to uninformative arrows","type":"article-journal","volume":"9"},"uris":["http://www.mendeley.com/documents/?uuid=b48d6b97-9dd3-4a3b-86c9-cd0ab325506f"]}],"mendeley":{"formattedCitation":"(J Ristic et al., 2002; Tipples, 2002)","manualFormatting":"(Ristic, Friesen, &amp; Kingstone, 2002; Tipples, 2002)","plainTextFormattedCitation":"(J Ristic et al., 2002; Tipples, 2002)","previouslyFormattedCitation":"(J Ristic et al., 2002; Tipples, 2002)"},"properties":{"noteIndex":0},"schema":"https://github.com/citation-style-language/schema/raw/master/csl-citation.json"}</w:instrText>
      </w:r>
      <w:r w:rsidR="009B17D5" w:rsidRPr="00BD14B0">
        <w:fldChar w:fldCharType="separate"/>
      </w:r>
      <w:r w:rsidR="009B17D5" w:rsidRPr="00BD14B0">
        <w:rPr>
          <w:noProof/>
        </w:rPr>
        <w:t>(Ristic, Friesen, &amp; Kingstone, 2002; Tipples, 2002)</w:t>
      </w:r>
      <w:r w:rsidR="009B17D5" w:rsidRPr="00BD14B0">
        <w:fldChar w:fldCharType="end"/>
      </w:r>
      <w:r w:rsidR="009B17D5" w:rsidRPr="00BD14B0">
        <w:t>.</w:t>
      </w:r>
    </w:p>
    <w:p w14:paraId="6861F1FD" w14:textId="765CA2F5" w:rsidR="00DC07F6" w:rsidRPr="00BD14B0" w:rsidRDefault="00DD20B2" w:rsidP="00553E01">
      <w:r w:rsidRPr="00BD14B0">
        <w:tab/>
      </w:r>
      <w:r w:rsidR="009B17D5" w:rsidRPr="00BD14B0">
        <w:t>To investigate this issue,</w:t>
      </w:r>
      <w:r w:rsidR="009D76EA" w:rsidRPr="00BD14B0">
        <w:t xml:space="preserve"> </w:t>
      </w:r>
      <w:r w:rsidR="009D76EA" w:rsidRPr="00BD14B0">
        <w:fldChar w:fldCharType="begin" w:fldLock="1"/>
      </w:r>
      <w:r w:rsidR="009E4CF3" w:rsidRPr="00BD14B0">
        <w:instrText>ADDIN CSL_CITATION {"citationItems":[{"id":"ITEM-1","itemData":{"DOI":"10.1080/13506285.2012.658101","ISSN":"1350-6285","abstract":"The control of human attention is typically conceptualized either in terms of exogenous automatic processes that are driven by external sensory stimulation or endogenous strategic processes that are driven by internal expectancies about events in the environment. However, this classic dichotomy has struggled to explain a wealth of new data demonstrating that behaviourally and biologically relevant visual stimuli, like arrow and eye direction, elicit shifts of spatial attention that on the one hand, appear exogenous, and on the other hand, endogenous. To address this issue, we used a double-cueing task that combined arrows with classic cues known to invoke either exogenous or endogenous orienting. Our data suggest that behaviourally relevant directional cues, like arrows, engage a new form of cortically mediated orienting-automated symbolic orienting-that operates independent of, and in parallel with, the two classic forms of exogenous and endogenous spatial attention.","author":[{"dropping-particle":"","family":"Ristic","given":"Jelena","non-dropping-particle":"","parse-names":false,"suffix":""},{"dropping-particle":"","family":"Kingstone","given":"Alan","non-dropping-particle":"","parse-names":false,"suffix":""}],"container-title":"Visual Cognition","id":"ITEM-1","issue":"3","issued":{"date-parts":[["2012"]]},"note":"Times Cited: 18\n18","page":"244-264","title":"A new form of human spatial attention: Automated symbolic orienting","type":"article-journal","volume":"20"},"uris":["http://www.mendeley.com/documents/?uuid=048b5532-4178-46f3-ad57-29be2535b165"]}],"mendeley":{"formattedCitation":"(Jelena Ristic &amp; Kingstone, 2012)","manualFormatting":"Ristic &amp; Kingstone, (2012)","plainTextFormattedCitation":"(Jelena Ristic &amp; Kingstone, 2012)","previouslyFormattedCitation":"(Jelena Ristic &amp; Kingstone, 2012)"},"properties":{"noteIndex":0},"schema":"https://github.com/citation-style-language/schema/raw/master/csl-citation.json"}</w:instrText>
      </w:r>
      <w:r w:rsidR="009D76EA" w:rsidRPr="00BD14B0">
        <w:fldChar w:fldCharType="separate"/>
      </w:r>
      <w:r w:rsidR="009D76EA" w:rsidRPr="00BD14B0">
        <w:rPr>
          <w:noProof/>
        </w:rPr>
        <w:t>Ristic &amp; Kingstone, (2012)</w:t>
      </w:r>
      <w:r w:rsidR="009D76EA" w:rsidRPr="00BD14B0">
        <w:fldChar w:fldCharType="end"/>
      </w:r>
      <w:r w:rsidR="009D76EA" w:rsidRPr="00BD14B0">
        <w:t xml:space="preserve"> </w:t>
      </w:r>
      <w:r w:rsidR="009B17D5" w:rsidRPr="00BD14B0">
        <w:t>performed a double cueing task which involved combining non-predictive cues with central predictive cues. Participants were presented with a central non-predictive cue combined with either non-predictive peripheral cue to measure exogenous attention or a central predictive cue to measure endogenous attention (</w:t>
      </w:r>
      <w:r w:rsidR="0006380F" w:rsidRPr="00BD14B0">
        <w:t>s</w:t>
      </w:r>
      <w:r w:rsidR="009B17D5" w:rsidRPr="00BD14B0">
        <w:t xml:space="preserve">ee Figure </w:t>
      </w:r>
      <w:r w:rsidR="00D51BCF" w:rsidRPr="00BD14B0">
        <w:t>1</w:t>
      </w:r>
      <w:r w:rsidR="009B17D5" w:rsidRPr="00BD14B0">
        <w:t>).</w:t>
      </w:r>
    </w:p>
    <w:p w14:paraId="5AADB53D" w14:textId="550ED8A0" w:rsidR="00784D6C" w:rsidRPr="00BD14B0" w:rsidRDefault="00784D6C" w:rsidP="00553E01"/>
    <w:p w14:paraId="35994871" w14:textId="547CFA7B" w:rsidR="00784D6C" w:rsidRPr="00BD14B0" w:rsidRDefault="00784D6C" w:rsidP="00553E01"/>
    <w:p w14:paraId="59A21BF2" w14:textId="3B16F5E5" w:rsidR="00784D6C" w:rsidRPr="00BD14B0" w:rsidRDefault="00784D6C" w:rsidP="00553E01"/>
    <w:p w14:paraId="7AE42A01" w14:textId="1E2C6413" w:rsidR="00784D6C" w:rsidRPr="00BD14B0" w:rsidRDefault="00784D6C" w:rsidP="00553E01"/>
    <w:p w14:paraId="491FF4EF" w14:textId="77777777" w:rsidR="00352AF4" w:rsidRPr="00BD14B0" w:rsidRDefault="00352AF4" w:rsidP="00553E01"/>
    <w:p w14:paraId="6CC1B911" w14:textId="77777777" w:rsidR="00784D6C" w:rsidRPr="00BD14B0" w:rsidRDefault="00784D6C" w:rsidP="00553E01"/>
    <w:p w14:paraId="5E9441CC" w14:textId="69DAFA73" w:rsidR="00352AF4" w:rsidRPr="00BD14B0" w:rsidRDefault="003B267D" w:rsidP="003B267D">
      <w:pPr>
        <w:pStyle w:val="Caption"/>
      </w:pPr>
      <w:bookmarkStart w:id="6" w:name="_Toc108317402"/>
      <w:bookmarkStart w:id="7" w:name="_Toc108317444"/>
      <w:bookmarkStart w:id="8" w:name="_Toc108322117"/>
      <w:r>
        <w:lastRenderedPageBreak/>
        <w:t xml:space="preserve">Figure </w:t>
      </w:r>
      <w:r>
        <w:fldChar w:fldCharType="begin"/>
      </w:r>
      <w:r>
        <w:instrText xml:space="preserve"> SEQ Figure \* ARABIC </w:instrText>
      </w:r>
      <w:r>
        <w:fldChar w:fldCharType="separate"/>
      </w:r>
      <w:r>
        <w:rPr>
          <w:noProof/>
        </w:rPr>
        <w:t>1</w:t>
      </w:r>
      <w:r>
        <w:fldChar w:fldCharType="end"/>
      </w:r>
      <w:bookmarkEnd w:id="6"/>
      <w:bookmarkEnd w:id="7"/>
      <w:bookmarkEnd w:id="8"/>
    </w:p>
    <w:p w14:paraId="5224537C" w14:textId="44CF8432" w:rsidR="00352AF4" w:rsidRPr="009862C5" w:rsidRDefault="00352AF4" w:rsidP="009862C5">
      <w:pPr>
        <w:pStyle w:val="Title"/>
        <w:rPr>
          <w:b w:val="0"/>
          <w:bCs w:val="0"/>
        </w:rPr>
      </w:pPr>
      <w:r w:rsidRPr="009862C5">
        <w:rPr>
          <w:b w:val="0"/>
          <w:bCs w:val="0"/>
        </w:rPr>
        <w:t xml:space="preserve">Central cues combined with peripheral cue (1) and central cue (2) </w:t>
      </w:r>
    </w:p>
    <w:p w14:paraId="68269BDC" w14:textId="53B2D7CD" w:rsidR="00906590" w:rsidRPr="00BD14B0" w:rsidRDefault="00906590" w:rsidP="00553E01"/>
    <w:tbl>
      <w:tblPr>
        <w:tblStyle w:val="TableGrid"/>
        <w:tblW w:w="0" w:type="auto"/>
        <w:tblLook w:val="04A0" w:firstRow="1" w:lastRow="0" w:firstColumn="1" w:lastColumn="0" w:noHBand="0" w:noVBand="1"/>
      </w:tblPr>
      <w:tblGrid>
        <w:gridCol w:w="8828"/>
      </w:tblGrid>
      <w:tr w:rsidR="00695B36" w:rsidRPr="00BD14B0" w14:paraId="13FB3FF5" w14:textId="77777777" w:rsidTr="00C30E58">
        <w:trPr>
          <w:cnfStyle w:val="100000000000" w:firstRow="1" w:lastRow="0" w:firstColumn="0" w:lastColumn="0" w:oddVBand="0" w:evenVBand="0" w:oddHBand="0" w:evenHBand="0" w:firstRowFirstColumn="0" w:firstRowLastColumn="0" w:lastRowFirstColumn="0" w:lastRowLastColumn="0"/>
          <w:trHeight w:val="6215"/>
        </w:trPr>
        <w:tc>
          <w:tcPr>
            <w:tcW w:w="8861" w:type="dxa"/>
          </w:tcPr>
          <w:p w14:paraId="19FBFEDB" w14:textId="10F5F98B" w:rsidR="00DC07F6" w:rsidRPr="00BD14B0" w:rsidRDefault="00DC07F6" w:rsidP="00553E01">
            <w:pPr>
              <w:rPr>
                <w:b w:val="0"/>
                <w:sz w:val="24"/>
                <w:szCs w:val="24"/>
              </w:rPr>
            </w:pPr>
            <w:r w:rsidRPr="00BD14B0">
              <w:rPr>
                <w:noProof/>
                <w:lang w:eastAsia="en-US"/>
              </w:rPr>
              <w:drawing>
                <wp:inline distT="0" distB="0" distL="0" distR="0" wp14:anchorId="70FF7E83" wp14:editId="14A55CA1">
                  <wp:extent cx="4610100" cy="2152650"/>
                  <wp:effectExtent l="19050" t="19050" r="19050" b="19050"/>
                  <wp:docPr id="20" name="Picture 20" descr="C:\Users\Psychology\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68760" name="Picture 5" descr="C:\Users\Psychology\Desktop\5.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4611184" cy="2153156"/>
                          </a:xfrm>
                          <a:prstGeom prst="rect">
                            <a:avLst/>
                          </a:prstGeom>
                          <a:noFill/>
                          <a:ln>
                            <a:solidFill>
                              <a:schemeClr val="tx1"/>
                            </a:solidFill>
                          </a:ln>
                        </pic:spPr>
                      </pic:pic>
                    </a:graphicData>
                  </a:graphic>
                </wp:inline>
              </w:drawing>
            </w:r>
          </w:p>
          <w:p w14:paraId="4773012B" w14:textId="540349A5" w:rsidR="00DC07F6" w:rsidRPr="00BD14B0" w:rsidRDefault="00DC07F6" w:rsidP="00553E01">
            <w:pPr>
              <w:rPr>
                <w:b w:val="0"/>
                <w:sz w:val="24"/>
                <w:szCs w:val="24"/>
              </w:rPr>
            </w:pPr>
            <w:r w:rsidRPr="00BD14B0">
              <w:rPr>
                <w:noProof/>
                <w:lang w:eastAsia="en-US"/>
              </w:rPr>
              <w:drawing>
                <wp:inline distT="0" distB="0" distL="0" distR="0" wp14:anchorId="1D2D1809" wp14:editId="65FFC39F">
                  <wp:extent cx="4653887" cy="1965325"/>
                  <wp:effectExtent l="19050" t="19050" r="13970" b="15875"/>
                  <wp:docPr id="21" name="Picture 21" descr="C:\Users\Psychology\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35755" name="Picture 6" descr="C:\Users\Psychology\Desktop\6.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669689" cy="1971998"/>
                          </a:xfrm>
                          <a:prstGeom prst="rect">
                            <a:avLst/>
                          </a:prstGeom>
                          <a:noFill/>
                          <a:ln>
                            <a:solidFill>
                              <a:schemeClr val="tx1"/>
                            </a:solidFill>
                          </a:ln>
                        </pic:spPr>
                      </pic:pic>
                    </a:graphicData>
                  </a:graphic>
                </wp:inline>
              </w:drawing>
            </w:r>
          </w:p>
          <w:p w14:paraId="5C5DC27E" w14:textId="77F20022" w:rsidR="00DC07F6" w:rsidRPr="00BD14B0" w:rsidRDefault="00DC07F6" w:rsidP="00553E01"/>
        </w:tc>
      </w:tr>
    </w:tbl>
    <w:p w14:paraId="44BBD775" w14:textId="6BE7AA80" w:rsidR="00784D6C" w:rsidRPr="00BD14B0" w:rsidRDefault="00784D6C" w:rsidP="00553E01">
      <w:r w:rsidRPr="00BD14B0">
        <w:rPr>
          <w:i/>
          <w:iCs/>
        </w:rPr>
        <w:t>Note</w:t>
      </w:r>
      <w:r w:rsidR="0067297C" w:rsidRPr="00BD14B0">
        <w:t>.</w:t>
      </w:r>
      <w:r w:rsidRPr="00BD14B0">
        <w:t xml:space="preserve"> Altered from </w:t>
      </w:r>
      <w:r w:rsidRPr="00BD14B0">
        <w:fldChar w:fldCharType="begin" w:fldLock="1"/>
      </w:r>
      <w:r w:rsidR="004D2901" w:rsidRPr="00BD14B0">
        <w:instrText>ADDIN CSL_CITATION {"citationItems":[{"id":"ITEM-1","itemData":{"DOI":"10.1080/13506285.2012.658101","ISSN":"1350-6285","abstract":"The control of human attention is typically conceptualized either in terms of exogenous automatic processes that are driven by external sensory stimulation or endogenous strategic processes that are driven by internal expectancies about events in the environment. However, this classic dichotomy has struggled to explain a wealth of new data demonstrating that behaviourally and biologically relevant visual stimuli, like arrow and eye direction, elicit shifts of spatial attention that on the one hand, appear exogenous, and on the other hand, endogenous. To address this issue, we used a double-cueing task that combined arrows with classic cues known to invoke either exogenous or endogenous orienting. Our data suggest that behaviourally relevant directional cues, like arrows, engage a new form of cortically mediated orienting-automated symbolic orienting-that operates independent of, and in parallel with, the two classic forms of exogenous and endogenous spatial attention.","author":[{"dropping-particle":"","family":"Ristic","given":"Jelena","non-dropping-particle":"","parse-names":false,"suffix":""},{"dropping-particle":"","family":"Kingstone","given":"Alan","non-dropping-particle":"","parse-names":false,"suffix":""}],"container-title":"Visual Cognition","id":"ITEM-1","issue":"3","issued":{"date-parts":[["2012"]]},"note":"Times Cited: 18\n18","page":"244-264","title":"A new form of human spatial attention: Automated symbolic orienting","type":"article-journal","volume":"20"},"uris":["http://www.mendeley.com/documents/?uuid=048b5532-4178-46f3-ad57-29be2535b165"]}],"mendeley":{"formattedCitation":"(Jelena Ristic &amp; Kingstone, 2012)","plainTextFormattedCitation":"(Jelena Ristic &amp; Kingstone, 2012)","previouslyFormattedCitation":"(Jelena Ristic &amp; Kingstone, 2012)"},"properties":{"noteIndex":0},"schema":"https://github.com/citation-style-language/schema/raw/master/csl-citation.json"}</w:instrText>
      </w:r>
      <w:r w:rsidRPr="00BD14B0">
        <w:fldChar w:fldCharType="separate"/>
      </w:r>
      <w:r w:rsidRPr="00BD14B0">
        <w:rPr>
          <w:noProof/>
        </w:rPr>
        <w:t>(Jelena Ristic &amp; Kingstone, 2012)</w:t>
      </w:r>
      <w:r w:rsidRPr="00BD14B0">
        <w:fldChar w:fldCharType="end"/>
      </w:r>
    </w:p>
    <w:p w14:paraId="1A806347" w14:textId="7545873B" w:rsidR="00CD317E" w:rsidRPr="00BD14B0" w:rsidRDefault="00CD317E" w:rsidP="00553E01"/>
    <w:p w14:paraId="4D730D06" w14:textId="56F403E5" w:rsidR="009F2E8F" w:rsidRPr="00BD14B0" w:rsidRDefault="00CD317E" w:rsidP="00553E01">
      <w:r w:rsidRPr="00BD14B0">
        <w:tab/>
      </w:r>
      <w:r w:rsidR="009F2E8F" w:rsidRPr="00BD14B0">
        <w:t xml:space="preserve">In this study, all the stimuli were black and white. Peripheral cues were created by thickening the outline of placeholder boxes and arrow cues were created by placing the arrow symbol in the middle of the screen. The authors deployed a between-participants experimental design to ensure that all the conditions were equally balanced. They had four stimulus onset </w:t>
      </w:r>
      <w:proofErr w:type="gramStart"/>
      <w:r w:rsidR="009F2E8F" w:rsidRPr="00BD14B0">
        <w:t>asynchrony</w:t>
      </w:r>
      <w:proofErr w:type="gramEnd"/>
      <w:r w:rsidR="009F2E8F" w:rsidRPr="00BD14B0">
        <w:t xml:space="preserve"> (SOA) (100, 300, 600 and 900 </w:t>
      </w:r>
      <w:proofErr w:type="spellStart"/>
      <w:r w:rsidR="009F2E8F" w:rsidRPr="00BD14B0">
        <w:t>ms</w:t>
      </w:r>
      <w:proofErr w:type="spellEnd"/>
      <w:r w:rsidR="009F2E8F" w:rsidRPr="00BD14B0">
        <w:t xml:space="preserve">) for both conditions. For non-predictive peripheral cue treatment, they conducted two separate within-participants </w:t>
      </w:r>
      <w:r w:rsidR="009F2E8F" w:rsidRPr="00BD14B0">
        <w:lastRenderedPageBreak/>
        <w:t xml:space="preserve">ANOVAs for validity (valid-invalid) and SOAs (100, 300, 600 and 900 </w:t>
      </w:r>
      <w:proofErr w:type="spellStart"/>
      <w:r w:rsidR="009F2E8F" w:rsidRPr="00BD14B0">
        <w:t>ms</w:t>
      </w:r>
      <w:proofErr w:type="spellEnd"/>
      <w:r w:rsidR="009F2E8F" w:rsidRPr="00BD14B0">
        <w:t xml:space="preserve">) to compare participant reaction times. A similar analysis was performed for the central predictive cue treatment. The authors reported that non-predictive central arrow cues were independent of both the endogenous orienting (measured by predictive central symbolic cues) and the exogenous orienting (measured by non-productive peripheral onset). The study also indicated that arrow cues affected attention similarly regardless of whether the arrow was paired with an endogenous central cue or an exogenous peripheral cue. Interestingly, the time courses of these two couplings were similar. These results were replicated for all SOAs for both endogenous and exogenous pairings. Researchers suggested that the arrow cues might produce a form of orienting that is neither purely exogenous nor purely endogenous. They also suggested that this form of attention orienting is unique because it causes an involuntary response related to repeated exposure. The authors proposed that this mechanism be called “automated symbolic orienting”. Hence, it was suggested that directional cues from arrows, which is a non-social behaviourally relevant symbol, creates automaticity in attentional orienting due to learning its relevance by repeated exposure. But these results </w:t>
      </w:r>
      <w:r w:rsidR="0006380F" w:rsidRPr="00BD14B0">
        <w:t xml:space="preserve">were </w:t>
      </w:r>
      <w:r w:rsidR="009F2E8F" w:rsidRPr="00BD14B0">
        <w:t>only gathered from arrows (no other non-social stimuli</w:t>
      </w:r>
      <w:proofErr w:type="gramStart"/>
      <w:r w:rsidR="009F2E8F" w:rsidRPr="00BD14B0">
        <w:t>)</w:t>
      </w:r>
      <w:proofErr w:type="gramEnd"/>
      <w:r w:rsidR="009F2E8F" w:rsidRPr="00BD14B0">
        <w:t xml:space="preserve"> and it is not clear whether arrows are special about directing the attention or other non-social stimuli would activate a similar mechanism of attentional shifts.</w:t>
      </w:r>
    </w:p>
    <w:p w14:paraId="51C78BFA" w14:textId="61E02689" w:rsidR="009F2E8F" w:rsidRPr="00BD14B0" w:rsidRDefault="009F2E8F" w:rsidP="00553E01">
      <w:r w:rsidRPr="00BD14B0">
        <w:tab/>
        <w:t xml:space="preserve">Past studies have also indicated that some other non-social cues, such as digits </w:t>
      </w:r>
      <w:r w:rsidRPr="00BD14B0">
        <w:fldChar w:fldCharType="begin" w:fldLock="1"/>
      </w:r>
      <w:r w:rsidRPr="00BD14B0">
        <w:instrText>ADDIN CSL_CITATION {"citationItems":[{"id":"ITEM-1","itemData":{"DOI":"10.1016/j.cognition.2008.04.006","ISSN":"0010-0277","abstract":"We report a study that examines whether the presentation of irrelevant, ordinal information at central fixation interacts with the allocation of attention beyond fixation. Previous research has demonstrated that number perception influences the allocation of spatial attention, such that the presentation of a spatially nonpredictive number at fixation results in attention being allocated to the left when the central number is low (e.g., 1), and attention being allocated to the right when the central number is high (e.g., 9). Here, we examine whether this attentional SNARC effect (spatial numerical association of response codes) generalizes to other ordinal sequences: letters, days, and months. Though we replicate the attentional SNARC we find that this effect is number-specific, unless participants are required to process the cue in an order-relevant fashion. This discovery of number-specificity has important implications both for the functional separation between SNARC and attention-SNARC effects, as well as lending support to recent theories regarding the specificity of a shared neural architecture between numbers and visuospatial attention.","author":[{"dropping-particle":"","family":"Dodd","given":"Michael D","non-dropping-particle":"","parse-names":false,"suffix":""},{"dropping-particle":"Van der","family":"Stigchel","given":"Stefan","non-dropping-particle":"","parse-names":false,"suffix":""},{"dropping-particle":"","family":"Adil Leghari","given":"M","non-dropping-particle":"","parse-names":false,"suffix":""},{"dropping-particle":"","family":"Fung","given":"Gery","non-dropping-particle":"","parse-names":false,"suffix":""},{"dropping-particle":"","family":"Kingstone","given":"Alan","non-dropping-particle":"","parse-names":false,"suffix":""}],"container-title":"Cognition","id":"ITEM-1","issue":"3","issued":{"date-parts":[["2008"]]},"page":"810-818","title":"Attentional SNARC: There’s something special about numbers (let us count the ways)","type":"article-journal","volume":"108"},"uris":["http://www.mendeley.com/documents/?uuid=0c5041e9-b9a8-430f-85fd-6e540548e91a"]}],"mendeley":{"formattedCitation":"(Dodd et al., 2008)","plainTextFormattedCitation":"(Dodd et al., 2008)","previouslyFormattedCitation":"(Dodd et al., 2008)"},"properties":{"noteIndex":0},"schema":"https://github.com/citation-style-language/schema/raw/master/csl-citation.json"}</w:instrText>
      </w:r>
      <w:r w:rsidRPr="00BD14B0">
        <w:fldChar w:fldCharType="separate"/>
      </w:r>
      <w:r w:rsidRPr="00BD14B0">
        <w:rPr>
          <w:noProof/>
        </w:rPr>
        <w:t>(Dodd et al., 2008)</w:t>
      </w:r>
      <w:r w:rsidRPr="00BD14B0">
        <w:fldChar w:fldCharType="end"/>
      </w:r>
      <w:r w:rsidRPr="00BD14B0">
        <w:t xml:space="preserve"> and words with meaning </w:t>
      </w:r>
      <w:r w:rsidRPr="00BD14B0">
        <w:fldChar w:fldCharType="begin" w:fldLock="1"/>
      </w:r>
      <w:r w:rsidRPr="00BD14B0">
        <w:instrText>ADDIN CSL_CITATION {"citationItems":[{"id":"ITEM-1","itemData":{"ISSN":"0956-7976","author":[{"dropping-particle":"","family":"Hommel","given":"B","non-dropping-particle":"","parse-names":false,"suffix":""},{"dropping-particle":"","family":"Pratt","given":"J","non-dropping-particle":"","parse-names":false,"suffix":""},{"dropping-particle":"","family":"Colzato","given":"L","non-dropping-particle":"","parse-names":false,"suffix":""},{"dropping-particle":"","family":"Godijn","given":"R","non-dropping-particle":"","parse-names":false,"suffix":""}],"container-title":"Psychological Science","id":"ITEM-1","issue":"5","issued":{"date-parts":[["2001"]]},"page":"360-365","title":"Symbolic control of visual attention","type":"article-journal","volume":"12"},"uris":["http://www.mendeley.com/documents/?uuid=686d068d-4935-4d67-8e4a-8320654ff526"]},{"id":"ITEM-2","itemData":{"DOI":"10.1037/0096-1523.29.5.835","ISSN":"00961523","author":[{"dropping-particle":"","family":"Pratt","given":"Jay","non-dropping-particle":"","parse-names":false,"suffix":""},{"dropping-particle":"","family":"Hommel","given":"Bernhard","non-dropping-particle":"","parse-names":false,"suffix":""}],"container-title":"Journal of Experimental Psychology: Human Perception and Performance","id":"ITEM-2","issue":"5","issued":{"date-parts":[["2003"]]},"page":"835-845","title":"Symbolic Control of Visual Attention: The Role of Working Memory and Attentional Control Settings","type":"article-journal","volume":"29"},"uris":["http://www.mendeley.com/documents/?uuid=80f1b48f-0c9c-409b-b2b2-106cefee059d"]}],"mendeley":{"formattedCitation":"(Hommel et al., 2001; Pratt &amp; Hommel, 2003)","plainTextFormattedCitation":"(Hommel et al., 2001; Pratt &amp; Hommel, 2003)","previouslyFormattedCitation":"(Hommel et al., 2001; Pratt &amp; Hommel, 2003)"},"properties":{"noteIndex":0},"schema":"https://github.com/citation-style-language/schema/raw/master/csl-citation.json"}</w:instrText>
      </w:r>
      <w:r w:rsidRPr="00BD14B0">
        <w:fldChar w:fldCharType="separate"/>
      </w:r>
      <w:r w:rsidRPr="00BD14B0">
        <w:rPr>
          <w:noProof/>
        </w:rPr>
        <w:t>(Hommel et al., 2001; Pratt &amp; Hommel, 2003)</w:t>
      </w:r>
      <w:r w:rsidRPr="00BD14B0">
        <w:fldChar w:fldCharType="end"/>
      </w:r>
      <w:r w:rsidRPr="00BD14B0">
        <w:t>, show similar attentional effects that may be related but separate from both attentional systems. In contrast, other studies conducted with social</w:t>
      </w:r>
      <w:r w:rsidR="0006380F" w:rsidRPr="00BD14B0">
        <w:t>-</w:t>
      </w:r>
      <w:r w:rsidRPr="00BD14B0">
        <w:t xml:space="preserve">biologically relevant cues, such as eye gaze </w:t>
      </w:r>
      <w:r w:rsidRPr="00BD14B0">
        <w:fldChar w:fldCharType="begin" w:fldLock="1"/>
      </w:r>
      <w:r w:rsidR="004D2901" w:rsidRPr="00BD14B0">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id":"ITEM-2","itemData":{"DOI":"10.1037/0096-1523.30.2.319","ISSN":"0096-1523","author":[{"dropping-particle":"","family":"Friesen","given":"Ck","non-dropping-particle":"","parse-names":false,"suffix":""},{"dropping-particle":"","family":"Ristic","given":"J","non-dropping-particle":"","parse-names":false,"suffix":""},{"dropping-particle":"","family":"Kingstone","given":"A","non-dropping-particle":"","parse-names":false,"suffix":""}],"container-title":"J. Exp. Psychol.-Hum. Percept. Perform.","id":"ITEM-2","issue":"2","issued":{"date-parts":[["2004"]]},"page":"319-329","title":"Attentional effects of counterpredictive gaze and arrow cues","type":"article-journal","volume":"30"},"uris":["http://www.mendeley.com/documents/?uuid=45b2d509-1186-4dda-87f2-f753de148932"]}],"mendeley":{"formattedCitation":"(C. Friesen et al., 2004; C. K. Friesen &amp; Kingstone, 1998)","manualFormatting":"(Friesen &amp; Kingstone, 1998; Friesen, Ristic, &amp; Kingstone, 2004)","plainTextFormattedCitation":"(C. Friesen et al., 2004; C. K. Friesen &amp; Kingstone, 1998)","previouslyFormattedCitation":"(C. Friesen et al., 2004; C. K. Friesen &amp; Kingstone, 1998)"},"properties":{"noteIndex":0},"schema":"https://github.com/citation-style-language/schema/raw/master/csl-citation.json"}</w:instrText>
      </w:r>
      <w:r w:rsidRPr="00BD14B0">
        <w:fldChar w:fldCharType="separate"/>
      </w:r>
      <w:r w:rsidRPr="00BD14B0">
        <w:rPr>
          <w:noProof/>
        </w:rPr>
        <w:t>(Friesen &amp; Kingstone, 1998; Friesen, Ristic, &amp; Kingstone, 2004)</w:t>
      </w:r>
      <w:r w:rsidRPr="00BD14B0">
        <w:fldChar w:fldCharType="end"/>
      </w:r>
      <w:r w:rsidRPr="00BD14B0">
        <w:t xml:space="preserve">, finger point </w:t>
      </w:r>
      <w:r w:rsidRPr="00BD14B0">
        <w:fldChar w:fldCharType="begin" w:fldLock="1"/>
      </w:r>
      <w:r w:rsidRPr="00BD14B0">
        <w:instrText>ADDIN CSL_CITATION {"citationItems":[{"id":"ITEM-1","itemData":{"DOI":"10.1080/713755908","ISBN":"0272-4987 (Print)","ISSN":"0272-4987","PMID":"10994231","abstract":"Three experiments are reported that investigate the hypothesis that head orientation and gaze direction interact in the processing of another individual’s direction of social attention. A Stroop-type interference paradigm was adopted, in which gaze and head cues were placed into con¯ict. In separate blocks of trials, participants were asked to make speeded keypress responses contingent on either the direction of gaze, or the orientation of the head displayed in a digitized photograph of amale face. In Experiments 1 and 2, head and gaze cues showed symmetrical interference effects. Comparedwith congruent arrangements, incongruent head cues slowed responses to gaze cues, and incongruent gaze cues slowed responses to head cues, suggesting that head and gaze aremutually in¯uential in the analysis of social attention direction.Thismutualitywas also evident in a cross-modal version of the task (Experiment 3) where participants responded to spoken directional words whilst ignoring the head/gaze images. It is argued that these interference effects arise fromthe independent in¯uences of gaze and head orientation on decisions concerning social attention direction","author":[{"dropping-particle":"","family":"Langton","given":"Stephen R H","non-dropping-particle":"","parse-names":false,"suffix":""}],"container-title":"The Quarterly Journal of Experimental Psychology","id":"ITEM-1","issue":"3","issued":{"date-parts":[["2000"]]},"note":"NULL","page":"805-845","title":"The mutual influence of gaze and head orientation in the analysis of social attention direction","type":"article-journal","volume":"53A"},"uris":["http://www.mendeley.com/documents/?uuid=5720b477-d953-4501-ad7d-89ad5eacdb8d"]}],"mendeley":{"formattedCitation":"(S. R. H. Langton, 2000)","manualFormatting":"(Langton, 2000)","plainTextFormattedCitation":"(S. R. H. Langton, 2000)","previouslyFormattedCitation":"(S. R. H. Langton, 2000)"},"properties":{"noteIndex":0},"schema":"https://github.com/citation-style-language/schema/raw/master/csl-citation.json"}</w:instrText>
      </w:r>
      <w:r w:rsidRPr="00BD14B0">
        <w:fldChar w:fldCharType="separate"/>
      </w:r>
      <w:r w:rsidRPr="00BD14B0">
        <w:rPr>
          <w:noProof/>
        </w:rPr>
        <w:t>(Langton, 2000)</w:t>
      </w:r>
      <w:r w:rsidRPr="00BD14B0">
        <w:fldChar w:fldCharType="end"/>
      </w:r>
      <w:r w:rsidRPr="00BD14B0">
        <w:t xml:space="preserve">, or head direction </w:t>
      </w:r>
      <w:r w:rsidRPr="00BD14B0">
        <w:fldChar w:fldCharType="begin" w:fldLock="1"/>
      </w:r>
      <w:r w:rsidRPr="00BD14B0">
        <w:instrText>ADDIN CSL_CITATION {"citationItems":[{"id":"ITEM-1","itemData":{"DOI":"10.1037/0096-1523.30.2.319","ISSN":"0096-1523","author":[{"dropping-particle":"","family":"Friesen","given":"Ck","non-dropping-particle":"","parse-names":false,"suffix":""},{"dropping-particle":"","family":"Ristic","given":"J","non-dropping-particle":"","parse-names":false,"suffix":""},{"dropping-particle":"","family":"Kingstone","given":"A","non-dropping-particle":"","parse-names":false,"suffix":""}],"container-title":"J. Exp. Psychol.-Hum. Percept. Perform.","id":"ITEM-1","issue":"2","issued":{"date-parts":[["2004"]]},"page":"319-329","title":"Attentional effects of counterpredictive gaze and arrow cues","type":"article-journal","volume":"30"},"uris":["http://www.mendeley.com/documents/?uuid=45b2d509-1186-4dda-87f2-f753de148932"]}],"mendeley":{"formattedCitation":"(C. Friesen et al., 2004)","manualFormatting":"(Friesen et al., 2004)","plainTextFormattedCitation":"(C. Friesen et al., 2004)","previouslyFormattedCitation":"(C. Friesen et al., 2004)"},"properties":{"noteIndex":0},"schema":"https://github.com/citation-style-language/schema/raw/master/csl-citation.json"}</w:instrText>
      </w:r>
      <w:r w:rsidRPr="00BD14B0">
        <w:fldChar w:fldCharType="separate"/>
      </w:r>
      <w:r w:rsidRPr="00BD14B0">
        <w:rPr>
          <w:noProof/>
        </w:rPr>
        <w:t>(Friesen et al., 2004)</w:t>
      </w:r>
      <w:r w:rsidRPr="00BD14B0">
        <w:fldChar w:fldCharType="end"/>
      </w:r>
      <w:r w:rsidRPr="00BD14B0">
        <w:t xml:space="preserve">, revealed automatic attentional shifts. Attentional effects of biologically relevant stimuli, such as eye gaze, have been found to initiate strongly automatic attentional shifts. Previous work has examined the effect of gaze on attention through the gaze-cueing effect: an enhancement of performance in detecting targets that appear where another person is looking </w:t>
      </w:r>
      <w:r w:rsidRPr="00BD14B0">
        <w:fldChar w:fldCharType="begin" w:fldLock="1"/>
      </w:r>
      <w:r w:rsidRPr="00BD14B0">
        <w:instrText>ADDIN CSL_CITATION {"citationItems":[{"id":"ITEM-1","itemData":{"DOI":"10.1080/17470218.2012.690769","ISSN":"1747-0218","abstract":"Important social information can be gathered from the direction of another person's gaze, such as their intentions and aspects of the environment that are relevant to those intentions. Previous work has examined the effect of gaze on attention through the gaze-cueing effect: an enhancement of performance in detecting targets that appear where another person is looking. The present study investigated whether the physical self-similarity of a face could increase its impact on attention. Self-similarity was manipulated by morphing participants' faces with those of strangers. The effect of gaze direction on target detection was strongest for faces morphed with the participant's face. The results support previous work suggesting that self-similar faces are processed differently from dissimilar faces. The data also demonstrate that a face's similarity to one's own face influences the degree to which that face guides our attention in the environment.","author":[{"dropping-particle":"","family":"Hungr","given":"Clara J","non-dropping-particle":"","parse-names":false,"suffix":""},{"dropping-particle":"","family":"Hunt","given":"Amelia R","non-dropping-particle":"","parse-names":false,"suffix":""}],"container-title":"Quarterly Journal of Experimental Psychology","id":"ITEM-1","issue":"7","issued":{"date-parts":[["2012"]]},"note":"Times Cited: 3\n3","page":"1250-1259","title":"Physical self-similarity enhances the gaze-cueing effect","type":"article-journal","volume":"65"},"uris":["http://www.mendeley.com/documents/?uuid=2b3772d6-afbd-40b1-b6d0-f788c0bdaeb6"]}],"mendeley":{"formattedCitation":"(Hungr &amp; Hunt, 2012)","plainTextFormattedCitation":"(Hungr &amp; Hunt, 2012)","previouslyFormattedCitation":"(Hungr &amp; Hunt, 2012)"},"properties":{"noteIndex":0},"schema":"https://github.com/citation-style-language/schema/raw/master/csl-citation.json"}</w:instrText>
      </w:r>
      <w:r w:rsidRPr="00BD14B0">
        <w:fldChar w:fldCharType="separate"/>
      </w:r>
      <w:r w:rsidRPr="00BD14B0">
        <w:rPr>
          <w:noProof/>
        </w:rPr>
        <w:t>(Hungr &amp; Hunt, 2012)</w:t>
      </w:r>
      <w:r w:rsidRPr="00BD14B0">
        <w:fldChar w:fldCharType="end"/>
      </w:r>
      <w:r w:rsidRPr="00BD14B0">
        <w:t>.</w:t>
      </w:r>
    </w:p>
    <w:p w14:paraId="346D4161" w14:textId="4661EA35" w:rsidR="00D51BCF" w:rsidRPr="00BD14B0" w:rsidRDefault="009F2E8F" w:rsidP="00553E01">
      <w:r w:rsidRPr="00BD14B0">
        <w:tab/>
        <w:t xml:space="preserve">The tendency to follow the direction of another person’s gaze has been widely documented </w:t>
      </w:r>
      <w:r w:rsidRPr="00BD14B0">
        <w:fldChar w:fldCharType="begin" w:fldLock="1"/>
      </w:r>
      <w:r w:rsidRPr="00BD14B0">
        <w:instrText>ADDIN CSL_CITATION {"citationItems":[{"id":"ITEM-1","itemData":{"DOI":"10.3758/APP.72.7.1814","ISSN":"1943-3921","abstract":"The gaze of a fearful face should be a particularly effective cue to attention; it allows one to rapidly allocate attention to potential threats. Prior data from investigations of this issue have been mixed. We report a novel method in which the gazes of two faces simultaneously cued different directions. Across trials, the emotion expressed by each face varied between happy, neutral, and fearful. Results showed that attention followed a fearful gaze when it competed with a neutral gaze but did not consistently follow a happy gaze when it competed with a neutral gaze. These results suggest that fear moderates the effectiveness of gaze cuing, and we present a parsimonious account that reconciles previously inconsistent data. We also found that presenting a fearful and a happy face simultaneously eliminates this effect, suggesting that emotional expressions interact in ways that may be important for understanding how emotional stimuli influence attention in more complex environments.","author":[{"dropping-particle":"","family":"Becker","given":"Mark","non-dropping-particle":"","parse-names":false,"suffix":""}],"container-title":"Attention, Perception, &amp;amp; Psychophysics","id":"ITEM-1","issue":"7","issued":{"date-parts":[["2010"]]},"page":"1814-1824","title":"The effectiveness of a gaze cue depends on the facial expression of emotion: Evidence from simultaneous competing cues","type":"article-journal","volume":"72"},"uris":["http://www.mendeley.com/documents/?uuid=0ef00479-6fc4-45b6-b180-1545f4d95152"]},{"id":"ITEM-2","itemData":{"ISSN":"1350-6285","author":[{"dropping-particle":"","family":"Langton","given":"Srh","non-dropping-particle":"","parse-names":false,"suffix":""},{"dropping-particle":"","family":"Bruce","given":"V","non-dropping-particle":"","parse-names":false,"suffix":""}],"container-title":"Visual Cognition","id":"ITEM-2","issue":"5","issued":{"date-parts":[["1999"]]},"page":"541-567","title":"Reflexive visual orienting in response to the social attention of others","type":"article-journal","volume":"6"},"uris":["http://www.mendeley.com/documents/?uuid=25178aac-749f-455c-ab17-7d0cd0292ef4"]}],"mendeley":{"formattedCitation":"(Becker, 2010; S. Langton &amp; Bruce, 1999)","manualFormatting":"(Becker, 2010; Langton &amp; Bruce, 1999)","plainTextFormattedCitation":"(Becker, 2010; S. Langton &amp; Bruce, 1999)","previouslyFormattedCitation":"(Becker, 2010; S. Langton &amp; Bruce, 1999)"},"properties":{"noteIndex":0},"schema":"https://github.com/citation-style-language/schema/raw/master/csl-citation.json"}</w:instrText>
      </w:r>
      <w:r w:rsidRPr="00BD14B0">
        <w:fldChar w:fldCharType="separate"/>
      </w:r>
      <w:r w:rsidRPr="00BD14B0">
        <w:rPr>
          <w:noProof/>
        </w:rPr>
        <w:t>(Becker, 2010; Langton &amp; Bruce, 1999)</w:t>
      </w:r>
      <w:r w:rsidRPr="00BD14B0">
        <w:fldChar w:fldCharType="end"/>
      </w:r>
      <w:r w:rsidRPr="00BD14B0">
        <w:t xml:space="preserve">. This phenomenon has been studied </w:t>
      </w:r>
      <w:r w:rsidRPr="00BD14B0">
        <w:lastRenderedPageBreak/>
        <w:t xml:space="preserve">with gaze cueing tasks, in which a face is presented in the centre of the screen with the eyes gazing either to the left or to the right side of the screen. Then, a target appears to the right or left side of the screen and participants </w:t>
      </w:r>
      <w:r w:rsidR="0006380F" w:rsidRPr="00BD14B0">
        <w:t>a</w:t>
      </w:r>
      <w:r w:rsidRPr="00BD14B0">
        <w:t xml:space="preserve">re asked to either detect the onset of the target or discriminate between several different targets as quickly and accurately as possible. With congruent trials, the target and the gaze appear on the same side of the screen and in incongruent trials, the target appears opposite to the gazed-at location. The gaze cueing is </w:t>
      </w:r>
      <w:r w:rsidR="0006380F" w:rsidRPr="00BD14B0">
        <w:t xml:space="preserve">usually </w:t>
      </w:r>
      <w:r w:rsidRPr="00BD14B0">
        <w:t>measured according to participant response time. Experiments have shown that people are faster to respon</w:t>
      </w:r>
      <w:r w:rsidR="00BD7953" w:rsidRPr="00BD14B0">
        <w:t>d</w:t>
      </w:r>
      <w:r w:rsidRPr="00BD14B0">
        <w:t xml:space="preserve"> congruent trials compared to incongruent trials. Therefore, attentional shift mechanisms may vary as a function of the type of central cue </w:t>
      </w:r>
      <w:r w:rsidRPr="00BD14B0">
        <w:fldChar w:fldCharType="begin" w:fldLock="1"/>
      </w:r>
      <w:r w:rsidRPr="00BD14B0">
        <w:instrText>ADDIN CSL_CITATION {"citationItems":[{"id":"ITEM-1","itemData":{"DOI":"10.1080/13506285.2012.658101","ISSN":"1350-6285","abstract":"The control of human attention is typically conceptualized either in terms of exogenous automatic processes that are driven by external sensory stimulation or endogenous strategic processes that are driven by internal expectancies about events in the environment. However, this classic dichotomy has struggled to explain a wealth of new data demonstrating that behaviourally and biologically relevant visual stimuli, like arrow and eye direction, elicit shifts of spatial attention that on the one hand, appear exogenous, and on the other hand, endogenous. To address this issue, we used a double-cueing task that combined arrows with classic cues known to invoke either exogenous or endogenous orienting. Our data suggest that behaviourally relevant directional cues, like arrows, engage a new form of cortically mediated orienting-automated symbolic orienting-that operates independent of, and in parallel with, the two classic forms of exogenous and endogenous spatial attention.","author":[{"dropping-particle":"","family":"Ristic","given":"Jelena","non-dropping-particle":"","parse-names":false,"suffix":""},{"dropping-particle":"","family":"Kingstone","given":"Alan","non-dropping-particle":"","parse-names":false,"suffix":""}],"container-title":"Visual Cognition","id":"ITEM-1","issue":"3","issued":{"date-parts":[["2012"]]},"note":"Times Cited: 18\n18","page":"244-264","title":"A new form of human spatial attention: Automated symbolic orienting","type":"article-journal","volume":"20"},"uris":["http://www.mendeley.com/documents/?uuid=048b5532-4178-46f3-ad57-29be2535b165"]}],"mendeley":{"formattedCitation":"(Jelena Ristic &amp; Kingstone, 2012)","manualFormatting":"(Ristic &amp; Kingstone, 2012)","plainTextFormattedCitation":"(Jelena Ristic &amp; Kingstone, 2012)","previouslyFormattedCitation":"(Jelena Ristic &amp; Kingstone, 2012)"},"properties":{"noteIndex":0},"schema":"https://github.com/citation-style-language/schema/raw/master/csl-citation.json"}</w:instrText>
      </w:r>
      <w:r w:rsidRPr="00BD14B0">
        <w:fldChar w:fldCharType="separate"/>
      </w:r>
      <w:r w:rsidRPr="00BD14B0">
        <w:rPr>
          <w:noProof/>
        </w:rPr>
        <w:t>(Ristic &amp; Kingstone, 2012)</w:t>
      </w:r>
      <w:r w:rsidRPr="00BD14B0">
        <w:fldChar w:fldCharType="end"/>
      </w:r>
      <w:r w:rsidRPr="00BD14B0">
        <w:t xml:space="preserve">. One problem about the claim which says eye gaze orienting creates automatic attentional shifts is that arrow cues also shift attention in a reflexive manner </w:t>
      </w:r>
      <w:r w:rsidRPr="00BD14B0">
        <w:fldChar w:fldCharType="begin" w:fldLock="1"/>
      </w:r>
      <w:r w:rsidRPr="00BD14B0">
        <w:instrText>ADDIN CSL_CITATION {"citationItems":[{"id":"ITEM-1","itemData":{"DOI":"10.3758/bf03196306","ISSN":"1069-9384","abstract":"Recent behavioral data have shown that central nonpredictive gaze direction triggers reflexive shifts of attention toward the gazed-at location (e.g., Friesen &amp; Kingstone, 1998). Friesen and Kingstone suggested that this reflexive orienting effect is unique to biologically relevant stimuli. Three experiments were conducted to test this proposal by comparing the attentional orienting produced by nonpredictive gaze cues (biologically relevant) with the attentional orienting produced by nonpredictive arrow cues (biologically irrelevant). Both types of cues produced reflexive orienting in adults (Experiment 1) and preschoolers (Experiment 2), suggesting that gaze cues are not special. However, Experiment 3 showed that nonpredictive arrows produced reflexive orienting in both hemispheres of a split-brain patient. This contrasts with Kingstone, Friesen, and Gazzaniga's (2000) finding that nonpredictive gaze cues produce reflexive orienting only in the face-processing hemisphere of split-brain patients. Therefore, although nonpredictive eyes and arrows may produce similar behavioral effects, they are not sub-served by the same brain systems. Together, these data provide important insight into the nature of the representations of directional stimuli involved in reflexive attentional orienting.","author":[{"dropping-particle":"","family":"Ristic","given":"J","non-dropping-particle":"","parse-names":false,"suffix":""},{"dropping-particle":"","family":"Friesen","given":"C K","non-dropping-particle":"","parse-names":false,"suffix":""},{"dropping-particle":"","family":"Kingstone","given":"A","non-dropping-particle":"","parse-names":false,"suffix":""}],"container-title":"Psychonomic Bulletin &amp; Review","id":"ITEM-1","issue":"3","issued":{"date-parts":[["2002"]]},"note":"Times Cited: 203\n208","page":"507-513","title":"Are eyes special? It depends on how you look at it","type":"article-journal","volume":"9"},"uris":["http://www.mendeley.com/documents/?uuid=c1e42a86-5be1-4663-870f-911a8c5c2c3c"]},{"id":"ITEM-2","itemData":{"ISSN":"1069-9384","author":[{"dropping-particle":"","family":"Tipples","given":"J","non-dropping-particle":"","parse-names":false,"suffix":""}],"container-title":"Psychonomic Bulletin &amp;amp; Review","id":"ITEM-2","issue":"2","issued":{"date-parts":[["2002"]]},"page":"314-318","title":"Eye gaze is not unique: Automatic orienting in response to uninformative arrows","type":"article-journal","volume":"9"},"uris":["http://www.mendeley.com/documents/?uuid=b48d6b97-9dd3-4a3b-86c9-cd0ab325506f"]}],"mendeley":{"formattedCitation":"(J Ristic et al., 2002; Tipples, 2002)","manualFormatting":"(Ristic et al., 2002; Tipples, 2002)","plainTextFormattedCitation":"(J Ristic et al., 2002; Tipples, 2002)","previouslyFormattedCitation":"(J Ristic et al., 2002; Tipples, 2002)"},"properties":{"noteIndex":0},"schema":"https://github.com/citation-style-language/schema/raw/master/csl-citation.json"}</w:instrText>
      </w:r>
      <w:r w:rsidRPr="00BD14B0">
        <w:fldChar w:fldCharType="separate"/>
      </w:r>
      <w:r w:rsidRPr="00BD14B0">
        <w:rPr>
          <w:noProof/>
        </w:rPr>
        <w:t>(Ristic et al., 2002; Tipples, 2002)</w:t>
      </w:r>
      <w:r w:rsidRPr="00BD14B0">
        <w:fldChar w:fldCharType="end"/>
      </w:r>
      <w:r w:rsidRPr="00BD14B0">
        <w:t xml:space="preserve">. This means the orienting of spatial attention in a reflexive way is not the only result of social attention cues gathered by eye gaze (specifically at behavioural measurements). </w:t>
      </w:r>
    </w:p>
    <w:p w14:paraId="2DF40FDE" w14:textId="2C9F8332" w:rsidR="00E35ED7" w:rsidRPr="00BD14B0" w:rsidRDefault="00DD20B2" w:rsidP="00553E01">
      <w:r w:rsidRPr="00BD14B0">
        <w:tab/>
      </w:r>
      <w:r w:rsidR="00E35ED7" w:rsidRPr="00BD14B0">
        <w:t xml:space="preserve">To address this problem, </w:t>
      </w:r>
      <w:r w:rsidR="00E35ED7" w:rsidRPr="00BD14B0">
        <w:fldChar w:fldCharType="begin" w:fldLock="1"/>
      </w:r>
      <w:r w:rsidR="004D2901" w:rsidRPr="00BD14B0">
        <w:instrText>ADDIN CSL_CITATION {"citationItems":[{"id":"ITEM-1","itemData":{"DOI":"10.1097/00001756-200303030-00039","ISBN":"1473-558X(Electronic),0959-4965(Print)","ISSN":"0959-4965","abstract":"We examined covert and overt orienting in response to non-predictive gaze direction cues and investigated whether the subcortical superior colliculus (SC) plays a role in this type of orienting. Participants viewed a centrally presented gazing schematic face and responded to targets appearing at gazed-at or non-gazed-at locations either by making a keypress response while maintaining central fixation or by making an eye movement to the target. For both response conditions, the fixation stimulus (the gazing face) either remained on the screen or was extinguished at the time of target presentation, a manipulation known to engage and disengage the SC. Results revealed that participants making manual responses oriented covertly to the gazed-at location regardless of the fixation condition, and that participants making eye movements oriented overtly only if the fixation stimulus remained on the screen. Overt gaze-triggered orienting was not enhanced relative to covert orienting, and the fixation offset effect was not reduced for averted gaze cues relative to straight gaze cues. These findings suggest that gaze direction cues do not activate or predisengage the oculomotor system, and thus that orienting to gaze direction does not engage the SC. (PsycINFO Database Record (c) 2016 APA, all rights reserved)","author":[{"dropping-particle":"","family":"Friesen","given":"Chris Kelland","non-dropping-particle":"","parse-names":false,"suffix":""},{"dropping-particle":"","family":"Kingstone","given":"Alan","non-dropping-particle":"","parse-names":false,"suffix":""}],"container-title":"NeuroReport","id":"ITEM-1","issue":"3","issued":{"date-parts":[["2003","3"]]},"page":"489-493","publisher":"Lippincott Williams &amp; Wilkins","publisher-place":"Friesen, Chris Kelland: Department of Psychology, University of Saskatchewan, 9 Campus Drive, Saskatoon, SK, Canada, S7N 5AS, chris.friesen@usask.ca","title":"Covert and overt orienting to gaze direction cues and the effects of fixation offset","type":"article-journal","volume":"14"},"uris":["http://www.mendeley.com/documents/?uuid=b1bee99d-9a8d-4ca8-9215-027f5cf73129"]}],"mendeley":{"formattedCitation":"(C. K. Friesen &amp; Kingstone, 2003)","manualFormatting":"Friesen and Kingstone (2003)","plainTextFormattedCitation":"(C. K. Friesen &amp; Kingstone, 2003)","previouslyFormattedCitation":"(C. K. Friesen &amp; Kingstone, 2003)"},"properties":{"noteIndex":0},"schema":"https://github.com/citation-style-language/schema/raw/master/csl-citation.json"}</w:instrText>
      </w:r>
      <w:r w:rsidR="00E35ED7" w:rsidRPr="00BD14B0">
        <w:fldChar w:fldCharType="separate"/>
      </w:r>
      <w:r w:rsidR="00E35ED7" w:rsidRPr="00BD14B0">
        <w:rPr>
          <w:noProof/>
        </w:rPr>
        <w:t>Friesen and Kingstone (2003)</w:t>
      </w:r>
      <w:r w:rsidR="00E35ED7" w:rsidRPr="00BD14B0">
        <w:fldChar w:fldCharType="end"/>
      </w:r>
      <w:r w:rsidR="00E35ED7" w:rsidRPr="00BD14B0">
        <w:t xml:space="preserve"> looked for further differentiation between eye gaze cues and examined the functional characteristics of covert and overt orienting in response to non-predictive gaze direction cues. In this study, participants were presented a gaze cueing task with a schematic face drawing and asked for a response either by making a keypress or by making an eye movement to locate the target. For both response condition, the gazing face either stayed on the screen until response or diminished when target stimuli presented. The results of this study indicated that </w:t>
      </w:r>
      <w:r w:rsidR="00B213F2" w:rsidRPr="00BD14B0">
        <w:t xml:space="preserve">the </w:t>
      </w:r>
      <w:r w:rsidR="00E35ED7" w:rsidRPr="00BD14B0">
        <w:t xml:space="preserve">keypress response condition created attention shifts regardless of the fixation condition; however, the eye movement condition oriented overtly only if the gazing face stayed on the screen until response but not when the gazing face disappeared when target stimuli presented. These results suggested that the attention shifts created by eye gaze do not trigger the preparation of an eye movement. They concluded that gaze triggered orienting is indeed a form of reflexive shifts and gaze does not activate the oculomotor system. A second approach is to examine the characteristics of eye gaze cues by examining the counter-predictive cues for both arrow and eye gaze cues. </w:t>
      </w:r>
      <w:r w:rsidR="00B213F2" w:rsidRPr="00BD14B0">
        <w:t>C</w:t>
      </w:r>
      <w:r w:rsidR="00E35ED7" w:rsidRPr="00BD14B0">
        <w:t>ounter-predictive cues require participants to reorient their attention away from the cued direction; therefore</w:t>
      </w:r>
      <w:r w:rsidR="00B213F2" w:rsidRPr="00BD14B0">
        <w:t>,</w:t>
      </w:r>
      <w:r w:rsidR="00E35ED7" w:rsidRPr="00BD14B0">
        <w:t xml:space="preserve"> any effect of eye gaze would suggest that such cues would operate against voluntary control. Indeed, </w:t>
      </w:r>
      <w:r w:rsidR="00E35ED7" w:rsidRPr="00BD14B0">
        <w:lastRenderedPageBreak/>
        <w:fldChar w:fldCharType="begin" w:fldLock="1"/>
      </w:r>
      <w:r w:rsidR="004D2901" w:rsidRPr="00BD14B0">
        <w:instrText>ADDIN CSL_CITATION {"citationItems":[{"id":"ITEM-1","itemData":{"DOI":"10.1037/0096-1523.30.2.319","ISSN":"0096-1523","author":[{"dropping-particle":"","family":"Friesen","given":"Ck","non-dropping-particle":"","parse-names":false,"suffix":""},{"dropping-particle":"","family":"Ristic","given":"J","non-dropping-particle":"","parse-names":false,"suffix":""},{"dropping-particle":"","family":"Kingstone","given":"A","non-dropping-particle":"","parse-names":false,"suffix":""}],"container-title":"J. Exp. Psychol.-Hum. Percept. Perform.","id":"ITEM-1","issue":"2","issued":{"date-parts":[["2004"]]},"page":"319-329","title":"Attentional effects of counterpredictive gaze and arrow cues","type":"article-journal","volume":"30"},"uris":["http://www.mendeley.com/documents/?uuid=45b2d509-1186-4dda-87f2-f753de148932"]}],"mendeley":{"formattedCitation":"(C. Friesen et al., 2004)","manualFormatting":"Friesen et al. (2004)","plainTextFormattedCitation":"(C. Friesen et al., 2004)","previouslyFormattedCitation":"(C. Friesen et al., 2004)"},"properties":{"noteIndex":0},"schema":"https://github.com/citation-style-language/schema/raw/master/csl-citation.json"}</w:instrText>
      </w:r>
      <w:r w:rsidR="00E35ED7" w:rsidRPr="00BD14B0">
        <w:fldChar w:fldCharType="separate"/>
      </w:r>
      <w:r w:rsidR="00E35ED7" w:rsidRPr="00BD14B0">
        <w:rPr>
          <w:noProof/>
        </w:rPr>
        <w:t>Friesen et al. (2004)</w:t>
      </w:r>
      <w:r w:rsidR="00E35ED7" w:rsidRPr="00BD14B0">
        <w:fldChar w:fldCharType="end"/>
      </w:r>
      <w:r w:rsidR="00E35ED7" w:rsidRPr="00BD14B0">
        <w:t xml:space="preserve"> showed that arrows only triggered a volitional effect rather than an automatic attentional shift that</w:t>
      </w:r>
      <w:r w:rsidR="00B213F2" w:rsidRPr="00BD14B0">
        <w:t xml:space="preserve"> was</w:t>
      </w:r>
      <w:r w:rsidR="00E35ED7" w:rsidRPr="00BD14B0">
        <w:t xml:space="preserve"> observed from eyes. They used a modified version of counter-predictive paradigm and had four target locations instead of two. This procedure was useful to measure voluntary and involuntary nature of orienting but added difficulty by requiring attention to be spread more widely. Although they </w:t>
      </w:r>
      <w:r w:rsidR="00B213F2" w:rsidRPr="00BD14B0">
        <w:t xml:space="preserve">reported </w:t>
      </w:r>
      <w:r w:rsidR="00E35ED7" w:rsidRPr="00BD14B0">
        <w:t xml:space="preserve">some significant results, the method of this study makes it hard to compare it with other studies in the literature. In another study, </w:t>
      </w:r>
      <w:r w:rsidR="00E35ED7" w:rsidRPr="00BD14B0">
        <w:fldChar w:fldCharType="begin" w:fldLock="1"/>
      </w:r>
      <w:r w:rsidR="004D2901" w:rsidRPr="00BD14B0">
        <w:instrText>ADDIN CSL_CITATION {"citationItems":[{"id":"ITEM-1","itemData":{"ISSN":"1069-9384","author":[{"dropping-particle":"","family":"Tipples","given":"J","non-dropping-particle":"","parse-names":false,"suffix":""}],"container-title":"Psychonomic Bulletin &amp;amp; Review","id":"ITEM-1","issue":"2","issued":{"date-parts":[["2002"]]},"page":"314-318","title":"Eye gaze is not unique: Automatic orienting in response to uninformative arrows","type":"article-journal","volume":"9"},"uris":["http://www.mendeley.com/documents/?uuid=b48d6b97-9dd3-4a3b-86c9-cd0ab325506f"]}],"mendeley":{"formattedCitation":"(Tipples, 2002)","manualFormatting":"Tipples (2002)","plainTextFormattedCitation":"(Tipples, 2002)","previouslyFormattedCitation":"(Tipples, 2002)"},"properties":{"noteIndex":0},"schema":"https://github.com/citation-style-language/schema/raw/master/csl-citation.json"}</w:instrText>
      </w:r>
      <w:r w:rsidR="00E35ED7" w:rsidRPr="00BD14B0">
        <w:fldChar w:fldCharType="separate"/>
      </w:r>
      <w:r w:rsidR="00E35ED7" w:rsidRPr="00BD14B0">
        <w:rPr>
          <w:noProof/>
        </w:rPr>
        <w:t>Tipples (2002)</w:t>
      </w:r>
      <w:r w:rsidR="00E35ED7" w:rsidRPr="00BD14B0">
        <w:fldChar w:fldCharType="end"/>
      </w:r>
      <w:r w:rsidR="00E35ED7" w:rsidRPr="00BD14B0">
        <w:t xml:space="preserve"> found that both eye and arrow cues produced similar orienting using counter-predictive paradigm although some methodological problems remained. In their study, the eye gaze and arrow cues were tested in separate experiments and with separate group of participants and, as a result, a direct statistical comparison was not possible. </w:t>
      </w:r>
      <w:r w:rsidR="000F453A" w:rsidRPr="00BD14B0">
        <w:t>Nevertheless</w:t>
      </w:r>
      <w:r w:rsidR="00E35ED7" w:rsidRPr="00BD14B0">
        <w:t xml:space="preserve">, many studies from the literature examining the similarity and differences between eye gaze cues and arrow cues have not produced consistent results; both approaches explain some aspects about attentional shifts but not all. Therefore, it is important to implement biological measurements to test whether they trigger similar neural pathways. The next subtopic will explain the neural basis of eye gaze perception and the broader network related to eye gaze. </w:t>
      </w:r>
    </w:p>
    <w:p w14:paraId="5E661CE6" w14:textId="77777777" w:rsidR="00902A23" w:rsidRPr="00BD14B0" w:rsidRDefault="00902A23" w:rsidP="00553E01"/>
    <w:p w14:paraId="22379D41" w14:textId="57DB4557" w:rsidR="00CA00C7" w:rsidRPr="00BD14B0" w:rsidRDefault="00CA00C7" w:rsidP="00553E01">
      <w:pPr>
        <w:pStyle w:val="Heading2"/>
      </w:pPr>
      <w:bookmarkStart w:id="9" w:name="_Toc108310750"/>
      <w:r w:rsidRPr="00BD14B0">
        <w:t>Biological Basis of Gaze Perception</w:t>
      </w:r>
      <w:bookmarkEnd w:id="9"/>
    </w:p>
    <w:p w14:paraId="4A1F515E" w14:textId="667447D4" w:rsidR="00C364FA" w:rsidRPr="00BD14B0" w:rsidRDefault="00DD20B2" w:rsidP="00553E01">
      <w:r w:rsidRPr="00BD14B0">
        <w:tab/>
      </w:r>
      <w:r w:rsidR="00DA41EC" w:rsidRPr="00BD14B0">
        <w:t>The neural basis of social behaviour may</w:t>
      </w:r>
      <w:r w:rsidR="00926CAB" w:rsidRPr="00BD14B0">
        <w:t xml:space="preserve"> </w:t>
      </w:r>
      <w:r w:rsidR="00DA41EC" w:rsidRPr="00BD14B0">
        <w:t>originat</w:t>
      </w:r>
      <w:r w:rsidR="00926CAB" w:rsidRPr="00BD14B0">
        <w:t>e</w:t>
      </w:r>
      <w:r w:rsidR="00DA41EC" w:rsidRPr="00BD14B0">
        <w:t xml:space="preserve"> in the social brain. </w:t>
      </w:r>
      <w:r w:rsidR="00DA41EC" w:rsidRPr="00BD14B0">
        <w:fldChar w:fldCharType="begin" w:fldLock="1"/>
      </w:r>
      <w:r w:rsidR="00DA41EC" w:rsidRPr="00BD14B0">
        <w:instrText>ADDIN CSL_CITATION {"citationItems":[{"id":"ITEM-1","itemData":{"author":[{"dropping-particle":"","family":"Brothers","given":"Leslie","non-dropping-particle":"","parse-names":false,"suffix":""}],"container-title":"Foundations in social neuroscience","id":"ITEM-1","issued":{"date-parts":[["2002"]]},"page":"367-385","publisher":"MIT Press Cambridge","title":"The social brain: a project for integrating primate behavior and neurophysiology in a new domain","type":"article-journal"},"uris":["http://www.mendeley.com/documents/?uuid=93cca715-a21d-4d2a-9968-9fb20fa6ed90"]}],"mendeley":{"formattedCitation":"(Brothers, 2002)","manualFormatting":"Brothers (2002)","plainTextFormattedCitation":"(Brothers, 2002)","previouslyFormattedCitation":"(Brothers, 2002)"},"properties":{"noteIndex":0},"schema":"https://github.com/citation-style-language/schema/raw/master/csl-citation.json"}</w:instrText>
      </w:r>
      <w:r w:rsidR="00DA41EC" w:rsidRPr="00BD14B0">
        <w:fldChar w:fldCharType="separate"/>
      </w:r>
      <w:r w:rsidR="00DA41EC" w:rsidRPr="00BD14B0">
        <w:rPr>
          <w:noProof/>
        </w:rPr>
        <w:t>Brothers (2002)</w:t>
      </w:r>
      <w:r w:rsidR="00DA41EC" w:rsidRPr="00BD14B0">
        <w:fldChar w:fldCharType="end"/>
      </w:r>
      <w:r w:rsidR="00DA41EC" w:rsidRPr="00BD14B0">
        <w:t xml:space="preserve"> suggested that the “</w:t>
      </w:r>
      <w:r w:rsidR="00DA41EC" w:rsidRPr="00BD14B0">
        <w:rPr>
          <w:i/>
        </w:rPr>
        <w:t>social brain</w:t>
      </w:r>
      <w:r w:rsidR="00DA41EC" w:rsidRPr="00BD14B0">
        <w:t>” is comprised of th</w:t>
      </w:r>
      <w:r w:rsidR="00926CAB" w:rsidRPr="00BD14B0">
        <w:t>r</w:t>
      </w:r>
      <w:r w:rsidR="00DA41EC" w:rsidRPr="00BD14B0">
        <w:t>ee major brain regions: the amygdala, the orbitofrontal cortex, and the superior temporal sulcus (STS)</w:t>
      </w:r>
      <w:r w:rsidR="00DA41EC" w:rsidRPr="00BD14B0">
        <w:rPr>
          <w:bCs/>
          <w:iCs/>
        </w:rPr>
        <w:t>.</w:t>
      </w:r>
      <w:r w:rsidR="00DA41EC" w:rsidRPr="00BD14B0">
        <w:t xml:space="preserve"> Evidence suggests that </w:t>
      </w:r>
      <w:r w:rsidR="00926CAB" w:rsidRPr="00BD14B0">
        <w:t xml:space="preserve">the </w:t>
      </w:r>
      <w:r w:rsidR="00DA41EC" w:rsidRPr="00BD14B0">
        <w:t xml:space="preserve">STS, amygdala and orbitofrontal cortex, act together to detect another individual’s eye gaze direction </w:t>
      </w:r>
      <w:r w:rsidR="00DA41EC" w:rsidRPr="00BD14B0">
        <w:fldChar w:fldCharType="begin" w:fldLock="1"/>
      </w:r>
      <w:r w:rsidR="004D2901" w:rsidRPr="00BD14B0">
        <w:instrText>ADDIN CSL_CITATION {"citationItems":[{"id":"ITEM-1","itemData":{"DOI":"10.1016/s0149-7634(00)00025-7","ISSN":"0149-7634","abstract":"Gaze is an important component of social interaction. The function, evolution and neurobiology of gaze processing are therefore of interest to a number of researchers. This review discusses the evolutionary role of social gaze in vertebrates (focusing on primates), and a hypothesis that this role has changed substantially for primates compared to other animals. This change may have been driven by morphological changes to the face and eyes of primates, limitations in the facial anatomy of other vertebrates, changes in the ecology of the environment in which primates live, and a necessity to communicate information about the environment, emotional and mental states. The eyes represent different levels of signal value depending on the status, disposition and emotional state of the sender and receiver of such signals. There are regions in the monkey and human brain which contain neurons that respond selectively to faces, bodies and eye gaze. The ability to follow another individual's gaze direction is affected in individuals with autism and other psychopathological disorders, and after particular localized brain lesions. The hypothesis that gaze following is \"hard-wired\" in the brain, and may be localized within a circuit linking the superior temporal sulcus, amygdala and orbitofrontal cortex is discussed. (C) 2000 Elsevier Science Ltd. All rights reserved.","author":[{"dropping-particle":"","family":"Emery","given":"N J","non-dropping-particle":"","parse-names":false,"suffix":""}],"container-title":"Neuroscience and Biobehavioral Reviews","id":"ITEM-1","issue":"6","issued":{"date-parts":[["2000"]]},"note":"Times Cited: 535\n547","page":"581-604","title":"The eyes have it: the neuroethology, function and evolution of social gaze","type":"article-journal","volume":"24"},"uris":["http://www.mendeley.com/documents/?uuid=5d58b576-b76a-4e08-ae1a-27007bed123f"]}],"mendeley":{"formattedCitation":"(N J Emery, 2000)","manualFormatting":"(Emery, 2000)","plainTextFormattedCitation":"(N J Emery, 2000)","previouslyFormattedCitation":"(N J Emery, 2000)"},"properties":{"noteIndex":0},"schema":"https://github.com/citation-style-language/schema/raw/master/csl-citation.json"}</w:instrText>
      </w:r>
      <w:r w:rsidR="00DA41EC" w:rsidRPr="00BD14B0">
        <w:fldChar w:fldCharType="separate"/>
      </w:r>
      <w:r w:rsidR="00DA41EC" w:rsidRPr="00BD14B0">
        <w:rPr>
          <w:noProof/>
        </w:rPr>
        <w:t>(Emery, 2000)</w:t>
      </w:r>
      <w:r w:rsidR="00DA41EC" w:rsidRPr="00BD14B0">
        <w:fldChar w:fldCharType="end"/>
      </w:r>
      <w:r w:rsidR="00DA41EC" w:rsidRPr="00BD14B0">
        <w:t xml:space="preserve">. The STS may code individual gaze direction whereas the amygdala may play a role in perception or monitoring for gaze contact </w:t>
      </w:r>
      <w:r w:rsidR="00DA41EC" w:rsidRPr="00BD14B0">
        <w:fldChar w:fldCharType="begin" w:fldLock="1"/>
      </w:r>
      <w:r w:rsidR="00DA41EC" w:rsidRPr="00BD14B0">
        <w:instrText>ADDIN CSL_CITATION {"citationItems":[{"id":"ITEM-1","itemData":{"ISSN":"1053-8119","author":[{"dropping-particle":"","family":"Wicker","given":"B","non-dropping-particle":"","parse-names":false,"suffix":""},{"dropping-particle":"","family":"Michel","given":"F","non-dropping-particle":"","parse-names":false,"suffix":""},{"dropping-particle":"","family":"Henaff","given":"M A","non-dropping-particle":"","parse-names":false,"suffix":""},{"dropping-particle":"","family":"Decety","given":"J","non-dropping-particle":"","parse-names":false,"suffix":""}],"container-title":"Neuroimage","id":"ITEM-1","issue":"2","issued":{"date-parts":[["1998"]]},"page":"221-227","title":"Brain regions involved in the perception of gaze: A PET study","type":"article-journal","volume":"8"},"uris":["http://www.mendeley.com/documents/?uuid=162b0693-5ffb-4b47-8942-072bfd0aa27a"]}],"mendeley":{"formattedCitation":"(Wicker et al., 1998)","plainTextFormattedCitation":"(Wicker et al., 1998)","previouslyFormattedCitation":"(Wicker et al., 1998)"},"properties":{"noteIndex":0},"schema":"https://github.com/citation-style-language/schema/raw/master/csl-citation.json"}</w:instrText>
      </w:r>
      <w:r w:rsidR="00DA41EC" w:rsidRPr="00BD14B0">
        <w:fldChar w:fldCharType="separate"/>
      </w:r>
      <w:r w:rsidR="00DA41EC" w:rsidRPr="00BD14B0">
        <w:rPr>
          <w:noProof/>
        </w:rPr>
        <w:t>(Wicker et al., 1998)</w:t>
      </w:r>
      <w:r w:rsidR="00DA41EC" w:rsidRPr="00BD14B0">
        <w:fldChar w:fldCharType="end"/>
      </w:r>
      <w:r w:rsidR="00DA41EC" w:rsidRPr="00BD14B0">
        <w:t xml:space="preserve">. Various studies have demonstrated that averted eyes compared to straight eyes or other control stimuli trigger more activation in the STS, fusiform gyrus, inferior parietal lobule, and middle/inferior frontal gyrus </w:t>
      </w:r>
      <w:r w:rsidR="00DA41EC" w:rsidRPr="00BD14B0">
        <w:fldChar w:fldCharType="begin" w:fldLock="1"/>
      </w:r>
      <w:r w:rsidR="00DA41EC" w:rsidRPr="00BD14B0">
        <w:instrText>ADDIN CSL_CITATION {"citationItems":[{"id":"ITEM-1","itemData":{"DOI":"10.1016/S0028-3932(02)00008-8","ISSN":"00283932","abstract":"Baron-Cohen [Mindblindness: an essay on autism and theory of mind. Cambridge, MA: MIT Press, 1997] has suggested that the interpretation of gaze plays an important role in a normal functioning theory of mind (ToM) system. Consistent with this suggestion, functional imaging research has shown that both ToM tasks and eye gaze processing engage a similar region of the posterior superior temporal sulcus (STS). However, a second brain region associated with ToM, the medial prefrontal (MPF) cortex, has not been identified by previous eye gaze studies. We discuss the methodological issues that may account for the absence of MPF activation in these experiments and present a PET study that controls for these factors. Our experiment included three conditions in which the proportions of faces gazing at, and away from, the participant, were as follows: 100% direct [0% averted], 50% direct—50% averted, and 100% horizontally averted [0% direct]. Two control conditions were also included in which the faces’ gaze were averted down, or their eyes were closed. Contrasts comparing the gaze conditions with each of the control conditions revealed medial frontal involvement. Parametric analyses showed a significant linear relationship between increasing proportions of horizontally averted gaze and increased rCBF in the MPF cortex. The opposite parametric analysis (increasing proportions of direct gaze) was associated with increased rCBF in a number of areas including the superior and medial temporal gyri. Additional subtraction contrasts largely confirmed these patterns. Our results demonstrate a considerable degree of overlap between the medial frontal areas involved in eye gaze processing and theory of mind tasks.","author":[{"dropping-particle":"","family":"Calder","given":"Andrew J","non-dropping-particle":"","parse-names":false,"suffix":""},{"dropping-particle":"","family":"Lawrence","given":"Andrew D","non-dropping-particle":"","parse-names":false,"suffix":""},{"dropping-particle":"","family":"Keane","given":"Jill","non-dropping-particle":"","parse-names":false,"suffix":""},{"dropping-particle":"","family":"Scott","given":"Sophie K","non-dropping-particle":"","parse-names":false,"suffix":""},{"dropping-particle":"","family":"Owen","given":"Adrian M","non-dropping-particle":"","parse-names":false,"suffix":""},{"dropping-particle":"","family":"Christoffels","given":"Ingrid","non-dropping-particle":"","parse-names":false,"suffix":""},{"dropping-particle":"","family":"Young","given":"Andrew W","non-dropping-particle":"","parse-names":false,"suffix":""}],"container-title":"Neuropsychologia","id":"ITEM-1","issue":"8","issued":{"date-parts":[["2002","1"]]},"page":"1129-1138","title":"Reading the mind from eye gaze","type":"article-journal","volume":"40"},"uris":["http://www.mendeley.com/documents/?uuid=97742f53-b8c1-4afd-b4a2-9af5c455737f"]},{"id":"ITEM-2","itemData":{"ISSN":"1097-6256","author":[{"dropping-particle":"","family":"Hoffman","given":"Ea","non-dropping-particle":"","parse-names":false,"suffix":""},{"dropping-particle":"","family":"Haxby","given":"Jv","non-dropping-particle":"","parse-names":false,"suffix":""}],"container-title":"Nature Neuroscience","id":"ITEM-2","issue":"1","issued":{"date-parts":[["2000"]]},"page":"80-84","title":"Distinct representations of eye gaze and identity in the distributed human neural system for face perception","type":"article-journal","volume":"3"},"uris":["http://www.mendeley.com/documents/?uuid=19210f6c-5963-4fe8-98cd-1c2d946b79cf"]},{"id":"ITEM-3","itemData":{"ISSN":"1053-8119","author":[{"dropping-particle":"","family":"Wicker","given":"B","non-dropping-particle":"","parse-names":false,"suffix":""},{"dropping-particle":"","family":"Michel","given":"F","non-dropping-particle":"","parse-names":false,"suffix":""},{"dropping-particle":"","family":"Henaff","given":"M A","non-dropping-particle":"","parse-names":false,"suffix":""},{"dropping-particle":"","family":"Decety","given":"J","non-dropping-particle":"","parse-names":false,"suffix":""}],"container-title":"Neuroimage","id":"ITEM-3","issue":"2","issued":{"date-parts":[["1998"]]},"page":"221-227","title":"Brain regions involved in the perception of gaze: A PET study","type":"article-journal","volume":"8"},"uris":["http://www.mendeley.com/documents/?uuid=162b0693-5ffb-4b47-8942-072bfd0aa27a"]}],"mendeley":{"formattedCitation":"(A. J. Calder et al., 2002; Hoffman &amp; Haxby, 2000; Wicker et al., 1998)","manualFormatting":"(Calder et al., 2002; Hoffman &amp; Haxby, 2000; Wicker et al., 1998)","plainTextFormattedCitation":"(A. J. Calder et al., 2002; Hoffman &amp; Haxby, 2000; Wicker et al., 1998)","previouslyFormattedCitation":"(A. J. Calder et al., 2002; Hoffman &amp; Haxby, 2000; Wicker et al., 1998)"},"properties":{"noteIndex":0},"schema":"https://github.com/citation-style-language/schema/raw/master/csl-citation.json"}</w:instrText>
      </w:r>
      <w:r w:rsidR="00DA41EC" w:rsidRPr="00BD14B0">
        <w:fldChar w:fldCharType="separate"/>
      </w:r>
      <w:r w:rsidR="00DA41EC" w:rsidRPr="00BD14B0">
        <w:rPr>
          <w:noProof/>
        </w:rPr>
        <w:t>(Calder et al., 2002; Hoffman &amp; Haxby, 2000; Wicker et al., 1998)</w:t>
      </w:r>
      <w:r w:rsidR="00DA41EC" w:rsidRPr="00BD14B0">
        <w:fldChar w:fldCharType="end"/>
      </w:r>
      <w:r w:rsidR="00DA41EC" w:rsidRPr="00BD14B0">
        <w:t xml:space="preserve">. Eye gaze is also processed via a complex network of multiple areas in the human brain. These areas include anterior and posterior parts of the STS </w:t>
      </w:r>
      <w:r w:rsidR="00DA41EC" w:rsidRPr="00BD14B0">
        <w:fldChar w:fldCharType="begin" w:fldLock="1"/>
      </w:r>
      <w:r w:rsidR="00DA41EC" w:rsidRPr="00BD14B0">
        <w:instrText>ADDIN CSL_CITATION {"citationItems":[{"id":"ITEM-1","itemData":{"DOI":"10.1093/scan/nsl036","ISSN":"17495016","author":[{"dropping-particle":"","family":"Bristow","given":"Davina","non-dropping-particle":"","parse-names":false,"suffix":""},{"dropping-particle":"","family":"Rees","given":"Geraint","non-dropping-particle":"","parse-names":false,"suffix":""},{"dropping-particle":"","family":"Frith","given":"Christopher D","non-dropping-particle":"","parse-names":false,"suffix":""}],"container-title":"Social Cognitive and Affective Neuroscience","id":"ITEM-1","issue":"1","issued":{"date-parts":[["2007"]]},"page":"52-61","title":"Social interaction modifies neural response to gaze shifts","type":"article-journal","volume":"2"},"uris":["http://www.mendeley.com/documents/?uuid=59f8c3c5-2dff-49c9-9fae-2b6795cf2de3"]}],"mendeley":{"formattedCitation":"(Bristow et al., 2007)","plainTextFormattedCitation":"(Bristow et al., 2007)","previouslyFormattedCitation":"(Bristow et al., 2007)"},"properties":{"noteIndex":0},"schema":"https://github.com/citation-style-language/schema/raw/master/csl-citation.json"}</w:instrText>
      </w:r>
      <w:r w:rsidR="00DA41EC" w:rsidRPr="00BD14B0">
        <w:fldChar w:fldCharType="separate"/>
      </w:r>
      <w:r w:rsidR="00DA41EC" w:rsidRPr="00BD14B0">
        <w:rPr>
          <w:noProof/>
        </w:rPr>
        <w:t>(Bristow et al., 2007)</w:t>
      </w:r>
      <w:r w:rsidR="00DA41EC" w:rsidRPr="00BD14B0">
        <w:fldChar w:fldCharType="end"/>
      </w:r>
      <w:r w:rsidR="00DA41EC" w:rsidRPr="00BD14B0">
        <w:t xml:space="preserve">, fusiform gyrus, amygdala, prefrontal cortex, and the orbitofrontal cortex (for </w:t>
      </w:r>
      <w:r w:rsidR="00DA41EC" w:rsidRPr="00BD14B0">
        <w:lastRenderedPageBreak/>
        <w:t xml:space="preserve">reviews see, </w:t>
      </w:r>
      <w:r w:rsidR="00DA41EC" w:rsidRPr="00BD14B0">
        <w:fldChar w:fldCharType="begin" w:fldLock="1"/>
      </w:r>
      <w:r w:rsidR="00DA41EC" w:rsidRPr="00BD14B0">
        <w:instrText>ADDIN CSL_CITATION {"citationItems":[{"id":"ITEM-1","itemData":{"DOI":"10.1016/s0149-7634(00)00025-7","ISSN":"0149-7634","abstract":"Gaze is an important component of social interaction. The function, evolution and neurobiology of gaze processing are therefore of interest to a number of researchers. This review discusses the evolutionary role of social gaze in vertebrates (focusing on primates), and a hypothesis that this role has changed substantially for primates compared to other animals. This change may have been driven by morphological changes to the face and eyes of primates, limitations in the facial anatomy of other vertebrates, changes in the ecology of the environment in which primates live, and a necessity to communicate information about the environment, emotional and mental states. The eyes represent different levels of signal value depending on the status, disposition and emotional state of the sender and receiver of such signals. There are regions in the monkey and human brain which contain neurons that respond selectively to faces, bodies and eye gaze. The ability to follow another individual's gaze direction is affected in individuals with autism and other psychopathological disorders, and after particular localized brain lesions. The hypothesis that gaze following is \"hard-wired\" in the brain, and may be localized within a circuit linking the superior temporal sulcus, amygdala and orbitofrontal cortex is discussed. (C) 2000 Elsevier Science Ltd. All rights reserved.","author":[{"dropping-particle":"","family":"Emery","given":"N J","non-dropping-particle":"","parse-names":false,"suffix":""}],"container-title":"Neuroscience and Biobehavioral Reviews","id":"ITEM-1","issue":"6","issued":{"date-parts":[["2000"]]},"note":"Times Cited: 535\n547","page":"581-604","title":"The eyes have it: the neuroethology, function and evolution of social gaze","type":"article-journal","volume":"24"},"uris":["http://www.mendeley.com/documents/?uuid=5d58b576-b76a-4e08-ae1a-27007bed123f"]},{"id":"ITEM-2","itemData":{"DOI":"10.1016/j.tics.2008.12.006","ISSN":"13646613","abstract":"Social attention is conveyed primarily by gaze, but also by head and body orientation. These cues not only signal a seen agent&amp;#039;s direction of attention but are also used to infer their current goals and intentions. Here, we review recent research showing that different gaze, head and body orientations are represented by distinct neural mechanisms, and show that a statistical summary of recent neuroimaging studies reveals a widespread neural network for gaze processing. We discuss how this network subserves visual analysis of social attention cues, and imitative attention shifts and mental state attributions from these cues. We also review new research indicating that the posterior superior temporal sulcus region responds to the inferred intentionality of social cues, and consider the development of the gaze perception system. © 2008 Elsevier Ltd. All rights reserved.","author":[{"dropping-particle":"","family":"Nummenmaa","given":"Lauri","non-dropping-particle":"","parse-names":false,"suffix":""},{"dropping-particle":"","family":"Calder","given":"Andrew J","non-dropping-particle":"","parse-names":false,"suffix":""}],"container-title":"Trends in Cognitive Sciences","id":"ITEM-2","issue":"3","issued":{"date-parts":[["2009"]]},"page":"135-143","title":"Neural mechanisms of social attention","type":"article-journal","volume":"13"},"uris":["http://www.mendeley.com/documents/?uuid=b86b8a54-1c96-48f2-8221-1bef2636442f"]}],"mendeley":{"formattedCitation":"(N J Emery, 2000; Lauri Nummenmaa &amp; Calder, 2009)","manualFormatting":"Emery, 2000; Nummenmaa &amp; Calder, 2009)","plainTextFormattedCitation":"(N J Emery, 2000; Lauri Nummenmaa &amp; Calder, 2009)","previouslyFormattedCitation":"(N J Emery, 2000; Lauri Nummenmaa &amp; Calder, 2009)"},"properties":{"noteIndex":0},"schema":"https://github.com/citation-style-language/schema/raw/master/csl-citation.json"}</w:instrText>
      </w:r>
      <w:r w:rsidR="00DA41EC" w:rsidRPr="00BD14B0">
        <w:fldChar w:fldCharType="separate"/>
      </w:r>
      <w:r w:rsidR="00DA41EC" w:rsidRPr="00BD14B0">
        <w:rPr>
          <w:noProof/>
        </w:rPr>
        <w:t>Emery, 2000; Nummenmaa &amp; Calder, 2009)</w:t>
      </w:r>
      <w:r w:rsidR="00DA41EC" w:rsidRPr="00BD14B0">
        <w:fldChar w:fldCharType="end"/>
      </w:r>
      <w:r w:rsidR="00DA41EC" w:rsidRPr="00BD14B0">
        <w:t xml:space="preserve">. Additionally, the STS is heavily connected to the amygdala, fusiform gyrus </w:t>
      </w:r>
      <w:r w:rsidR="00DA41EC" w:rsidRPr="00BD14B0">
        <w:fldChar w:fldCharType="begin" w:fldLock="1"/>
      </w:r>
      <w:r w:rsidR="00DA41EC" w:rsidRPr="00BD14B0">
        <w:instrText>ADDIN CSL_CITATION {"citationItems":[{"id":"ITEM-1","itemData":{"ISSN":"1053-8119","author":[{"dropping-particle":"","family":"Wicker","given":"B","non-dropping-particle":"","parse-names":false,"suffix":""},{"dropping-particle":"","family":"Michel","given":"F","non-dropping-particle":"","parse-names":false,"suffix":""},{"dropping-particle":"","family":"Henaff","given":"M A","non-dropping-particle":"","parse-names":false,"suffix":""},{"dropping-particle":"","family":"Decety","given":"J","non-dropping-particle":"","parse-names":false,"suffix":""}],"container-title":"Neuroimage","id":"ITEM-1","issue":"2","issued":{"date-parts":[["1998"]]},"page":"221-227","title":"Brain regions involved in the perception of gaze: A PET study","type":"article-journal","volume":"8"},"uris":["http://www.mendeley.com/documents/?uuid=162b0693-5ffb-4b47-8942-072bfd0aa27a"]}],"mendeley":{"formattedCitation":"(Wicker et al., 1998)","plainTextFormattedCitation":"(Wicker et al., 1998)","previouslyFormattedCitation":"(Wicker et al., 1998)"},"properties":{"noteIndex":0},"schema":"https://github.com/citation-style-language/schema/raw/master/csl-citation.json"}</w:instrText>
      </w:r>
      <w:r w:rsidR="00DA41EC" w:rsidRPr="00BD14B0">
        <w:fldChar w:fldCharType="separate"/>
      </w:r>
      <w:r w:rsidR="00DA41EC" w:rsidRPr="00BD14B0">
        <w:rPr>
          <w:noProof/>
        </w:rPr>
        <w:t>(Wicker et al., 1998)</w:t>
      </w:r>
      <w:r w:rsidR="00DA41EC" w:rsidRPr="00BD14B0">
        <w:fldChar w:fldCharType="end"/>
      </w:r>
      <w:r w:rsidR="00DA41EC" w:rsidRPr="00BD14B0">
        <w:t xml:space="preserve"> and parietal cortex </w:t>
      </w:r>
      <w:r w:rsidR="00DA41EC" w:rsidRPr="00BD14B0">
        <w:fldChar w:fldCharType="begin" w:fldLock="1"/>
      </w:r>
      <w:r w:rsidR="00DA41EC" w:rsidRPr="00BD14B0">
        <w:instrText>ADDIN CSL_CITATION {"citationItems":[{"id":"ITEM-1","itemData":{"DOI":"10.1016/j.cub.2006.10.052","ISSN":"0960-9822","author":[{"dropping-particle":"","family":"Calder","given":"Aj","non-dropping-particle":"","parse-names":false,"suffix":""},{"dropping-particle":"","family":"Beaver","given":"J D","non-dropping-particle":"","parse-names":false,"suffix":""},{"dropping-particle":"","family":"Winston","given":"Js","non-dropping-particle":"","parse-names":false,"suffix":""},{"dropping-particle":"","family":"Dolan","given":"Rj","non-dropping-particle":"","parse-names":false,"suffix":""},{"dropping-particle":"","family":"Jenkins","given":"R","non-dropping-particle":"","parse-names":false,"suffix":""},{"dropping-particle":"","family":"Eger","given":"E","non-dropping-particle":"","parse-names":false,"suffix":""},{"dropping-particle":"","family":"Henson","given":"R N A","non-dropping-particle":"","parse-names":false,"suffix":""}],"container-title":"Curr. Biol.","id":"ITEM-1","issue":"1","issued":{"date-parts":[["2007"]]},"page":"20-25","title":"Separate coding of different gaze directions in the superior temporal sulcus and inferior parietal lobule","type":"article-journal","volume":"17"},"uris":["http://www.mendeley.com/documents/?uuid=7dfea367-a3c6-4032-b16e-d0bce5a0b4e9"]}],"mendeley":{"formattedCitation":"(A. Calder et al., 2007)","manualFormatting":"(Calder et al., 2007)","plainTextFormattedCitation":"(A. Calder et al., 2007)","previouslyFormattedCitation":"(A. Calder et al., 2007)"},"properties":{"noteIndex":0},"schema":"https://github.com/citation-style-language/schema/raw/master/csl-citation.json"}</w:instrText>
      </w:r>
      <w:r w:rsidR="00DA41EC" w:rsidRPr="00BD14B0">
        <w:fldChar w:fldCharType="separate"/>
      </w:r>
      <w:r w:rsidR="00DA41EC" w:rsidRPr="00BD14B0">
        <w:rPr>
          <w:noProof/>
        </w:rPr>
        <w:t>(Calder et al., 2007)</w:t>
      </w:r>
      <w:r w:rsidR="00DA41EC" w:rsidRPr="00BD14B0">
        <w:fldChar w:fldCharType="end"/>
      </w:r>
      <w:r w:rsidR="00DA41EC" w:rsidRPr="00BD14B0">
        <w:t xml:space="preserve">, which contribute to face perception (see Figure 4). Faces are considered to be highly social stimuli and can be processed even without conscious awareness by the STS and the amygdala </w:t>
      </w:r>
      <w:r w:rsidR="00DA41EC" w:rsidRPr="00BD14B0">
        <w:fldChar w:fldCharType="begin" w:fldLock="1"/>
      </w:r>
      <w:r w:rsidR="00DA41EC" w:rsidRPr="00BD14B0">
        <w:instrText>ADDIN CSL_CITATION {"citationItems":[{"id":"ITEM-1","itemData":{"DOI":"10.1016/j.cub.2006.08.084","ISSN":"09609822","abstract":"Perceiving faces is critical for social interaction. Evidence suggests that different neural pathways may be responsible for processing face identity and expression information. By using functional magnetic resonance imaging (fMRI), we measured brain responses when observers viewed neutral, fearful, and scrambled faces, either visible or rendered invisible through interocular suppression. The right fusiform face area (FFA), the right superior temporal sulcus (STS), and the amygdala responded strongly to visible faces. However, when face images became invisible, activity in FFA to both neutral and fearful faces was much reduced, although still measurable; activity in the STS was robust only to invisible fearful faces but not to neutral faces. Activity in the amygdala was equally strong in both the visible and invisible conditions to fearful faces but much weaker in the invisible condition for the neutral faces. In the invisible condition, amygdala activity was highly correlated with that of the STS but not with FFA. The results in the invisible condition support the existence of dissociable neural systems specialized for processing facial identity and expression information. When images are invisible, cortical responses may reflect primarily feed-forward visual-information processing and thus allow us to reveal the distinct functions of FFA and STS. © 2006 Elsevier Ltd. All rights reserved.","author":[{"dropping-particle":"","family":"Jiang","given":"Yi","non-dropping-particle":"","parse-names":false,"suffix":""},{"dropping-particle":"","family":"He","given":"Sheng","non-dropping-particle":"","parse-names":false,"suffix":""}],"container-title":"Current Biology","id":"ITEM-1","issue":"20","issued":{"date-parts":[["2006","10"]]},"page":"2023-2029","title":"Cortical Responses to Invisible Faces: Dissociating Subsystems for Facial-Information Processing","type":"article-journal","volume":"16"},"uris":["http://www.mendeley.com/documents/?uuid=e54fb198-8a59-4e8e-8afa-7a83161d9876"]}],"mendeley":{"formattedCitation":"(Jiang &amp; He, 2006)","plainTextFormattedCitation":"(Jiang &amp; He, 2006)","previouslyFormattedCitation":"(Jiang &amp; He, 2006)"},"properties":{"noteIndex":0},"schema":"https://github.com/citation-style-language/schema/raw/master/csl-citation.json"}</w:instrText>
      </w:r>
      <w:r w:rsidR="00DA41EC" w:rsidRPr="00BD14B0">
        <w:fldChar w:fldCharType="separate"/>
      </w:r>
      <w:r w:rsidR="00DA41EC" w:rsidRPr="00BD14B0">
        <w:rPr>
          <w:noProof/>
        </w:rPr>
        <w:t>(Jiang &amp; He, 2006)</w:t>
      </w:r>
      <w:r w:rsidR="00DA41EC" w:rsidRPr="00BD14B0">
        <w:fldChar w:fldCharType="end"/>
      </w:r>
      <w:r w:rsidR="00DA41EC" w:rsidRPr="00BD14B0">
        <w:t>.</w:t>
      </w:r>
    </w:p>
    <w:p w14:paraId="4244E801" w14:textId="77777777" w:rsidR="00DC07F6" w:rsidRPr="00BD14B0" w:rsidRDefault="00DC07F6" w:rsidP="00553E01"/>
    <w:p w14:paraId="7E238C8E" w14:textId="0118FB71" w:rsidR="00882010" w:rsidRDefault="00882010" w:rsidP="00074CCD">
      <w:pPr>
        <w:pStyle w:val="Title"/>
      </w:pPr>
      <w:bookmarkStart w:id="10" w:name="_Toc108317403"/>
      <w:bookmarkStart w:id="11" w:name="_Toc108317445"/>
      <w:bookmarkStart w:id="12" w:name="_Toc108322118"/>
      <w:r>
        <w:t xml:space="preserve">Figure </w:t>
      </w:r>
      <w:r w:rsidR="003B267D">
        <w:fldChar w:fldCharType="begin"/>
      </w:r>
      <w:r w:rsidR="003B267D">
        <w:instrText xml:space="preserve"> SEQ Figure \* ARABIC </w:instrText>
      </w:r>
      <w:r w:rsidR="003B267D">
        <w:fldChar w:fldCharType="separate"/>
      </w:r>
      <w:r w:rsidR="003B267D">
        <w:rPr>
          <w:noProof/>
        </w:rPr>
        <w:t>2</w:t>
      </w:r>
      <w:r w:rsidR="003B267D">
        <w:fldChar w:fldCharType="end"/>
      </w:r>
      <w:bookmarkEnd w:id="10"/>
      <w:bookmarkEnd w:id="11"/>
      <w:bookmarkEnd w:id="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695B36" w:rsidRPr="00BD14B0" w14:paraId="0B39F58F" w14:textId="77777777" w:rsidTr="00784D6C">
        <w:trPr>
          <w:cnfStyle w:val="100000000000" w:firstRow="1" w:lastRow="0" w:firstColumn="0" w:lastColumn="0" w:oddVBand="0" w:evenVBand="0" w:oddHBand="0" w:evenHBand="0" w:firstRowFirstColumn="0" w:firstRowLastColumn="0" w:lastRowFirstColumn="0" w:lastRowLastColumn="0"/>
        </w:trPr>
        <w:tc>
          <w:tcPr>
            <w:tcW w:w="8838" w:type="dxa"/>
          </w:tcPr>
          <w:p w14:paraId="54405A9E" w14:textId="168C2D34" w:rsidR="00D66CF1" w:rsidRPr="00BD14B0" w:rsidRDefault="00D66CF1" w:rsidP="00352AF4">
            <w:pPr>
              <w:jc w:val="left"/>
              <w:rPr>
                <w:b w:val="0"/>
                <w:sz w:val="24"/>
                <w:szCs w:val="24"/>
              </w:rPr>
            </w:pPr>
            <w:r w:rsidRPr="00BD14B0">
              <w:rPr>
                <w:b w:val="0"/>
                <w:bCs/>
                <w:i/>
                <w:iCs/>
                <w:sz w:val="24"/>
                <w:szCs w:val="24"/>
              </w:rPr>
              <w:t>Extended system: Neural pathways related to eye gaze perceptio</w:t>
            </w:r>
            <w:r w:rsidR="00352AF4" w:rsidRPr="00BD14B0">
              <w:rPr>
                <w:b w:val="0"/>
                <w:bCs/>
                <w:i/>
                <w:iCs/>
                <w:sz w:val="24"/>
                <w:szCs w:val="24"/>
              </w:rPr>
              <w:t>n</w:t>
            </w:r>
          </w:p>
          <w:p w14:paraId="05117ECB" w14:textId="77777777" w:rsidR="00E879A1" w:rsidRPr="00BD14B0" w:rsidRDefault="00E879A1" w:rsidP="00553E01">
            <w:pPr>
              <w:rPr>
                <w:b w:val="0"/>
                <w:sz w:val="24"/>
                <w:szCs w:val="24"/>
              </w:rPr>
            </w:pPr>
            <w:r w:rsidRPr="00BD14B0">
              <w:rPr>
                <w:noProof/>
                <w:lang w:eastAsia="en-US"/>
              </w:rPr>
              <w:drawing>
                <wp:inline distT="0" distB="0" distL="0" distR="0" wp14:anchorId="52DE73B9" wp14:editId="3B0A63F0">
                  <wp:extent cx="5517931" cy="3140415"/>
                  <wp:effectExtent l="0" t="0" r="6985" b="3175"/>
                  <wp:docPr id="22" name="Picture 22" descr="C:\Users\Psychology\Desktop\1-s2.0-S1364661309000242-g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640589" name="Picture 1" descr="C:\Users\Psychology\Desktop\1-s2.0-S1364661309000242-gr2.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515646" cy="3139114"/>
                          </a:xfrm>
                          <a:prstGeom prst="rect">
                            <a:avLst/>
                          </a:prstGeom>
                          <a:noFill/>
                          <a:ln>
                            <a:noFill/>
                          </a:ln>
                        </pic:spPr>
                      </pic:pic>
                    </a:graphicData>
                  </a:graphic>
                </wp:inline>
              </w:drawing>
            </w:r>
          </w:p>
        </w:tc>
      </w:tr>
    </w:tbl>
    <w:p w14:paraId="5F8CF3C2" w14:textId="2653EE5D" w:rsidR="00784D6C" w:rsidRPr="00BD14B0" w:rsidRDefault="00784D6C" w:rsidP="00553E01">
      <w:r w:rsidRPr="00BD14B0">
        <w:rPr>
          <w:i/>
          <w:iCs/>
        </w:rPr>
        <w:t>Note</w:t>
      </w:r>
      <w:r w:rsidR="009F745C" w:rsidRPr="00BD14B0">
        <w:t>.</w:t>
      </w:r>
      <w:r w:rsidRPr="00BD14B0">
        <w:t xml:space="preserve"> Studies about the neural pathway related to gaze processing </w:t>
      </w:r>
      <w:r w:rsidR="00926CAB" w:rsidRPr="00BD14B0">
        <w:t xml:space="preserve">suggest the involvement </w:t>
      </w:r>
      <w:r w:rsidRPr="00BD14B0">
        <w:t xml:space="preserve">STS region </w:t>
      </w:r>
      <w:r w:rsidRPr="00BD14B0">
        <w:fldChar w:fldCharType="begin" w:fldLock="1"/>
      </w:r>
      <w:r w:rsidRPr="00BD14B0">
        <w:instrText>ADDIN CSL_CITATION {"citationItems":[{"id":"ITEM-1","itemData":{"ISSN":"1097-6256","author":[{"dropping-particle":"","family":"Hoffman","given":"Ea","non-dropping-particle":"","parse-names":false,"suffix":""},{"dropping-particle":"","family":"Haxby","given":"Jv","non-dropping-particle":"","parse-names":false,"suffix":""}],"container-title":"Nature Neuroscience","id":"ITEM-1","issue":"1","issued":{"date-parts":[["2000"]]},"page":"80-84","title":"Distinct representations of eye gaze and identity in the distributed human neural system for face perception","type":"article-journal","volume":"3"},"uris":["http://www.mendeley.com/documents/?uuid=19210f6c-5963-4fe8-98cd-1c2d946b79cf"]}],"mendeley":{"formattedCitation":"(Hoffman &amp; Haxby, 2000)","plainTextFormattedCitation":"(Hoffman &amp; Haxby, 2000)","previouslyFormattedCitation":"(Hoffman &amp; Haxby, 2000)"},"properties":{"noteIndex":0},"schema":"https://github.com/citation-style-language/schema/raw/master/csl-citation.json"}</w:instrText>
      </w:r>
      <w:r w:rsidRPr="00BD14B0">
        <w:fldChar w:fldCharType="separate"/>
      </w:r>
      <w:r w:rsidRPr="00BD14B0">
        <w:rPr>
          <w:noProof/>
        </w:rPr>
        <w:t>(Hoffman &amp; Haxby, 2000)</w:t>
      </w:r>
      <w:r w:rsidRPr="00BD14B0">
        <w:fldChar w:fldCharType="end"/>
      </w:r>
      <w:r w:rsidRPr="00BD14B0">
        <w:t xml:space="preserve">, amygdala/ hippocampus </w:t>
      </w:r>
      <w:r w:rsidRPr="00BD14B0">
        <w:fldChar w:fldCharType="begin" w:fldLock="1"/>
      </w:r>
      <w:r w:rsidRPr="00BD14B0">
        <w:instrText>ADDIN CSL_CITATION {"citationItems":[{"id":"ITEM-1","itemData":{"DOI":"10.1006/nimg.2001.0769","ISBN":"1053-8119","ISSN":"1053-8119","PMID":"11352615","abstract":"Gaze-contact is often a preliminary to social interaction and so constitutes a signal for the allocation of processing resources to the gazing face. We investigated how gaze direction influences face processing in an fMRI study, where seen gaze and head direction could independently be direct or deviated. Direct relative to averted gaze elicited stronger activation for faces in ventral occipitotemporal cortices around the fusiform gyrus, regardless of head orientation. Moreover, direct gaze led to greater correlation between activity in the fusiform and the amygdala, a region associated with emotional responses and stimulus saliency. By contrast, faces with averted gaze (again, regardless of head orientation) yielded increased correlation between activity in the fusiform and the intraparietal sulcus, a region associated with shifting attention to the periphery.","author":[{"dropping-particle":"","family":"George","given":"N","non-dropping-particle":"","parse-names":false,"suffix":""},{"dropping-particle":"","family":"Driver","given":"J","non-dropping-particle":"","parse-names":false,"suffix":""},{"dropping-particle":"","family":"Dolan","given":"R J","non-dropping-particle":"","parse-names":false,"suffix":""}],"container-title":"NeuroImage","id":"ITEM-1","issue":"6 Pt 1","issued":{"date-parts":[["2001"]]},"note":"NULL","page":"1102-1112","title":"Seen gaze-direction modulates fusiform activity and its coupling with other brain areas during face processing.","type":"article-journal","volume":"13"},"uris":["http://www.mendeley.com/documents/?uuid=bb2a832f-eb4d-476e-9d92-cd39290ab2cb"]},{"id":"ITEM-2","itemData":{"DOI":"10.1093/brain/122.4.779","ISBN":"0006-8950 (Print)\\r0006-8950 (Linking)","ISSN":"00068950","PMID":"10219788","abstract":"Social contact often initially depends on ascertaining the direction of the other person's gaze. We determined the brain areas involved in gaze monitoring by a functional neuroimaging study. Discrimination between the direction of gaze significantly activated a region in the left amygdala during eye-contact and no eye-contact tasks to the same extent. However, a region in the right amygdala was specifically activated only during the eye-contact task. Results confirm that the left amygdala plays a general role in the interpretation of eye gaze direction, and that the activity of the right amygdala of the subject increases when another individual's gaze is directed towards him. This suggests that the human amygdala plays a role in reading social signals from the face.","author":[{"dropping-particle":"","family":"Kawashima","given":"Ryuta","non-dropping-particle":"","parse-names":false,"suffix":""},{"dropping-particle":"","family":"Sugiura","given":"Motoaki","non-dropping-particle":"","parse-names":false,"suffix":""},{"dropping-particle":"","family":"Kato","given":"Takashi","non-dropping-particle":"","parse-names":false,"suffix":""},{"dropping-particle":"","family":"Nakamura","given":"Akinori","non-dropping-particle":"","parse-names":false,"suffix":""},{"dropping-particle":"","family":"Hatano","given":"Kentaro","non-dropping-particle":"","parse-names":false,"suffix":""},{"dropping-particle":"","family":"Ito","given":"Kengo","non-dropping-particle":"","parse-names":false,"suffix":""},{"dropping-particle":"","family":"Fukuda","given":"Hiroshi","non-dropping-particle":"","parse-names":false,"suffix":""},{"dropping-particle":"","family":"Kojima","given":"Shozo","non-dropping-particle":"","parse-names":false,"suffix":""},{"dropping-particle":"","family":"Nakamura","given":"Katsuki","non-dropping-particle":"","parse-names":false,"suffix":""}],"container-title":"Brain","id":"ITEM-2","issue":"4","issued":{"date-parts":[["1999"]]},"note":"NULL","page":"779-783","title":"The human amygdala plays an important role in gaze monitoring: A PET study","type":"article-journal","volume":"122"},"uris":["http://www.mendeley.com/documents/?uuid=46cbf455-a548-49a2-ac31-ebbf84cd9051"]}],"mendeley":{"formattedCitation":"(George et al., 2001; Kawashima et al., 1999)","plainTextFormattedCitation":"(George et al., 2001; Kawashima et al., 1999)","previouslyFormattedCitation":"(George et al., 2001; Kawashima et al., 1999)"},"properties":{"noteIndex":0},"schema":"https://github.com/citation-style-language/schema/raw/master/csl-citation.json"}</w:instrText>
      </w:r>
      <w:r w:rsidRPr="00BD14B0">
        <w:fldChar w:fldCharType="separate"/>
      </w:r>
      <w:r w:rsidRPr="00BD14B0">
        <w:rPr>
          <w:noProof/>
        </w:rPr>
        <w:t>(George et al., 2001; Kawashima et al., 1999)</w:t>
      </w:r>
      <w:r w:rsidRPr="00BD14B0">
        <w:fldChar w:fldCharType="end"/>
      </w:r>
      <w:r w:rsidRPr="00BD14B0">
        <w:t xml:space="preserve">, inferior frontal cortex </w:t>
      </w:r>
      <w:r w:rsidRPr="00BD14B0">
        <w:fldChar w:fldCharType="begin" w:fldLock="1"/>
      </w:r>
      <w:r w:rsidR="004D2901" w:rsidRPr="00BD14B0">
        <w:instrText>ADDIN CSL_CITATION {"citationItems":[{"id":"ITEM-1","itemData":{"DOI":"10.1016/j.cub.2006.10.052","ISSN":"0960-9822","author":[{"dropping-particle":"","family":"Calder","given":"Aj","non-dropping-particle":"","parse-names":false,"suffix":""},{"dropping-particle":"","family":"Beaver","given":"J D","non-dropping-particle":"","parse-names":false,"suffix":""},{"dropping-particle":"","family":"Winston","given":"Js","non-dropping-particle":"","parse-names":false,"suffix":""},{"dropping-particle":"","family":"Dolan","given":"Rj","non-dropping-particle":"","parse-names":false,"suffix":""},{"dropping-particle":"","family":"Jenkins","given":"R","non-dropping-particle":"","parse-names":false,"suffix":""},{"dropping-particle":"","family":"Eger","given":"E","non-dropping-particle":"","parse-names":false,"suffix":""},{"dropping-particle":"","family":"Henson","given":"R N A","non-dropping-particle":"","parse-names":false,"suffix":""}],"container-title":"Curr. Biol.","id":"ITEM-1","issue":"1","issued":{"date-parts":[["2007"]]},"page":"20-25","title":"Separate coding of different gaze directions in the superior temporal sulcus and inferior parietal lobule","type":"article-journal","volume":"17"},"uris":["http://www.mendeley.com/documents/?uuid=7dfea367-a3c6-4032-b16e-d0bce5a0b4e9"]}],"mendeley":{"formattedCitation":"(A. Calder et al., 2007)","manualFormatting":"(Calder et al., 2007)","plainTextFormattedCitation":"(A. Calder et al., 2007)","previouslyFormattedCitation":"(A. Calder et al., 2007)"},"properties":{"noteIndex":0},"schema":"https://github.com/citation-style-language/schema/raw/master/csl-citation.json"}</w:instrText>
      </w:r>
      <w:r w:rsidRPr="00BD14B0">
        <w:fldChar w:fldCharType="separate"/>
      </w:r>
      <w:r w:rsidRPr="00BD14B0">
        <w:rPr>
          <w:noProof/>
        </w:rPr>
        <w:t>(Calder et al., 2007)</w:t>
      </w:r>
      <w:r w:rsidRPr="00BD14B0">
        <w:fldChar w:fldCharType="end"/>
      </w:r>
      <w:r w:rsidRPr="00BD14B0">
        <w:t xml:space="preserve">, superior parietal lobule </w:t>
      </w:r>
      <w:r w:rsidRPr="00BD14B0">
        <w:fldChar w:fldCharType="begin" w:fldLock="1"/>
      </w:r>
      <w:r w:rsidRPr="00BD14B0">
        <w:instrText>ADDIN CSL_CITATION {"citationItems":[{"id":"ITEM-1","itemData":{"ISSN":"1053-8119","author":[{"dropping-particle":"","family":"Wicker","given":"B","non-dropping-particle":"","parse-names":false,"suffix":""},{"dropping-particle":"","family":"Michel","given":"F","non-dropping-particle":"","parse-names":false,"suffix":""},{"dropping-particle":"","family":"Henaff","given":"M A","non-dropping-particle":"","parse-names":false,"suffix":""},{"dropping-particle":"","family":"Decety","given":"J","non-dropping-particle":"","parse-names":false,"suffix":""}],"container-title":"Neuroimage","id":"ITEM-1","issue":"2","issued":{"date-parts":[["1998"]]},"page":"221-227","title":"Brain regions involved in the perception of gaze: A PET study","type":"article-journal","volume":"8"},"uris":["http://www.mendeley.com/documents/?uuid=162b0693-5ffb-4b47-8942-072bfd0aa27a"]}],"mendeley":{"formattedCitation":"(Wicker et al., 1998)","plainTextFormattedCitation":"(Wicker et al., 1998)","previouslyFormattedCitation":"(Wicker et al., 1998)"},"properties":{"noteIndex":0},"schema":"https://github.com/citation-style-language/schema/raw/master/csl-citation.json"}</w:instrText>
      </w:r>
      <w:r w:rsidRPr="00BD14B0">
        <w:fldChar w:fldCharType="separate"/>
      </w:r>
      <w:r w:rsidRPr="00BD14B0">
        <w:rPr>
          <w:noProof/>
        </w:rPr>
        <w:t>(Wicker et al., 1998)</w:t>
      </w:r>
      <w:r w:rsidRPr="00BD14B0">
        <w:fldChar w:fldCharType="end"/>
      </w:r>
      <w:r w:rsidRPr="00BD14B0">
        <w:t xml:space="preserve">, medial prefrontal cortex </w:t>
      </w:r>
      <w:r w:rsidRPr="00BD14B0">
        <w:fldChar w:fldCharType="begin" w:fldLock="1"/>
      </w:r>
      <w:r w:rsidRPr="00BD14B0">
        <w:instrText>ADDIN CSL_CITATION {"citationItems":[{"id":"ITEM-1","itemData":{"DOI":"10.1093/scan/nsl036","ISSN":"17495016","author":[{"dropping-particle":"","family":"Bristow","given":"Davina","non-dropping-particle":"","parse-names":false,"suffix":""},{"dropping-particle":"","family":"Rees","given":"Geraint","non-dropping-particle":"","parse-names":false,"suffix":""},{"dropping-particle":"","family":"Frith","given":"Christopher D","non-dropping-particle":"","parse-names":false,"suffix":""}],"container-title":"Social Cognitive and Affective Neuroscience","id":"ITEM-1","issue":"1","issued":{"date-parts":[["2007"]]},"page":"52-61","title":"Social interaction modifies neural response to gaze shifts","type":"article-journal","volume":"2"},"uris":["http://www.mendeley.com/documents/?uuid=59f8c3c5-2dff-49c9-9fae-2b6795cf2de3"]}],"mendeley":{"formattedCitation":"(Bristow et al., 2007)","plainTextFormattedCitation":"(Bristow et al., 2007)","previouslyFormattedCitation":"(Bristow et al., 2007)"},"properties":{"noteIndex":0},"schema":"https://github.com/citation-style-language/schema/raw/master/csl-citation.json"}</w:instrText>
      </w:r>
      <w:r w:rsidRPr="00BD14B0">
        <w:fldChar w:fldCharType="separate"/>
      </w:r>
      <w:r w:rsidRPr="00BD14B0">
        <w:rPr>
          <w:noProof/>
        </w:rPr>
        <w:t>(Bristow et al., 2007)</w:t>
      </w:r>
      <w:r w:rsidRPr="00BD14B0">
        <w:fldChar w:fldCharType="end"/>
      </w:r>
      <w:r w:rsidRPr="00BD14B0">
        <w:t xml:space="preserve">, and other frontal regions </w:t>
      </w:r>
      <w:r w:rsidRPr="00BD14B0">
        <w:fldChar w:fldCharType="begin" w:fldLock="1"/>
      </w:r>
      <w:r w:rsidR="009E4CF3" w:rsidRPr="00BD14B0">
        <w:instrText>ADDIN CSL_CITATION {"citationItems":[{"id":"ITEM-1","itemData":{"DOI":"10.1016/j.neuropsychologia.2004.04.009","ISBN":"0028-3932","ISSN":"00283932","PMID":"15327932","abstract":"Humans are able to predict the behavior of others. Several studies have investigated this capability by determining if social cues, such as eye gaze direction, can influence the allocation of visual attention. When a viewer sees a face looking to the left, the viewer's attention is allocated in the gazed-at direction. These 'social attention' studies have asked if this allocation of attention is automatic or under voluntary control. In this paper, we show that a patient with frontal-lobe damage is impaired at allocating attention to peripheral locations voluntarily, although attention can be allocated there automatically. The patient, EVR, can use peripheral cues to selectively process one location over another but cannot use symbolic cues (words) to allocate attention. EVR is also impaired in using eye gaze cues to allocate attention, suggesting that 'social attention' may involve frontal-lobe processes that control voluntary, not automatic, shifts of visuospatial attention. © 2004 Elsevier Ltd. All rights reserved.","author":[{"dropping-particle":"","family":"Vecera","given":"Shaun P.","non-dropping-particle":"","parse-names":false,"suffix":""},{"dropping-particle":"","family":"Rizzo","given":"Matthew","non-dropping-particle":"","parse-names":false,"suffix":""}],"container-title":"Neuropsychologia","id":"ITEM-1","issue":"12","issued":{"date-parts":[["2004"]]},"note":"From Duplicate 1 (What are you looking at? Impaired 'social attention' following frontal-lobe damage - Vecera, Shaun P.; Rizzo, Matthew)\n\nNULL","page":"1657-1665","title":"What are you looking at? Impaired 'social attention' following frontal-lobe damage","type":"article-journal","volume":"42"},"uris":["http://www.mendeley.com/documents/?uuid=e1f2f42d-6f6b-41cc-a4b2-e073c277623f"]}],"mendeley":{"formattedCitation":"(Vecera &amp; Rizzo, 2004)","manualFormatting":"(Vecera &amp; Rizo, 2004)","plainTextFormattedCitation":"(Vecera &amp; Rizzo, 2004)","previouslyFormattedCitation":"(Vecera &amp; Rizzo, 2004)"},"properties":{"noteIndex":0},"schema":"https://github.com/citation-style-language/schema/raw/master/csl-citation.json"}</w:instrText>
      </w:r>
      <w:r w:rsidRPr="00BD14B0">
        <w:fldChar w:fldCharType="separate"/>
      </w:r>
      <w:r w:rsidRPr="00BD14B0">
        <w:rPr>
          <w:noProof/>
        </w:rPr>
        <w:t>(Vecera &amp; Rizo, 2004)</w:t>
      </w:r>
      <w:r w:rsidRPr="00BD14B0">
        <w:fldChar w:fldCharType="end"/>
      </w:r>
      <w:r w:rsidRPr="00BD14B0">
        <w:t xml:space="preserve">. This figure altered from </w:t>
      </w:r>
      <w:r w:rsidRPr="00BD14B0">
        <w:fldChar w:fldCharType="begin" w:fldLock="1"/>
      </w:r>
      <w:r w:rsidRPr="00BD14B0">
        <w:instrText>ADDIN CSL_CITATION {"citationItems":[{"id":"ITEM-1","itemData":{"DOI":"10.1016/j.tics.2008.12.006","ISSN":"13646613","abstract":"Social attention is conveyed primarily by gaze, but also by head and body orientation. These cues not only signal a seen agent&amp;#039;s direction of attention but are also used to infer their current goals and intentions. Here, we review recent research showing that different gaze, head and body orientations are represented by distinct neural mechanisms, and show that a statistical summary of recent neuroimaging studies reveals a widespread neural network for gaze processing. We discuss how this network subserves visual analysis of social attention cues, and imitative attention shifts and mental state attributions from these cues. We also review new research indicating that the posterior superior temporal sulcus region responds to the inferred intentionality of social cues, and consider the development of the gaze perception system. © 2008 Elsevier Ltd. All rights reserved.","author":[{"dropping-particle":"","family":"Nummenmaa","given":"Lauri","non-dropping-particle":"","parse-names":false,"suffix":""},{"dropping-particle":"","family":"Calder","given":"Andrew J","non-dropping-particle":"","parse-names":false,"suffix":""}],"container-title":"Trends in Cognitive Sciences","id":"ITEM-1","issue":"3","issued":{"date-parts":[["2009"]]},"page":"135-143","title":"Neural mechanisms of social attention","type":"article-journal","volume":"13"},"uris":["http://www.mendeley.com/documents/?uuid=b86b8a54-1c96-48f2-8221-1bef2636442f"]}],"mendeley":{"formattedCitation":"(Lauri Nummenmaa &amp; Calder, 2009)","manualFormatting":"(Nummenmaa &amp; Calder, 2009)","plainTextFormattedCitation":"(Lauri Nummenmaa &amp; Calder, 2009)","previouslyFormattedCitation":"(Lauri Nummenmaa &amp; Calder, 2009)"},"properties":{"noteIndex":0},"schema":"https://github.com/citation-style-language/schema/raw/master/csl-citation.json"}</w:instrText>
      </w:r>
      <w:r w:rsidRPr="00BD14B0">
        <w:fldChar w:fldCharType="separate"/>
      </w:r>
      <w:r w:rsidRPr="00BD14B0">
        <w:rPr>
          <w:noProof/>
        </w:rPr>
        <w:t>(Nummenmaa &amp; Calder, 2009)</w:t>
      </w:r>
      <w:r w:rsidRPr="00BD14B0">
        <w:fldChar w:fldCharType="end"/>
      </w:r>
      <w:r w:rsidRPr="00BD14B0">
        <w:t xml:space="preserve">. </w:t>
      </w:r>
    </w:p>
    <w:p w14:paraId="719A7721" w14:textId="77777777" w:rsidR="005953A0" w:rsidRPr="00BD14B0" w:rsidRDefault="00DD20B2" w:rsidP="00553E01">
      <w:r w:rsidRPr="00BD14B0">
        <w:tab/>
      </w:r>
    </w:p>
    <w:p w14:paraId="3834F18E" w14:textId="2BFA7FFE" w:rsidR="00CA00C7" w:rsidRPr="00BD14B0" w:rsidRDefault="005953A0" w:rsidP="00553E01">
      <w:r w:rsidRPr="00BD14B0">
        <w:lastRenderedPageBreak/>
        <w:tab/>
      </w:r>
      <w:r w:rsidR="00C364FA" w:rsidRPr="00BD14B0">
        <w:t>Eye gaze cues trigger reflexive visual attentional systems, cues for danger and sources f</w:t>
      </w:r>
      <w:r w:rsidR="002D4822" w:rsidRPr="00BD14B0">
        <w:t>rom</w:t>
      </w:r>
      <w:r w:rsidR="00C364FA" w:rsidRPr="00BD14B0">
        <w:t xml:space="preserve"> the environment as well as serving cues as an indicator of others</w:t>
      </w:r>
      <w:r w:rsidR="007810E1" w:rsidRPr="00BD14B0">
        <w:t>’</w:t>
      </w:r>
      <w:r w:rsidR="00C364FA" w:rsidRPr="00BD14B0">
        <w:t xml:space="preserve"> mental state</w:t>
      </w:r>
      <w:r w:rsidR="007810E1" w:rsidRPr="00BD14B0">
        <w:t>s</w:t>
      </w:r>
      <w:r w:rsidR="00C364FA" w:rsidRPr="00BD14B0">
        <w:t xml:space="preserve">. These functions of eyes are </w:t>
      </w:r>
      <w:r w:rsidR="007810E1" w:rsidRPr="00BD14B0">
        <w:t xml:space="preserve">crucial </w:t>
      </w:r>
      <w:r w:rsidR="00C364FA" w:rsidRPr="00BD14B0">
        <w:t xml:space="preserve">for social group living, explaining the multiple connections and systems that </w:t>
      </w:r>
      <w:r w:rsidR="007810E1" w:rsidRPr="00BD14B0">
        <w:t xml:space="preserve">gaze processing </w:t>
      </w:r>
      <w:r w:rsidR="00C364FA" w:rsidRPr="00BD14B0">
        <w:t xml:space="preserve">triggers in the social brain and cognitive systems. Additionally, this system needs to be highly adaptive with the environment and with the other members of the group from that environment for successful survival. Hence, multiple perceptual systems in the brain can be triggered with eye gaze. </w:t>
      </w:r>
      <w:r w:rsidR="007810E1" w:rsidRPr="00BD14B0">
        <w:t>In the next subsection</w:t>
      </w:r>
      <w:r w:rsidR="00C364FA" w:rsidRPr="00BD14B0">
        <w:t xml:space="preserve">, the attentional effects of eye gaze following will be explained as a directional special cue. </w:t>
      </w:r>
      <w:r w:rsidR="007810E1" w:rsidRPr="00BD14B0">
        <w:t xml:space="preserve">The implications of eye gaze cues for </w:t>
      </w:r>
      <w:r w:rsidR="00C364FA" w:rsidRPr="00BD14B0">
        <w:t>imitating other's actions and inferring others</w:t>
      </w:r>
      <w:r w:rsidR="007810E1" w:rsidRPr="00BD14B0">
        <w:t>’</w:t>
      </w:r>
      <w:r w:rsidR="00C364FA" w:rsidRPr="00BD14B0">
        <w:t xml:space="preserve"> mind</w:t>
      </w:r>
      <w:r w:rsidR="007810E1" w:rsidRPr="00BD14B0">
        <w:t>s</w:t>
      </w:r>
      <w:r w:rsidR="00C364FA" w:rsidRPr="00BD14B0">
        <w:t xml:space="preserve"> will </w:t>
      </w:r>
      <w:r w:rsidR="007810E1" w:rsidRPr="00BD14B0">
        <w:t xml:space="preserve">also </w:t>
      </w:r>
      <w:r w:rsidR="00C364FA" w:rsidRPr="00BD14B0">
        <w:t>be explained.</w:t>
      </w:r>
    </w:p>
    <w:p w14:paraId="5B102646" w14:textId="77777777" w:rsidR="00352AF4" w:rsidRPr="00BD14B0" w:rsidRDefault="00352AF4" w:rsidP="00553E01"/>
    <w:p w14:paraId="2A9A32EB" w14:textId="5D43EB3E" w:rsidR="00C364FA" w:rsidRPr="00BD14B0" w:rsidRDefault="00CA00C7" w:rsidP="00553E01">
      <w:pPr>
        <w:pStyle w:val="Heading3"/>
      </w:pPr>
      <w:bookmarkStart w:id="13" w:name="_Toc108310751"/>
      <w:r w:rsidRPr="00BD14B0">
        <w:rPr>
          <w:rFonts w:eastAsiaTheme="majorEastAsia"/>
        </w:rPr>
        <w:t>Inferring directions with eye gaze cues</w:t>
      </w:r>
      <w:bookmarkEnd w:id="13"/>
    </w:p>
    <w:p w14:paraId="4B0E9929" w14:textId="4722292B" w:rsidR="00784D6C" w:rsidRPr="00BD14B0" w:rsidRDefault="00C364FA" w:rsidP="00553E01">
      <w:r w:rsidRPr="00BD14B0">
        <w:tab/>
      </w:r>
      <w:r w:rsidR="00784D6C" w:rsidRPr="00BD14B0">
        <w:t xml:space="preserve">Unlike other sensory organs, eyes are highly direction specific. Eyes need to be oriented to a specific target in the space to receive relevant stimuli and send it to brain regions for further processing via light receptors. As a result, eyes are often directed at the important stimulus such as food, important </w:t>
      </w:r>
      <w:proofErr w:type="gramStart"/>
      <w:r w:rsidR="00784D6C" w:rsidRPr="00BD14B0">
        <w:t>resources</w:t>
      </w:r>
      <w:proofErr w:type="gramEnd"/>
      <w:r w:rsidR="00784D6C" w:rsidRPr="00BD14B0">
        <w:t xml:space="preserve"> or targets of future action. Research studying social cognition suggest that the STS is a critical region for indicating someone’s eye gaze direction and triggering reflexive attention in the same direction </w:t>
      </w:r>
      <w:r w:rsidR="00784D6C" w:rsidRPr="00BD14B0">
        <w:fldChar w:fldCharType="begin" w:fldLock="1"/>
      </w:r>
      <w:r w:rsidR="00784D6C" w:rsidRPr="00BD14B0">
        <w:instrText>ADDIN CSL_CITATION {"citationItems":[{"id":"ITEM-1","itemData":{"DOI":"10.1016/s0149-7634(00)00025-7","ISSN":"0149-7634","abstract":"Gaze is an important component of social interaction. The function, evolution and neurobiology of gaze processing are therefore of interest to a number of researchers. This review discusses the evolutionary role of social gaze in vertebrates (focusing on primates), and a hypothesis that this role has changed substantially for primates compared to other animals. This change may have been driven by morphological changes to the face and eyes of primates, limitations in the facial anatomy of other vertebrates, changes in the ecology of the environment in which primates live, and a necessity to communicate information about the environment, emotional and mental states. The eyes represent different levels of signal value depending on the status, disposition and emotional state of the sender and receiver of such signals. There are regions in the monkey and human brain which contain neurons that respond selectively to faces, bodies and eye gaze. The ability to follow another individual's gaze direction is affected in individuals with autism and other psychopathological disorders, and after particular localized brain lesions. The hypothesis that gaze following is \"hard-wired\" in the brain, and may be localized within a circuit linking the superior temporal sulcus, amygdala and orbitofrontal cortex is discussed. (C) 2000 Elsevier Science Ltd. All rights reserved.","author":[{"dropping-particle":"","family":"Emery","given":"N J","non-dropping-particle":"","parse-names":false,"suffix":""}],"container-title":"Neuroscience and Biobehavioral Reviews","id":"ITEM-1","issue":"6","issued":{"date-parts":[["2000"]]},"note":"Times Cited: 535\n547","page":"581-604","title":"The eyes have it: the neuroethology, function and evolution of social gaze","type":"article-journal","volume":"24"},"uris":["http://www.mendeley.com/documents/?uuid=5d58b576-b76a-4e08-ae1a-27007bed123f"]}],"mendeley":{"formattedCitation":"(N J Emery, 2000)","manualFormatting":"(Emery, 2000)","plainTextFormattedCitation":"(N J Emery, 2000)","previouslyFormattedCitation":"(N J Emery, 2000)"},"properties":{"noteIndex":0},"schema":"https://github.com/citation-style-language/schema/raw/master/csl-citation.json"}</w:instrText>
      </w:r>
      <w:r w:rsidR="00784D6C" w:rsidRPr="00BD14B0">
        <w:fldChar w:fldCharType="separate"/>
      </w:r>
      <w:r w:rsidR="00784D6C" w:rsidRPr="00BD14B0">
        <w:rPr>
          <w:noProof/>
        </w:rPr>
        <w:t>(Emery, 2000)</w:t>
      </w:r>
      <w:r w:rsidR="00784D6C" w:rsidRPr="00BD14B0">
        <w:fldChar w:fldCharType="end"/>
      </w:r>
      <w:r w:rsidR="00784D6C" w:rsidRPr="00BD14B0">
        <w:t xml:space="preserve">. Inferring direction in space by using eye gaze cues exists in many species from iguanas to rhesus macaque monkeys </w:t>
      </w:r>
      <w:r w:rsidR="00784D6C" w:rsidRPr="00BD14B0">
        <w:fldChar w:fldCharType="begin" w:fldLock="1"/>
      </w:r>
      <w:r w:rsidR="00784D6C" w:rsidRPr="00BD14B0">
        <w:instrText>ADDIN CSL_CITATION {"citationItems":[{"id":"ITEM-1","itemData":{"abstract":"In the superior temporal sulcus (STS) of the macaque brain there are populations of cells which respond selectively to faces. Studies of these cells reveal that they are very sensitive to the direction of eye gaze and posture of the head of other subjects. It is argued that one function of the cells is to enable analysis of where other individuals are directing their attention. Given this selectivity for complex socially relevant stimuli it is surprising that the STS contains cells that respond to touch anywhere on the body or to any movement seen in the visual environment. We have investigated these tactile and motion sensitive cells to determine their behavioural significance. In the awake, behaving monkey we found that the critical dimension for polymodal coding is whether or not the sensations are expected. Tactile stimulation out of sight cannot be predicted and elicits neuronal responses. By contrast, when the monkey can see and, therefore, predict impending contact, or when the monkey touches a familiar surface in a predictable location, cell responses are reduced or abolished. In an analogous way some cells are unresponsive to the sight of the monkey&amp;#039;s own limbs moving but respond to the sight of other moving stimuli. Since unpredictable sensations are often caused by other animals, the STS area appears well suited to defining sensory stimuli that are important in social or predator/prey interactions.","author":[{"dropping-particle":"","family":"Perrett","given":"D I","non-dropping-particle":"","parse-names":false,"suffix":""},{"dropping-particle":"","family":"Harris","given":"M H","non-dropping-particle":"","parse-names":false,"suffix":""},{"dropping-particle":"","family":"Mistlin","given":"A J","non-dropping-particle":"","parse-names":false,"suffix":""},{"dropping-particle":"","family":"Hietanen","given":"J K","non-dropping-particle":"","parse-names":false,"suffix":""},{"dropping-particle":"","family":"Benson","given":"P J","non-dropping-particle":"","parse-names":false,"suffix":""},{"dropping-particle":"","family":"Bevan","given":"R","non-dropping-particle":"","parse-names":false,"suffix":""},{"dropping-particle":"","family":"Thomas","given":"S","non-dropping-particle":"","parse-names":false,"suffix":""},{"dropping-particle":"","family":"Oram","given":"M W","non-dropping-particle":"","parse-names":false,"suffix":""},{"dropping-particle":"","family":"Ortega","given":"J","non-dropping-particle":"","parse-names":false,"suffix":""},{"dropping-particle":"","family":"Brierly","given":"K","non-dropping-particle":"","parse-names":false,"suffix":""}],"id":"ITEM-1","issued":{"date-parts":[["1990"]]},"title":"Social Signals Analyzed at the Single Cell Level: Someone is Looking at Me, Something Moved!","type":"article-journal"},"uris":["http://www.mendeley.com/documents/?uuid=b989199f-702d-49f3-9386-f6779eae58ef"]}],"mendeley":{"formattedCitation":"(Perrett et al., 1990)","plainTextFormattedCitation":"(Perrett et al., 1990)","previouslyFormattedCitation":"(Perrett et al., 1990)"},"properties":{"noteIndex":0},"schema":"https://github.com/citation-style-language/schema/raw/master/csl-citation.json"}</w:instrText>
      </w:r>
      <w:r w:rsidR="00784D6C" w:rsidRPr="00BD14B0">
        <w:fldChar w:fldCharType="separate"/>
      </w:r>
      <w:r w:rsidR="00784D6C" w:rsidRPr="00BD14B0">
        <w:rPr>
          <w:noProof/>
        </w:rPr>
        <w:t>(Perrett et al., 1990)</w:t>
      </w:r>
      <w:r w:rsidR="00784D6C" w:rsidRPr="00BD14B0">
        <w:fldChar w:fldCharType="end"/>
      </w:r>
      <w:r w:rsidR="00784D6C" w:rsidRPr="00BD14B0">
        <w:t xml:space="preserve">. Observing gaze shifts may trigger eye movements </w:t>
      </w:r>
      <w:r w:rsidR="007C3797" w:rsidRPr="00BD14B0">
        <w:t>i</w:t>
      </w:r>
      <w:r w:rsidR="00784D6C" w:rsidRPr="00BD14B0">
        <w:t>n the observer towards the same location.</w:t>
      </w:r>
    </w:p>
    <w:p w14:paraId="0A168966" w14:textId="4EA93CAA" w:rsidR="00784D6C" w:rsidRPr="00BD14B0" w:rsidRDefault="00784D6C" w:rsidP="00553E01">
      <w:r w:rsidRPr="00BD14B0">
        <w:tab/>
        <w:t xml:space="preserve">Early studies, using electrophysiological single-cell recording, observed specific cell populations in the </w:t>
      </w:r>
      <w:proofErr w:type="spellStart"/>
      <w:r w:rsidRPr="00BD14B0">
        <w:t>aSTS</w:t>
      </w:r>
      <w:proofErr w:type="spellEnd"/>
      <w:r w:rsidRPr="00BD14B0">
        <w:t xml:space="preserve"> (anterior superior temporal sulcus) in the rhesus macaque monkeys for averted gaze </w:t>
      </w:r>
      <w:r w:rsidRPr="00BD14B0">
        <w:fldChar w:fldCharType="begin" w:fldLock="1"/>
      </w:r>
      <w:r w:rsidRPr="00BD14B0">
        <w:instrText>ADDIN CSL_CITATION {"citationItems":[{"id":"ITEM-1","itemData":{"DOI":"10.1152/jn.00949.2004","ISSN":"0022-3077","abstract":"The anterior superior temporal sulcus (STS) of macaque monkeys is thought to be involved in the analysis of incoming perceptual information for face recognition or identification; face neurons in the anterior STS show tuning to facial views and/or gaze direction in the faces of others. Although it is well known that both the anatomical architecture and the connectivity differ between the rostral and caudal regions of the anterior STS, the functional heterogeneity of these regions is not well understood. We recorded the activity of face neurons in the anterior STS of macaque monkeys during the performance of a face identification task, and we compared the characteristics of face neuron responses in the caudal and rostral regions of the anterior STS. In the caudal region, facial views that elicited optimal responses were distributed among all views tested; the majority of face neurons responded symmetrically to right and left views. In contrast, the face neurons in the rostral region responded optimally to a single oblique view; right-left symmetry among the responses of these neurons was less evident. Modulation of the face neuron responses according to gaze direction was more evident in the rostral region. Some of the face neuron responses were specific to a certain combination of a particular facial view and a particular gaze direction, whereas others were associated with the relative spatial relationship between facial view and gaze direction. Taken together, these results indicated the existence of a functional heterogeneity within the anterior STS and suggested a plausible hierarchical organization of facial information processing.","author":[{"dropping-particle":"","family":"Souza","given":"Wania C.","non-dropping-particle":"De","parse-names":false,"suffix":""},{"dropping-particle":"","family":"Eifuku","given":"Satoshi","non-dropping-particle":"","parse-names":false,"suffix":""},{"dropping-particle":"","family":"Tamura","given":"Ryoi","non-dropping-particle":"","parse-names":false,"suffix":""},{"dropping-particle":"","family":"Nishijo","given":"Hisao","non-dropping-particle":"","parse-names":false,"suffix":""},{"dropping-particle":"","family":"Ono","given":"Taketoshi","non-dropping-particle":"","parse-names":false,"suffix":""}],"container-title":"Journal of Neurophysiology","id":"ITEM-1","issue":"2","issued":{"date-parts":[["2005","8"]]},"page":"1252-1266","title":"Differential Characteristics of Face Neuron Responses Within the Anterior Superior Temporal Sulcus of Macaques","type":"article-journal","volume":"94"},"uris":["http://www.mendeley.com/documents/?uuid=8163495d-7ae0-4bf1-8b6c-df5f9df34375"]},{"id":"ITEM-2","itemData":{"DOI":"10.1016/0166-4328(85)90089-0","ISSN":"01664328","abstract":"Movement provides biologically important information about the nature (and intent) of animate objects. We have studied cells in the superior temporal sulcus of the macaque monkey which seem to process such visual information. We found that the majority of cells in this brain region were selective for type of movement and for stimulus form, most cells responding only to particular movements of the body or some part of it. A variety of cell types emerged, including cells sensitive to: translation of bodies in view, movements into view (appearance) or out of view (disappearance) and the articulation and rotation of the body/head. Directional selectivity for cells sensitive to translation tended to lie along one of 3 orthogonal Cartesian axes centred on the monkey (towards/away, left/right and up/down). One type of rotation sensitive cell was tuned to rotation about one or more of these axes, a second type was sensitive to different head rotations which brought the face to confront the monkey or turned the face away. Reconstructions of cell positions indicated that cells of the same type were clumped anatomically both across the surface of the cortex and perpendicular to the surface. © 1985.","author":[{"dropping-particle":"","family":"Perrett","given":"D.I.","non-dropping-particle":"","parse-names":false,"suffix":""},{"dropping-particle":"","family":"Smith","given":"P.A.J.","non-dropping-particle":"","parse-names":false,"suffix":""},{"dropping-particle":"","family":"Mistlin","given":"A.J.","non-dropping-particle":"","parse-names":false,"suffix":""},{"dropping-particle":"","family":"Chitty","given":"A.J.","non-dropping-particle":"","parse-names":false,"suffix":""},{"dropping-particle":"","family":"Head","given":"A.S.","non-dropping-particle":"","parse-names":false,"suffix":""},{"dropping-particle":"","family":"Potter","given":"D.D.","non-dropping-particle":"","parse-names":false,"suffix":""},{"dropping-particle":"","family":"Broennimann","given":"R.","non-dropping-particle":"","parse-names":false,"suffix":""},{"dropping-particle":"","family":"Milner","given":"A.D.","non-dropping-particle":"","parse-names":false,"suffix":""},{"dropping-particle":"","family":"Jeeves","given":"M.A.","non-dropping-particle":"","parse-names":false,"suffix":""}],"container-title":"Behavioural Brain Research","id":"ITEM-2","issue":"2-3","issued":{"date-parts":[["1985","8"]]},"page":"153-170","title":"Visual analysis of body movements by neurones in the temporal cortex of the macaque monkey: A preliminary report","type":"article-journal","volume":"16"},"uris":["http://www.mendeley.com/documents/?uuid=8706c378-358d-48b9-bc62-4d7b41f6d8b4"]},{"id":"ITEM-3","itemData":{"abstract":"In the superior temporal sulcus (STS) of the macaque brain there are populations of cells which respond selectively to faces. Studies of these cells reveal that they are very sensitive to the direction of eye gaze and posture of the head of other subjects. It is argued that one function of the cells is to enable analysis of where other individuals are directing their attention. Given this selectivity for complex socially relevant stimuli it is surprising that the STS contains cells that respond to touch anywhere on the body or to any movement seen in the visual environment. We have investigated these tactile and motion sensitive cells to determine their behavioural significance. In the awake, behaving monkey we found that the critical dimension for polymodal coding is whether or not the sensations are expected. Tactile stimulation out of sight cannot be predicted and elicits neuronal responses. By contrast, when the monkey can see and, therefore, predict impending contact, or when the monkey touches a familiar surface in a predictable location, cell responses are reduced or abolished. In an analogous way some cells are unresponsive to the sight of the monkey&amp;#039;s own limbs moving but respond to the sight of other moving stimuli. Since unpredictable sensations are often caused by other animals, the STS area appears well suited to defining sensory stimuli that are important in social or predator/prey interactions.","author":[{"dropping-particle":"","family":"Perrett","given":"D I","non-dropping-particle":"","parse-names":false,"suffix":""},{"dropping-particle":"","family":"Harris","given":"M H","non-dropping-particle":"","parse-names":false,"suffix":""},{"dropping-particle":"","family":"Mistlin","given":"A J","non-dropping-particle":"","parse-names":false,"suffix":""},{"dropping-particle":"","family":"Hietanen","given":"J K","non-dropping-particle":"","parse-names":false,"suffix":""},{"dropping-particle":"","family":"Benson","given":"P J","non-dropping-particle":"","parse-names":false,"suffix":""},{"dropping-particle":"","family":"Bevan","given":"R","non-dropping-particle":"","parse-names":false,"suffix":""},{"dropping-particle":"","family":"Thomas","given":"S","non-dropping-particle":"","parse-names":false,"suffix":""},{"dropping-particle":"","family":"Oram","given":"M W","non-dropping-particle":"","parse-names":false,"suffix":""},{"dropping-particle":"","family":"Ortega","given":"J","non-dropping-particle":"","parse-names":false,"suffix":""},{"dropping-particle":"","family":"Brierly","given":"K","non-dropping-particle":"","parse-names":false,"suffix":""}],"id":"ITEM-3","issued":{"date-parts":[["1990"]]},"title":"Social Signals Analyzed at the Single Cell Level: Someone is Looking at Me, Something Moved!","type":"article-journal"},"uris":["http://www.mendeley.com/documents/?uuid=b989199f-702d-49f3-9386-f6779eae58ef"]}],"mendeley":{"formattedCitation":"(De Souza et al., 2005; Perrett et al., 1985, 1990)","plainTextFormattedCitation":"(De Souza et al., 2005; Perrett et al., 1985, 1990)","previouslyFormattedCitation":"(De Souza et al., 2005; Perrett et al., 1985, 1990)"},"properties":{"noteIndex":0},"schema":"https://github.com/citation-style-language/schema/raw/master/csl-citation.json"}</w:instrText>
      </w:r>
      <w:r w:rsidRPr="00BD14B0">
        <w:fldChar w:fldCharType="separate"/>
      </w:r>
      <w:r w:rsidRPr="00BD14B0">
        <w:rPr>
          <w:noProof/>
        </w:rPr>
        <w:t>(De Souza et al., 2005; Perrett et al., 1985, 1990)</w:t>
      </w:r>
      <w:r w:rsidRPr="00BD14B0">
        <w:fldChar w:fldCharType="end"/>
      </w:r>
      <w:r w:rsidRPr="00BD14B0">
        <w:t xml:space="preserve">. This is well illustrated by </w:t>
      </w:r>
      <w:r w:rsidRPr="00BD14B0">
        <w:fldChar w:fldCharType="begin" w:fldLock="1"/>
      </w:r>
      <w:r w:rsidRPr="00BD14B0">
        <w:instrText>ADDIN CSL_CITATION {"citationItems":[{"id":"ITEM-1","itemData":{"abstract":"In the superior temporal sulcus (STS) of the macaque brain there are populations of cells which respond selectively to faces. Studies of these cells reveal that they are very sensitive to the direction of eye gaze and posture of the head of other subjects. It is argued that one function of the cells is to enable analysis of where other individuals are directing their attention. Given this selectivity for complex socially relevant stimuli it is surprising that the STS contains cells that respond to touch anywhere on the body or to any movement seen in the visual environment. We have investigated these tactile and motion sensitive cells to determine their behavioural significance. In the awake, behaving monkey we found that the critical dimension for polymodal coding is whether or not the sensations are expected. Tactile stimulation out of sight cannot be predicted and elicits neuronal responses. By contrast, when the monkey can see and, therefore, predict impending contact, or when the monkey touches a familiar surface in a predictable location, cell responses are reduced or abolished. In an analogous way some cells are unresponsive to the sight of the monkey&amp;#039;s own limbs moving but respond to the sight of other moving stimuli. Since unpredictable sensations are often caused by other animals, the STS area appears well suited to defining sensory stimuli that are important in social or predator/prey interactions.","author":[{"dropping-particle":"","family":"Perrett","given":"D I","non-dropping-particle":"","parse-names":false,"suffix":""},{"dropping-particle":"","family":"Harris","given":"M H","non-dropping-particle":"","parse-names":false,"suffix":""},{"dropping-particle":"","family":"Mistlin","given":"A J","non-dropping-particle":"","parse-names":false,"suffix":""},{"dropping-particle":"","family":"Hietanen","given":"J K","non-dropping-particle":"","parse-names":false,"suffix":""},{"dropping-particle":"","family":"Benson","given":"P J","non-dropping-particle":"","parse-names":false,"suffix":""},{"dropping-particle":"","family":"Bevan","given":"R","non-dropping-particle":"","parse-names":false,"suffix":""},{"dropping-particle":"","family":"Thomas","given":"S","non-dropping-particle":"","parse-names":false,"suffix":""},{"dropping-particle":"","family":"Oram","given":"M W","non-dropping-particle":"","parse-names":false,"suffix":""},{"dropping-particle":"","family":"Ortega","given":"J","non-dropping-particle":"","parse-names":false,"suffix":""},{"dropping-particle":"","family":"Brierly","given":"K","non-dropping-particle":"","parse-names":false,"suffix":""}],"id":"ITEM-1","issued":{"date-parts":[["1990"]]},"title":"Social Signals Analyzed at the Single Cell Level: Someone is Looking at Me, Something Moved!","type":"article-journal"},"uris":["http://www.mendeley.com/documents/?uuid=b989199f-702d-49f3-9386-f6779eae58ef"]}],"mendeley":{"formattedCitation":"(Perrett et al., 1990)","manualFormatting":"Perrett et al. (1990)","plainTextFormattedCitation":"(Perrett et al., 1990)","previouslyFormattedCitation":"(Perrett et al., 1990)"},"properties":{"noteIndex":0},"schema":"https://github.com/citation-style-language/schema/raw/master/csl-citation.json"}</w:instrText>
      </w:r>
      <w:r w:rsidRPr="00BD14B0">
        <w:fldChar w:fldCharType="separate"/>
      </w:r>
      <w:r w:rsidRPr="00BD14B0">
        <w:rPr>
          <w:noProof/>
        </w:rPr>
        <w:t>Perrett et al. (1990)</w:t>
      </w:r>
      <w:r w:rsidRPr="00BD14B0">
        <w:fldChar w:fldCharType="end"/>
      </w:r>
      <w:r w:rsidRPr="00BD14B0">
        <w:t xml:space="preserve">, who conducted a study with non-human primates and identified specific cells in the </w:t>
      </w:r>
      <w:proofErr w:type="spellStart"/>
      <w:r w:rsidRPr="00BD14B0">
        <w:t>aSTS</w:t>
      </w:r>
      <w:proofErr w:type="spellEnd"/>
      <w:r w:rsidRPr="00BD14B0">
        <w:t xml:space="preserve"> that respond to gaze direction. The authors presented pictures of different head and eye gaze, which were oriented to different sides of the screen. The study reported that STS cells demonstrated maximum cell activation when the eye gaze and head were orientated in the same direction, indicating that these cells are related to the </w:t>
      </w:r>
      <w:r w:rsidRPr="00BD14B0">
        <w:lastRenderedPageBreak/>
        <w:t xml:space="preserve">direction of attention. These results were corroborated by a recent review providing evidence that </w:t>
      </w:r>
      <w:r w:rsidR="007C3797" w:rsidRPr="00BD14B0">
        <w:t xml:space="preserve">the </w:t>
      </w:r>
      <w:r w:rsidRPr="00BD14B0">
        <w:t xml:space="preserve">STS codes the direction of another person’s eye gaze </w:t>
      </w:r>
      <w:r w:rsidRPr="00BD14B0">
        <w:fldChar w:fldCharType="begin" w:fldLock="1"/>
      </w:r>
      <w:r w:rsidR="004D2901" w:rsidRPr="00BD14B0">
        <w:instrText>ADDIN CSL_CITATION {"citationItems":[{"id":"ITEM-1","itemData":{"DOI":"10.1016/s0149-7634(00)00025-7","ISSN":"0149-7634","abstract":"Gaze is an important component of social interaction. The function, evolution and neurobiology of gaze processing are therefore of interest to a number of researchers. This review discusses the evolutionary role of social gaze in vertebrates (focusing on primates), and a hypothesis that this role has changed substantially for primates compared to other animals. This change may have been driven by morphological changes to the face and eyes of primates, limitations in the facial anatomy of other vertebrates, changes in the ecology of the environment in which primates live, and a necessity to communicate information about the environment, emotional and mental states. The eyes represent different levels of signal value depending on the status, disposition and emotional state of the sender and receiver of such signals. There are regions in the monkey and human brain which contain neurons that respond selectively to faces, bodies and eye gaze. The ability to follow another individual's gaze direction is affected in individuals with autism and other psychopathological disorders, and after particular localized brain lesions. The hypothesis that gaze following is \"hard-wired\" in the brain, and may be localized within a circuit linking the superior temporal sulcus, amygdala and orbitofrontal cortex is discussed. (C) 2000 Elsevier Science Ltd. All rights reserved.","author":[{"dropping-particle":"","family":"Emery","given":"N J","non-dropping-particle":"","parse-names":false,"suffix":""}],"container-title":"Neuroscience and Biobehavioral Reviews","id":"ITEM-1","issue":"6","issued":{"date-parts":[["2000"]]},"note":"Times Cited: 535\n547","page":"581-604","title":"The eyes have it: the neuroethology, function and evolution of social gaze","type":"article-journal","volume":"24"},"uris":["http://www.mendeley.com/documents/?uuid=5d58b576-b76a-4e08-ae1a-27007bed123f"]}],"mendeley":{"formattedCitation":"(N J Emery, 2000)","manualFormatting":"(Emery, 2000)","plainTextFormattedCitation":"(N J Emery, 2000)","previouslyFormattedCitation":"(N J Emery, 2000)"},"properties":{"noteIndex":0},"schema":"https://github.com/citation-style-language/schema/raw/master/csl-citation.json"}</w:instrText>
      </w:r>
      <w:r w:rsidRPr="00BD14B0">
        <w:fldChar w:fldCharType="separate"/>
      </w:r>
      <w:r w:rsidRPr="00BD14B0">
        <w:rPr>
          <w:noProof/>
        </w:rPr>
        <w:t>(Emery, 2000)</w:t>
      </w:r>
      <w:r w:rsidRPr="00BD14B0">
        <w:fldChar w:fldCharType="end"/>
      </w:r>
      <w:r w:rsidRPr="00BD14B0">
        <w:t xml:space="preserve">. </w:t>
      </w:r>
    </w:p>
    <w:p w14:paraId="5FEF4292" w14:textId="6BF98D59" w:rsidR="00784D6C" w:rsidRPr="00BD14B0" w:rsidRDefault="00784D6C" w:rsidP="00553E01">
      <w:r w:rsidRPr="00BD14B0">
        <w:tab/>
        <w:t xml:space="preserve">Later, measurements from human subjects led researchers to conclude a specific module for eye gaze </w:t>
      </w:r>
      <w:r w:rsidR="00ED7814" w:rsidRPr="00BD14B0">
        <w:t>direction, which</w:t>
      </w:r>
      <w:r w:rsidRPr="00BD14B0">
        <w:t xml:space="preserve"> is called the “eye gaze detector” </w:t>
      </w:r>
      <w:r w:rsidRPr="00BD14B0">
        <w:fldChar w:fldCharType="begin" w:fldLock="1"/>
      </w:r>
      <w:r w:rsidR="004D2901" w:rsidRPr="00BD14B0">
        <w:instrText>ADDIN CSL_CITATION {"citationItems":[{"id":"ITEM-1","itemData":{"DOI":"10.1111/j.1468-0017.1992.tb00203.x","ISSN":"0268-1064","author":[{"dropping-particle":"","family":"Baron‐cohen","given":"Simon","non-dropping-particle":"","parse-names":false,"suffix":""},{"dropping-particle":"","family":"Cross","given":"Pippa","non-dropping-particle":"","parse-names":false,"suffix":""}],"container-title":"Mind &amp;amp; Language","id":"ITEM-1","issue":"1‐2","issued":{"date-parts":[["1992"]]},"page":"172-186","title":"Reading the Eyes: Evidence for the Role of Perception in the Development of a Theory of Mind","type":"article-journal","volume":"7"},"uris":["http://www.mendeley.com/documents/?uuid=e1b0f247-f373-43ac-a9cb-7544cd4acc25"]}],"mendeley":{"formattedCitation":"(Baron‐cohen &amp; Cross, 1992)","manualFormatting":"(Baron-Cohen &amp; Cross, 1992)","plainTextFormattedCitation":"(Baron‐cohen &amp; Cross, 1992)","previouslyFormattedCitation":"(Baron‐cohen &amp; Cross, 1992)"},"properties":{"noteIndex":0},"schema":"https://github.com/citation-style-language/schema/raw/master/csl-citation.json"}</w:instrText>
      </w:r>
      <w:r w:rsidRPr="00BD14B0">
        <w:fldChar w:fldCharType="separate"/>
      </w:r>
      <w:r w:rsidRPr="00BD14B0">
        <w:rPr>
          <w:noProof/>
        </w:rPr>
        <w:t>(Baron-Cohen &amp; Cross, 1992)</w:t>
      </w:r>
      <w:r w:rsidRPr="00BD14B0">
        <w:fldChar w:fldCharType="end"/>
      </w:r>
      <w:r w:rsidRPr="00BD14B0">
        <w:t xml:space="preserve">. Research suggests a selective role for the STS in processing the eyes of others </w:t>
      </w:r>
      <w:r w:rsidRPr="00BD14B0">
        <w:fldChar w:fldCharType="begin" w:fldLock="1"/>
      </w:r>
      <w:r w:rsidRPr="00BD14B0">
        <w:instrText>ADDIN CSL_CITATION {"citationItems":[{"id":"ITEM-1","itemData":{"ISSN":"0956-7976","author":[{"dropping-particle":"","family":"Kingstone","given":"A","non-dropping-particle":"","parse-names":false,"suffix":""},{"dropping-particle":"","family":"Friesen","given":"Ck","non-dropping-particle":"","parse-names":false,"suffix":""},{"dropping-particle":"","family":"Gazzaniga","given":"M S","non-dropping-particle":"","parse-names":false,"suffix":""}],"container-title":"Psychological Science","id":"ITEM-1","issue":"2","issued":{"date-parts":[["2000"]]},"page":"159-166","title":"Reflexive joint attention depends on lateralized cortical connections","type":"article-journal","volume":"11"},"uris":["http://www.mendeley.com/documents/?uuid=e3b73777-3f32-4e26-aeb6-aaa7af54da77"]}],"mendeley":{"formattedCitation":"(A Kingstone et al., 2000)","manualFormatting":"(for a review, see Kingstone et al., 2000)","plainTextFormattedCitation":"(A Kingstone et al., 2000)","previouslyFormattedCitation":"(A Kingstone et al., 2000)"},"properties":{"noteIndex":0},"schema":"https://github.com/citation-style-language/schema/raw/master/csl-citation.json"}</w:instrText>
      </w:r>
      <w:r w:rsidRPr="00BD14B0">
        <w:fldChar w:fldCharType="separate"/>
      </w:r>
      <w:r w:rsidRPr="00BD14B0">
        <w:rPr>
          <w:noProof/>
        </w:rPr>
        <w:t>(for a review, see Kingstone et al., 2000)</w:t>
      </w:r>
      <w:r w:rsidRPr="00BD14B0">
        <w:fldChar w:fldCharType="end"/>
      </w:r>
      <w:r w:rsidRPr="00BD14B0">
        <w:t xml:space="preserve">. </w:t>
      </w:r>
      <w:r w:rsidRPr="00BD14B0">
        <w:fldChar w:fldCharType="begin" w:fldLock="1"/>
      </w:r>
      <w:r w:rsidR="0028287E" w:rsidRPr="00BD14B0">
        <w:instrText>ADDIN CSL_CITATION {"citationItems":[{"id":"ITEM-1","itemData":{"DOI":"10.1016/j.bandc.2004.02.037","ISSN":"02782626","author":[{"dropping-particle":"","family":"Kingstone","given":"Alan","non-dropping-particle":"","parse-names":false,"suffix":""},{"dropping-particle":"","family":"Tipper","given":"Christine","non-dropping-particle":"","parse-names":false,"suffix":""},{"dropping-particle":"","family":"Ristic","given":"Jelena","non-dropping-particle":"","parse-names":false,"suffix":""},{"dropping-particle":"","family":"Ngan","given":"Elton","non-dropping-particle":"","parse-names":false,"suffix":""}],"container-title":"Brain and Cognition","id":"ITEM-1","issue":"2","issued":{"date-parts":[["2004","7"]]},"page":"269-271","title":"The eyes have it!: An fMRI investigation","type":"article-journal","volume":"55"},"uris":["http://www.mendeley.com/documents/?uuid=c4d9fffc-2427-457a-a5cf-47a24a28f0e1"]}],"mendeley":{"formattedCitation":"(Alan Kingstone et al., 2004)","manualFormatting":"Kingstone, Tipper, Ristic, &amp; Ngan (2004)","plainTextFormattedCitation":"(Alan Kingstone et al., 2004)","previouslyFormattedCitation":"(Alan Kingstone et al., 2004)"},"properties":{"noteIndex":0},"schema":"https://github.com/citation-style-language/schema/raw/master/csl-citation.json"}</w:instrText>
      </w:r>
      <w:r w:rsidRPr="00BD14B0">
        <w:fldChar w:fldCharType="separate"/>
      </w:r>
      <w:r w:rsidRPr="00BD14B0">
        <w:rPr>
          <w:noProof/>
        </w:rPr>
        <w:t xml:space="preserve">Kingstone, Tipper, Ristic, </w:t>
      </w:r>
      <w:r w:rsidR="00ED7814" w:rsidRPr="00BD14B0">
        <w:rPr>
          <w:noProof/>
        </w:rPr>
        <w:t>&amp;</w:t>
      </w:r>
      <w:r w:rsidRPr="00BD14B0">
        <w:rPr>
          <w:noProof/>
        </w:rPr>
        <w:t xml:space="preserve"> Ngan (2004)</w:t>
      </w:r>
      <w:r w:rsidRPr="00BD14B0">
        <w:fldChar w:fldCharType="end"/>
      </w:r>
      <w:r w:rsidRPr="00BD14B0">
        <w:t xml:space="preserve"> conducted </w:t>
      </w:r>
      <w:r w:rsidR="00ED7814" w:rsidRPr="00BD14B0">
        <w:t>a</w:t>
      </w:r>
      <w:r w:rsidRPr="00BD14B0">
        <w:t xml:space="preserve"> functional magnetic resonance imaging (fMRI) study investigating neural systems under gaze cueing, using an ambiguous stimulus that could be perceived either as eyes looking left or right or as a car (see Figure 3). The results replicated those of </w:t>
      </w:r>
      <w:r w:rsidRPr="00BD14B0">
        <w:fldChar w:fldCharType="begin" w:fldLock="1"/>
      </w:r>
      <w:r w:rsidR="004D2901" w:rsidRPr="00BD14B0">
        <w:instrText>ADDIN CSL_CITATION {"citationItems":[{"id":"ITEM-1","itemData":{"DOI":"10.3758/bf03196306","ISSN":"1069-9384","abstract":"Recent behavioral data have shown that central nonpredictive gaze direction triggers reflexive shifts of attention toward the gazed-at location (e.g., Friesen &amp; Kingstone, 1998). Friesen and Kingstone suggested that this reflexive orienting effect is unique to biologically relevant stimuli. Three experiments were conducted to test this proposal by comparing the attentional orienting produced by nonpredictive gaze cues (biologically relevant) with the attentional orienting produced by nonpredictive arrow cues (biologically irrelevant). Both types of cues produced reflexive orienting in adults (Experiment 1) and preschoolers (Experiment 2), suggesting that gaze cues are not special. However, Experiment 3 showed that nonpredictive arrows produced reflexive orienting in both hemispheres of a split-brain patient. This contrasts with Kingstone, Friesen, and Gazzaniga's (2000) finding that nonpredictive gaze cues produce reflexive orienting only in the face-processing hemisphere of split-brain patients. Therefore, although nonpredictive eyes and arrows may produce similar behavioral effects, they are not sub-served by the same brain systems. Together, these data provide important insight into the nature of the representations of directional stimuli involved in reflexive attentional orienting.","author":[{"dropping-particle":"","family":"Ristic","given":"J","non-dropping-particle":"","parse-names":false,"suffix":""},{"dropping-particle":"","family":"Friesen","given":"C K","non-dropping-particle":"","parse-names":false,"suffix":""},{"dropping-particle":"","family":"Kingstone","given":"A","non-dropping-particle":"","parse-names":false,"suffix":""}],"container-title":"Psychonomic Bulletin &amp; Review","id":"ITEM-1","issue":"3","issued":{"date-parts":[["2002"]]},"note":"Times Cited: 203\n208","page":"507-513","title":"Are eyes special? It depends on how you look at it","type":"article-journal","volume":"9"},"uris":["http://www.mendeley.com/documents/?uuid=c1e42a86-5be1-4663-870f-911a8c5c2c3c"]}],"mendeley":{"formattedCitation":"(J Ristic et al., 2002)","manualFormatting":"Ristic et al. (2002)","plainTextFormattedCitation":"(J Ristic et al., 2002)","previouslyFormattedCitation":"(J Ristic et al., 2002)"},"properties":{"noteIndex":0},"schema":"https://github.com/citation-style-language/schema/raw/master/csl-citation.json"}</w:instrText>
      </w:r>
      <w:r w:rsidRPr="00BD14B0">
        <w:fldChar w:fldCharType="separate"/>
      </w:r>
      <w:r w:rsidRPr="00BD14B0">
        <w:rPr>
          <w:noProof/>
        </w:rPr>
        <w:t>Ristic et al. (2002)</w:t>
      </w:r>
      <w:r w:rsidRPr="00BD14B0">
        <w:fldChar w:fldCharType="end"/>
      </w:r>
      <w:r w:rsidRPr="00BD14B0">
        <w:t xml:space="preserve"> in terms of automatic attentional shift; however, the STS was specifically activated when the stimulus was perceived as eyes, suggesting a prominent role for socially relevant stimuli in that brain region. Both the eyes and car condition produced similar reflexive shifts in attention to the cued location when it was measured behaviourally with response time (</w:t>
      </w:r>
      <w:proofErr w:type="spellStart"/>
      <w:r w:rsidRPr="00BD14B0">
        <w:t>ms</w:t>
      </w:r>
      <w:proofErr w:type="spellEnd"/>
      <w:r w:rsidRPr="00BD14B0">
        <w:t>). The results of the experiment concluded that although shifts in reflexive attention can be triggered by both social and non-social stimuli (e.g., eyes, arrows, and car) and the outcome of behavioural measurement would be similar</w:t>
      </w:r>
      <w:r w:rsidR="007C3797" w:rsidRPr="00BD14B0">
        <w:t>;</w:t>
      </w:r>
      <w:r w:rsidRPr="00BD14B0">
        <w:t xml:space="preserve"> social and non-social stimuli may not be triggered by the same neural architecture.</w:t>
      </w:r>
    </w:p>
    <w:p w14:paraId="11299512" w14:textId="67093C6F" w:rsidR="00352AF4" w:rsidRPr="00BD14B0" w:rsidRDefault="00352AF4" w:rsidP="00553E01"/>
    <w:p w14:paraId="79993A2B" w14:textId="7A85D52A" w:rsidR="00352AF4" w:rsidRPr="00BD14B0" w:rsidRDefault="00882010" w:rsidP="00074CCD">
      <w:pPr>
        <w:pStyle w:val="Title"/>
      </w:pPr>
      <w:bookmarkStart w:id="14" w:name="_Toc108317404"/>
      <w:bookmarkStart w:id="15" w:name="_Toc108317446"/>
      <w:bookmarkStart w:id="16" w:name="_Toc108322119"/>
      <w:r>
        <w:t xml:space="preserve">Figure </w:t>
      </w:r>
      <w:r w:rsidR="003B267D">
        <w:fldChar w:fldCharType="begin"/>
      </w:r>
      <w:r w:rsidR="003B267D">
        <w:instrText xml:space="preserve"> SEQ Figure \* ARABIC </w:instrText>
      </w:r>
      <w:r w:rsidR="003B267D">
        <w:fldChar w:fldCharType="separate"/>
      </w:r>
      <w:r w:rsidR="003B267D">
        <w:rPr>
          <w:noProof/>
        </w:rPr>
        <w:t>3</w:t>
      </w:r>
      <w:r w:rsidR="003B267D">
        <w:fldChar w:fldCharType="end"/>
      </w:r>
      <w:bookmarkEnd w:id="14"/>
      <w:bookmarkEnd w:id="15"/>
      <w:bookmarkEnd w:id="16"/>
    </w:p>
    <w:p w14:paraId="686061F0" w14:textId="1946FBF8" w:rsidR="00352AF4" w:rsidRPr="00BD14B0" w:rsidRDefault="00352AF4" w:rsidP="00553E01">
      <w:r w:rsidRPr="00BD14B0">
        <w:rPr>
          <w:i/>
          <w:iCs/>
        </w:rPr>
        <w:t xml:space="preserve">(A) </w:t>
      </w:r>
      <w:proofErr w:type="gramStart"/>
      <w:r w:rsidRPr="00BD14B0">
        <w:rPr>
          <w:i/>
          <w:iCs/>
        </w:rPr>
        <w:t>Illustration of the fixation stimuli,</w:t>
      </w:r>
      <w:proofErr w:type="gramEnd"/>
      <w:r w:rsidRPr="00BD14B0">
        <w:rPr>
          <w:i/>
          <w:iCs/>
        </w:rPr>
        <w:t xml:space="preserve"> can be perceived as a car or as a hat pulled down to the eyes depending on the given instructions. (B) The corrected RT for the stimuli which is appearing at the cued and non-cued locations and when perceived as Eyes or a Car</w:t>
      </w:r>
      <w:r w:rsidRPr="00BD14B0">
        <w:t xml:space="preserve">. </w:t>
      </w:r>
    </w:p>
    <w:p w14:paraId="54FF7643" w14:textId="77777777" w:rsidR="00784D6C" w:rsidRPr="00BD14B0" w:rsidRDefault="00784D6C" w:rsidP="00553E01"/>
    <w:p w14:paraId="3C36B192" w14:textId="77777777" w:rsidR="00352AF4" w:rsidRPr="00BD14B0" w:rsidRDefault="00784D6C" w:rsidP="00553E01">
      <w:r w:rsidRPr="00BD14B0">
        <w:rPr>
          <w:noProof/>
          <w:lang w:eastAsia="en-US"/>
        </w:rPr>
        <w:lastRenderedPageBreak/>
        <w:drawing>
          <wp:inline distT="0" distB="0" distL="0" distR="0" wp14:anchorId="3714B53C" wp14:editId="30799F02">
            <wp:extent cx="4438650" cy="1771650"/>
            <wp:effectExtent l="0" t="0" r="0" b="0"/>
            <wp:docPr id="30728" name="Picture 30728" descr="C:\Users\pcp13na\AppData\Local\Microsoft\Windows\INetCache\Content.Word\carore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384698" name="Picture 3" descr="C:\Users\pcp13na\AppData\Local\Microsoft\Windows\INetCache\Content.Word\caroreyes.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438650" cy="1771650"/>
                    </a:xfrm>
                    <a:prstGeom prst="rect">
                      <a:avLst/>
                    </a:prstGeom>
                    <a:noFill/>
                    <a:ln>
                      <a:noFill/>
                    </a:ln>
                  </pic:spPr>
                </pic:pic>
              </a:graphicData>
            </a:graphic>
          </wp:inline>
        </w:drawing>
      </w:r>
    </w:p>
    <w:p w14:paraId="378F8029" w14:textId="522DB820" w:rsidR="00784D6C" w:rsidRPr="00BD14B0" w:rsidRDefault="00784D6C" w:rsidP="00553E01">
      <w:r w:rsidRPr="00BD14B0">
        <w:rPr>
          <w:i/>
          <w:iCs/>
        </w:rPr>
        <w:t>Note</w:t>
      </w:r>
      <w:r w:rsidR="009F745C" w:rsidRPr="00BD14B0">
        <w:t>.</w:t>
      </w:r>
      <w:r w:rsidRPr="00BD14B0">
        <w:t xml:space="preserve"> Altered from </w:t>
      </w:r>
      <w:r w:rsidRPr="00BD14B0">
        <w:fldChar w:fldCharType="begin" w:fldLock="1"/>
      </w:r>
      <w:r w:rsidR="004D2901" w:rsidRPr="00BD14B0">
        <w:instrText>ADDIN CSL_CITATION {"citationItems":[{"id":"ITEM-1","itemData":{"DOI":"10.1080/13506285.2012.658101","ISSN":"1350-6285","abstract":"The control of human attention is typically conceptualized either in terms of exogenous automatic processes that are driven by external sensory stimulation or endogenous strategic processes that are driven by internal expectancies about events in the environment. However, this classic dichotomy has struggled to explain a wealth of new data demonstrating that behaviourally and biologically relevant visual stimuli, like arrow and eye direction, elicit shifts of spatial attention that on the one hand, appear exogenous, and on the other hand, endogenous. To address this issue, we used a double-cueing task that combined arrows with classic cues known to invoke either exogenous or endogenous orienting. Our data suggest that behaviourally relevant directional cues, like arrows, engage a new form of cortically mediated orienting-automated symbolic orienting-that operates independent of, and in parallel with, the two classic forms of exogenous and endogenous spatial attention.","author":[{"dropping-particle":"","family":"Ristic","given":"Jelena","non-dropping-particle":"","parse-names":false,"suffix":""},{"dropping-particle":"","family":"Kingstone","given":"Alan","non-dropping-particle":"","parse-names":false,"suffix":""}],"container-title":"Visual Cognition","id":"ITEM-1","issue":"3","issued":{"date-parts":[["2012"]]},"note":"Times Cited: 18\n18","page":"244-264","title":"A new form of human spatial attention: Automated symbolic orienting","type":"article-journal","volume":"20"},"uris":["http://www.mendeley.com/documents/?uuid=048b5532-4178-46f3-ad57-29be2535b165"]}],"mendeley":{"formattedCitation":"(Jelena Ristic &amp; Kingstone, 2012)","manualFormatting":"Kingstone, Tipper, Ristic, and Ngan (2004)","plainTextFormattedCitation":"(Jelena Ristic &amp; Kingstone, 2012)","previouslyFormattedCitation":"(Jelena Ristic &amp; Kingstone, 2012)"},"properties":{"noteIndex":0},"schema":"https://github.com/citation-style-language/schema/raw/master/csl-citation.json"}</w:instrText>
      </w:r>
      <w:r w:rsidRPr="00BD14B0">
        <w:fldChar w:fldCharType="separate"/>
      </w:r>
      <w:r w:rsidRPr="00BD14B0">
        <w:rPr>
          <w:noProof/>
        </w:rPr>
        <w:t xml:space="preserve">Kingstone, Tipper, Ristic, </w:t>
      </w:r>
      <w:r w:rsidR="007C3797" w:rsidRPr="00BD14B0">
        <w:rPr>
          <w:noProof/>
        </w:rPr>
        <w:t xml:space="preserve">and </w:t>
      </w:r>
      <w:r w:rsidRPr="00BD14B0">
        <w:rPr>
          <w:noProof/>
        </w:rPr>
        <w:t>Ngan (2004)</w:t>
      </w:r>
      <w:r w:rsidRPr="00BD14B0">
        <w:fldChar w:fldCharType="end"/>
      </w:r>
      <w:r w:rsidR="007C3797" w:rsidRPr="00BD14B0">
        <w:t>.</w:t>
      </w:r>
    </w:p>
    <w:p w14:paraId="43B59152" w14:textId="77777777" w:rsidR="00784D6C" w:rsidRPr="00BD14B0" w:rsidRDefault="00784D6C" w:rsidP="00553E01"/>
    <w:p w14:paraId="34E165BD" w14:textId="0C5171A1" w:rsidR="00C364FA" w:rsidRPr="00BD14B0" w:rsidRDefault="00DD20B2" w:rsidP="00553E01">
      <w:r w:rsidRPr="00BD14B0">
        <w:tab/>
      </w:r>
      <w:r w:rsidR="00784D6C" w:rsidRPr="00BD14B0">
        <w:t>With the more recent development of high resonance fMRI, researchers have been able to identify two regions within the STS that are correlated with different aspects of eye gaze processing: the anterior STS (</w:t>
      </w:r>
      <w:proofErr w:type="spellStart"/>
      <w:r w:rsidR="00784D6C" w:rsidRPr="00BD14B0">
        <w:t>aSTS</w:t>
      </w:r>
      <w:proofErr w:type="spellEnd"/>
      <w:r w:rsidR="00784D6C" w:rsidRPr="00BD14B0">
        <w:t>) and the posterior STS (</w:t>
      </w:r>
      <w:proofErr w:type="spellStart"/>
      <w:r w:rsidR="00784D6C" w:rsidRPr="00BD14B0">
        <w:t>pSTS</w:t>
      </w:r>
      <w:proofErr w:type="spellEnd"/>
      <w:r w:rsidR="00784D6C" w:rsidRPr="00BD14B0">
        <w:t>). Additionally, studies have found that the right anterior superior temporal sulcus (</w:t>
      </w:r>
      <w:proofErr w:type="spellStart"/>
      <w:r w:rsidR="00784D6C" w:rsidRPr="00BD14B0">
        <w:t>aSTS</w:t>
      </w:r>
      <w:proofErr w:type="spellEnd"/>
      <w:r w:rsidR="00784D6C" w:rsidRPr="00BD14B0">
        <w:t xml:space="preserve">) shows reduced activity to leftward gaze compared to right gaze, suggesting that this part of STS is related to the direction of the gaze </w:t>
      </w:r>
      <w:r w:rsidR="00784D6C" w:rsidRPr="00BD14B0">
        <w:fldChar w:fldCharType="begin" w:fldLock="1"/>
      </w:r>
      <w:r w:rsidR="00784D6C" w:rsidRPr="00BD14B0">
        <w:instrText>ADDIN CSL_CITATION {"citationItems":[{"id":"ITEM-1","itemData":{"DOI":"10.1016/j.cub.2006.10.052","ISSN":"0960-9822","author":[{"dropping-particle":"","family":"Calder","given":"Aj","non-dropping-particle":"","parse-names":false,"suffix":""},{"dropping-particle":"","family":"Beaver","given":"J D","non-dropping-particle":"","parse-names":false,"suffix":""},{"dropping-particle":"","family":"Winston","given":"Js","non-dropping-particle":"","parse-names":false,"suffix":""},{"dropping-particle":"","family":"Dolan","given":"Rj","non-dropping-particle":"","parse-names":false,"suffix":""},{"dropping-particle":"","family":"Jenkins","given":"R","non-dropping-particle":"","parse-names":false,"suffix":""},{"dropping-particle":"","family":"Eger","given":"E","non-dropping-particle":"","parse-names":false,"suffix":""},{"dropping-particle":"","family":"Henson","given":"R N A","non-dropping-particle":"","parse-names":false,"suffix":""}],"container-title":"Curr. Biol.","id":"ITEM-1","issue":"1","issued":{"date-parts":[["2007"]]},"page":"20-25","title":"Separate coding of different gaze directions in the superior temporal sulcus and inferior parietal lobule","type":"article-journal","volume":"17"},"uris":["http://www.mendeley.com/documents/?uuid=7dfea367-a3c6-4032-b16e-d0bce5a0b4e9"]}],"mendeley":{"formattedCitation":"(A. Calder et al., 2007)","manualFormatting":"(Calder et al., 2007)","plainTextFormattedCitation":"(A. Calder et al., 2007)","previouslyFormattedCitation":"(A. Calder et al., 2007)"},"properties":{"noteIndex":0},"schema":"https://github.com/citation-style-language/schema/raw/master/csl-citation.json"}</w:instrText>
      </w:r>
      <w:r w:rsidR="00784D6C" w:rsidRPr="00BD14B0">
        <w:fldChar w:fldCharType="separate"/>
      </w:r>
      <w:r w:rsidR="00784D6C" w:rsidRPr="00BD14B0">
        <w:rPr>
          <w:noProof/>
        </w:rPr>
        <w:t>(Calder et al., 2007)</w:t>
      </w:r>
      <w:r w:rsidR="00784D6C" w:rsidRPr="00BD14B0">
        <w:fldChar w:fldCharType="end"/>
      </w:r>
      <w:r w:rsidR="00784D6C" w:rsidRPr="00BD14B0">
        <w:t>. Hence, this region has a function in the early processing of gaze direction and social relevance of the gaze would be processed via other parts of the network.</w:t>
      </w:r>
    </w:p>
    <w:p w14:paraId="2B80DA5F" w14:textId="77777777" w:rsidR="00674202" w:rsidRPr="00BD14B0" w:rsidRDefault="00674202" w:rsidP="00553E01"/>
    <w:p w14:paraId="3FD1E3AC" w14:textId="65D36DE8" w:rsidR="000A1220" w:rsidRPr="00BD14B0" w:rsidRDefault="001B6377" w:rsidP="00553E01">
      <w:pPr>
        <w:pStyle w:val="Heading3"/>
        <w:rPr>
          <w:rFonts w:eastAsiaTheme="majorEastAsia"/>
        </w:rPr>
      </w:pPr>
      <w:bookmarkStart w:id="17" w:name="_Toc108310752"/>
      <w:r w:rsidRPr="00BD14B0">
        <w:rPr>
          <w:rFonts w:eastAsiaTheme="majorEastAsia"/>
        </w:rPr>
        <w:t>Inferring others</w:t>
      </w:r>
      <w:r w:rsidR="007C3797" w:rsidRPr="00BD14B0">
        <w:rPr>
          <w:rFonts w:eastAsiaTheme="majorEastAsia"/>
        </w:rPr>
        <w:t>’</w:t>
      </w:r>
      <w:r w:rsidRPr="00BD14B0">
        <w:rPr>
          <w:rFonts w:eastAsiaTheme="majorEastAsia"/>
        </w:rPr>
        <w:t xml:space="preserve"> actions with eye gaze cues.</w:t>
      </w:r>
      <w:bookmarkEnd w:id="17"/>
    </w:p>
    <w:p w14:paraId="37792519" w14:textId="0B86EFC4" w:rsidR="00784D6C" w:rsidRPr="00BD14B0" w:rsidRDefault="006D2026" w:rsidP="00553E01">
      <w:r w:rsidRPr="00BD14B0">
        <w:tab/>
      </w:r>
      <w:r w:rsidR="00784D6C" w:rsidRPr="00BD14B0">
        <w:t xml:space="preserve">The basic gaze following function is present in old world monkeys; however, understanding the social significance of these gaze cues may be only present in apes and humans </w:t>
      </w:r>
      <w:r w:rsidR="00784D6C" w:rsidRPr="00BD14B0">
        <w:fldChar w:fldCharType="begin" w:fldLock="1"/>
      </w:r>
      <w:r w:rsidR="00784D6C" w:rsidRPr="00BD14B0">
        <w:instrText>ADDIN CSL_CITATION {"citationItems":[{"id":"ITEM-1","itemData":{"DOI":"10.1037/0735-7036.111.3.286","ISSN":"1939-2087","PMID":"9286096","abstract":"Gaze and attention direction provide important sources of social information for primates. Behavioral studies show that chimpanzees spontaneously follow human gaze direction. By contrast, non-ape species such as macaques fail to follow gaze cues. The authors investigated the reactions of rhesus macaques (Macaca mulatta) to attention cues of conspecifics. Two subjects were presented with videotaped images of a stimulus monkey with its attention directed to 1 of 2 identical objects. Analysis of eye movements revealed that both subjects inspected the target (object or position attended by the stimulus monkey) more often than the distractor (nonattended object or position). These results provide evidence that rhesus monkeys follow gaze and use the attention cues of other monkeys to orient their own attention to objects.","author":[{"dropping-particle":"","family":"Emery","given":"Nathan J.","non-dropping-particle":"","parse-names":false,"suffix":""},{"dropping-particle":"","family":"Lorincz","given":"Erika N.","non-dropping-particle":"","parse-names":false,"suffix":""},{"dropping-particle":"","family":"Perrett","given":"David I.","non-dropping-particle":"","parse-names":false,"suffix":""},{"dropping-particle":"","family":"Oram","given":"Michael W.","non-dropping-particle":"","parse-names":false,"suffix":""},{"dropping-particle":"","family":"Baker","given":"Christopher I.","non-dropping-particle":"","parse-names":false,"suffix":""}],"container-title":"Journal of Comparative Psychology","id":"ITEM-1","issue":"3","issued":{"date-parts":[["1997"]]},"page":"286-293","title":"Gaze following and joint attention in rhesus monkeys (Macaca mulatta).","type":"article-journal","volume":"111"},"uris":["http://www.mendeley.com/documents/?uuid=3e2d9e3b-3d89-42ef-bacd-56e83108164b"]}],"mendeley":{"formattedCitation":"(Nathan J. Emery et al., 1997)","manualFormatting":"(Emery et al., 1997)","plainTextFormattedCitation":"(Nathan J. Emery et al., 1997)","previouslyFormattedCitation":"(Nathan J. Emery et al., 1997)"},"properties":{"noteIndex":0},"schema":"https://github.com/citation-style-language/schema/raw/master/csl-citation.json"}</w:instrText>
      </w:r>
      <w:r w:rsidR="00784D6C" w:rsidRPr="00BD14B0">
        <w:fldChar w:fldCharType="separate"/>
      </w:r>
      <w:r w:rsidR="00784D6C" w:rsidRPr="00BD14B0">
        <w:rPr>
          <w:noProof/>
        </w:rPr>
        <w:t>(Emery et al., 1997)</w:t>
      </w:r>
      <w:r w:rsidR="00784D6C" w:rsidRPr="00BD14B0">
        <w:fldChar w:fldCharType="end"/>
      </w:r>
      <w:r w:rsidR="00784D6C" w:rsidRPr="00BD14B0">
        <w:t>. Understanding the social significance of eye gaze, rather than just following instant changes in the visual field might be necessary for the mentalistic understanding of other</w:t>
      </w:r>
      <w:r w:rsidR="00805B78" w:rsidRPr="00BD14B0">
        <w:t>s</w:t>
      </w:r>
      <w:r w:rsidR="00784D6C" w:rsidRPr="00BD14B0">
        <w:t>’ actions. Hence, additional mechanisms are needed to integrate the visual attention and social attention and reorient one’s own attentional system to the cued direction.</w:t>
      </w:r>
    </w:p>
    <w:p w14:paraId="790349E6" w14:textId="4E8B2CEB" w:rsidR="006D2026" w:rsidRPr="00BD14B0" w:rsidRDefault="006D2026" w:rsidP="00553E01">
      <w:r w:rsidRPr="00BD14B0">
        <w:tab/>
      </w:r>
      <w:r w:rsidR="00784D6C" w:rsidRPr="00BD14B0">
        <w:t xml:space="preserve">It has been shown that </w:t>
      </w:r>
      <w:r w:rsidR="00805B78" w:rsidRPr="00BD14B0">
        <w:t xml:space="preserve">the </w:t>
      </w:r>
      <w:proofErr w:type="spellStart"/>
      <w:r w:rsidR="00784D6C" w:rsidRPr="00BD14B0">
        <w:t>aSTS</w:t>
      </w:r>
      <w:proofErr w:type="spellEnd"/>
      <w:r w:rsidR="00784D6C" w:rsidRPr="00BD14B0">
        <w:t xml:space="preserve"> is responsive to visual details of gaze direction </w:t>
      </w:r>
      <w:r w:rsidR="00784D6C" w:rsidRPr="00BD14B0">
        <w:fldChar w:fldCharType="begin" w:fldLock="1"/>
      </w:r>
      <w:r w:rsidR="00784D6C" w:rsidRPr="00BD14B0">
        <w:instrText>ADDIN CSL_CITATION {"citationItems":[{"id":"ITEM-1","itemData":{"DOI":"10.1111/j.1467-9280.2006.01736.x","ISSN":"0956-7976","abstract":"Gaze direction is an important social signal in humans and other primates. In this study, we used an adaptation paradigm to investigate the functional organization of gaze perception in humans. Adaptation to consistent leftward or rightward gaze produced a powerful illusion that virtually eliminated observers' perception of gaze in the adapted direction; gaze to that side was seen as pointing straight ahead, though perception of gaze to the opposite side was unimpaired. This striking dissociation held even when retinotopic mapping between adaptation and test stimuli was disrupted by changes in size or head orientation, suggesting that our findings do not reflect adaptation to low-level visual properties. Moreover, adaptation to averted gaze did not affect judgments of line bisection, illustrating that our findings do not reflect a general spatial bias. Our findings provide evidence that humans have distinct populations of neurons that are selectively responsive to particular directions of seen gaze.","author":[{"dropping-particle":"","family":"Jenkins","given":"Rob","non-dropping-particle":"","parse-names":false,"suffix":""},{"dropping-particle":"","family":"Beaver","given":"John D","non-dropping-particle":"","parse-names":false,"suffix":""},{"dropping-particle":"","family":"Calder","given":"Andrew J","non-dropping-particle":"","parse-names":false,"suffix":""}],"container-title":"Psychological Science","id":"ITEM-1","issue":"6","issued":{"date-parts":[["2006","6","6"]]},"note":"doi: 10.1111/j.1467-9280.2006.01736.x","page":"506-513","publisher":"SAGE Publications Inc","title":"I Thought You Were Looking at Me","type":"article-journal","volume":"17"},"uris":["http://www.mendeley.com/documents/?uuid=14a8bd5a-3d77-4666-ac60-11c1792e6bed"]}],"mendeley":{"formattedCitation":"(Jenkins et al., 2006)","plainTextFormattedCitation":"(Jenkins et al., 2006)","previouslyFormattedCitation":"(Jenkins et al., 2006)"},"properties":{"noteIndex":0},"schema":"https://github.com/citation-style-language/schema/raw/master/csl-citation.json"}</w:instrText>
      </w:r>
      <w:r w:rsidR="00784D6C" w:rsidRPr="00BD14B0">
        <w:fldChar w:fldCharType="separate"/>
      </w:r>
      <w:r w:rsidR="00784D6C" w:rsidRPr="00BD14B0">
        <w:rPr>
          <w:noProof/>
        </w:rPr>
        <w:t>(Jenkins et al., 2006)</w:t>
      </w:r>
      <w:r w:rsidR="00784D6C" w:rsidRPr="00BD14B0">
        <w:fldChar w:fldCharType="end"/>
      </w:r>
      <w:r w:rsidR="00784D6C" w:rsidRPr="00BD14B0">
        <w:t xml:space="preserve"> as predicted by non-human primate studies</w:t>
      </w:r>
      <w:r w:rsidR="00805B78" w:rsidRPr="00BD14B0">
        <w:t>,</w:t>
      </w:r>
      <w:r w:rsidR="00784D6C" w:rsidRPr="00BD14B0">
        <w:t xml:space="preserve"> whereas the posterior superior temporal sulcus (</w:t>
      </w:r>
      <w:proofErr w:type="spellStart"/>
      <w:r w:rsidR="00784D6C" w:rsidRPr="00BD14B0">
        <w:t>pSTS</w:t>
      </w:r>
      <w:proofErr w:type="spellEnd"/>
      <w:r w:rsidR="00784D6C" w:rsidRPr="00BD14B0">
        <w:t xml:space="preserve">) has shown to respond when an actor behaves unexpectedly </w:t>
      </w:r>
      <w:r w:rsidR="00784D6C" w:rsidRPr="00BD14B0">
        <w:lastRenderedPageBreak/>
        <w:t xml:space="preserve">or when presented with incongruent rather than congruent gaze </w:t>
      </w:r>
      <w:r w:rsidR="00784D6C" w:rsidRPr="00BD14B0">
        <w:fldChar w:fldCharType="begin" w:fldLock="1"/>
      </w:r>
      <w:r w:rsidR="00784D6C" w:rsidRPr="00BD14B0">
        <w:instrText>ADDIN CSL_CITATION {"citationItems":[{"id":"ITEM-1","itemData":{"DOI":"10.1016/S0028-3932(02)00146-X","ISSN":"00283932","abstract":"Prior studies from our laboratory [Journal of Neuroscience 18 (1998) 2188; Cognitive Neuropsychology 17 (2000) 221] have demonstrated that discrete regions of the superior temporal sulcus (STS) are activated when a subject views a face in which the eyes shift their gaze. Here we investigated the degree to which activity in the STS and other brain regions is modulated by the context of the perceived gaze shift; that is, when the shift correctly or incorrectly acquires a visual target. Fifteen subjects participated in an event-related functional magnetic resonance imaging experiment in which they viewed an animated face that remained present throughout each run. On each of 21 trials within each run, a small checkerboard appeared and flickered at one of six locations within the character’s visual field. On “correct” trials, the character shifted its gaze towards the checkerboard after a delay of 1 or 3 s. On “incorrect” trials, the character shifted its gaze towards empty space after the same delays. On “no shift” trials, the character’s eyes did not move. Significantly larger hemodynamic responses (HDR) were evoked by gaze shifts compared to no gaze shifts in primarily right hemisphere STS. The gaze-evoked HDR was significantly delayed in peak amplitude for 3 s compared to 1 s shifts. For 1 s shifts, a strong effect of context was observed in which errors evoked a HDR with extended duration. Although this study focused upon STS, similar effects were also observed in the intraparietal sulcus and fusiform gyrus.","author":[{"dropping-particle":"","family":"Pelphrey","given":"Kevin A","non-dropping-particle":"","parse-names":false,"suffix":""},{"dropping-particle":"","family":"Singerman","given":"Jeffrey D","non-dropping-particle":"","parse-names":false,"suffix":""},{"dropping-particle":"","family":"Allison","given":"Truett","non-dropping-particle":"","parse-names":false,"suffix":""},{"dropping-particle":"","family":"McCarthy","given":"Gregory","non-dropping-particle":"","parse-names":false,"suffix":""}],"container-title":"Neuropsychologia","id":"ITEM-1","issue":"2","issued":{"date-parts":[["2003","1"]]},"page":"156-170","title":"Brain activation evoked by perception of gaze shifts: the influence of context","type":"article-journal","volume":"41"},"uris":["http://www.mendeley.com/documents/?uuid=0f01f8bb-64bb-474c-a71b-305e22f75aaf"]}],"mendeley":{"formattedCitation":"(Pelphrey et al., 2003)","plainTextFormattedCitation":"(Pelphrey et al., 2003)","previouslyFormattedCitation":"(Pelphrey et al., 2003)"},"properties":{"noteIndex":0},"schema":"https://github.com/citation-style-language/schema/raw/master/csl-citation.json"}</w:instrText>
      </w:r>
      <w:r w:rsidR="00784D6C" w:rsidRPr="00BD14B0">
        <w:fldChar w:fldCharType="separate"/>
      </w:r>
      <w:r w:rsidR="00784D6C" w:rsidRPr="00BD14B0">
        <w:rPr>
          <w:noProof/>
        </w:rPr>
        <w:t>(Pelphrey et al., 2003)</w:t>
      </w:r>
      <w:r w:rsidR="00784D6C" w:rsidRPr="00BD14B0">
        <w:fldChar w:fldCharType="end"/>
      </w:r>
      <w:r w:rsidR="00784D6C" w:rsidRPr="00BD14B0">
        <w:t xml:space="preserve">. </w:t>
      </w:r>
      <w:r w:rsidR="00805B78" w:rsidRPr="00BD14B0">
        <w:t>U</w:t>
      </w:r>
      <w:r w:rsidR="00784D6C" w:rsidRPr="00BD14B0">
        <w:t xml:space="preserve">nexpected behaviour needs to be interpreted and intention needs to be assessed, making it more cognitively demanding. There will also be a greater activation in </w:t>
      </w:r>
      <w:r w:rsidR="00805B78" w:rsidRPr="00BD14B0">
        <w:t xml:space="preserve">the </w:t>
      </w:r>
      <w:proofErr w:type="spellStart"/>
      <w:r w:rsidR="00784D6C" w:rsidRPr="00BD14B0">
        <w:t>pSTS</w:t>
      </w:r>
      <w:proofErr w:type="spellEnd"/>
      <w:r w:rsidR="00784D6C" w:rsidRPr="00BD14B0">
        <w:t xml:space="preserve"> while observing gaze shifts when compared to opening and closing the eyes </w:t>
      </w:r>
      <w:r w:rsidR="00784D6C" w:rsidRPr="00BD14B0">
        <w:fldChar w:fldCharType="begin" w:fldLock="1"/>
      </w:r>
      <w:r w:rsidR="004D2901" w:rsidRPr="00BD14B0">
        <w:instrText>ADDIN CSL_CITATION {"citationItems":[{"id":"ITEM-1","itemData":{"DOI":"10.1093/cercor/bhp244","ISSN":"1047-3211","author":[{"dropping-particle":"","family":"Nummenmaa","given":"L","non-dropping-particle":"","parse-names":false,"suffix":""},{"dropping-particle":"","family":"Passamonti","given":"L","non-dropping-particle":"","parse-names":false,"suffix":""},{"dropping-particle":"","family":"Rowe","given":"J","non-dropping-particle":"","parse-names":false,"suffix":""},{"dropping-particle":"","family":"Engell","given":"A D","non-dropping-particle":"","parse-names":false,"suffix":""},{"dropping-particle":"","family":"Calder","given":"Aj","non-dropping-particle":"","parse-names":false,"suffix":""}],"container-title":"Cereb. Cortex","id":"ITEM-1","issue":"8","issued":{"date-parts":[["2010"]]},"page":"1780-1787","title":"Connectivity Analysis Reveals a Cortical Network for Eye Gaze Perception","type":"article-journal","volume":"20"},"uris":["http://www.mendeley.com/documents/?uuid=d1946866-6077-4404-a61d-e6ea532c0397"]}],"mendeley":{"formattedCitation":"(L Nummenmaa et al., 2010)","manualFormatting":"(Nummenmaa et al., 2010)","plainTextFormattedCitation":"(L Nummenmaa et al., 2010)","previouslyFormattedCitation":"(L Nummenmaa et al., 2010)"},"properties":{"noteIndex":0},"schema":"https://github.com/citation-style-language/schema/raw/master/csl-citation.json"}</w:instrText>
      </w:r>
      <w:r w:rsidR="00784D6C" w:rsidRPr="00BD14B0">
        <w:fldChar w:fldCharType="separate"/>
      </w:r>
      <w:r w:rsidR="00784D6C" w:rsidRPr="00BD14B0">
        <w:rPr>
          <w:noProof/>
        </w:rPr>
        <w:t>(Nummenmaa et al., 2010)</w:t>
      </w:r>
      <w:r w:rsidR="00784D6C" w:rsidRPr="00BD14B0">
        <w:fldChar w:fldCharType="end"/>
      </w:r>
      <w:r w:rsidRPr="00BD14B0">
        <w:t>.</w:t>
      </w:r>
    </w:p>
    <w:p w14:paraId="4707C341" w14:textId="349E91F1" w:rsidR="00C364FA" w:rsidRPr="00BD14B0" w:rsidRDefault="006D2026" w:rsidP="00553E01">
      <w:r w:rsidRPr="00BD14B0">
        <w:tab/>
      </w:r>
      <w:r w:rsidR="00784D6C" w:rsidRPr="00BD14B0">
        <w:t xml:space="preserve">Human neuroimaging research has identified many areas that are involved in addressing face stimuli that are also reactive to gaze shifts, including the IPC and </w:t>
      </w:r>
      <w:proofErr w:type="spellStart"/>
      <w:r w:rsidR="00784D6C" w:rsidRPr="00BD14B0">
        <w:t>pSTS</w:t>
      </w:r>
      <w:proofErr w:type="spellEnd"/>
      <w:r w:rsidR="00784D6C" w:rsidRPr="00BD14B0">
        <w:t xml:space="preserve"> regions. The right IPC is a portion of the prefrontal care system, related to goal-directed and stimulus-driven attention, that plays an important role in reorienting attention to relevant events in the environment </w:t>
      </w:r>
      <w:r w:rsidR="00784D6C" w:rsidRPr="00BD14B0">
        <w:fldChar w:fldCharType="begin" w:fldLock="1"/>
      </w:r>
      <w:r w:rsidR="004D2901" w:rsidRPr="00BD14B0">
        <w:instrText>ADDIN CSL_CITATION {"citationItems":[{"id":"ITEM-1","itemData":{"DOI":"10.1038/nrn755","ISSN":"1471-003X","abstract":"This review proposes that two networks of brain areas are involved in controlling attention. One network is primarily responsible for applying cognitive, top-down selection for stimuli and responses, whereas the other detects behaviourally relevant stimuli and might act as a 'circuit breaker' for the first system. Humans use cognitive information to direct attention to relevant objects (targets) in a visual scene. Information such as the target's colour or location is represented as a 'perceptual set'. Similarly, advance information about the required response to a target is represented as a 'motor set'. These can be considered together as an 'attentional set', which aids the detection of and response to targets. Such top-down control of attentional processes activates dorsal posterior parietal and frontal regions of the brain bilaterally in both monkeys and humans. This dorsal frontoparietal system is responsible for the generation of attentional sets. Attention can also be driven by stimulus properties rather than cognitive processes. This 'bottom-up' control of attention explains why we find ourselves drawn to 'oddball' stimuli that are very different from the background, or to salient stimuli that share some sensory features, such as colour, with the target for which we are searching. The dorsal frontoparietal system seems to maintain a 'salience map' that combines bottom-up with top-down information during visual search. Potentially important sensory stimuli, such as loud alarms or sudden movement, can attract our attention regardless of the ongoing task. This sensory orienting process seems to be mediated by the second attentional network, which is mainly lateralized to the right side of the brain and includes the temporoparietal junction and the ventral frontal cortex. This network seems to interrupt ongoing cognitive activity when a stimulus that might be behaviourally important is detected. These two networks could interact in humans to control attention. It is possible that damage to these networks is responsible for the syndrome of neglect, in which patients that have suffered damage to the right side of the brain tend to ignore stimuli on the left side of space. The authors suggest that neglect results from damage to the ventral network that also 'functionally inactivates' the dorsal network.","author":[{"dropping-particle":"","family":"Corbetta","given":"Maurizio","non-dropping-particle":"","parse-names":false,"suffix":""},{"dropping-particle":"","family":"Shulman","given":"Gordon L","non-dropping-particle":"","parse-names":false,"suffix":""}],"container-title":"Nature Reviews Neuroscience","id":"ITEM-1","issue":"3","issued":{"date-parts":[["2002","3"]]},"page":"201-215","title":"Control of goal-directed and stimulus-driven attention in the brain","type":"article-journal","volume":"3"},"uris":["http://www.mendeley.com/documents/?uuid=bbb51c05-f9f5-4443-bc0f-6a5b0fa1a69a"]}],"mendeley":{"formattedCitation":"(Maurizio Corbetta &amp; Shulman, 2002)","manualFormatting":"(Corbetta &amp; Shulman, 2002)","plainTextFormattedCitation":"(Maurizio Corbetta &amp; Shulman, 2002)","previouslyFormattedCitation":"(Maurizio Corbetta &amp; Shulman, 2002)"},"properties":{"noteIndex":0},"schema":"https://github.com/citation-style-language/schema/raw/master/csl-citation.json"}</w:instrText>
      </w:r>
      <w:r w:rsidR="00784D6C" w:rsidRPr="00BD14B0">
        <w:fldChar w:fldCharType="separate"/>
      </w:r>
      <w:r w:rsidR="00784D6C" w:rsidRPr="00BD14B0">
        <w:rPr>
          <w:noProof/>
        </w:rPr>
        <w:t>(Corbetta &amp; Shulman, 2002)</w:t>
      </w:r>
      <w:r w:rsidR="00784D6C" w:rsidRPr="00BD14B0">
        <w:fldChar w:fldCharType="end"/>
      </w:r>
      <w:r w:rsidR="00784D6C" w:rsidRPr="00BD14B0">
        <w:t xml:space="preserve">. This region is also heavily connected with both the </w:t>
      </w:r>
      <w:proofErr w:type="spellStart"/>
      <w:r w:rsidR="00784D6C" w:rsidRPr="00BD14B0">
        <w:t>aSTS</w:t>
      </w:r>
      <w:proofErr w:type="spellEnd"/>
      <w:r w:rsidR="00784D6C" w:rsidRPr="00BD14B0">
        <w:t xml:space="preserve"> and </w:t>
      </w:r>
      <w:proofErr w:type="spellStart"/>
      <w:r w:rsidR="00784D6C" w:rsidRPr="00BD14B0">
        <w:t>pSTS</w:t>
      </w:r>
      <w:proofErr w:type="spellEnd"/>
      <w:r w:rsidR="00784D6C" w:rsidRPr="00BD14B0">
        <w:t xml:space="preserve"> </w:t>
      </w:r>
      <w:r w:rsidR="00784D6C" w:rsidRPr="00BD14B0">
        <w:fldChar w:fldCharType="begin" w:fldLock="1"/>
      </w:r>
      <w:r w:rsidR="00784D6C" w:rsidRPr="00BD14B0">
        <w:instrText>ADDIN CSL_CITATION {"citationItems":[{"id":"ITEM-1","itemData":{"DOI":"10.1162/jocn.1991.3.1.9","ISSN":"0898-929X","abstract":"Physiological recordings along the length of the upper bank of the superior temporal sulcus (STS) revealed cells each of which was selectively responsive to a particular view of the head and body. Such cells were grouped in large patches 3-4 mm across. The patches were separated by regions of cortex containing cells responsive to other stimuli. The distribution of cells projecting from temporal cortex to the posterior regions of the inferior parietal lobe was studied with retrogradely transported fluorescent dyes. A strong temporoparietal projection was found originating from the upper bank of the STS. Cells projecting to the parietal cortex occurred in large patches or bands. The size and periodicity of modules defined through anatomical connections matched the functional subdivisions of the STS cortex involved in face processing evident in physiological recordings. It is speculated that the temporoparietal projections could provide a route through which temporal lobe analysis of facial signals about the direction of others' attention can be passed to parietal systems concerned with spatial awareness.","author":[{"dropping-particle":"","family":"Harries","given":"M H","non-dropping-particle":"","parse-names":false,"suffix":""},{"dropping-particle":"","family":"Perrett","given":"D I","non-dropping-particle":"","parse-names":false,"suffix":""}],"container-title":"Journal of Cognitive Neuroscience","id":"ITEM-1","issue":"1","issued":{"date-parts":[["1991","1","1"]]},"note":"doi: 10.1162/jocn.1991.3.1.9","page":"9-24","publisher":"MIT Press","title":"Visual Processing of Faces in Temporal Cortex: Physiological Evidence for a Modular Organization and Possible Anatomical Correlates","type":"article-journal","volume":"3"},"uris":["http://www.mendeley.com/documents/?uuid=c35bc852-d34b-4685-94f7-d4183c686d5a"]},{"id":"ITEM-2","itemData":{"DOI":"10.3389/fnins.2017.00492","ISSN":"1662-453X","abstract":"The lateral prefrontal cortex (LPF) plays a fundamental role in planning, organizing, and optimizing behavioral performance. Neuroanatomical and neurophysiological studies have suggested that in this cortical sector, information processing becomes more abstract when moving from caudal to rostral and that such processing involves parietal and premotor areas. We review studies that have shown that the LPF, in addition to its involvement in implementing rules and setting behavioral goals, activates during the execution of forelimb movements even in the absence of a learned relationship between an instruction and its associated motor output. Thus, we propose that the prefrontal cortex is involved in exploiting contextual information for planning and guiding behavioral responses, also in natural situations. Among contextual cues, those provided by others' actions are particularly relevant for social interactions. Functional studies of macaques have demonstrated that the LPF is activated by the observation of biological stimuli, in particular those related to goal-directed actions. We review these studies and discuss the idea that the prefrontal cortex codes high-order representations of observed actions rather than simple visual descriptions of them. Based on evidence that the same sector of the LPF contains both neurons coding own action goals and neurons coding others' goals, we propose that this sector is involved in the selection of own actions appropriate for reacting in a particular social context and for the creation of new action sequences in imitative learning.","author":[{"dropping-particle":"","family":"Rozzi","given":"Stefano","non-dropping-particle":"","parse-names":false,"suffix":""},{"dropping-particle":"","family":"Fogassi","given":"Leonardo","non-dropping-particle":"","parse-names":false,"suffix":""}],"container-title":"Frontiers in Neuroscience","id":"ITEM-2","issue":"SEP","issued":{"date-parts":[["2017","9","7"]]},"page":"1-9","title":"Neural Coding for Action Execution and Action Observation in the Prefrontal Cortex and Its Role in the Organization of Socially Driven Behavior","type":"article-journal","volume":"11"},"uris":["http://www.mendeley.com/documents/?uuid=0c7b32b1-f109-4e34-bdc2-d9f5221db430"]}],"mendeley":{"formattedCitation":"(Harries &amp; Perrett, 1991; Rozzi &amp; Fogassi, 2017)","plainTextFormattedCitation":"(Harries &amp; Perrett, 1991; Rozzi &amp; Fogassi, 2017)","previouslyFormattedCitation":"(Harries &amp; Perrett, 1991; Rozzi &amp; Fogassi, 2017)"},"properties":{"noteIndex":0},"schema":"https://github.com/citation-style-language/schema/raw/master/csl-citation.json"}</w:instrText>
      </w:r>
      <w:r w:rsidR="00784D6C" w:rsidRPr="00BD14B0">
        <w:fldChar w:fldCharType="separate"/>
      </w:r>
      <w:r w:rsidR="00784D6C" w:rsidRPr="00BD14B0">
        <w:rPr>
          <w:noProof/>
        </w:rPr>
        <w:t>(Harries &amp; Perrett, 1991; Rozzi &amp; Fogassi, 2017)</w:t>
      </w:r>
      <w:r w:rsidR="00784D6C" w:rsidRPr="00BD14B0">
        <w:fldChar w:fldCharType="end"/>
      </w:r>
      <w:r w:rsidR="00784D6C" w:rsidRPr="00BD14B0">
        <w:t xml:space="preserve"> suggesting that it has a role in reorienting attention rather than the </w:t>
      </w:r>
      <w:proofErr w:type="spellStart"/>
      <w:r w:rsidR="00784D6C" w:rsidRPr="00BD14B0">
        <w:t>perceptional</w:t>
      </w:r>
      <w:proofErr w:type="spellEnd"/>
      <w:r w:rsidR="00784D6C" w:rsidRPr="00BD14B0">
        <w:t xml:space="preserve"> representation of eye gaze </w:t>
      </w:r>
      <w:r w:rsidR="00784D6C" w:rsidRPr="00BD14B0">
        <w:fldChar w:fldCharType="begin" w:fldLock="1"/>
      </w:r>
      <w:r w:rsidR="004D2901" w:rsidRPr="00BD14B0">
        <w:instrText>ADDIN CSL_CITATION {"citationItems":[{"id":"ITEM-1","itemData":{"DOI":"10.1523/JNEUROSCI.13-03-01202.1993","ISSN":"0270-6474","PMID":"8441008","abstract":"Positron emission tomography (PET) was used to identify the neural systems involved in shifting spatial attention to visual stimuli in the left or right visual field along foveofugal or foveocentric directions. Psychophysical evidence indicated that stimuli at validly cued locations were responded to faster than stimuli at invalidly cued locations. Reaction times to invalid probes were faster when they were presented in the same than in the opposite direction of an ongoing attention movement. PET evidence indicated that superior parietal and superior frontal cortex were more active when attention was shifted to peripheral locations than when maintained at the center of gaze. Both regions encoded the visual field and not the direction of an attention shift. In the right superior parietal lobe, two distinct responses were localized for attention to left and right visual field. Finally, the superior parietal region was active when peripheral locations were selected on the basis of cognitive or sensory cues independent of the execution of an overt response. The frontal region was active only when responses were made to stimuli at selected peripheral locations. These findings indicate that parietal and frontal regions control different aspects of spatial selection. The functional asymmetry in superior parietal cortex may be relevant for the pathophysiology of unilateral neglect.","author":[{"dropping-particle":"","family":"Corbetta","given":"M.","non-dropping-particle":"","parse-names":false,"suffix":""},{"dropping-particle":"","family":"Miezin","given":"FM","non-dropping-particle":"","parse-names":false,"suffix":""},{"dropping-particle":"","family":"Shulman","given":"GL","non-dropping-particle":"","parse-names":false,"suffix":""},{"dropping-particle":"","family":"Petersen","given":"SE","non-dropping-particle":"","parse-names":false,"suffix":""}],"container-title":"The Journal of Neuroscience","id":"ITEM-1","issue":"3","issued":{"date-parts":[["1993","3","1"]]},"page":"1202-1226","title":"A PET study of visuospatial attention","type":"article-journal","volume":"13"},"uris":["http://www.mendeley.com/documents/?uuid=354d92db-4929-4532-84b1-d36d81786d14"]},{"id":"ITEM-2","itemData":{"DOI":"10.1093/brain/120.3.515","ISSN":"14602156","PMID":"9126062","abstract":"PET was used to image the neural system underlying visuospatial attention. Analysis of data at both the group and individual-subject level provided anatomical resolution superior to that described to date. Six right-handed male subjects were selected from a pilot behavioural study in which behavioural responses and eye movements were recorded. The attention tasks involved covert shifts of attention, where peripheral cues indicated the location of subsequent target stimuli to be discriminated. One attention condition emphasized reflexive aspects of spatial orientation, while the other required controlled shifts of attention. PET activations agreed closely with the cortical regions recently proposed to form the core of a neural network for spatial attention. The two attention tasks evoked largely overlapping patterns of neural activation, supporting the existence of a general neural system for visuospatial attention with regional functional specialization. Specifically, neocortical activations were observed in the right anterior cingulate gyrus (Brodmann area 24), in the intraparietal sulcus of right posterior parietal cortex, and in the mesial and lateral premotor cortices (Brodmann area 6).","author":[{"dropping-particle":"","family":"Nobre","given":"A.","non-dropping-particle":"","parse-names":false,"suffix":""}],"container-title":"Brain","id":"ITEM-2","issue":"3","issued":{"date-parts":[["1997","3","1"]]},"page":"515-533","title":"Functional localization of the system for visuospatial attention using positron emission tomography","type":"article-journal","volume":"120"},"uris":["http://www.mendeley.com/documents/?uuid=d412acce-b1fe-4518-a1a8-132b0c0cd872"]}],"mendeley":{"formattedCitation":"(M. Corbetta et al., 1993; Nobre, 1997)","manualFormatting":"(Corbetta et al., 1993; Nobre, 1997)","plainTextFormattedCitation":"(M. Corbetta et al., 1993; Nobre, 1997)","previouslyFormattedCitation":"(M. Corbetta et al., 1993; Nobre, 1997)"},"properties":{"noteIndex":0},"schema":"https://github.com/citation-style-language/schema/raw/master/csl-citation.json"}</w:instrText>
      </w:r>
      <w:r w:rsidR="00784D6C" w:rsidRPr="00BD14B0">
        <w:fldChar w:fldCharType="separate"/>
      </w:r>
      <w:r w:rsidR="00784D6C" w:rsidRPr="00BD14B0">
        <w:rPr>
          <w:noProof/>
        </w:rPr>
        <w:t>(Corbetta et al., 1993; Nobre, 1997)</w:t>
      </w:r>
      <w:r w:rsidR="00784D6C" w:rsidRPr="00BD14B0">
        <w:fldChar w:fldCharType="end"/>
      </w:r>
      <w:r w:rsidR="00784D6C" w:rsidRPr="00BD14B0">
        <w:t xml:space="preserve">. In summary, neurological evidence suggests the eye gaze not only attracts attention but also affects the part of the core attention system which has a function of redirecting attention to </w:t>
      </w:r>
      <w:r w:rsidR="00361F91" w:rsidRPr="00BD14B0">
        <w:t>behaviourally</w:t>
      </w:r>
      <w:r w:rsidR="00784D6C" w:rsidRPr="00BD14B0">
        <w:t xml:space="preserve"> relevant stimuli within the environment.</w:t>
      </w:r>
    </w:p>
    <w:p w14:paraId="46FEF008" w14:textId="77777777" w:rsidR="00C30E58" w:rsidRPr="00BD14B0" w:rsidRDefault="00C30E58" w:rsidP="00553E01"/>
    <w:p w14:paraId="7EFF2331" w14:textId="514B9FF2" w:rsidR="001B6377" w:rsidRPr="00BD14B0" w:rsidRDefault="001B6377" w:rsidP="00553E01">
      <w:pPr>
        <w:pStyle w:val="Heading3"/>
      </w:pPr>
      <w:bookmarkStart w:id="18" w:name="_Toc108310753"/>
      <w:r w:rsidRPr="00BD14B0">
        <w:t>Inferring other</w:t>
      </w:r>
      <w:r w:rsidR="00805B78" w:rsidRPr="00BD14B0">
        <w:t>s</w:t>
      </w:r>
      <w:r w:rsidRPr="00BD14B0">
        <w:t xml:space="preserve">’ </w:t>
      </w:r>
      <w:r w:rsidR="00647507" w:rsidRPr="00BD14B0">
        <w:t xml:space="preserve">mental states </w:t>
      </w:r>
      <w:r w:rsidRPr="00BD14B0">
        <w:t>using eye gaze cues</w:t>
      </w:r>
      <w:bookmarkEnd w:id="18"/>
    </w:p>
    <w:p w14:paraId="2414BE03" w14:textId="6D6A3F56" w:rsidR="00784D6C" w:rsidRPr="00BD14B0" w:rsidRDefault="00C364FA" w:rsidP="00553E01">
      <w:r w:rsidRPr="00BD14B0">
        <w:tab/>
      </w:r>
      <w:r w:rsidR="00784D6C" w:rsidRPr="00BD14B0">
        <w:t xml:space="preserve">The gaze direction does not always indicate the direction of attention. To illustrate; imagine a friend is daydreaming while staring at the ceiling. This person would not be actively attending at something at the ceiling, but most likely lost in his </w:t>
      </w:r>
      <w:r w:rsidR="00647507" w:rsidRPr="00BD14B0">
        <w:t xml:space="preserve">or her </w:t>
      </w:r>
      <w:r w:rsidR="00784D6C" w:rsidRPr="00BD14B0">
        <w:t xml:space="preserve">thoughts. Hence, the eye gaze direction does not always signal where an individual is attending. At a more complex level than the direction of attention, eye gaze also carries information about </w:t>
      </w:r>
      <w:r w:rsidR="00647507" w:rsidRPr="00BD14B0">
        <w:t xml:space="preserve">an </w:t>
      </w:r>
      <w:r w:rsidR="00784D6C" w:rsidRPr="00BD14B0">
        <w:t>individual</w:t>
      </w:r>
      <w:r w:rsidR="00647507" w:rsidRPr="00BD14B0">
        <w:t>’</w:t>
      </w:r>
      <w:r w:rsidR="00784D6C" w:rsidRPr="00BD14B0">
        <w:t>s mental state and functions as a cue for inferring thoughts and intentions. Inferring the mental states of others is harder than just following someone’s eyes gaze direction and will therefore activate more regions in the brain. A neural network composed of the medial prefrontal cortex (</w:t>
      </w:r>
      <w:proofErr w:type="spellStart"/>
      <w:r w:rsidR="00784D6C" w:rsidRPr="00BD14B0">
        <w:t>mPFC</w:t>
      </w:r>
      <w:proofErr w:type="spellEnd"/>
      <w:r w:rsidR="00784D6C" w:rsidRPr="00BD14B0">
        <w:t>), STS, fusiform gyrus (FG), amygdala, and intraparietal sulcus (IPS) is triggered wh</w:t>
      </w:r>
      <w:r w:rsidR="00647507" w:rsidRPr="00BD14B0">
        <w:t>en</w:t>
      </w:r>
      <w:r w:rsidR="00784D6C" w:rsidRPr="00BD14B0">
        <w:t xml:space="preserve"> attempting to understand other peoples</w:t>
      </w:r>
      <w:r w:rsidR="00647507" w:rsidRPr="00BD14B0">
        <w:t>’ mental states</w:t>
      </w:r>
      <w:r w:rsidR="00784D6C" w:rsidRPr="00BD14B0">
        <w:t xml:space="preserve"> </w:t>
      </w:r>
      <w:r w:rsidR="00784D6C" w:rsidRPr="00BD14B0">
        <w:fldChar w:fldCharType="begin" w:fldLock="1"/>
      </w:r>
      <w:r w:rsidR="00784D6C" w:rsidRPr="00BD14B0">
        <w:instrText>ADDIN CSL_CITATION {"citationItems":[{"id":"ITEM-1","itemData":{"DOI":"10.1016/S1364-6613(99)01399-6","ISSN":"13646613","abstract":"Humans are exceedingly social animals, but the neural underpinnings of social cognition and behavior are not well understood. Studies in humans and other primates have pointed to several structures that play a key role in guiding social behaviors: the amygdala, ventromedial frontal cortices, and right somatosensory-related cortex, among others. These structures appear to mediate between perceptual representations of socially relevant stimuli, such as the sight of conspecifics, and retrieval of knowledge (or elicitation of behaviors) that such stimuli can trigger. Current debates concern the extent to which social cognition draws upon processing specialized for social information, and the relative contributions made to social cognition by innate and acquired knowledge.","author":[{"dropping-particle":"","family":"Adolphs","given":"Ralph","non-dropping-particle":"","parse-names":false,"suffix":""}],"container-title":"Trends in Cognitive Sciences","id":"ITEM-1","issue":"12","issued":{"date-parts":[["1999","12","1"]]},"note":"doi: 10.1016/S1364-6613(99)01399-6","page":"469-479","publisher":"Elsevier","title":"Social cognition and the human brain","type":"article-journal","volume":"3"},"uris":["http://www.mendeley.com/documents/?uuid=2ec6d07b-0430-4a16-93be-b39f6acd203f"]},{"id":"ITEM-2","itemData":{"DOI":"10.1007/BF00991637","ISSN":"0146-7239","abstract":"A sophisticated ability both to generate displays of emotion and to respond to expressive behaviors of other individuals has emerged as a specialization in the course of primate evolution. Studies of the social behavior of nonhuman primates, especially those most related to ourselves, indicate that monkeys and apes are able to interpret social signals so as to assess the motivations of others. Studies of brain activity in monkeys looking at pictures of faces, facial expressions, and body movements, reveal regions of apparent specialized responsiveness to visual social stimuli. The existence of a discrete neural system in humans for cognition which generates a psychological model of others is suggested by patterns of deficit seen in certain neurologic syndromes. Empathy has several components and appears to lie on an evolutionary continuum.","author":[{"dropping-particle":"","family":"Brothers","given":"Leslie","non-dropping-particle":"","parse-names":false,"suffix":""}],"container-title":"Motivation and Emotion","id":"ITEM-2","issue":"2","issued":{"date-parts":[["1990","6"]]},"page":"81-91","title":"The neural basis of primate social communication","type":"article-journal","volume":"14"},"uris":["http://www.mendeley.com/documents/?uuid=0b153898-d776-4ec9-946f-fda02d36ee22"]},{"id":"ITEM-3","itemData":{"DOI":"10.1016/j.neuron.2006.05.001","ISSN":"08966273","abstract":"Mentalizing refers to our ability to read the mental states of other agents and engages many neural processes. The brain's mirror system allows us to share the emotions of others. Through perspective taking, we can infer what a person currently believes about the world given their point of view. Finally, the human brain has the unique ability to represent the mental states of the self and the other and the relationship between these mental states, making possible the communication of ideas. © 2006 Elsevier Inc. All rights reserved.","author":[{"dropping-particle":"","family":"Frith","given":"Chris D.","non-dropping-particle":"","parse-names":false,"suffix":""},{"dropping-particle":"","family":"Frith","given":"Uta","non-dropping-particle":"","parse-names":false,"suffix":""}],"container-title":"Neuron","id":"ITEM-3","issue":"4","issued":{"date-parts":[["2006","5"]]},"page":"531-534","title":"The Neural Basis of Mentalizing","type":"article-journal","volume":"50"},"uris":["http://www.mendeley.com/documents/?uuid=c59511ed-801b-42ab-a210-83ec0a2405a2"]}],"mendeley":{"formattedCitation":"(Adolphs, 1999; Brothers, 1990; Frith &amp; Frith, 2006)","plainTextFormattedCitation":"(Adolphs, 1999; Brothers, 1990; Frith &amp; Frith, 2006)","previouslyFormattedCitation":"(Adolphs, 1999; Brothers, 1990; Frith &amp; Frith, 2006)"},"properties":{"noteIndex":0},"schema":"https://github.com/citation-style-language/schema/raw/master/csl-citation.json"}</w:instrText>
      </w:r>
      <w:r w:rsidR="00784D6C" w:rsidRPr="00BD14B0">
        <w:fldChar w:fldCharType="separate"/>
      </w:r>
      <w:r w:rsidR="00784D6C" w:rsidRPr="00BD14B0">
        <w:rPr>
          <w:noProof/>
        </w:rPr>
        <w:t>(Adolphs, 1999; Brothers, 1990; Frith &amp; Frith, 2006)</w:t>
      </w:r>
      <w:r w:rsidR="00784D6C" w:rsidRPr="00BD14B0">
        <w:fldChar w:fldCharType="end"/>
      </w:r>
      <w:r w:rsidR="00784D6C" w:rsidRPr="00BD14B0">
        <w:t xml:space="preserve">. Information collected from the </w:t>
      </w:r>
      <w:r w:rsidR="00784D6C" w:rsidRPr="00BD14B0">
        <w:lastRenderedPageBreak/>
        <w:t xml:space="preserve">eye gaze direction is amongst the most important sources for inferring other people's mental states </w:t>
      </w:r>
      <w:r w:rsidR="00784D6C" w:rsidRPr="00BD14B0">
        <w:fldChar w:fldCharType="begin" w:fldLock="1"/>
      </w:r>
      <w:r w:rsidR="00784D6C" w:rsidRPr="00BD14B0">
        <w:instrText>ADDIN CSL_CITATION {"citationItems":[{"id":"ITEM-1","itemData":{"DOI":"10.1016/j.neuron.2006.05.001","ISSN":"08966273","abstract":"Mentalizing refers to our ability to read the mental states of other agents and engages many neural processes. The brain's mirror system allows us to share the emotions of others. Through perspective taking, we can infer what a person currently believes about the world given their point of view. Finally, the human brain has the unique ability to represent the mental states of the self and the other and the relationship between these mental states, making possible the communication of ideas. © 2006 Elsevier Inc. All rights reserved.","author":[{"dropping-particle":"","family":"Frith","given":"Chris D.","non-dropping-particle":"","parse-names":false,"suffix":""},{"dropping-particle":"","family":"Frith","given":"Uta","non-dropping-particle":"","parse-names":false,"suffix":""}],"container-title":"Neuron","id":"ITEM-1","issue":"4","issued":{"date-parts":[["2006","5"]]},"page":"531-534","title":"The Neural Basis of Mentalizing","type":"article-journal","volume":"50"},"uris":["http://www.mendeley.com/documents/?uuid=c59511ed-801b-42ab-a210-83ec0a2405a2"]}],"mendeley":{"formattedCitation":"(Frith &amp; Frith, 2006)","plainTextFormattedCitation":"(Frith &amp; Frith, 2006)","previouslyFormattedCitation":"(Frith &amp; Frith, 2006)"},"properties":{"noteIndex":0},"schema":"https://github.com/citation-style-language/schema/raw/master/csl-citation.json"}</w:instrText>
      </w:r>
      <w:r w:rsidR="00784D6C" w:rsidRPr="00BD14B0">
        <w:fldChar w:fldCharType="separate"/>
      </w:r>
      <w:r w:rsidR="00784D6C" w:rsidRPr="00BD14B0">
        <w:rPr>
          <w:noProof/>
        </w:rPr>
        <w:t>(Frith &amp; Frith, 2006)</w:t>
      </w:r>
      <w:r w:rsidR="00784D6C" w:rsidRPr="00BD14B0">
        <w:fldChar w:fldCharType="end"/>
      </w:r>
      <w:r w:rsidR="00784D6C" w:rsidRPr="00BD14B0">
        <w:t>.</w:t>
      </w:r>
    </w:p>
    <w:p w14:paraId="4ACA48AA" w14:textId="58514FD1" w:rsidR="00784D6C" w:rsidRPr="00BD14B0" w:rsidRDefault="00784D6C" w:rsidP="00553E01">
      <w:r w:rsidRPr="00BD14B0">
        <w:tab/>
        <w:t xml:space="preserve">Both the </w:t>
      </w:r>
      <w:proofErr w:type="spellStart"/>
      <w:r w:rsidRPr="00BD14B0">
        <w:t>mPFC</w:t>
      </w:r>
      <w:proofErr w:type="spellEnd"/>
      <w:r w:rsidRPr="00BD14B0">
        <w:t xml:space="preserve"> and amygdala have been demonstrated to be related to the processing of the eye gaze as a mental </w:t>
      </w:r>
      <w:r w:rsidR="00647507" w:rsidRPr="00BD14B0">
        <w:t xml:space="preserve">state </w:t>
      </w:r>
      <w:r w:rsidRPr="00BD14B0">
        <w:t xml:space="preserve">cue. Several studies have explored the involvement of the amygdala in eye gaze processing in emotional faces. Direct gaze has been found to facilitate the activation of the amygdala in response to approach-oriented emotions such as anger, while averted gaze has been found to facilitate avoidance-oriented emotions such as fear </w:t>
      </w:r>
      <w:r w:rsidRPr="00BD14B0">
        <w:fldChar w:fldCharType="begin" w:fldLock="1"/>
      </w:r>
      <w:r w:rsidRPr="00BD14B0">
        <w:instrText>ADDIN CSL_CITATION {"citationItems":[{"id":"ITEM-1","itemData":{"DOI":"10.1046/j.0956-7976.2003.psci_1479.x","ISSN":"0956-7976","abstract":"There is good reason to believe that gaze direction and facial displays of emotion share an information value as signals of approach or avoidance. The combination of these cues in the analysis of social communication, however, has been a virtually neglected area of inquiry. Two studies were conducted to test the prediction that direct gaze would facilitate the processing of facially communicated approach-oriented emotions (e.g., anger and joy), whereas averted gaze would facilitate the processing of facially communicated avoidance-oriented emotions (e.g., fear and sadness). The results of both studies confirmed the central hypothesis and suggest that gaze direction and facial expression are combined in the processing of emotionally relevant facial information.","author":[{"dropping-particle":"","family":"Adams","given":"Reginald B","non-dropping-particle":"","parse-names":false,"suffix":""},{"dropping-particle":"","family":"Kleck","given":"Robert E","non-dropping-particle":"","parse-names":false,"suffix":""}],"container-title":"Psychological Science","id":"ITEM-1","issue":"6","issued":{"date-parts":[["2003","11","17"]]},"note":"doi: 10.1046/j.0956-7976.2003.psci_1479.x","page":"644-647","publisher":"SAGE Publications Inc","title":"Perceived Gaze Direction and the Processing of Facial Displays of Emotion","type":"article-journal","volume":"14"},"uris":["http://www.mendeley.com/documents/?uuid=ac9cd80b-760a-4cda-bfe9-f9c02c4ece03"]}],"mendeley":{"formattedCitation":"(Adams &amp; Kleck, 2003)","plainTextFormattedCitation":"(Adams &amp; Kleck, 2003)","previouslyFormattedCitation":"(Adams &amp; Kleck, 2003)"},"properties":{"noteIndex":0},"schema":"https://github.com/citation-style-language/schema/raw/master/csl-citation.json"}</w:instrText>
      </w:r>
      <w:r w:rsidRPr="00BD14B0">
        <w:fldChar w:fldCharType="separate"/>
      </w:r>
      <w:r w:rsidRPr="00BD14B0">
        <w:rPr>
          <w:noProof/>
        </w:rPr>
        <w:t>(Adams &amp; Kleck, 2003)</w:t>
      </w:r>
      <w:r w:rsidRPr="00BD14B0">
        <w:fldChar w:fldCharType="end"/>
      </w:r>
      <w:r w:rsidRPr="00BD14B0">
        <w:t xml:space="preserve">. Moreover, the amygdala is active during monitoring of emotional gaze events in others </w:t>
      </w:r>
      <w:r w:rsidRPr="00BD14B0">
        <w:fldChar w:fldCharType="begin" w:fldLock="1"/>
      </w:r>
      <w:r w:rsidRPr="00BD14B0">
        <w:instrText>ADDIN CSL_CITATION {"citationItems":[{"id":"ITEM-1","itemData":{"DOI":"10.1016/S0926-6410(03)00143-5","ISSN":"09266410","abstract":"The eyes convey a wealth of information in social interactions. This information is analyzed by multiple brain networks, which we identified using functional magnetic resonance imaging (MRI). Subjects attempted to detect a particular directional cue provided either by gaze changes on an image of a face or by an arrow presented alone or by an arrow superimposed on the face. Another control condition was included in which the eyes moved without providing meaningful directional information. Activation of the superior temporal sulcus accompanied extracting directional information from gaze relative to directional information from an arrow and relative to eye motion without relevant directional information. Such selectivity for gaze processing was not observed in face-responsive fusiform regions. Brain activations were also investigated while subjects viewed the same face but attempted to detect when the eyes gazed directly at them. Most notably, amygdala activation was greater during periods when direct gaze never occurred than during periods when direct gaze occurred on 40% of the trials. In summary, our results suggest that increases in neural processing in the amygdala facilitate the analysis of gaze cues when a person is actively monitoring for emotional gaze events, whereas increases in neural processing in the superior temporal sulcus support the analysis of gaze cues that provide socially meaningful spatial information.","author":[{"dropping-particle":"","family":"Hooker","given":"Christine I","non-dropping-particle":"","parse-names":false,"suffix":""},{"dropping-particle":"","family":"Paller","given":"Ken A","non-dropping-particle":"","parse-names":false,"suffix":""},{"dropping-particle":"","family":"Gitelman","given":"Darren R","non-dropping-particle":"","parse-names":false,"suffix":""},{"dropping-particle":"","family":"Parrish","given":"Todd B","non-dropping-particle":"","parse-names":false,"suffix":""},{"dropping-particle":"","family":"Mesulam","given":"M-Marsel","non-dropping-particle":"","parse-names":false,"suffix":""},{"dropping-particle":"","family":"Reber","given":"Paul J","non-dropping-particle":"","parse-names":false,"suffix":""}],"container-title":"Cognitive Brain Research","id":"ITEM-1","issue":"2","issued":{"date-parts":[["2003","7"]]},"language":"eng","page":"406-418","title":"Brain networks for analyzing eye gaze","type":"article-journal","volume":"17"},"uris":["http://www.mendeley.com/documents/?uuid=f85b19ff-1609-4a3a-a78f-5d1d6d42f134"]}],"mendeley":{"formattedCitation":"(Hooker et al., 2003)","plainTextFormattedCitation":"(Hooker et al., 2003)","previouslyFormattedCitation":"(Hooker et al., 2003)"},"properties":{"noteIndex":0},"schema":"https://github.com/citation-style-language/schema/raw/master/csl-citation.json"}</w:instrText>
      </w:r>
      <w:r w:rsidRPr="00BD14B0">
        <w:fldChar w:fldCharType="separate"/>
      </w:r>
      <w:r w:rsidRPr="00BD14B0">
        <w:rPr>
          <w:noProof/>
        </w:rPr>
        <w:t>(Hooker et al., 2003)</w:t>
      </w:r>
      <w:r w:rsidRPr="00BD14B0">
        <w:fldChar w:fldCharType="end"/>
      </w:r>
      <w:r w:rsidRPr="00BD14B0">
        <w:t xml:space="preserve">. </w:t>
      </w:r>
      <w:r w:rsidRPr="00BD14B0">
        <w:fldChar w:fldCharType="begin" w:fldLock="1"/>
      </w:r>
      <w:r w:rsidR="004D2901" w:rsidRPr="00BD14B0">
        <w:instrText>ADDIN CSL_CITATION {"citationItems":[{"id":"ITEM-1","itemData":{"DOI":"10.1016/S0926-6410(03)00143-5","ISSN":"09266410","abstract":"The eyes convey a wealth of information in social interactions. This information is analyzed by multiple brain networks, which we identified using functional magnetic resonance imaging (MRI). Subjects attempted to detect a particular directional cue provided either by gaze changes on an image of a face or by an arrow presented alone or by an arrow superimposed on the face. Another control condition was included in which the eyes moved without providing meaningful directional information. Activation of the superior temporal sulcus accompanied extracting directional information from gaze relative to directional information from an arrow and relative to eye motion without relevant directional information. Such selectivity for gaze processing was not observed in face-responsive fusiform regions. Brain activations were also investigated while subjects viewed the same face but attempted to detect when the eyes gazed directly at them. Most notably, amygdala activation was greater during periods when direct gaze never occurred than during periods when direct gaze occurred on 40% of the trials. In summary, our results suggest that increases in neural processing in the amygdala facilitate the analysis of gaze cues when a person is actively monitoring for emotional gaze events, whereas increases in neural processing in the superior temporal sulcus support the analysis of gaze cues that provide socially meaningful spatial information.","author":[{"dropping-particle":"","family":"Hooker","given":"Christine I","non-dropping-particle":"","parse-names":false,"suffix":""},{"dropping-particle":"","family":"Paller","given":"Ken A","non-dropping-particle":"","parse-names":false,"suffix":""},{"dropping-particle":"","family":"Gitelman","given":"Darren R","non-dropping-particle":"","parse-names":false,"suffix":""},{"dropping-particle":"","family":"Parrish","given":"Todd B","non-dropping-particle":"","parse-names":false,"suffix":""},{"dropping-particle":"","family":"Mesulam","given":"M-Marsel","non-dropping-particle":"","parse-names":false,"suffix":""},{"dropping-particle":"","family":"Reber","given":"Paul J","non-dropping-particle":"","parse-names":false,"suffix":""}],"container-title":"Cognitive Brain Research","id":"ITEM-1","issue":"2","issued":{"date-parts":[["2003","7"]]},"language":"eng","page":"406-418","title":"Brain networks for analyzing eye gaze","type":"article-journal","volume":"17"},"uris":["http://www.mendeley.com/documents/?uuid=f85b19ff-1609-4a3a-a78f-5d1d6d42f134"]}],"mendeley":{"formattedCitation":"(Hooker et al., 2003)","manualFormatting":"Hooker et al. (2003)","plainTextFormattedCitation":"(Hooker et al., 2003)","previouslyFormattedCitation":"(Hooker et al., 2003)"},"properties":{"noteIndex":0},"schema":"https://github.com/citation-style-language/schema/raw/master/csl-citation.json"}</w:instrText>
      </w:r>
      <w:r w:rsidRPr="00BD14B0">
        <w:fldChar w:fldCharType="separate"/>
      </w:r>
      <w:r w:rsidRPr="00BD14B0">
        <w:rPr>
          <w:noProof/>
        </w:rPr>
        <w:t>Hooker et al. (2003)</w:t>
      </w:r>
      <w:r w:rsidRPr="00BD14B0">
        <w:fldChar w:fldCharType="end"/>
      </w:r>
      <w:r w:rsidRPr="00BD14B0">
        <w:t xml:space="preserve"> performed an fMRI study in which participants attempted to detect a specific directional signal, generated either by gaze shifts on a face image, by a single arrow or a face conjoined arrow. Increased amygdala activity was shown when participants actively searched for emotional gaze events</w:t>
      </w:r>
      <w:r w:rsidR="00647507" w:rsidRPr="00BD14B0">
        <w:t>,</w:t>
      </w:r>
      <w:r w:rsidRPr="00BD14B0">
        <w:t xml:space="preserve"> but </w:t>
      </w:r>
      <w:proofErr w:type="spellStart"/>
      <w:r w:rsidRPr="00BD14B0">
        <w:t>pSTS</w:t>
      </w:r>
      <w:proofErr w:type="spellEnd"/>
      <w:r w:rsidRPr="00BD14B0">
        <w:t xml:space="preserve"> activation was observed for gaze signals that provided spatial information. Another fMRI study showed that amygdala activity occurs in response to when people view direct (with bilateral activation) or averted gaze (in the left amygdala) </w:t>
      </w:r>
      <w:r w:rsidRPr="00BD14B0">
        <w:fldChar w:fldCharType="begin" w:fldLock="1"/>
      </w:r>
      <w:r w:rsidRPr="00BD14B0">
        <w:instrText>ADDIN CSL_CITATION {"citationItems":[{"id":"ITEM-1","itemData":{"ISSN":"1053-8119","author":[{"dropping-particle":"","family":"Wicker","given":"B","non-dropping-particle":"","parse-names":false,"suffix":""},{"dropping-particle":"","family":"Michel","given":"F","non-dropping-particle":"","parse-names":false,"suffix":""},{"dropping-particle":"","family":"Henaff","given":"M A","non-dropping-particle":"","parse-names":false,"suffix":""},{"dropping-particle":"","family":"Decety","given":"J","non-dropping-particle":"","parse-names":false,"suffix":""}],"container-title":"Neuroimage","id":"ITEM-1","issue":"2","issued":{"date-parts":[["1998"]]},"page":"221-227","title":"Brain regions involved in the perception of gaze: A PET study","type":"article-journal","volume":"8"},"uris":["http://www.mendeley.com/documents/?uuid=162b0693-5ffb-4b47-8942-072bfd0aa27a"]}],"mendeley":{"formattedCitation":"(Wicker et al., 1998)","plainTextFormattedCitation":"(Wicker et al., 1998)","previouslyFormattedCitation":"(Wicker et al., 1998)"},"properties":{"noteIndex":0},"schema":"https://github.com/citation-style-language/schema/raw/master/csl-citation.json"}</w:instrText>
      </w:r>
      <w:r w:rsidRPr="00BD14B0">
        <w:fldChar w:fldCharType="separate"/>
      </w:r>
      <w:r w:rsidRPr="00BD14B0">
        <w:rPr>
          <w:noProof/>
        </w:rPr>
        <w:t>(Wicker et al., 1998)</w:t>
      </w:r>
      <w:r w:rsidRPr="00BD14B0">
        <w:fldChar w:fldCharType="end"/>
      </w:r>
      <w:r w:rsidRPr="00BD14B0">
        <w:t xml:space="preserve">. It has also been suggested that the amygdala is responsible for the active detection of eye gaze </w:t>
      </w:r>
      <w:r w:rsidRPr="00BD14B0">
        <w:fldChar w:fldCharType="begin" w:fldLock="1"/>
      </w:r>
      <w:r w:rsidRPr="00BD14B0">
        <w:instrText>ADDIN CSL_CITATION {"citationItems":[{"id":"ITEM-1","itemData":{"DOI":"10.1093/brain/122.4.779","ISBN":"0006-8950 (Print)\\r0006-8950 (Linking)","ISSN":"00068950","PMID":"10219788","abstract":"Social contact often initially depends on ascertaining the direction of the other person's gaze. We determined the brain areas involved in gaze monitoring by a functional neuroimaging study. Discrimination between the direction of gaze significantly activated a region in the left amygdala during eye-contact and no eye-contact tasks to the same extent. However, a region in the right amygdala was specifically activated only during the eye-contact task. Results confirm that the left amygdala plays a general role in the interpretation of eye gaze direction, and that the activity of the right amygdala of the subject increases when another individual's gaze is directed towards him. This suggests that the human amygdala plays a role in reading social signals from the face.","author":[{"dropping-particle":"","family":"Kawashima","given":"Ryuta","non-dropping-particle":"","parse-names":false,"suffix":""},{"dropping-particle":"","family":"Sugiura","given":"Motoaki","non-dropping-particle":"","parse-names":false,"suffix":""},{"dropping-particle":"","family":"Kato","given":"Takashi","non-dropping-particle":"","parse-names":false,"suffix":""},{"dropping-particle":"","family":"Nakamura","given":"Akinori","non-dropping-particle":"","parse-names":false,"suffix":""},{"dropping-particle":"","family":"Hatano","given":"Kentaro","non-dropping-particle":"","parse-names":false,"suffix":""},{"dropping-particle":"","family":"Ito","given":"Kengo","non-dropping-particle":"","parse-names":false,"suffix":""},{"dropping-particle":"","family":"Fukuda","given":"Hiroshi","non-dropping-particle":"","parse-names":false,"suffix":""},{"dropping-particle":"","family":"Kojima","given":"Shozo","non-dropping-particle":"","parse-names":false,"suffix":""},{"dropping-particle":"","family":"Nakamura","given":"Katsuki","non-dropping-particle":"","parse-names":false,"suffix":""}],"container-title":"Brain","id":"ITEM-1","issue":"4","issued":{"date-parts":[["1999"]]},"note":"NULL","page":"779-783","title":"The human amygdala plays an important role in gaze monitoring: A PET study","type":"article-journal","volume":"122"},"uris":["http://www.mendeley.com/documents/?uuid=46cbf455-a548-49a2-ac31-ebbf84cd9051"]}],"mendeley":{"formattedCitation":"(Kawashima et al., 1999)","plainTextFormattedCitation":"(Kawashima et al., 1999)","previouslyFormattedCitation":"(Kawashima et al., 1999)"},"properties":{"noteIndex":0},"schema":"https://github.com/citation-style-language/schema/raw/master/csl-citation.json"}</w:instrText>
      </w:r>
      <w:r w:rsidRPr="00BD14B0">
        <w:fldChar w:fldCharType="separate"/>
      </w:r>
      <w:r w:rsidRPr="00BD14B0">
        <w:rPr>
          <w:noProof/>
        </w:rPr>
        <w:t>(Kawashima et al., 1999)</w:t>
      </w:r>
      <w:r w:rsidRPr="00BD14B0">
        <w:fldChar w:fldCharType="end"/>
      </w:r>
      <w:r w:rsidRPr="00BD14B0">
        <w:t xml:space="preserve">. Additionally, neuropsychological studies show that lesions of the amygdala result in deficits in judgments of both gaze direction and facial expression </w:t>
      </w:r>
      <w:r w:rsidRPr="00BD14B0">
        <w:fldChar w:fldCharType="begin" w:fldLock="1"/>
      </w:r>
      <w:r w:rsidRPr="00BD14B0">
        <w:instrText>ADDIN CSL_CITATION {"citationItems":[{"id":"ITEM-1","itemData":{"DOI":"10.1093/brain/118.1.15","ISBN":"0006-8950 (Print)\\r0006-8950 (Linking)","ISSN":"00068950","PMID":"7895001","abstract":"Summary We report an investigation of face processing impairments in D.R., a 51-year-old woman with a partial bilateral amygdalotomy. D.R. was able to recognize pre-operatively familiar faces, but she showed generalized problems of name retrieval and a more circumscribed deficit affecting the recognition of faces learnt post-operatively. In contrast to her poor memory for new faces, D.R.'s ability to match simultaneously presented photographs of unfamiliar faces was unimpaired. However, D.R. also experienced deficits in expression processing which compromised the recognition of emotion from people's faces; she was poor both at matching and at identifying photographs of emotional facial expressions. In addition, her interpretation of eye gaze direction was defective, showing a more general problem in reading social signals from the face. The presence of impairments affecting the learning of new faces and the comprehension of gaze direction and facial expressions of emotion is consistent with the hypothesis of a role for the amygdala in learning and social behaviour.","author":[{"dropping-particle":"","family":"Young","given":"Andrew W.","non-dropping-particle":"","parse-names":false,"suffix":""},{"dropping-particle":"","family":"Aggleton","given":"John P.","non-dropping-particle":"","parse-names":false,"suffix":""},{"dropping-particle":"","family":"Hellawell","given":"Deborah J.","non-dropping-particle":"","parse-names":false,"suffix":""},{"dropping-particle":"","family":"Johnson","given":"Michael","non-dropping-particle":"","parse-names":false,"suffix":""},{"dropping-particle":"","family":"Broks","given":"Paul","non-dropping-particle":"","parse-names":false,"suffix":""},{"dropping-particle":"","family":"Hanley","given":"J. Richard","non-dropping-particle":"","parse-names":false,"suffix":""}],"container-title":"Brain","id":"ITEM-1","issue":"1","issued":{"date-parts":[["1995"]]},"note":"NULL","page":"15-24","title":"Face processing impairments after amygdalotomy","type":"article-journal","volume":"118"},"uris":["http://www.mendeley.com/documents/?uuid=a5d207d0-9425-4ab1-9f7e-a1475f25fcda"]}],"mendeley":{"formattedCitation":"(Young et al., 1995)","plainTextFormattedCitation":"(Young et al., 1995)","previouslyFormattedCitation":"(Young et al., 1995)"},"properties":{"noteIndex":0},"schema":"https://github.com/citation-style-language/schema/raw/master/csl-citation.json"}</w:instrText>
      </w:r>
      <w:r w:rsidRPr="00BD14B0">
        <w:fldChar w:fldCharType="separate"/>
      </w:r>
      <w:r w:rsidRPr="00BD14B0">
        <w:rPr>
          <w:noProof/>
        </w:rPr>
        <w:t>(Young et al., 1995)</w:t>
      </w:r>
      <w:r w:rsidRPr="00BD14B0">
        <w:fldChar w:fldCharType="end"/>
      </w:r>
      <w:r w:rsidRPr="00BD14B0">
        <w:t>, suggesting that it plays a critical role in both tasks. More recently, a neuropsychological study showed that unilateral amygdala lesion</w:t>
      </w:r>
      <w:r w:rsidR="00647507" w:rsidRPr="00BD14B0">
        <w:t>s</w:t>
      </w:r>
      <w:r w:rsidRPr="00BD14B0">
        <w:t xml:space="preserve"> affect attentional orienting by gaze but not by arrow cues </w:t>
      </w:r>
      <w:r w:rsidRPr="00BD14B0">
        <w:fldChar w:fldCharType="begin" w:fldLock="1"/>
      </w:r>
      <w:r w:rsidR="004D2901" w:rsidRPr="00BD14B0">
        <w:instrText>ADDIN CSL_CITATION {"citationItems":[{"id":"ITEM-1","itemData":{"DOI":"10.1093/cercor/bhl166","ISSN":"1047-3211","abstract":"The newly discovered deficit in a bilateral amygdala-damaged case, of not being able to allocate attention to the critical feature of a face (Adolphs R, Gosselin F, Buchanan TW, Tranel D, Schyns P, Damasio AR. 2005. A mechanism for impaired fear recognition after amygdala damage. Nature. 433:68--72.), has opened a new window into the function of the amygdala. This case implies that the amygdala might be essential in detecting potentially relevant social stimuli, and directing attention accordingly. In this study, we have sought to test this implication by investigating the behavioral performance of 5 unilateral amygdala-damaged subjects on spatial cueing tasks. The tasks employed central gaze and arrow direction as cues to trigger attentional orienting in peripheral target detection. Although age-matched normal controls demonstrated a significant congruency effect such that targets presented congruently to cue direction elicited faster detection, amygdala subjects demonstrated no such congruency effect for gaze cues in the face of a significant congruency effect for arrow cues. The results suggest that the social valence of a stimulus is critical for amygdala involvement in visual processing. The results also support the implicated role of the amygdala in detecting and analyzing relevant social stimuli, and orienting attention accordingly.","author":[{"dropping-particle":"","family":"Akiyama","given":"Tomoko","non-dropping-particle":"","parse-names":false,"suffix":""},{"dropping-particle":"","family":"Kato","given":"Motoichiro","non-dropping-particle":"","parse-names":false,"suffix":""},{"dropping-particle":"","family":"Muramatsu","given":"Taro","non-dropping-particle":"","parse-names":false,"suffix":""},{"dropping-particle":"","family":"Umeda","given":"Satoshi","non-dropping-particle":"","parse-names":false,"suffix":""},{"dropping-particle":"","family":"Saito","given":"Fumie","non-dropping-particle":"","parse-names":false,"suffix":""},{"dropping-particle":"","family":"Kashima","given":"Haruo","non-dropping-particle":"","parse-names":false,"suffix":""}],"container-title":"Cerebral Cortex","id":"ITEM-1","issue":"11","issued":{"date-parts":[["2007","11","1"]]},"page":"2593-2600","publisher":"Oxford Univ Press","title":"Unilateral Amygdala Lesions Hamper Attentional Orienting Triggered by Gaze Direction","type":"article-journal","volume":"17"},"uris":["http://www.mendeley.com/documents/?uuid=5eb405d4-5f8c-40df-b26f-3ba883a7a1bd"]}],"mendeley":{"formattedCitation":"(Akiyama et al., 2007)","plainTextFormattedCitation":"(Akiyama et al., 2007)","previouslyFormattedCitation":"(Akiyama et al., 2007)"},"properties":{"noteIndex":0},"schema":"https://github.com/citation-style-language/schema/raw/master/csl-citation.json"}</w:instrText>
      </w:r>
      <w:r w:rsidRPr="00BD14B0">
        <w:fldChar w:fldCharType="separate"/>
      </w:r>
      <w:r w:rsidRPr="00BD14B0">
        <w:rPr>
          <w:noProof/>
        </w:rPr>
        <w:t>(Akiyama et al., 2007)</w:t>
      </w:r>
      <w:r w:rsidRPr="00BD14B0">
        <w:fldChar w:fldCharType="end"/>
      </w:r>
      <w:r w:rsidRPr="00BD14B0">
        <w:t xml:space="preserve"> suggesting the amygdala’s role in socially relevant stimuli.</w:t>
      </w:r>
    </w:p>
    <w:p w14:paraId="0F2553EA" w14:textId="26BB174A" w:rsidR="00185B26" w:rsidRPr="00BD14B0" w:rsidRDefault="00784D6C" w:rsidP="00553E01">
      <w:r w:rsidRPr="00BD14B0">
        <w:tab/>
        <w:t xml:space="preserve">Finally, the </w:t>
      </w:r>
      <w:proofErr w:type="spellStart"/>
      <w:r w:rsidRPr="00BD14B0">
        <w:t>mPFC</w:t>
      </w:r>
      <w:proofErr w:type="spellEnd"/>
      <w:r w:rsidRPr="00BD14B0">
        <w:t xml:space="preserve"> </w:t>
      </w:r>
      <w:r w:rsidR="00647507" w:rsidRPr="00BD14B0">
        <w:t xml:space="preserve">has </w:t>
      </w:r>
      <w:r w:rsidRPr="00BD14B0">
        <w:t xml:space="preserve">been implicated in higher order social cognition tasks. Studies have shown that patients with damage in their </w:t>
      </w:r>
      <w:proofErr w:type="spellStart"/>
      <w:r w:rsidRPr="00BD14B0">
        <w:t>mPFC</w:t>
      </w:r>
      <w:proofErr w:type="spellEnd"/>
      <w:r w:rsidRPr="00BD14B0">
        <w:t xml:space="preserve"> regions had problems with theory of mind (</w:t>
      </w:r>
      <w:proofErr w:type="spellStart"/>
      <w:r w:rsidRPr="00BD14B0">
        <w:t>ToM</w:t>
      </w:r>
      <w:proofErr w:type="spellEnd"/>
      <w:r w:rsidRPr="00BD14B0">
        <w:t xml:space="preserve">) tasks, but not executive function tasks </w:t>
      </w:r>
      <w:r w:rsidRPr="00BD14B0">
        <w:fldChar w:fldCharType="begin" w:fldLock="1"/>
      </w:r>
      <w:r w:rsidRPr="00BD14B0">
        <w:instrText>ADDIN CSL_CITATION {"citationItems":[{"id":"ITEM-1","itemData":{"DOI":"10.1162/jocn.2006.18.6.932","ISSN":"0898-929X","abstract":"One of the least well understood regions of the human brain is rostral prefrontal cortex, approximating Brodmann's area 10. Here, we investigate the possibility that there are functional subdivisions within this region by conducting a meta-analysis of 104 functional neuroimaging studies (using positron emission tomography/functional magnetic resonance imaging). Studies involving working memory and episodic memory retrieval were disproportionately associated with lateral activations, whereas studies involving mentalizing (i.e., attending to one's own emotions and mental states or those of other agents) were disproportionately associated with medial activations. Functional variation was also observed along a rostral-caudal axis, with studies involving mentalizing yielding relatively caudal activations and studies involving multiple-task coordination yielding relatively rostral activations. A classification algorithm was trained to predict the task, given the coordinates of each activation peak. Performance was well above chance levels (74% for the three most common tasks; 45% across all eight tasks investigated) and generalized to data not included in the training set. These results point to considerable functional segregation within rostral prefrontal cortex. © 2006 Massachusetts Institute of Technology.","author":[{"dropping-particle":"","family":"Gilbert","given":"Sam J.","non-dropping-particle":"","parse-names":false,"suffix":""},{"dropping-particle":"","family":"Spengler","given":"Stephanie","non-dropping-particle":"","parse-names":false,"suffix":""},{"dropping-particle":"","family":"Simons","given":"Jon S.","non-dropping-particle":"","parse-names":false,"suffix":""},{"dropping-particle":"","family":"Steele","given":"J. Douglas","non-dropping-particle":"","parse-names":false,"suffix":""},{"dropping-particle":"","family":"Lawrie","given":"Stephen M.","non-dropping-particle":"","parse-names":false,"suffix":""},{"dropping-particle":"","family":"Frith","given":"Christopher D.","non-dropping-particle":"","parse-names":false,"suffix":""},{"dropping-particle":"","family":"Burgess","given":"Paul W.","non-dropping-particle":"","parse-names":false,"suffix":""}],"container-title":"Journal of Cognitive Neuroscience","id":"ITEM-1","issue":"6","issued":{"date-parts":[["2006","6"]]},"page":"932-948","title":"Functional Specialization within Rostral Prefrontal Cortex (Area 10): A Meta-analysis","type":"article-journal","volume":"18"},"uris":["http://www.mendeley.com/documents/?uuid=70f9652b-6bb8-4502-964d-e7044931a445"]}],"mendeley":{"formattedCitation":"(Gilbert et al., 2006)","plainTextFormattedCitation":"(Gilbert et al., 2006)","previouslyFormattedCitation":"(Gilbert et al., 2006)"},"properties":{"noteIndex":0},"schema":"https://github.com/citation-style-language/schema/raw/master/csl-citation.json"}</w:instrText>
      </w:r>
      <w:r w:rsidRPr="00BD14B0">
        <w:fldChar w:fldCharType="separate"/>
      </w:r>
      <w:r w:rsidRPr="00BD14B0">
        <w:rPr>
          <w:noProof/>
        </w:rPr>
        <w:t>(Gilbert et al., 2006)</w:t>
      </w:r>
      <w:r w:rsidRPr="00BD14B0">
        <w:fldChar w:fldCharType="end"/>
      </w:r>
      <w:r w:rsidRPr="00BD14B0">
        <w:t xml:space="preserve">. Importantly, the </w:t>
      </w:r>
      <w:proofErr w:type="spellStart"/>
      <w:r w:rsidRPr="00BD14B0">
        <w:t>mPFC</w:t>
      </w:r>
      <w:proofErr w:type="spellEnd"/>
      <w:r w:rsidRPr="00BD14B0">
        <w:t xml:space="preserve"> is not a common mirror neuron region, which means that this region is not highly related to mimicking other</w:t>
      </w:r>
      <w:r w:rsidR="00647507" w:rsidRPr="00BD14B0">
        <w:t>s</w:t>
      </w:r>
      <w:r w:rsidRPr="00BD14B0">
        <w:t xml:space="preserve">’ actions. The </w:t>
      </w:r>
      <w:proofErr w:type="spellStart"/>
      <w:r w:rsidRPr="00BD14B0">
        <w:t>mPFC</w:t>
      </w:r>
      <w:proofErr w:type="spellEnd"/>
      <w:r w:rsidRPr="00BD14B0">
        <w:t xml:space="preserve"> is more responsive to averted gaze compared to direct gaze with the possibility of </w:t>
      </w:r>
      <w:r w:rsidRPr="00BD14B0">
        <w:rPr>
          <w:lang w:eastAsia="en-US"/>
        </w:rPr>
        <w:t xml:space="preserve">the connection of the </w:t>
      </w:r>
      <w:proofErr w:type="spellStart"/>
      <w:r w:rsidRPr="00BD14B0">
        <w:rPr>
          <w:lang w:eastAsia="en-US"/>
        </w:rPr>
        <w:t>mPFC</w:t>
      </w:r>
      <w:proofErr w:type="spellEnd"/>
      <w:r w:rsidRPr="00BD14B0">
        <w:rPr>
          <w:lang w:eastAsia="en-US"/>
        </w:rPr>
        <w:t xml:space="preserve"> </w:t>
      </w:r>
      <w:r w:rsidRPr="00BD14B0">
        <w:t xml:space="preserve">inferring mental states inferring through joint attention </w:t>
      </w:r>
      <w:r w:rsidRPr="00BD14B0">
        <w:fldChar w:fldCharType="begin" w:fldLock="1"/>
      </w:r>
      <w:r w:rsidR="0028287E" w:rsidRPr="00BD14B0">
        <w:instrText>ADDIN CSL_CITATION {"citationItems":[{"id":"ITEM-1","itemData":{"DOI":"10.1016/S0028-3932(02)00008-8","ISSN":"00283932","abstract":"Baron-Cohen [Mindblindness: an essay on autism and theory of mind. Cambridge, MA: MIT Press, 1997] has suggested that the interpretation of gaze plays an important role in a normal functioning theory of mind (ToM) system. Consistent with this suggestion, functional imaging research has shown that both ToM tasks and eye gaze processing engage a similar region of the posterior superior temporal sulcus (STS). However, a second brain region associated with ToM, the medial prefrontal (MPF) cortex, has not been identified by previous eye gaze studies. We discuss the methodological issues that may account for the absence of MPF activation in these experiments and present a PET study that controls for these factors. Our experiment included three conditions in which the proportions of faces gazing at, and away from, the participant, were as follows: 100% direct [0% averted], 50% direct—50% averted, and 100% horizontally averted [0% direct]. Two control conditions were also included in which the faces’ gaze were averted down, or their eyes were closed. Contrasts comparing the gaze conditions with each of the control conditions revealed medial frontal involvement. Parametric analyses showed a significant linear relationship between increasing proportions of horizontally averted gaze and increased rCBF in the MPF cortex. The opposite parametric analysis (increasing proportions of direct gaze) was associated with increased rCBF in a number of areas including the superior and medial temporal gyri. Additional subtraction contrasts largely confirmed these patterns. Our results demonstrate a considerable degree of overlap between the medial frontal areas involved in eye gaze processing and theory of mind tasks.","author":[{"dropping-particle":"","family":"Calder","given":"Andrew J","non-dropping-particle":"","parse-names":false,"suffix":""},{"dropping-particle":"","family":"Lawrence","given":"Andrew D","non-dropping-particle":"","parse-names":false,"suffix":""},{"dropping-particle":"","family":"Keane","given":"Jill","non-dropping-particle":"","parse-names":false,"suffix":""},{"dropping-particle":"","family":"Scott","given":"Sophie K","non-dropping-particle":"","parse-names":false,"suffix":""},{"dropping-particle":"","family":"Owen","given":"Adrian M","non-dropping-particle":"","parse-names":false,"suffix":""},{"dropping-particle":"","family":"Christoffels","given":"Ingrid","non-dropping-particle":"","parse-names":false,"suffix":""},{"dropping-particle":"","family":"Young","given":"Andrew W","non-dropping-particle":"","parse-names":false,"suffix":""}],"container-title":"Neuropsychologia","id":"ITEM-1","issue":"8","issued":{"date-parts":[["2002","1"]]},"page":"1129-1138","title":"Reading the mind from eye gaze","type":"article-journal","volume":"40"},"uris":["http://www.mendeley.com/documents/?uuid=97742f53-b8c1-4afd-b4a2-9af5c455737f"]}],"mendeley":{"formattedCitation":"(A. J. Calder et al., 2002)","manualFormatting":"(Calder et al., 2002)","plainTextFormattedCitation":"(A. J. Calder et al., 2002)","previouslyFormattedCitation":"(A. J. Calder et al., 2002)"},"properties":{"noteIndex":0},"schema":"https://github.com/citation-style-language/schema/raw/master/csl-citation.json"}</w:instrText>
      </w:r>
      <w:r w:rsidRPr="00BD14B0">
        <w:fldChar w:fldCharType="separate"/>
      </w:r>
      <w:r w:rsidR="004D2901" w:rsidRPr="00BD14B0">
        <w:rPr>
          <w:noProof/>
        </w:rPr>
        <w:t>(Calder et al., 2002)</w:t>
      </w:r>
      <w:r w:rsidRPr="00BD14B0">
        <w:fldChar w:fldCharType="end"/>
      </w:r>
      <w:r w:rsidRPr="00BD14B0">
        <w:t xml:space="preserve">. </w:t>
      </w:r>
      <w:r w:rsidRPr="00BD14B0">
        <w:fldChar w:fldCharType="begin" w:fldLock="1"/>
      </w:r>
      <w:r w:rsidR="004D2901" w:rsidRPr="00BD14B0">
        <w:instrText>ADDIN CSL_CITATION {"citationItems":[{"id":"ITEM-1","itemData":{"DOI":"10.1016/j.neuroimage.2010.01.052","ISSN":"10538119","PMID":"20096792","abstract":"Cooperative social interaction is critical for human social development and learning. Despite the importance of social interaction, previous neuroimaging studies lack two fundamental components of everyday face-to-face interactions: contingent responding and joint attention. In the current studies, functional MRI data were collected while participants interacted with a human experimenter face-to-face via live video feed as they engaged in simple cooperative games. In Experiment 1, participants engaged in a live interaction with the experimenter (\"Live\") or watched a video of the same interaction (\"Recorded\"). During the \"Live\" interaction, as compared to the Recorded conditions, greater activation was seen in brain regions involved in social cognition and reward, including the right temporoparietal junction (rTPJ), anterior cingulate cortex (ACC), right superior temporal sulcus (rSTS), ventral striatum, and amygdala. Experiment 2 isolated joint attention, a critical component of social interaction. Participants either followed the gaze of the live experimenter to a shared target of attention (\"Joint Attention\") or found the target of attention alone while the experimenter was visible but not sharing attention (\"Solo Attention\"). The right temporoparietal junction and right posterior STS were differentially recruited during Joint, as compared to Solo, attention. These findings suggest the rpSTS and rTPJ are key regions for both social interaction and joint attention. This method of allowing online, contingent social interactions in the scanner could open up new avenues of research in social cognitive neuroscience, both in typical and atypical populations.","author":[{"dropping-particle":"","family":"Redcay","given":"Elizabeth","non-dropping-particle":"","parse-names":false,"suffix":""},{"dropping-particle":"","family":"Dodell-Feder","given":"David","non-dropping-particle":"","parse-names":false,"suffix":""},{"dropping-particle":"","family":"Pearrow","given":"Mark J","non-dropping-particle":"","parse-names":false,"suffix":""},{"dropping-particle":"","family":"Mavros","given":"Penelope L","non-dropping-particle":"","parse-names":false,"suffix":""},{"dropping-particle":"","family":"Kleiner","given":"Mario","non-dropping-particle":"","parse-names":false,"suffix":""},{"dropping-particle":"","family":"Gabrieli","given":"John D.E.","non-dropping-particle":"","parse-names":false,"suffix":""},{"dropping-particle":"","family":"Saxe","given":"Rebecca","non-dropping-particle":"","parse-names":false,"suffix":""}],"container-title":"NeuroImage","id":"ITEM-1","issue":"4","issued":{"date-parts":[["2010","5"]]},"language":"eng","page":"1639-1647","title":"Live face-to-face interaction during fMRI: A new tool for social cognitive neuroscience","type":"article-journal","volume":"50"},"uris":["http://www.mendeley.com/documents/?uuid=358b1d53-599e-40bc-b71c-2b6d01ed555e"]}],"mendeley":{"formattedCitation":"(Redcay et al., 2010)","manualFormatting":"Redcay et al. (2010)","plainTextFormattedCitation":"(Redcay et al., 2010)","previouslyFormattedCitation":"(Redcay et al., 2010)"},"properties":{"noteIndex":0},"schema":"https://github.com/citation-style-language/schema/raw/master/csl-citation.json"}</w:instrText>
      </w:r>
      <w:r w:rsidRPr="00BD14B0">
        <w:fldChar w:fldCharType="separate"/>
      </w:r>
      <w:r w:rsidRPr="00BD14B0">
        <w:rPr>
          <w:noProof/>
        </w:rPr>
        <w:t>Redcay et al. (2010)</w:t>
      </w:r>
      <w:r w:rsidRPr="00BD14B0">
        <w:fldChar w:fldCharType="end"/>
      </w:r>
      <w:r w:rsidRPr="00BD14B0">
        <w:t xml:space="preserve"> reported that the </w:t>
      </w:r>
      <w:proofErr w:type="spellStart"/>
      <w:r w:rsidRPr="00BD14B0">
        <w:rPr>
          <w:lang w:eastAsia="en-US"/>
        </w:rPr>
        <w:t>mPFC</w:t>
      </w:r>
      <w:proofErr w:type="spellEnd"/>
      <w:r w:rsidRPr="00BD14B0">
        <w:rPr>
          <w:lang w:eastAsia="en-US"/>
        </w:rPr>
        <w:t xml:space="preserve"> is particularly engaged in real social interactions.</w:t>
      </w:r>
      <w:r w:rsidRPr="00BD14B0">
        <w:t xml:space="preserve"> </w:t>
      </w:r>
      <w:r w:rsidRPr="00BD14B0">
        <w:rPr>
          <w:lang w:eastAsia="en-US"/>
        </w:rPr>
        <w:t xml:space="preserve">The authors </w:t>
      </w:r>
      <w:r w:rsidRPr="00BD14B0">
        <w:rPr>
          <w:lang w:eastAsia="en-US"/>
        </w:rPr>
        <w:lastRenderedPageBreak/>
        <w:t xml:space="preserve">suggested that when playing a joint attention game, the </w:t>
      </w:r>
      <w:proofErr w:type="spellStart"/>
      <w:r w:rsidRPr="00BD14B0">
        <w:rPr>
          <w:lang w:eastAsia="en-US"/>
        </w:rPr>
        <w:t>mPFC</w:t>
      </w:r>
      <w:proofErr w:type="spellEnd"/>
      <w:r w:rsidRPr="00BD14B0">
        <w:rPr>
          <w:lang w:eastAsia="en-US"/>
        </w:rPr>
        <w:t xml:space="preserve"> is preferentially engaged when the participant follows the eye of an actor to locate a target compared to when the participant is looking for the target alone while the actor blinks. To conclude, evidence indicates that the eye gaze system has more functions than just following the eyes in space. Such structures seem to build on each other, indicating their development as the environmental needs for complex social living have increased. The gaze following system may determine the gazer’s eye direction via the STS and reorient attention via the IPC. The biological motion cues of eye gaze actives the </w:t>
      </w:r>
      <w:proofErr w:type="spellStart"/>
      <w:r w:rsidRPr="00BD14B0">
        <w:rPr>
          <w:lang w:eastAsia="en-US"/>
        </w:rPr>
        <w:t>pSTS</w:t>
      </w:r>
      <w:proofErr w:type="spellEnd"/>
      <w:r w:rsidRPr="00BD14B0">
        <w:rPr>
          <w:lang w:eastAsia="en-US"/>
        </w:rPr>
        <w:t xml:space="preserve"> for further processing of mentalistic information with </w:t>
      </w:r>
      <w:proofErr w:type="spellStart"/>
      <w:r w:rsidRPr="00BD14B0">
        <w:t>mPFC</w:t>
      </w:r>
      <w:proofErr w:type="spellEnd"/>
      <w:r w:rsidRPr="00BD14B0">
        <w:t xml:space="preserve"> regions.</w:t>
      </w:r>
    </w:p>
    <w:p w14:paraId="672B3171" w14:textId="2610FDFE" w:rsidR="000A1220" w:rsidRPr="00BD14B0" w:rsidRDefault="000A1220" w:rsidP="00553E01"/>
    <w:p w14:paraId="0AEB4944" w14:textId="363BE58B" w:rsidR="00185B26" w:rsidRPr="00BD14B0" w:rsidRDefault="001B6377" w:rsidP="00553E01">
      <w:pPr>
        <w:pStyle w:val="Heading2"/>
      </w:pPr>
      <w:bookmarkStart w:id="19" w:name="_Toc108310754"/>
      <w:r w:rsidRPr="00BD14B0">
        <w:t xml:space="preserve">Why </w:t>
      </w:r>
      <w:r w:rsidR="00780000" w:rsidRPr="00BD14B0">
        <w:t>E</w:t>
      </w:r>
      <w:r w:rsidRPr="00BD14B0">
        <w:t xml:space="preserve">ye </w:t>
      </w:r>
      <w:r w:rsidR="00780000" w:rsidRPr="00BD14B0">
        <w:t>G</w:t>
      </w:r>
      <w:r w:rsidRPr="00BD14B0">
        <w:t xml:space="preserve">aze is </w:t>
      </w:r>
      <w:r w:rsidR="00780000" w:rsidRPr="00BD14B0">
        <w:t>I</w:t>
      </w:r>
      <w:r w:rsidRPr="00BD14B0">
        <w:t>nformative</w:t>
      </w:r>
      <w:bookmarkEnd w:id="19"/>
      <w:r w:rsidRPr="00BD14B0">
        <w:t xml:space="preserve"> </w:t>
      </w:r>
    </w:p>
    <w:p w14:paraId="64572A78" w14:textId="4E3103A0" w:rsidR="006D2026" w:rsidRPr="00BD14B0" w:rsidRDefault="006D2026" w:rsidP="00553E01">
      <w:pPr>
        <w:rPr>
          <w:rFonts w:eastAsia="Calibri"/>
          <w:u w:color="000000"/>
          <w:bdr w:val="nil"/>
          <w:lang w:eastAsia="zh-CN"/>
        </w:rPr>
      </w:pPr>
      <w:r w:rsidRPr="00BD14B0">
        <w:rPr>
          <w:rFonts w:eastAsia="Calibri"/>
          <w:u w:color="000000"/>
          <w:bdr w:val="nil"/>
          <w:lang w:eastAsia="zh-CN"/>
        </w:rPr>
        <w:tab/>
      </w:r>
      <w:r w:rsidR="00784D6C" w:rsidRPr="00BD14B0">
        <w:rPr>
          <w:rFonts w:eastAsia="Calibri"/>
          <w:u w:color="000000"/>
          <w:bdr w:val="nil"/>
          <w:lang w:eastAsia="zh-CN"/>
        </w:rPr>
        <w:t xml:space="preserve">Animals, including humans, have developed the ability to </w:t>
      </w:r>
      <w:r w:rsidR="00361F91" w:rsidRPr="00BD14B0">
        <w:rPr>
          <w:rFonts w:eastAsia="Calibri"/>
          <w:u w:color="000000"/>
          <w:bdr w:val="nil"/>
          <w:lang w:eastAsia="zh-CN"/>
        </w:rPr>
        <w:t>orient their attention rapidly and automatically</w:t>
      </w:r>
      <w:r w:rsidR="00784D6C" w:rsidRPr="00BD14B0">
        <w:rPr>
          <w:rFonts w:eastAsia="Calibri"/>
          <w:u w:color="000000"/>
          <w:bdr w:val="nil"/>
          <w:lang w:eastAsia="zh-CN"/>
        </w:rPr>
        <w:t xml:space="preserve"> to the location where the gaze of another person has been directed in order to detect valuable sources and potentially relevant events. Animals appear to have a basic ability to follow gazes automatically, suggesting an evolutional basis to social cognition and social attention </w:t>
      </w:r>
      <w:r w:rsidR="00784D6C" w:rsidRPr="00BD14B0">
        <w:rPr>
          <w:rFonts w:eastAsia="Calibri"/>
          <w:u w:color="000000"/>
          <w:bdr w:val="nil"/>
          <w:lang w:eastAsia="zh-CN"/>
        </w:rPr>
        <w:fldChar w:fldCharType="begin" w:fldLock="1"/>
      </w:r>
      <w:r w:rsidR="004D2901" w:rsidRPr="00BD14B0">
        <w:rPr>
          <w:rFonts w:eastAsia="Calibri"/>
          <w:u w:color="000000"/>
          <w:bdr w:val="nil"/>
          <w:lang w:eastAsia="zh-CN"/>
        </w:rPr>
        <w:instrText>ADDIN CSL_CITATION {"citationItems":[{"id":"ITEM-1","itemData":{"DOI":"10.3389/fnint.2010.00005","ISSN":"16625145","author":[{"dropping-particle":"V","family":"Shepherd","given":"Stephen","non-dropping-particle":"","parse-names":false,"suffix":""}],"container-title":"Frontiers in Integrative Neuroscience","id":"ITEM-1","issue":"2010","issued":{"date-parts":[["2010"]]},"title":"Following gaze: Gaze- following behavior as a window into social cognition","type":"article-journal"},"uris":["http://www.mendeley.com/documents/?uuid=7bae92c5-698a-4f64-aafa-f18b876da125"]}],"mendeley":{"formattedCitation":"(Stephen V Shepherd, 2010)","manualFormatting":"(Shepherd, 2010)","plainTextFormattedCitation":"(Stephen V Shepherd, 2010)","previouslyFormattedCitation":"(Stephen V Shepherd, 2010)"},"properties":{"noteIndex":0},"schema":"https://github.com/citation-style-language/schema/raw/master/csl-citation.json"}</w:instrText>
      </w:r>
      <w:r w:rsidR="00784D6C" w:rsidRPr="00BD14B0">
        <w:rPr>
          <w:rFonts w:eastAsia="Calibri"/>
          <w:u w:color="000000"/>
          <w:bdr w:val="nil"/>
          <w:lang w:eastAsia="zh-CN"/>
        </w:rPr>
        <w:fldChar w:fldCharType="separate"/>
      </w:r>
      <w:r w:rsidR="00784D6C" w:rsidRPr="00BD14B0">
        <w:rPr>
          <w:rFonts w:eastAsia="Calibri"/>
          <w:noProof/>
          <w:u w:color="000000"/>
          <w:bdr w:val="nil"/>
          <w:lang w:eastAsia="zh-CN"/>
        </w:rPr>
        <w:t>(Shepherd, 2010)</w:t>
      </w:r>
      <w:r w:rsidR="00784D6C" w:rsidRPr="00BD14B0">
        <w:rPr>
          <w:rFonts w:eastAsia="Calibri"/>
          <w:u w:color="000000"/>
          <w:bdr w:val="nil"/>
          <w:lang w:eastAsia="zh-CN"/>
        </w:rPr>
        <w:fldChar w:fldCharType="end"/>
      </w:r>
      <w:r w:rsidR="00784D6C" w:rsidRPr="00BD14B0">
        <w:rPr>
          <w:rFonts w:eastAsia="Calibri"/>
          <w:u w:color="000000"/>
          <w:bdr w:val="nil"/>
          <w:lang w:eastAsia="zh-CN"/>
        </w:rPr>
        <w:t xml:space="preserve">. In the classical cueing paradigm, participants were asked to detect a target stimulus (typically an arrow or cartoon of a human face) that appeared on the either left or the right side of the screen by either pressing a button or via eye fixation. These studies were measuring the effect of cueing direction and reaction times in the cued direction in comparison to the un-cued direction. </w:t>
      </w:r>
    </w:p>
    <w:p w14:paraId="742BAB3E" w14:textId="01450467" w:rsidR="00784D6C" w:rsidRPr="00BD14B0" w:rsidRDefault="006D2026" w:rsidP="00553E01">
      <w:pPr>
        <w:rPr>
          <w:rFonts w:eastAsia="Calibri"/>
          <w:u w:color="000000"/>
          <w:bdr w:val="nil"/>
          <w:lang w:eastAsia="zh-CN"/>
        </w:rPr>
      </w:pPr>
      <w:r w:rsidRPr="00BD14B0">
        <w:rPr>
          <w:rFonts w:eastAsia="Calibri"/>
          <w:u w:color="000000"/>
          <w:bdr w:val="nil"/>
          <w:lang w:eastAsia="zh-CN"/>
        </w:rPr>
        <w:tab/>
      </w:r>
      <w:r w:rsidR="00784D6C" w:rsidRPr="00BD14B0">
        <w:rPr>
          <w:rFonts w:eastAsia="Calibri"/>
          <w:u w:color="000000"/>
          <w:bdr w:val="nil"/>
          <w:lang w:eastAsia="zh-CN"/>
        </w:rPr>
        <w:t>An early, seminal study in this field was</w:t>
      </w:r>
      <w:r w:rsidR="00784D6C" w:rsidRPr="00BD14B0" w:rsidDel="00277DEF">
        <w:rPr>
          <w:rFonts w:eastAsia="Calibri"/>
          <w:u w:color="000000"/>
          <w:bdr w:val="nil"/>
          <w:lang w:eastAsia="zh-CN"/>
        </w:rPr>
        <w:t xml:space="preserve"> </w:t>
      </w:r>
      <w:r w:rsidR="00784D6C" w:rsidRPr="00BD14B0">
        <w:rPr>
          <w:rFonts w:eastAsia="Calibri"/>
          <w:u w:color="000000"/>
          <w:bdr w:val="nil"/>
          <w:lang w:eastAsia="zh-CN"/>
        </w:rPr>
        <w:t>conducted by</w:t>
      </w:r>
      <w:r w:rsidR="00784D6C" w:rsidRPr="00BD14B0">
        <w:rPr>
          <w:rFonts w:eastAsia="Calibri"/>
          <w:u w:color="000000"/>
          <w:bdr w:val="nil"/>
          <w:lang w:eastAsia="zh-CN"/>
        </w:rPr>
        <w:fldChar w:fldCharType="begin" w:fldLock="1"/>
      </w:r>
      <w:r w:rsidR="004D2901" w:rsidRPr="00BD14B0">
        <w:rPr>
          <w:rFonts w:eastAsia="Calibri"/>
          <w:u w:color="000000"/>
          <w:bdr w:val="nil"/>
          <w:lang w:eastAsia="zh-CN"/>
        </w:rPr>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 Friesen and Kingstone (1998)","plainTextFormattedCitation":"(C. K. Friesen &amp; Kingstone, 1998)","previouslyFormattedCitation":"(C. K. Friesen &amp; Kingstone, 1998)"},"properties":{"noteIndex":0},"schema":"https://github.com/citation-style-language/schema/raw/master/csl-citation.json"}</w:instrText>
      </w:r>
      <w:r w:rsidR="00784D6C" w:rsidRPr="00BD14B0">
        <w:rPr>
          <w:rFonts w:eastAsia="Calibri"/>
          <w:u w:color="000000"/>
          <w:bdr w:val="nil"/>
          <w:lang w:eastAsia="zh-CN"/>
        </w:rPr>
        <w:fldChar w:fldCharType="separate"/>
      </w:r>
      <w:r w:rsidR="00784D6C" w:rsidRPr="00BD14B0">
        <w:rPr>
          <w:rFonts w:eastAsia="Calibri"/>
          <w:noProof/>
          <w:u w:color="000000"/>
          <w:bdr w:val="nil"/>
          <w:lang w:eastAsia="zh-CN"/>
        </w:rPr>
        <w:t xml:space="preserve"> Friesen and Kingstone (1998)</w:t>
      </w:r>
      <w:r w:rsidR="00784D6C" w:rsidRPr="00BD14B0">
        <w:rPr>
          <w:rFonts w:eastAsia="Calibri"/>
          <w:u w:color="000000"/>
          <w:bdr w:val="nil"/>
          <w:lang w:eastAsia="zh-CN"/>
        </w:rPr>
        <w:fldChar w:fldCharType="end"/>
      </w:r>
      <w:r w:rsidR="00784D6C" w:rsidRPr="00BD14B0">
        <w:rPr>
          <w:rFonts w:eastAsia="Calibri"/>
          <w:u w:color="000000"/>
          <w:bdr w:val="nil"/>
          <w:lang w:eastAsia="zh-CN"/>
        </w:rPr>
        <w:t>. In their study, eye symbols represented by black circles within larger white circles were used (</w:t>
      </w:r>
      <w:r w:rsidR="00784D6C" w:rsidRPr="00BD14B0">
        <w:rPr>
          <w:rFonts w:eastAsia="Calibri"/>
          <w:u w:color="000000"/>
          <w:bdr w:val="nil"/>
          <w:lang w:eastAsia="zh-CN"/>
        </w:rPr>
        <w:fldChar w:fldCharType="begin" w:fldLock="1"/>
      </w:r>
      <w:r w:rsidR="00784D6C" w:rsidRPr="00BD14B0">
        <w:rPr>
          <w:rFonts w:eastAsia="Calibri"/>
          <w:u w:color="000000"/>
          <w:bdr w:val="nil"/>
          <w:lang w:eastAsia="zh-CN"/>
        </w:rPr>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1998)","manualFormatting":"Friesen &amp; Kingstone, 1998)","plainTextFormattedCitation":"(C. K. Friesen &amp; Kingstone, 1998)","previouslyFormattedCitation":"(C. K. Friesen &amp; Kingstone, 1998)"},"properties":{"noteIndex":0},"schema":"https://github.com/citation-style-language/schema/raw/master/csl-citation.json"}</w:instrText>
      </w:r>
      <w:r w:rsidR="00784D6C" w:rsidRPr="00BD14B0">
        <w:rPr>
          <w:rFonts w:eastAsia="Calibri"/>
          <w:u w:color="000000"/>
          <w:bdr w:val="nil"/>
          <w:lang w:eastAsia="zh-CN"/>
        </w:rPr>
        <w:fldChar w:fldCharType="separate"/>
      </w:r>
      <w:r w:rsidR="00784D6C" w:rsidRPr="00BD14B0">
        <w:rPr>
          <w:rFonts w:eastAsia="Calibri"/>
          <w:noProof/>
          <w:u w:color="000000"/>
          <w:bdr w:val="nil"/>
          <w:lang w:eastAsia="zh-CN"/>
        </w:rPr>
        <w:t>Friesen &amp; Kingstone, 1998)</w:t>
      </w:r>
      <w:r w:rsidR="00784D6C" w:rsidRPr="00BD14B0">
        <w:rPr>
          <w:rFonts w:eastAsia="Calibri"/>
          <w:u w:color="000000"/>
          <w:bdr w:val="nil"/>
          <w:lang w:eastAsia="zh-CN"/>
        </w:rPr>
        <w:fldChar w:fldCharType="end"/>
      </w:r>
      <w:r w:rsidR="00784D6C" w:rsidRPr="00BD14B0">
        <w:rPr>
          <w:rFonts w:eastAsia="Calibri"/>
          <w:u w:color="000000"/>
          <w:bdr w:val="nil"/>
          <w:lang w:eastAsia="zh-CN"/>
        </w:rPr>
        <w:t>. By presenting dark circles on either the right or left, this study found that when the cued location and the target were in the same side participants were quicker to correctly respond than incorrect ones.</w:t>
      </w:r>
      <w:r w:rsidR="00784D6C" w:rsidRPr="00BD14B0">
        <w:rPr>
          <w:rFonts w:eastAsia="Calibri"/>
          <w:u w:color="000000"/>
          <w:bdr w:val="nil"/>
          <w:lang w:eastAsia="zh-CN"/>
        </w:rPr>
        <w:fldChar w:fldCharType="begin" w:fldLock="1"/>
      </w:r>
      <w:r w:rsidR="004D2901" w:rsidRPr="00BD14B0">
        <w:rPr>
          <w:rFonts w:eastAsia="Calibri"/>
          <w:u w:color="000000"/>
          <w:bdr w:val="nil"/>
          <w:lang w:eastAsia="zh-CN"/>
        </w:rPr>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 Friesen and Kingstone (1998)","plainTextFormattedCitation":"(C. K. Friesen &amp; Kingstone, 1998)","previouslyFormattedCitation":"(C. K. Friesen &amp; Kingstone, 1998)"},"properties":{"noteIndex":0},"schema":"https://github.com/citation-style-language/schema/raw/master/csl-citation.json"}</w:instrText>
      </w:r>
      <w:r w:rsidR="00784D6C" w:rsidRPr="00BD14B0">
        <w:rPr>
          <w:rFonts w:eastAsia="Calibri"/>
          <w:u w:color="000000"/>
          <w:bdr w:val="nil"/>
          <w:lang w:eastAsia="zh-CN"/>
        </w:rPr>
        <w:fldChar w:fldCharType="separate"/>
      </w:r>
      <w:r w:rsidR="00784D6C" w:rsidRPr="00BD14B0">
        <w:rPr>
          <w:rFonts w:eastAsia="Calibri"/>
          <w:noProof/>
          <w:u w:color="000000"/>
          <w:bdr w:val="nil"/>
          <w:lang w:eastAsia="zh-CN"/>
        </w:rPr>
        <w:t xml:space="preserve"> Friesen and Kingstone (1998)</w:t>
      </w:r>
      <w:r w:rsidR="00784D6C" w:rsidRPr="00BD14B0">
        <w:rPr>
          <w:rFonts w:eastAsia="Calibri"/>
          <w:u w:color="000000"/>
          <w:bdr w:val="nil"/>
          <w:lang w:eastAsia="zh-CN"/>
        </w:rPr>
        <w:fldChar w:fldCharType="end"/>
      </w:r>
      <w:r w:rsidR="00784D6C" w:rsidRPr="00BD14B0">
        <w:rPr>
          <w:rFonts w:eastAsia="Calibri"/>
          <w:u w:color="000000"/>
          <w:bdr w:val="nil"/>
          <w:lang w:eastAsia="zh-CN"/>
        </w:rPr>
        <w:t xml:space="preserve"> conducted a study in which a central un-predictive gaze was used as a cue to orient attention to either left or right side of the computer screen. A target appeared in either the direction in which the gaze was directed or in an opposite location. Participants were typically faster to detect or identify the target when it appeared in the direction </w:t>
      </w:r>
      <w:r w:rsidR="00361F91" w:rsidRPr="00BD14B0">
        <w:rPr>
          <w:rFonts w:eastAsia="Calibri"/>
          <w:u w:color="000000"/>
          <w:bdr w:val="nil"/>
          <w:lang w:eastAsia="zh-CN"/>
        </w:rPr>
        <w:t>signalled</w:t>
      </w:r>
      <w:r w:rsidR="00784D6C" w:rsidRPr="00BD14B0">
        <w:rPr>
          <w:rFonts w:eastAsia="Calibri"/>
          <w:u w:color="000000"/>
          <w:bdr w:val="nil"/>
          <w:lang w:eastAsia="zh-CN"/>
        </w:rPr>
        <w:t xml:space="preserve"> by the eye gaze, as compared to when it is presented in other locations (‘gaze effect’). This is </w:t>
      </w:r>
      <w:r w:rsidR="00784D6C" w:rsidRPr="00BD14B0">
        <w:rPr>
          <w:rFonts w:eastAsia="Calibri"/>
          <w:u w:color="000000"/>
          <w:bdr w:val="nil"/>
          <w:lang w:eastAsia="zh-CN"/>
        </w:rPr>
        <w:lastRenderedPageBreak/>
        <w:t xml:space="preserve">also called as the gaze cueing effect and supported by the classical gaze cueing study conducted by </w:t>
      </w:r>
      <w:r w:rsidR="00784D6C" w:rsidRPr="00BD14B0">
        <w:rPr>
          <w:rFonts w:eastAsia="Calibri"/>
          <w:u w:color="000000"/>
          <w:bdr w:val="nil"/>
          <w:lang w:eastAsia="zh-CN"/>
        </w:rPr>
        <w:fldChar w:fldCharType="begin" w:fldLock="1"/>
      </w:r>
      <w:r w:rsidR="00784D6C" w:rsidRPr="00BD14B0">
        <w:rPr>
          <w:rFonts w:eastAsia="Calibri"/>
          <w:u w:color="000000"/>
          <w:bdr w:val="nil"/>
          <w:lang w:eastAsia="zh-CN"/>
        </w:rPr>
        <w:instrText>ADDIN CSL_CITATION {"citationItems":[{"id":"ITEM-1","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Cognition","id":"ITEM-1","issue":"5","issued":{"date-parts":[["1999"]]},"page":"509-540","title":"Gaze perception triggers reflexive visuospatial orienting","type":"article-journal","volume":"6"},"uris":["http://www.mendeley.com/documents/?uuid=d75d6f62-db29-416a-8682-3ddf8bb6262f"]}],"mendeley":{"formattedCitation":"(Driver et al., 1999)","manualFormatting":"Driver et al. (1999)","plainTextFormattedCitation":"(Driver et al., 1999)","previouslyFormattedCitation":"(Driver et al., 1999)"},"properties":{"noteIndex":0},"schema":"https://github.com/citation-style-language/schema/raw/master/csl-citation.json"}</w:instrText>
      </w:r>
      <w:r w:rsidR="00784D6C" w:rsidRPr="00BD14B0">
        <w:rPr>
          <w:rFonts w:eastAsia="Calibri"/>
          <w:u w:color="000000"/>
          <w:bdr w:val="nil"/>
          <w:lang w:eastAsia="zh-CN"/>
        </w:rPr>
        <w:fldChar w:fldCharType="separate"/>
      </w:r>
      <w:r w:rsidR="00784D6C" w:rsidRPr="00BD14B0">
        <w:rPr>
          <w:rFonts w:eastAsia="Calibri"/>
          <w:noProof/>
          <w:u w:color="000000"/>
          <w:bdr w:val="nil"/>
          <w:lang w:eastAsia="zh-CN"/>
        </w:rPr>
        <w:t>Driver et al. (1999)</w:t>
      </w:r>
      <w:r w:rsidR="00784D6C" w:rsidRPr="00BD14B0">
        <w:rPr>
          <w:rFonts w:eastAsia="Calibri"/>
          <w:u w:color="000000"/>
          <w:bdr w:val="nil"/>
          <w:lang w:eastAsia="zh-CN"/>
        </w:rPr>
        <w:fldChar w:fldCharType="end"/>
      </w:r>
      <w:r w:rsidR="00784D6C" w:rsidRPr="00BD14B0">
        <w:rPr>
          <w:rFonts w:eastAsia="Calibri"/>
          <w:u w:color="000000"/>
          <w:bdr w:val="nil"/>
          <w:lang w:eastAsia="zh-CN"/>
        </w:rPr>
        <w:t xml:space="preserve"> where female faces looking either right or left on the screen were used in an experiment. Participants were told that the gaze cues are not informative about the location of the target. In the study, gaze cues were looking away from the target in 80% of the trials and participants still responded more quickly to the cued location (congruent trials) compared to non-cued trials (incongruent trials). This suggests that humans rapidly and automatically shift their visual attention in the direction of another’s gaze </w:t>
      </w:r>
      <w:r w:rsidR="00784D6C" w:rsidRPr="00BD14B0">
        <w:rPr>
          <w:rFonts w:eastAsia="Calibri"/>
          <w:u w:color="000000"/>
          <w:bdr w:val="nil"/>
          <w:lang w:eastAsia="zh-CN"/>
        </w:rPr>
        <w:fldChar w:fldCharType="begin" w:fldLock="1"/>
      </w:r>
      <w:r w:rsidR="00784D6C" w:rsidRPr="00BD14B0">
        <w:rPr>
          <w:rFonts w:eastAsia="Calibri"/>
          <w:u w:color="000000"/>
          <w:bdr w:val="nil"/>
          <w:lang w:eastAsia="zh-CN"/>
        </w:rPr>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id":"ITEM-2","itemData":{"DOI":"10.3758/APP.71.2.314","ISSN":"19433921","author":[{"dropping-particle":"","family":"Kuhn","given":"Gustav","non-dropping-particle":"","parse-names":false,"suffix":""},{"dropping-particle":"","family":"Kingstone","given":"Alan","non-dropping-particle":"","parse-names":false,"suffix":""}],"container-title":"Attention, Perception, and Psychophysics","id":"ITEM-2","issue":"2","issued":{"date-parts":[["2009"]]},"page":"314-327","title":"Look away! Eyes and arrows engage oculomotor responses automatically","type":"article-journal","volume":"71"},"uris":["http://www.mendeley.com/documents/?uuid=93dfdceb-1473-4459-933a-c9c932c98356"]}],"mendeley":{"formattedCitation":"(C. K. Friesen &amp; Kingstone, 1998; Kuhn &amp; Kingstone, 2009)","manualFormatting":"(Friesen &amp; Kingstone, 1998; Kuhn &amp; Kingstone, 2009)","plainTextFormattedCitation":"(C. K. Friesen &amp; Kingstone, 1998; Kuhn &amp; Kingstone, 2009)","previouslyFormattedCitation":"(C. K. Friesen &amp; Kingstone, 1998; Kuhn &amp; Kingstone, 2009)"},"properties":{"noteIndex":0},"schema":"https://github.com/citation-style-language/schema/raw/master/csl-citation.json"}</w:instrText>
      </w:r>
      <w:r w:rsidR="00784D6C" w:rsidRPr="00BD14B0">
        <w:rPr>
          <w:rFonts w:eastAsia="Calibri"/>
          <w:u w:color="000000"/>
          <w:bdr w:val="nil"/>
          <w:lang w:eastAsia="zh-CN"/>
        </w:rPr>
        <w:fldChar w:fldCharType="separate"/>
      </w:r>
      <w:r w:rsidR="00784D6C" w:rsidRPr="00BD14B0">
        <w:rPr>
          <w:rFonts w:eastAsia="Calibri"/>
          <w:noProof/>
          <w:u w:color="000000"/>
          <w:bdr w:val="nil"/>
          <w:lang w:eastAsia="zh-CN"/>
        </w:rPr>
        <w:t>(Friesen &amp; Kingstone, 1998; Kuhn &amp; Kingstone, 2009)</w:t>
      </w:r>
      <w:r w:rsidR="00784D6C" w:rsidRPr="00BD14B0">
        <w:rPr>
          <w:rFonts w:eastAsia="Calibri"/>
          <w:u w:color="000000"/>
          <w:bdr w:val="nil"/>
          <w:lang w:eastAsia="zh-CN"/>
        </w:rPr>
        <w:fldChar w:fldCharType="end"/>
      </w:r>
      <w:r w:rsidR="00784D6C" w:rsidRPr="00BD14B0">
        <w:rPr>
          <w:rFonts w:eastAsia="Calibri"/>
          <w:u w:color="000000"/>
          <w:bdr w:val="nil"/>
          <w:lang w:eastAsia="zh-CN"/>
        </w:rPr>
        <w:t xml:space="preserve">, even when they are told to expect targets at the opposite location </w:t>
      </w:r>
      <w:r w:rsidR="00784D6C" w:rsidRPr="00BD14B0">
        <w:rPr>
          <w:rFonts w:eastAsia="Calibri"/>
          <w:u w:color="000000"/>
          <w:bdr w:val="nil"/>
          <w:lang w:eastAsia="zh-CN"/>
        </w:rPr>
        <w:fldChar w:fldCharType="begin" w:fldLock="1"/>
      </w:r>
      <w:r w:rsidR="004D2901" w:rsidRPr="00BD14B0">
        <w:rPr>
          <w:rFonts w:eastAsia="Calibri"/>
          <w:u w:color="000000"/>
          <w:bdr w:val="nil"/>
          <w:lang w:eastAsia="zh-CN"/>
        </w:rPr>
        <w:instrText>ADDIN CSL_CITATION {"citationItems":[{"id":"ITEM-1","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Cognition","id":"ITEM-1","issue":"5","issued":{"date-parts":[["1999"]]},"page":"509-540","title":"Gaze perception triggers reflexive visuospatial orienting","type":"article-journal","volume":"6"},"uris":["http://www.mendeley.com/documents/?uuid=d75d6f62-db29-416a-8682-3ddf8bb6262f"]},{"id":"ITEM-2","itemData":{"DOI":"10.1037/0096-3445.133.4.516","ISSN":"00963445","author":[{"dropping-particle":"","family":"Frischen","given":"Alexandra","non-dropping-particle":"","parse-names":false,"suffix":""},{"dropping-particle":"","family":"Tipper","given":"Steven P","non-dropping-particle":"","parse-names":false,"suffix":""}],"container-title":"Journal of Experimental Psychology: General","id":"ITEM-2","issue":"4","issued":{"date-parts":[["2004"]]},"page":"516-533","title":"Orienting attention via observed gaze shift evokes longer term inhibitory effects: Implications for social interactions, attention, and memory","type":"article-journal","volume":"133"},"uris":["http://www.mendeley.com/documents/?uuid=bca0f169-1d1f-4f75-9f37-831cef3d847d"]},{"id":"ITEM-3","itemData":{"DOI":"10.1037/0033-2909.133.4.694","ISSN":"0033-2909","abstract":"During social interactions, people's eyes convey a wealth of information about their direction of attention and their emotional and mental states. This review aims to provide a comprehensive overview of past and current research into the perception of gaze behavior and its effect on the observer. This encompasses the perception of gaze direction and its influence on perception of the other person, as well as gaze-following behavior such as joint attention, in infant, adult, and clinical populations. Particular focus is given to the gaze-cueing paradigm that has been used to investigate the mechanisms of joint attention. The contribution of this paradigm has been significant and will likely continue to advance knowledge across diverse fields within psychology and neuroscience.","author":[{"dropping-particle":"","family":"Frischen","given":"Alexandra","non-dropping-particle":"","parse-names":false,"suffix":""},{"dropping-particle":"","family":"Bayliss","given":"Andrew P","non-dropping-particle":"","parse-names":false,"suffix":""},{"dropping-particle":"","family":"Tipper","given":"Steven P","non-dropping-particle":"","parse-names":false,"suffix":""}],"container-title":"Psychological Bulletin","id":"ITEM-3","issue":"4","issued":{"date-parts":[["2007"]]},"note":"Times Cited: 256\nTipper, Steven/I-6884-2012\nTipper, Steven/0000-0002-1554-0531\n263","page":"694-724","title":"Gaze cueing of attention: Visual attention, social cognition, and individual differences","type":"article-journal","volume":"133"},"uris":["http://www.mendeley.com/documents/?uuid=e2eb9afa-c516-4618-87bf-fe33cf7905fe"]}],"mendeley":{"formattedCitation":"(Driver et al., 1999; Frischen, Bayliss, et al., 2007; Frischen &amp; Tipper, 2004)","manualFormatting":"(e.g., Driver et al., 1999; Frischen, Bayliss, &amp; Tipper, 2007; Frischen &amp; Tipper, 2004)","plainTextFormattedCitation":"(Driver et al., 1999; Frischen, Bayliss, et al., 2007; Frischen &amp; Tipper, 2004)","previouslyFormattedCitation":"(Driver et al., 1999; Frischen, Bayliss, et al., 2007; Frischen &amp; Tipper, 2004)"},"properties":{"noteIndex":0},"schema":"https://github.com/citation-style-language/schema/raw/master/csl-citation.json"}</w:instrText>
      </w:r>
      <w:r w:rsidR="00784D6C" w:rsidRPr="00BD14B0">
        <w:rPr>
          <w:rFonts w:eastAsia="Calibri"/>
          <w:u w:color="000000"/>
          <w:bdr w:val="nil"/>
          <w:lang w:eastAsia="zh-CN"/>
        </w:rPr>
        <w:fldChar w:fldCharType="separate"/>
      </w:r>
      <w:r w:rsidR="00784D6C" w:rsidRPr="00BD14B0">
        <w:rPr>
          <w:rFonts w:eastAsia="Calibri"/>
          <w:noProof/>
          <w:u w:color="000000"/>
          <w:bdr w:val="nil"/>
          <w:lang w:eastAsia="zh-CN"/>
        </w:rPr>
        <w:t>(e.g., Driver et al., 1999; Frischen, Bayliss, &amp; Tipper, 2007; Frischen &amp; Tipper, 2004)</w:t>
      </w:r>
      <w:r w:rsidR="00784D6C" w:rsidRPr="00BD14B0">
        <w:rPr>
          <w:rFonts w:eastAsia="Calibri"/>
          <w:u w:color="000000"/>
          <w:bdr w:val="nil"/>
          <w:lang w:eastAsia="zh-CN"/>
        </w:rPr>
        <w:fldChar w:fldCharType="end"/>
      </w:r>
      <w:r w:rsidR="00784D6C" w:rsidRPr="00BD14B0">
        <w:rPr>
          <w:rFonts w:eastAsia="Calibri"/>
          <w:u w:color="000000"/>
          <w:bdr w:val="nil"/>
          <w:lang w:eastAsia="zh-CN"/>
        </w:rPr>
        <w:t xml:space="preserve">. So, when participants were presented with non-predictive eye gaze cues they still tend to be faster at responding to validly cued targets than invalidly cued ones </w:t>
      </w:r>
      <w:r w:rsidR="00784D6C" w:rsidRPr="00BD14B0">
        <w:rPr>
          <w:rFonts w:eastAsia="Calibri"/>
          <w:u w:color="000000"/>
          <w:bdr w:val="nil"/>
          <w:lang w:eastAsia="zh-CN"/>
        </w:rPr>
        <w:fldChar w:fldCharType="begin" w:fldLock="1"/>
      </w:r>
      <w:r w:rsidR="00784D6C" w:rsidRPr="00BD14B0">
        <w:rPr>
          <w:rFonts w:eastAsia="Calibri"/>
          <w:u w:color="000000"/>
          <w:bdr w:val="nil"/>
          <w:lang w:eastAsia="zh-CN"/>
        </w:rPr>
        <w:instrText>ADDIN CSL_CITATION {"citationItems":[{"id":"ITEM-1","itemData":{"DOI":"10.1080/13506280344000220","ISSN":"1350-6285","abstract":"Viewing another person directing his or her gaze can produce automatic shifts of covert visual attention in the same direction. This holds true even when the task-relevant target is much more likely to occur at the uncued location. These findings, along with other evidence, have been taken to suggest that gaze represents a \"special\" stimulus--the foundation of a social cognition system that can make inferences about the mental states of other people. However, gaze-driven cueing effects could simply be due to spatial compatibility between cue and target. We compared the attentional effects of gaze shifts to a face with the tongue extended laterally to the left or right. When tongue direction was a nonpredictive cue, we found cueing effects from tongues that were indistinguishable from those produced by gaze. However, in contrast to previous findings with gaze, tongue cues did not overcome a validity manipulation in which targets were four times more likely to appear at the uncued location. We conclude that simple attentional cueing effects from gaze may be better explained by spatial compatibility, and that more complex, unique features of cueing from gaze may be better indices into perceptual systems specialized for social cognition.","author":[{"dropping-particle":"","family":"Downing","given":"P E","non-dropping-particle":"","parse-names":false,"suffix":""},{"dropping-particle":"","family":"Dodds","given":"C M","non-dropping-particle":"","parse-names":false,"suffix":""},{"dropping-particle":"","family":"Bray","given":"D","non-dropping-particle":"","parse-names":false,"suffix":""}],"container-title":"Visual Cognition","id":"ITEM-1","issue":"1","issued":{"date-parts":[["2004"]]},"note":"Times Cited: 36\n36","page":"71-79","title":"Why does the gaze of others direct visual attention?","type":"article-journal","volume":"11"},"uris":["http://www.mendeley.com/documents/?uuid=351b5810-0b08-47ec-a257-7511cf1eac46"]}],"mendeley":{"formattedCitation":"(Downing et al., 2004)","plainTextFormattedCitation":"(Downing et al., 2004)","previouslyFormattedCitation":"(Downing et al., 2004)"},"properties":{"noteIndex":0},"schema":"https://github.com/citation-style-language/schema/raw/master/csl-citation.json"}</w:instrText>
      </w:r>
      <w:r w:rsidR="00784D6C" w:rsidRPr="00BD14B0">
        <w:rPr>
          <w:rFonts w:eastAsia="Calibri"/>
          <w:u w:color="000000"/>
          <w:bdr w:val="nil"/>
          <w:lang w:eastAsia="zh-CN"/>
        </w:rPr>
        <w:fldChar w:fldCharType="separate"/>
      </w:r>
      <w:r w:rsidR="00784D6C" w:rsidRPr="00BD14B0">
        <w:rPr>
          <w:rFonts w:eastAsia="Calibri"/>
          <w:noProof/>
          <w:u w:color="000000"/>
          <w:bdr w:val="nil"/>
          <w:lang w:eastAsia="zh-CN"/>
        </w:rPr>
        <w:t>(Downing et al., 2004)</w:t>
      </w:r>
      <w:r w:rsidR="00784D6C" w:rsidRPr="00BD14B0">
        <w:rPr>
          <w:rFonts w:eastAsia="Calibri"/>
          <w:u w:color="000000"/>
          <w:bdr w:val="nil"/>
          <w:lang w:eastAsia="zh-CN"/>
        </w:rPr>
        <w:fldChar w:fldCharType="end"/>
      </w:r>
      <w:r w:rsidR="00784D6C" w:rsidRPr="00BD14B0">
        <w:rPr>
          <w:rFonts w:eastAsia="Calibri"/>
          <w:u w:color="000000"/>
          <w:bdr w:val="nil"/>
          <w:lang w:eastAsia="zh-CN"/>
        </w:rPr>
        <w:t xml:space="preserve">. On the basis of these findings, some researchers have proposed that automatic orientation in the direction of the eye gaze may represent a unique attentional process that reflects the operation of a specialized cognitive mechanism </w:t>
      </w:r>
      <w:r w:rsidR="00784D6C" w:rsidRPr="00BD14B0">
        <w:rPr>
          <w:rFonts w:eastAsia="Calibri"/>
          <w:u w:color="000000"/>
          <w:bdr w:val="nil"/>
          <w:lang w:eastAsia="zh-CN"/>
        </w:rPr>
        <w:fldChar w:fldCharType="begin" w:fldLock="1"/>
      </w:r>
      <w:r w:rsidR="00784D6C" w:rsidRPr="00BD14B0">
        <w:rPr>
          <w:rFonts w:eastAsia="Calibri"/>
          <w:u w:color="000000"/>
          <w:bdr w:val="nil"/>
          <w:lang w:eastAsia="zh-CN"/>
        </w:rPr>
        <w:instrText>ADDIN CSL_CITATION {"citationItems":[{"id":"ITEM-1","itemData":{"ISSN":"1350-6285","author":[{"dropping-particle":"","family":"Langton","given":"Srh","non-dropping-particle":"","parse-names":false,"suffix":""},{"dropping-particle":"","family":"Bruce","given":"V","non-dropping-particle":"","parse-names":false,"suffix":""}],"container-title":"Visual Cognition","id":"ITEM-1","issue":"5","issued":{"date-parts":[["1999"]]},"page":"541-567","title":"Reflexive visual orienting in response to the social attention of others","type":"article-journal","volume":"6"},"uris":["http://www.mendeley.com/documents/?uuid=25178aac-749f-455c-ab17-7d0cd0292ef4"]}],"mendeley":{"formattedCitation":"(S. Langton &amp; Bruce, 1999)","manualFormatting":"(Langton &amp; Bruce, 1999)","plainTextFormattedCitation":"(S. Langton &amp; Bruce, 1999)","previouslyFormattedCitation":"(S. Langton &amp; Bruce, 1999)"},"properties":{"noteIndex":0},"schema":"https://github.com/citation-style-language/schema/raw/master/csl-citation.json"}</w:instrText>
      </w:r>
      <w:r w:rsidR="00784D6C" w:rsidRPr="00BD14B0">
        <w:rPr>
          <w:rFonts w:eastAsia="Calibri"/>
          <w:u w:color="000000"/>
          <w:bdr w:val="nil"/>
          <w:lang w:eastAsia="zh-CN"/>
        </w:rPr>
        <w:fldChar w:fldCharType="separate"/>
      </w:r>
      <w:r w:rsidR="00784D6C" w:rsidRPr="00BD14B0">
        <w:rPr>
          <w:rFonts w:eastAsia="Calibri"/>
          <w:noProof/>
          <w:u w:color="000000"/>
          <w:bdr w:val="nil"/>
          <w:lang w:eastAsia="zh-CN"/>
        </w:rPr>
        <w:t>(Langton &amp; Bruce, 1999)</w:t>
      </w:r>
      <w:r w:rsidR="00784D6C" w:rsidRPr="00BD14B0">
        <w:rPr>
          <w:rFonts w:eastAsia="Calibri"/>
          <w:u w:color="000000"/>
          <w:bdr w:val="nil"/>
          <w:lang w:eastAsia="zh-CN"/>
        </w:rPr>
        <w:fldChar w:fldCharType="end"/>
      </w:r>
      <w:r w:rsidR="00784D6C" w:rsidRPr="00BD14B0">
        <w:rPr>
          <w:rFonts w:eastAsia="Calibri"/>
          <w:u w:color="000000"/>
          <w:bdr w:val="nil"/>
          <w:lang w:eastAsia="zh-CN"/>
        </w:rPr>
        <w:t xml:space="preserve">. </w:t>
      </w:r>
    </w:p>
    <w:p w14:paraId="4A5563CE" w14:textId="25BC972C" w:rsidR="00784D6C" w:rsidRPr="00BD14B0" w:rsidRDefault="00784D6C" w:rsidP="00553E01">
      <w:r w:rsidRPr="00BD14B0">
        <w:tab/>
        <w:t xml:space="preserve">Despite extensive research on the effects of gaze cueing, the cognitive mechanisms underlying attentional shifts in gaze cueing are still under debate. In non-social spatial orienting, many variables (e.g., central/peripheral; predictive/nonpredictive; directional/ nondirectional) have been examined extensively, but many aspects of the mechanism of social cues have not been clearly explained. There are three main competing ideas present in the literature. The first line of evidence has </w:t>
      </w:r>
      <w:r w:rsidR="00361F91" w:rsidRPr="00BD14B0">
        <w:t>suggested</w:t>
      </w:r>
      <w:r w:rsidRPr="00BD14B0">
        <w:t xml:space="preserve"> that gaze dependent mechanisms are reflexive </w:t>
      </w:r>
      <w:r w:rsidRPr="00BD14B0">
        <w:fldChar w:fldCharType="begin" w:fldLock="1"/>
      </w:r>
      <w:r w:rsidR="004D2901" w:rsidRPr="00BD14B0">
        <w:instrText>ADDIN CSL_CITATION {"citationItems":[{"id":"ITEM-1","itemData":{"DOI":"10.1016/j.cub.2003.08.025","ISSN":"0960-9822","author":[{"dropping-particle":"","family":"Deaner","given":"Ro","non-dropping-particle":"","parse-names":false,"suffix":""},{"dropping-particle":"","family":"Platt","given":"Ml","non-dropping-particle":"","parse-names":false,"suffix":""}],"container-title":"Curr. Biol.","id":"ITEM-1","issue":"18","issued":{"date-parts":[["2003"]]},"page":"1609-1613","title":"Reflexive social attention in monkeys and humans","type":"article-journal","volume":"13"},"uris":["http://www.mendeley.com/documents/?uuid=7a071f7f-99a7-4226-9b2d-fd7265c60551"]},{"id":"ITEM-2","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Cognition","id":"ITEM-2","issue":"5","issued":{"date-parts":[["1999"]]},"page":"509-540","title":"Gaze perception triggers reflexive visuospatial orienting","type":"article-journal","volume":"6"},"uris":["http://www.mendeley.com/documents/?uuid=d75d6f62-db29-416a-8682-3ddf8bb6262f"]},{"id":"ITEM-3","itemData":{"DOI":"10.3758/BF03208827","ISSN":"1069-9384","abstract":"Normal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Review","id":"ITEM-3","issue":"3","issued":{"date-parts":[["1998","9"]]},"note":"Times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gaze","type":"article-journal","volume":"5"},"uris":["http://www.mendeley.com/documents/?uuid=ac75c7f6-819c-4299-8315-972abc85d134"]},{"id":"ITEM-4","itemData":{"DOI":"10.1080/713755908","ISBN":"0272-4987 (Print)","ISSN":"0272-4987","PMID":"10994231","abstract":"Three experiments are reported that investigate the hypothesis that head orientation and gaze direction interact in the processing of another individual’s direction of social attention. A Stroop-type interference paradigm was adopted, in which gaze and head cues were placed into con¯ict. In separate blocks of trials, participants were asked to make speeded keypress responses contingent on either the direction of gaze, or the orientation of the head displayed in a digitized photograph of amale face. In Experiments 1 and 2, head and gaze cues showed symmetrical interference effects. Comparedwith congruent arrangements, incongruent head cues slowed responses to gaze cues, and incongruent gaze cues slowed responses to head cues, suggesting that head and gaze aremutually in¯uential in the analysis of social attention direction.Thismutualitywas also evident in a cross-modal version of the task (Experiment 3) where participants responded to spoken directional words whilst ignoring the head/gaze images. It is argued that these interference effects arise fromthe independent in¯uences of gaze and head orientation on decisions concerning social attention direction","author":[{"dropping-particle":"","family":"Langton","given":"Stephen R H","non-dropping-particle":"","parse-names":false,"suffix":""}],"container-title":"The Quarterly Journal of Experimental Psychology","id":"ITEM-4","issue":"3","issued":{"date-parts":[["2000"]]},"note":"NULL","page":"805-845","title":"The mutual influence of gaze and head orientation in the analysis of social attention direction","type":"article-journal","volume":"53A"},"uris":["http://www.mendeley.com/documents/?uuid=5720b477-d953-4501-ad7d-89ad5eacdb8d"]},{"id":"ITEM-5","itemData":{"ISSN":"1350-6285","author":[{"dropping-particle":"","family":"Langton","given":"Srh","non-dropping-particle":"","parse-names":false,"suffix":""},{"dropping-particle":"","family":"Bruce","given":"V","non-dropping-particle":"","parse-names":false,"suffix":""}],"container-title":"Visual Cognition","id":"ITEM-5","issue":"5","issued":{"date-parts":[["1999"]]},"page":"541-567","title":"Reflexive visual orienting in response to the social attention of others","type":"article-journal","volume":"6"},"uris":["http://www.mendeley.com/documents/?uuid=25178aac-749f-455c-ab17-7d0cd0292ef4"]}],"mendeley":{"formattedCitation":"(R. Deaner &amp; Platt, 2003; Driver et al., 1999; C. K. Friesen &amp; Kingstone, 1998; S. Langton &amp; Bruce, 1999; S. R. H. Langton, 2000)","manualFormatting":"(Deaner &amp; Platt, 2003; Driver et al., 1999; Friesen &amp; Kingstone, 1998; Langton &amp; Bruce, 1999; Langton, 2000)","plainTextFormattedCitation":"(R. Deaner &amp; Platt, 2003; Driver et al., 1999; C. K. Friesen &amp; Kingstone, 1998; S. Langton &amp; Bruce, 1999; S. R. H. Langton, 2000)","previouslyFormattedCitation":"(R. Deaner &amp; Platt, 2003; Driver et al., 1999; C. K. Friesen &amp; Kingstone, 1998; S. Langton &amp; Bruce, 1999; S. R. H. Langton, 2000)"},"properties":{"noteIndex":0},"schema":"https://github.com/citation-style-language/schema/raw/master/csl-citation.json"}</w:instrText>
      </w:r>
      <w:r w:rsidRPr="00BD14B0">
        <w:fldChar w:fldCharType="separate"/>
      </w:r>
      <w:r w:rsidRPr="00BD14B0">
        <w:rPr>
          <w:noProof/>
        </w:rPr>
        <w:t>(Deaner &amp; Platt, 2003; Driver et al., 1999; Friesen &amp; Kingstone, 1998; Langton &amp; Bruce, 1999; Langton, 2000)</w:t>
      </w:r>
      <w:r w:rsidRPr="00BD14B0">
        <w:fldChar w:fldCharType="end"/>
      </w:r>
      <w:r w:rsidRPr="00BD14B0">
        <w:t xml:space="preserve">. These studies focused on the differences between congruent and incongruent trials in gaze shifts and consistently showed that even if the eye gaze is counter-predictive for the task at hand </w:t>
      </w:r>
      <w:r w:rsidRPr="00BD14B0">
        <w:fldChar w:fldCharType="begin" w:fldLock="1"/>
      </w:r>
      <w:r w:rsidRPr="00BD14B0">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1998)","manualFormatting":"(Friesen &amp; Kingstone, 1998)","plainTextFormattedCitation":"(C. K. Friesen &amp; Kingstone, 1998)","previouslyFormattedCitation":"(C. K. Friesen &amp; Kingstone, 1998)"},"properties":{"noteIndex":0},"schema":"https://github.com/citation-style-language/schema/raw/master/csl-citation.json"}</w:instrText>
      </w:r>
      <w:r w:rsidRPr="00BD14B0">
        <w:fldChar w:fldCharType="separate"/>
      </w:r>
      <w:r w:rsidRPr="00BD14B0">
        <w:rPr>
          <w:noProof/>
        </w:rPr>
        <w:t>(Friesen &amp; Kingstone, 1998)</w:t>
      </w:r>
      <w:r w:rsidRPr="00BD14B0">
        <w:fldChar w:fldCharType="end"/>
      </w:r>
      <w:r w:rsidRPr="00BD14B0">
        <w:t xml:space="preserve">, participants still were unable to overlook the gaze cueing effect. The second line of evidence suggests that gaze dependent facilitation </w:t>
      </w:r>
      <w:r w:rsidR="00361F91" w:rsidRPr="00BD14B0">
        <w:t>reflects</w:t>
      </w:r>
      <w:r w:rsidRPr="00BD14B0">
        <w:t xml:space="preserve"> learned mechanisms due to repeated exposure </w:t>
      </w:r>
      <w:r w:rsidRPr="00BD14B0">
        <w:fldChar w:fldCharType="begin" w:fldLock="1"/>
      </w:r>
      <w:r w:rsidR="004D2901" w:rsidRPr="00BD14B0">
        <w:instrText xml:space="preserve">ADDIN CSL_CITATION {"citationItems":[{"id":"ITEM-1","itemData":{"DOI":"10.1016/j.neuropsychologia.2006.09.004","ISSN":"00283932","abstract":"Eyes and gaze are central to social cognition but whether they attract attention differently depending on the task is unknown. Here, the shift in attention towards the eye region and gaze direction of a perceived face was studied in two tasks by monitoring eye movements. The same face stimuli in front- or 3/4-view, with direct or averted gaze, were used in both tasks. In the Gaze task, subjects performed an explicit gaze direction judgment (gaze straight or averted) while in the Head task they performed a head orientation judgment (front- or 3/4-view). Gaze processing was evident in both tasks as shown by longer RTs and lower accuracy when head and gaze directions did not match. In both tasks the eye region was the most attended area but the amount of viewing was task-dependent. Most importantly, </w:instrText>
      </w:r>
      <w:r w:rsidR="004D2901" w:rsidRPr="00BD14B0">
        <w:rPr>
          <w:rFonts w:ascii="Cambria Math" w:hAnsi="Cambria Math" w:cs="Cambria Math"/>
        </w:rPr>
        <w:instrText>∼</w:instrText>
      </w:r>
      <w:r w:rsidR="004D2901" w:rsidRPr="00BD14B0">
        <w:instrText xml:space="preserve">90% of the initial saccades landed in the eye region in the Gaze task but only </w:instrText>
      </w:r>
      <w:r w:rsidR="004D2901" w:rsidRPr="00BD14B0">
        <w:rPr>
          <w:rFonts w:ascii="Cambria Math" w:hAnsi="Cambria Math" w:cs="Cambria Math"/>
        </w:rPr>
        <w:instrText>∼</w:instrText>
      </w:r>
      <w:r w:rsidR="004D2901" w:rsidRPr="00BD14B0">
        <w:instrText>50% of them did so in the Head task. These saccades were made in the direction signaled by gaze in the Gaze task but in the direction signaled by head orientation in the Head task. Altogether, these task-modulated behaviors argue against a purely exogenous and automatic orienting-to-gaze mechanism. Based on patient work and neuroimaging studies of gaze processing, we suggest that this task-dependent orienting behavior is rather endogenous and subtended by cortical areas amongst which frontal regions play a central role. We discuss the implications of this finding for clinical populations.","author":[{"dropping-particle":"","family":"Itier","given":"Roxane J.","non-dropping-particle":"","parse-names":false,"suffix":""},{"dropping-particle":"","family":"Villate","given":"Christina","non-dropping-particle":"","parse-names":false,"suffix":""},{"dropping-particle":"","family":"Ryan","given":"Jennifer D.","non-dropping-particle":"","parse-names":false,"suffix":""}],"container-title":"Neuropsychologia","id":"ITEM-1","issue":"5","issued":{"date-parts":[["2007"]]},"page":"1019-1028","title":"Eyes always attract attention but gaze orienting is task-dependent: Evidence from eye movement monitoring","type":"article-journal","volume":"45"},"uris":["http://www.mendeley.com/documents/?uuid=b316a9d5-01fb-43c6-930d-4c9a0d0f4af7"]},{"id":"ITEM-2","itemData":{"DOI":"10.1016/j.neuropsychologia.2005.04.010","ISSN":"00283932","abstract":"Humans are able to predict the behavior of others using visual information. Several studies have argued that social cues, such as eye gaze direction, can influence the allocation of visual attention in a reflexive manner. We have previously shown that a patient with frontal-lobe damage, patient EVR, can use peripheral cues to direct attention but cannot use either word cues or gaze cues to allocate attention. These findings suggest that 'social attention' may involve frontal-lobe processes that control voluntary, not automatic, shifts of visuospatial attention. In the current paper, we further examine 'social attention' in EVR and demonstrate that his failure to orient attention voluntarily cannot be attributed to either cue predictability or a 'sluggish' attentional system. EVR exhibits a general impairment in orienting attention endogenously, and this impairment includes orienting from gaze cues. Gaze cues direct attention in a voluntary, not a reflexive, manner. © 2005 Elsevier Ltd. All rights reserved.","author":[{"dropping-particle":"","family":"Vecera","given":"Shaun P.","non-dropping-particle":"","parse-names":false,"suffix":""},{"dropping-particle":"","family":"Rizzo","given":"Matthew","non-dropping-particle":"","parse-names":false,"suffix":""}],"container-title":"Neuropsychologia","id":"ITEM-2","issue":"1","issued":{"date-parts":[["2006","1"]]},"page":"150-159","title":"Eye gaze does not produce reflexive shifts of attention: Evidence from frontal-lobe damage","type":"article-journal","volume":"44"},"uris":["http://www.mendeley.com/documents/?uuid=90edd0e4-fd3e-4ee4-9bea-301ff2e67f45"]}],"mendeley":{"formattedCitation":"(Itier et al., 2007; Vecera &amp; Rizzo, 2006)","plainTextFormattedCitation":"(Itier et al., 2007; Vecera &amp; Rizzo, 2006)","previouslyFormattedCitation":"(Itier et al., 2007; Vecera &amp; Rizzo, 2006)"},"properties":{"noteIndex":0},"schema":"https://github.com/citation-style-language/schema/raw/master/csl-citation.json"}</w:instrText>
      </w:r>
      <w:r w:rsidRPr="00BD14B0">
        <w:fldChar w:fldCharType="separate"/>
      </w:r>
      <w:r w:rsidRPr="00BD14B0">
        <w:rPr>
          <w:noProof/>
        </w:rPr>
        <w:t>(Itier et al., 2007; Vecera &amp; Rizzo, 2006)</w:t>
      </w:r>
      <w:r w:rsidRPr="00BD14B0">
        <w:fldChar w:fldCharType="end"/>
      </w:r>
      <w:r w:rsidRPr="00BD14B0">
        <w:t xml:space="preserve">. Thirdly, others </w:t>
      </w:r>
      <w:r w:rsidRPr="00BD14B0">
        <w:fldChar w:fldCharType="begin" w:fldLock="1"/>
      </w:r>
      <w:r w:rsidRPr="00BD14B0">
        <w:instrText>ADDIN CSL_CITATION {"citationItems":[{"id":"ITEM-1","itemData":{"DOI":"10.1037/0096-1523.30.2.319","ISSN":"0096-1523","author":[{"dropping-particle":"","family":"Friesen","given":"Ck","non-dropping-particle":"","parse-names":false,"suffix":""},{"dropping-particle":"","family":"Ristic","given":"J","non-dropping-particle":"","parse-names":false,"suffix":""},{"dropping-particle":"","family":"Kingstone","given":"A","non-dropping-particle":"","parse-names":false,"suffix":""}],"container-title":"J. Exp. Psychol.-Hum. Percept. Perform.","id":"ITEM-1","issue":"2","issued":{"date-parts":[["2004"]]},"page":"319-329","title":"Attentional effects of counterpredictive gaze and arrow cues","type":"article-journal","volume":"30"},"uris":["http://www.mendeley.com/documents/?uuid=45b2d509-1186-4dda-87f2-f753de148932"]},{"id":"ITEM-2","itemData":{"DOI":"10.3758/PP.70.1.77","ISSN":"0031-5117","abstract":"In separate experiments, counterpredictive arrow, eye gaze, or abrupt-onset cues were used to test the hypothesis that individual differences in voluntary control influence involuntary orienting. In contrast with previous findings (Friesen, Ristic, &amp; Kingstone, 2004), involuntary orienting effects were found for arrow cues. Furthermore, for both eye gaze and arrow cues, individual differences in voluntary control were associated with involuntary orienting: Involuntary orienting effects were larger for participants who were more effective at using the cue to reorient attention, and also for participants who reported greater ability to control attention. Orienting to abrupt-onset cues was not correlated to individual differences in self-reported attentional control. The findings show that eye gaze and arrow cues instigate similar involuntary and voluntary effects and that involuntary orienting to symbolic cues is linked to individual differences in voluntary control.","author":[{"dropping-particle":"","family":"Tipples","given":"J.","non-dropping-particle":"","parse-names":false,"suffix":""}],"container-title":"Perception &amp; Psychophysics","id":"ITEM-2","issue":"1","issued":{"date-parts":[["2008","1","1"]]},"page":"77-87","title":"Orienting to counterpredictive gaze and arrow cues","type":"article-journal","volume":"70"},"uris":["http://www.mendeley.com/documents/?uuid=e66ae119-f28d-4a0e-847e-80db94667949"]}],"mendeley":{"formattedCitation":"(C. Friesen et al., 2004; Tipples, 2008)","manualFormatting":"(Friesen et al., 2004; Tipples, 2008)","plainTextFormattedCitation":"(C. Friesen et al., 2004; Tipples, 2008)","previouslyFormattedCitation":"(C. Friesen et al., 2004; Tipples, 2008)"},"properties":{"noteIndex":0},"schema":"https://github.com/citation-style-language/schema/raw/master/csl-citation.json"}</w:instrText>
      </w:r>
      <w:r w:rsidRPr="00BD14B0">
        <w:fldChar w:fldCharType="separate"/>
      </w:r>
      <w:r w:rsidRPr="00BD14B0">
        <w:rPr>
          <w:noProof/>
        </w:rPr>
        <w:t>(Friesen et al., 2004; Tipples, 2008)</w:t>
      </w:r>
      <w:r w:rsidRPr="00BD14B0">
        <w:fldChar w:fldCharType="end"/>
      </w:r>
      <w:r w:rsidRPr="00BD14B0">
        <w:t xml:space="preserve"> have found evidence of voluntary orienting with gaze cues when cues have predictive values. </w:t>
      </w:r>
    </w:p>
    <w:p w14:paraId="5C32DC37" w14:textId="6B4D9DB3" w:rsidR="00784D6C" w:rsidRPr="00BD14B0" w:rsidRDefault="00784D6C" w:rsidP="00553E01">
      <w:r w:rsidRPr="00BD14B0">
        <w:lastRenderedPageBreak/>
        <w:tab/>
        <w:t xml:space="preserve">Early studies suggested that that gaze-cueing occurs rapidly and engages involuntary attention systems </w:t>
      </w:r>
      <w:r w:rsidRPr="00BD14B0">
        <w:fldChar w:fldCharType="begin" w:fldLock="1"/>
      </w:r>
      <w:r w:rsidR="004D2901" w:rsidRPr="00BD14B0">
        <w:instrText>ADDIN CSL_CITATION {"citationItems":[{"id":"ITEM-1","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Cognition","id":"ITEM-1","issue":"5","issued":{"date-parts":[["1999"]]},"page":"509-540","title":"Gaze perception triggers reflexive visuospatial orienting","type":"article-journal","volume":"6"},"uris":["http://www.mendeley.com/documents/?uuid=d75d6f62-db29-416a-8682-3ddf8bb6262f"]}],"mendeley":{"formattedCitation":"(Driver et al., 1999)","manualFormatting":"(e.g., Driver et al., 1999)","plainTextFormattedCitation":"(Driver et al., 1999)","previouslyFormattedCitation":"(Driver et al., 1999)"},"properties":{"noteIndex":0},"schema":"https://github.com/citation-style-language/schema/raw/master/csl-citation.json"}</w:instrText>
      </w:r>
      <w:r w:rsidRPr="00BD14B0">
        <w:fldChar w:fldCharType="separate"/>
      </w:r>
      <w:r w:rsidRPr="00BD14B0">
        <w:rPr>
          <w:noProof/>
        </w:rPr>
        <w:t>(e.g., Driver et al., 1999)</w:t>
      </w:r>
      <w:r w:rsidRPr="00BD14B0">
        <w:fldChar w:fldCharType="end"/>
      </w:r>
      <w:r w:rsidRPr="00BD14B0">
        <w:t xml:space="preserve">. </w:t>
      </w:r>
      <w:r w:rsidR="00264758" w:rsidRPr="00BD14B0">
        <w:t>N</w:t>
      </w:r>
      <w:r w:rsidRPr="00BD14B0">
        <w:t xml:space="preserve">on-social peripheral cues (e.g., presented on the side not in the centre) </w:t>
      </w:r>
      <w:r w:rsidR="00264758" w:rsidRPr="00BD14B0">
        <w:t xml:space="preserve">have been </w:t>
      </w:r>
      <w:r w:rsidRPr="00BD14B0">
        <w:t>shown to activate the reflexive exogenous orienting of attention</w:t>
      </w:r>
      <w:r w:rsidR="00264758" w:rsidRPr="00BD14B0">
        <w:t>,</w:t>
      </w:r>
      <w:r w:rsidRPr="00BD14B0">
        <w:t xml:space="preserve"> whereas central cues cause activation of endogenous, voluntary orienting </w:t>
      </w:r>
      <w:r w:rsidRPr="00BD14B0">
        <w:fldChar w:fldCharType="begin" w:fldLock="1"/>
      </w:r>
      <w:r w:rsidRPr="00BD14B0">
        <w:instrText>ADDIN CSL_CITATION {"citationItems":[{"id":"ITEM-1","itemData":{"DOI":"10.1037/h0081031","ISBN":"0008-4255(Print)","ISSN":"0008-4255","abstract":"Conducted 2 experiments with 24 undergraduates to investigate alternative models for shifts of attention to parts of the visual field without changes in fixation. Such shifts were diagnosed by a cost–benefit analysis of RTs and errors in a forced-choice visual search task. The results cannot be accounted for by models that postulate sequential examination of array items. Rather, search through an array is better viewed as a process in which the items are examined simultaneously. A shift of attention, according to this view, is characterized as a modification in the processing resources that are allocated to the examination of each array item. (French abstract) (15 ref) (PsycINFO Database Record (c) 2016 APA, all rights reserved)","author":[{"dropping-particle":"","family":"Jonides","given":"John","non-dropping-particle":"","parse-names":false,"suffix":""}],"container-title":"Canadian Journal of Psychology/Revue canadienne de psychologie","id":"ITEM-1","issue":"2","issued":{"date-parts":[["1980"]]},"page":"103-112","publisher":"University of Toronto Press","publisher-place":"Canada","title":"Towards a model of the mind's eye's movement.","type":"article-journal","volume":"34"},"uris":["http://www.mendeley.com/documents/?uuid=ab69d3b1-46d2-4ae2-809a-71d7ed7298a6"]},{"id":"ITEM-2","itemData":{"DOI":"10.1016/0042-6989(89)90144-2","ISSN":"00426989","abstract":"Human observers fixated the center of a search array and were required to discriminate the color of an odd target if it was present. The array consisted of horizontal or vertical black or white bars. In the simple case, only orientation was necessary to define the odd target, whereas in the conjunctive case, both orientation and color were necessary. A cue located at the critical target position was either visible all the time (sustained cuing) or it appeared at a short variable delay before the array presentation (transient cuing). Sustained visual cuing enhanced perception greatly in the conjunctive, but not in the simple condition. Perception of the odd target in the conjunctive display was improved even further by transient cuing, and peak discrimination performance occurred if the cue preceded the target array by 70–150 msec. Longer delays led to a marked downturn in performance. Control experiments indicated that this transient attentional component was independent of the observers' prior knowledge of target position and was not subject to voluntary control. We provide evidence to suggest that the transient component does not originate at the earliest stages of visual processing, since it could not be extended in duration by flickering the cue, nor did it require a local sensory transient to trigger its onset. Neither the variation in retinal eccentricity nor changing the paradigm to a vernier acuity task altered the basic pattern of results. Our findings indicate the existence of a sustained and a transient component of attention, and we hypothesize that of the two, the transient component is operative at an earlier stage of visual cortical processing.","author":[{"dropping-particle":"","family":"Nakayama","given":"Ken","non-dropping-particle":"","parse-names":false,"suffix":""},{"dropping-particle":"","family":"Mackeben","given":"Manfred","non-dropping-particle":"","parse-names":false,"suffix":""}],"container-title":"Vision Research","id":"ITEM-2","issue":"11","issued":{"date-parts":[["1989","1"]]},"page":"1631-1647","title":"Sustained and transient components of focal visual attention","type":"article-journal","volume":"29"},"uris":["http://www.mendeley.com/documents/?uuid=44feaba2-4db1-4aec-ab96-dd3caba80a7e"]}],"mendeley":{"formattedCitation":"(Jonides, 1980; Nakayama &amp; Mackeben, 1989)","plainTextFormattedCitation":"(Jonides, 1980; Nakayama &amp; Mackeben, 1989)","previouslyFormattedCitation":"(Jonides, 1980; Nakayama &amp; Mackeben, 1989)"},"properties":{"noteIndex":0},"schema":"https://github.com/citation-style-language/schema/raw/master/csl-citation.json"}</w:instrText>
      </w:r>
      <w:r w:rsidRPr="00BD14B0">
        <w:fldChar w:fldCharType="separate"/>
      </w:r>
      <w:r w:rsidRPr="00BD14B0">
        <w:rPr>
          <w:noProof/>
        </w:rPr>
        <w:t>(Jonides, 1980; Nakayama &amp; Mackeben, 1989)</w:t>
      </w:r>
      <w:r w:rsidRPr="00BD14B0">
        <w:fldChar w:fldCharType="end"/>
      </w:r>
      <w:r w:rsidRPr="00BD14B0">
        <w:t xml:space="preserve">. However, unlike non-social cues, social cues (such as eye gaze) have been shown to create automatic reflexive responses when presented centrally </w:t>
      </w:r>
      <w:r w:rsidRPr="00BD14B0">
        <w:fldChar w:fldCharType="begin" w:fldLock="1"/>
      </w:r>
      <w:r w:rsidR="004D2901" w:rsidRPr="00BD14B0">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1998)","manualFormatting":"(Friesen &amp; Kingstone, 1998)","plainTextFormattedCitation":"(C. K. Friesen &amp; Kingstone, 1998)","previouslyFormattedCitation":"(C. K. Friesen &amp; Kingstone, 1998)"},"properties":{"noteIndex":0},"schema":"https://github.com/citation-style-language/schema/raw/master/csl-citation.json"}</w:instrText>
      </w:r>
      <w:r w:rsidRPr="00BD14B0">
        <w:fldChar w:fldCharType="separate"/>
      </w:r>
      <w:r w:rsidRPr="00BD14B0">
        <w:rPr>
          <w:noProof/>
        </w:rPr>
        <w:t>(Friesen &amp; Kingstone, 1998)</w:t>
      </w:r>
      <w:r w:rsidRPr="00BD14B0">
        <w:fldChar w:fldCharType="end"/>
      </w:r>
      <w:r w:rsidRPr="00BD14B0">
        <w:t xml:space="preserve">. </w:t>
      </w:r>
      <w:r w:rsidRPr="00BD14B0">
        <w:fldChar w:fldCharType="begin" w:fldLock="1"/>
      </w:r>
      <w:r w:rsidR="004D2901" w:rsidRPr="00BD14B0">
        <w:instrText>ADDIN CSL_CITATION {"citationItems":[{"id":"ITEM-1","itemData":{"DOI":"10.1037/0033-2909.100.1.78","ISBN":"1939-1455(Electronic),0033-2909(Print)","ISSN":"1939-1455","abstract":"A review of research on gaze and eye contact, organized within the framework of M. L. Patterson's (see record 1982-23533-001) sequential functional model of nonverbal exchange, shows how gaze functions to provide information, regulate interaction, express intimacy, exercise social control, and facilitate service and task goals. Personal, experiential, relational, and situational antecedents of gaze and reactions to gaze are summarized, and a means of analyzing the relation between gaze and physiological responses is described. Attribution theories are integrated into the sequential model for making predictions about people's perceptions of their own gazing behavior and the gazing behavior of others. Data on people's accuracy in reporting their own and others' gaze are presented and integrated with related findings in attribution research. The sequential model is then used to analyze research studies measuring the interaction between gaze and personal and contextual variables. Methodological and measurement issues are discussed. (7 p ref) (PsycINFO Database Record (c) 2016 APA, all rights reserved)","author":[{"dropping-particle":"","family":"Kleinke","given":"Chris L","non-dropping-particle":"","parse-names":false,"suffix":""}],"container-title":"Psychological Bulletin","id":"ITEM-1","issue":"1","issued":{"date-parts":[["1986"]]},"page":"78-100","publisher":"American Psychological Association","publisher-place":"US","title":"Gaze and eye contact: A research review.","type":"article-journal","volume":"100"},"uris":["http://www.mendeley.com/documents/?uuid=ab8ada77-7aab-4555-aee0-b494c15fc689"]}],"mendeley":{"formattedCitation":"(Kleinke, 1986)","manualFormatting":"Kleinke (1986)","plainTextFormattedCitation":"(Kleinke, 1986)","previouslyFormattedCitation":"(Kleinke, 1986)"},"properties":{"noteIndex":0},"schema":"https://github.com/citation-style-language/schema/raw/master/csl-citation.json"}</w:instrText>
      </w:r>
      <w:r w:rsidRPr="00BD14B0">
        <w:fldChar w:fldCharType="separate"/>
      </w:r>
      <w:r w:rsidRPr="00BD14B0">
        <w:rPr>
          <w:noProof/>
        </w:rPr>
        <w:t>Kleinke (1986)</w:t>
      </w:r>
      <w:r w:rsidRPr="00BD14B0">
        <w:fldChar w:fldCharType="end"/>
      </w:r>
      <w:r w:rsidRPr="00BD14B0">
        <w:t xml:space="preserve"> showed that eye gaze serves as a signal for a directional cue to express non-verbally the relevant stimuli in the environment. These findings concluded that gaze cueing is hardwired in the brain to be automatic </w:t>
      </w:r>
      <w:r w:rsidRPr="00BD14B0">
        <w:fldChar w:fldCharType="begin" w:fldLock="1"/>
      </w:r>
      <w:r w:rsidRPr="00BD14B0">
        <w:instrText>ADDIN CSL_CITATION {"citationItems":[{"id":"ITEM-1","itemData":{"DOI":"10.1080/17470218.2012.663765","ISSN":"1747-0218","abstract":"Recent studies have tried to shed light on the automaticity of attentional shifts triggered by gaze and arrows with mixed results. In the present research, we aimed at testing a strong definition of resistance to suppression for orienting of attention elicited by these two cues. In five experiments, participants were informed with 100% certainty about the future location of a target they had to react to by presentation of either a direction word at the beginning of each trial or instructions at the beginning of each block. Gaze and arrows were presented before the target as uninformative distractors irrelevant for the task. The results showed similar patterns for gaze and arrows-namely, an interference effect when the distractors were incongruent with the upcoming target location. This suggests that the orienting of attention mediated by gaze and arrows can be considered as strongly automatic.","author":[{"dropping-particle":"","family":"Galfano","given":"Giovanni","non-dropping-particle":"","parse-names":false,"suffix":""},{"dropping-particle":"","family":"Dalmaso","given":"Mario","non-dropping-particle":"","parse-names":false,"suffix":""},{"dropping-particle":"","family":"Marzoli","given":"Daniele","non-dropping-particle":"","parse-names":false,"suffix":""},{"dropping-particle":"","family":"Pavan","given":"Giulia","non-dropping-particle":"","parse-names":false,"suffix":""},{"dropping-particle":"","family":"Coricelli","given":"Carol","non-dropping-particle":"","parse-names":false,"suffix":""},{"dropping-particle":"","family":"Castelli","given":"Luigi","non-dropping-particle":"","parse-names":false,"suffix":""}],"container-title":"Quarterly Journal of Experimental Psychology","id":"ITEM-1","issue":"10","issued":{"date-parts":[["2012"]]},"note":"Times Cited: 12\nGalfano, Giovanni/B-7582-2008\n12","page":"1895-1910","title":"Eye gaze cannot be ignored (but neither can arrows)","type":"article-journal","volume":"65"},"uris":["http://www.mendeley.com/documents/?uuid=d3c2e3e4-9352-46d2-a794-ba6bd9f7f5f3"]}],"mendeley":{"formattedCitation":"(Galfano et al., 2012)","plainTextFormattedCitation":"(Galfano et al., 2012)","previouslyFormattedCitation":"(Galfano et al., 2012)"},"properties":{"noteIndex":0},"schema":"https://github.com/citation-style-language/schema/raw/master/csl-citation.json"}</w:instrText>
      </w:r>
      <w:r w:rsidRPr="00BD14B0">
        <w:fldChar w:fldCharType="separate"/>
      </w:r>
      <w:r w:rsidRPr="00BD14B0">
        <w:rPr>
          <w:noProof/>
        </w:rPr>
        <w:t>(Galfano et al., 2012)</w:t>
      </w:r>
      <w:r w:rsidRPr="00BD14B0">
        <w:fldChar w:fldCharType="end"/>
      </w:r>
      <w:r w:rsidRPr="00BD14B0">
        <w:t xml:space="preserve">. </w:t>
      </w:r>
    </w:p>
    <w:p w14:paraId="2636FF67" w14:textId="6389EEF1" w:rsidR="00784D6C" w:rsidRPr="00BD14B0" w:rsidRDefault="00784D6C" w:rsidP="00553E01">
      <w:r w:rsidRPr="00BD14B0">
        <w:tab/>
        <w:t>The gaze cueing effect (GCE) is observed after brief (100–300</w:t>
      </w:r>
      <w:r w:rsidR="00D7553E" w:rsidRPr="00BD14B0">
        <w:t xml:space="preserve"> </w:t>
      </w:r>
      <w:proofErr w:type="spellStart"/>
      <w:r w:rsidRPr="00BD14B0">
        <w:t>ms</w:t>
      </w:r>
      <w:proofErr w:type="spellEnd"/>
      <w:r w:rsidRPr="00BD14B0">
        <w:t xml:space="preserve">) viewing times of the cueing face </w:t>
      </w:r>
      <w:r w:rsidRPr="00BD14B0">
        <w:fldChar w:fldCharType="begin" w:fldLock="1"/>
      </w:r>
      <w:r w:rsidRPr="00BD14B0">
        <w:instrText>ADDIN CSL_CITATION {"citationItems":[{"id":"ITEM-1","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Cognition","id":"ITEM-1","issue":"5","issued":{"date-parts":[["1999"]]},"page":"509-540","title":"Gaze perception triggers reflexive visuospatial orienting","type":"article-journal","volume":"6"},"uris":["http://www.mendeley.com/documents/?uuid=d75d6f62-db29-416a-8682-3ddf8bb6262f"]}],"mendeley":{"formattedCitation":"(Driver et al., 1999)","plainTextFormattedCitation":"(Driver et al., 1999)","previouslyFormattedCitation":"(Driver et al., 1999)"},"properties":{"noteIndex":0},"schema":"https://github.com/citation-style-language/schema/raw/master/csl-citation.json"}</w:instrText>
      </w:r>
      <w:r w:rsidRPr="00BD14B0">
        <w:fldChar w:fldCharType="separate"/>
      </w:r>
      <w:r w:rsidRPr="00BD14B0">
        <w:rPr>
          <w:noProof/>
        </w:rPr>
        <w:t>(Driver et al., 1999)</w:t>
      </w:r>
      <w:r w:rsidRPr="00BD14B0">
        <w:fldChar w:fldCharType="end"/>
      </w:r>
      <w:r w:rsidRPr="00BD14B0">
        <w:t xml:space="preserve">, suggesting that the information provided by the face is processed rapidly and involuntarily by the observer. </w:t>
      </w:r>
      <w:r w:rsidRPr="00BD14B0">
        <w:fldChar w:fldCharType="begin" w:fldLock="1"/>
      </w:r>
      <w:r w:rsidR="0028287E" w:rsidRPr="00BD14B0">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1998)","manualFormatting":"Friesen and Kingstone (1998)","plainTextFormattedCitation":"(C. K. Friesen &amp; Kingstone, 1998)","previouslyFormattedCitation":"(C. K. Friesen &amp; Kingstone, 1998)"},"properties":{"noteIndex":0},"schema":"https://github.com/citation-style-language/schema/raw/master/csl-citation.json"}</w:instrText>
      </w:r>
      <w:r w:rsidRPr="00BD14B0">
        <w:fldChar w:fldCharType="separate"/>
      </w:r>
      <w:r w:rsidRPr="00BD14B0">
        <w:rPr>
          <w:noProof/>
        </w:rPr>
        <w:t>Friesen and Kingstone (1998)</w:t>
      </w:r>
      <w:r w:rsidRPr="00BD14B0">
        <w:fldChar w:fldCharType="end"/>
      </w:r>
      <w:r w:rsidRPr="00BD14B0">
        <w:t xml:space="preserve"> suggested that non-predictive eye gaze cues influence some factors including participants’ reaction times and accuracy at detecting, localizing, and discriminating peripheral targets. Furthermore, the time course strongly suggests that these attentional effects are reflexive but depends on stimulus onset asynchrony (SOA) - the length of time between gaze cue onset and target onset. Studies suggest that the gaze cueing effect appears at 200 </w:t>
      </w:r>
      <w:proofErr w:type="spellStart"/>
      <w:r w:rsidRPr="00BD14B0">
        <w:t>ms</w:t>
      </w:r>
      <w:proofErr w:type="spellEnd"/>
      <w:r w:rsidRPr="00BD14B0">
        <w:t xml:space="preserve"> </w:t>
      </w:r>
      <w:r w:rsidRPr="00BD14B0">
        <w:fldChar w:fldCharType="begin" w:fldLock="1"/>
      </w:r>
      <w:r w:rsidRPr="00BD14B0">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1998)","manualFormatting":"(Friesen &amp; Kingstone, 1998)","plainTextFormattedCitation":"(C. K. Friesen &amp; Kingstone, 1998)","previouslyFormattedCitation":"(C. K. Friesen &amp; Kingstone, 1998)"},"properties":{"noteIndex":0},"schema":"https://github.com/citation-style-language/schema/raw/master/csl-citation.json"}</w:instrText>
      </w:r>
      <w:r w:rsidRPr="00BD14B0">
        <w:fldChar w:fldCharType="separate"/>
      </w:r>
      <w:r w:rsidRPr="00BD14B0">
        <w:rPr>
          <w:noProof/>
        </w:rPr>
        <w:t>(Friesen &amp; Kingstone, 1998)</w:t>
      </w:r>
      <w:r w:rsidRPr="00BD14B0">
        <w:fldChar w:fldCharType="end"/>
      </w:r>
      <w:r w:rsidRPr="00BD14B0">
        <w:t xml:space="preserve"> and lasts up to 700 </w:t>
      </w:r>
      <w:proofErr w:type="spellStart"/>
      <w:r w:rsidRPr="00BD14B0">
        <w:t>ms</w:t>
      </w:r>
      <w:proofErr w:type="spellEnd"/>
      <w:r w:rsidRPr="00BD14B0">
        <w:t xml:space="preserve"> </w:t>
      </w:r>
      <w:r w:rsidRPr="00BD14B0">
        <w:fldChar w:fldCharType="begin" w:fldLock="1"/>
      </w:r>
      <w:r w:rsidRPr="00BD14B0">
        <w:instrText>ADDIN CSL_CITATION {"citationItems":[{"id":"ITEM-1","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Cognition","id":"ITEM-1","issue":"5","issued":{"date-parts":[["1999"]]},"page":"509-540","title":"Gaze perception triggers reflexive visuospatial orienting","type":"article-journal","volume":"6"},"uris":["http://www.mendeley.com/documents/?uuid=d75d6f62-db29-416a-8682-3ddf8bb6262f"]}],"mendeley":{"formattedCitation":"(Driver et al., 1999)","plainTextFormattedCitation":"(Driver et al., 1999)","previouslyFormattedCitation":"(Driver et al., 1999)"},"properties":{"noteIndex":0},"schema":"https://github.com/citation-style-language/schema/raw/master/csl-citation.json"}</w:instrText>
      </w:r>
      <w:r w:rsidRPr="00BD14B0">
        <w:fldChar w:fldCharType="separate"/>
      </w:r>
      <w:r w:rsidRPr="00BD14B0">
        <w:rPr>
          <w:noProof/>
        </w:rPr>
        <w:t>(Driver et al., 1999)</w:t>
      </w:r>
      <w:r w:rsidRPr="00BD14B0">
        <w:fldChar w:fldCharType="end"/>
      </w:r>
      <w:r w:rsidRPr="00BD14B0">
        <w:t xml:space="preserve">. For example, </w:t>
      </w:r>
      <w:r w:rsidRPr="00BD14B0">
        <w:fldChar w:fldCharType="begin" w:fldLock="1"/>
      </w:r>
      <w:r w:rsidR="004D2901" w:rsidRPr="00BD14B0">
        <w:instrText>ADDIN CSL_CITATION {"citationItems":[{"id":"ITEM-1","itemData":{"DOI":"10.3758/bf03196306","ISSN":"1069-9384","abstract":"Recent behavioral data have shown that central nonpredictive gaze direction triggers reflexive shifts of attention toward the gazed-at location (e.g., Friesen &amp; Kingstone, 1998). Friesen and Kingstone suggested that this reflexive orienting effect is unique to biologically relevant stimuli. Three experiments were conducted to test this proposal by comparing the attentional orienting produced by nonpredictive gaze cues (biologically relevant) with the attentional orienting produced by nonpredictive arrow cues (biologically irrelevant). Both types of cues produced reflexive orienting in adults (Experiment 1) and preschoolers (Experiment 2), suggesting that gaze cues are not special. However, Experiment 3 showed that nonpredictive arrows produced reflexive orienting in both hemispheres of a split-brain patient. This contrasts with Kingstone, Friesen, and Gazzaniga's (2000) finding that nonpredictive gaze cues produce reflexive orienting only in the face-processing hemisphere of split-brain patients. Therefore, although nonpredictive eyes and arrows may produce similar behavioral effects, they are not sub-served by the same brain systems. Together, these data provide important insight into the nature of the representations of directional stimuli involved in reflexive attentional orienting.","author":[{"dropping-particle":"","family":"Ristic","given":"J","non-dropping-particle":"","parse-names":false,"suffix":""},{"dropping-particle":"","family":"Friesen","given":"C K","non-dropping-particle":"","parse-names":false,"suffix":""},{"dropping-particle":"","family":"Kingstone","given":"A","non-dropping-particle":"","parse-names":false,"suffix":""}],"container-title":"Psychonomic Bulletin &amp; Review","id":"ITEM-1","issue":"3","issued":{"date-parts":[["2002"]]},"note":"Times Cited: 203\n208","page":"507-513","title":"Are eyes special? It depends on how you look at it","type":"article-journal","volume":"9"},"uris":["http://www.mendeley.com/documents/?uuid=c1e42a86-5be1-4663-870f-911a8c5c2c3c"]}],"mendeley":{"formattedCitation":"(J Ristic et al., 2002)","manualFormatting":"Ristic et al. (2002)","plainTextFormattedCitation":"(J Ristic et al., 2002)","previouslyFormattedCitation":"(J Ristic et al., 2002)"},"properties":{"noteIndex":0},"schema":"https://github.com/citation-style-language/schema/raw/master/csl-citation.json"}</w:instrText>
      </w:r>
      <w:r w:rsidRPr="00BD14B0">
        <w:fldChar w:fldCharType="separate"/>
      </w:r>
      <w:r w:rsidRPr="00BD14B0">
        <w:rPr>
          <w:noProof/>
        </w:rPr>
        <w:t>Ristic et al. (2002)</w:t>
      </w:r>
      <w:r w:rsidRPr="00BD14B0">
        <w:fldChar w:fldCharType="end"/>
      </w:r>
      <w:r w:rsidRPr="00BD14B0">
        <w:t xml:space="preserve"> conducted a classical gaze cueing paradigm experiment with centrally presented, uninformative schematic faces or arrows. The results showed that arrow cues and the eye gaze cues produced similar results; for both conditions the cueing effect emerged at a cue-target SOA of 195 </w:t>
      </w:r>
      <w:proofErr w:type="spellStart"/>
      <w:r w:rsidRPr="00BD14B0">
        <w:t>ms</w:t>
      </w:r>
      <w:proofErr w:type="spellEnd"/>
      <w:r w:rsidRPr="00BD14B0">
        <w:t xml:space="preserve"> and disappeared at 600 and 1,005 </w:t>
      </w:r>
      <w:proofErr w:type="spellStart"/>
      <w:r w:rsidRPr="00BD14B0">
        <w:t>ms</w:t>
      </w:r>
      <w:proofErr w:type="spellEnd"/>
      <w:r w:rsidRPr="00BD14B0">
        <w:t xml:space="preserve">. The cueing effect seem to decay </w:t>
      </w:r>
      <w:r w:rsidRPr="00BD14B0">
        <w:fldChar w:fldCharType="begin" w:fldLock="1"/>
      </w:r>
      <w:r w:rsidRPr="00BD14B0">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1998)","manualFormatting":"(Friesen &amp; Kingstone, 1998)","plainTextFormattedCitation":"(C. K. Friesen &amp; Kingstone, 1998)","previouslyFormattedCitation":"(C. K. Friesen &amp; Kingstone, 1998)"},"properties":{"noteIndex":0},"schema":"https://github.com/citation-style-language/schema/raw/master/csl-citation.json"}</w:instrText>
      </w:r>
      <w:r w:rsidRPr="00BD14B0">
        <w:fldChar w:fldCharType="separate"/>
      </w:r>
      <w:r w:rsidRPr="00BD14B0">
        <w:rPr>
          <w:noProof/>
        </w:rPr>
        <w:t>(Friesen &amp; Kingstone, 1998)</w:t>
      </w:r>
      <w:r w:rsidRPr="00BD14B0">
        <w:fldChar w:fldCharType="end"/>
      </w:r>
      <w:r w:rsidRPr="00BD14B0">
        <w:t xml:space="preserve"> or revers</w:t>
      </w:r>
      <w:r w:rsidR="00F20103" w:rsidRPr="00BD14B0">
        <w:t>e</w:t>
      </w:r>
      <w:r w:rsidRPr="00BD14B0">
        <w:t xml:space="preserve"> </w:t>
      </w:r>
      <w:r w:rsidRPr="00BD14B0">
        <w:fldChar w:fldCharType="begin" w:fldLock="1"/>
      </w:r>
      <w:r w:rsidRPr="00BD14B0">
        <w:instrText>ADDIN CSL_CITATION {"citationItems":[{"id":"ITEM-1","itemData":{"DOI":"10.1080/13506280601112493","abstract":"Recent studies have demonstrated that orienting of attention in response to nonpredictive gaze cues arises rapidly and automatically, in a similar fashion to peripheral sudden onset cueing. However, while peripheral cues consistently elicit inhibition of return (IOR) at about 300 ms following cue onset, very little is known about inhibition effects in response to gaze cues. The present experiments systematically examined the conditions under which IOR arises with such cues. Reliable inhibition effects were obtained. Importantly, IOR emerged only at long cue-target intervals and only when a second cue actively triggered attention away from the cued location. This suggests that compared to sudden onset cueing, gaze cueing results in both prolonged facilitation and a delayed onset of inhibition processes. Thus, although both types of cues elicit very similar orienting effects in terms of their basic behavioural outcomes, there are more subtle differences between gaze and peripheral cues with respect to the maintenance and quality of those cueing effects across time.","author":[{"dropping-particle":"","family":"Frischen","given":"Alexandra","non-dropping-particle":"","parse-names":false,"suffix":""},{"dropping-particle":"","family":"Smilek","given":"Daniel","non-dropping-particle":"","parse-names":false,"suffix":""},{"dropping-particle":"","family":"Eastwood","given":"John","non-dropping-particle":"","parse-names":false,"suffix":""},{"dropping-particle":"","family":"Tipper","given":"Steven","non-dropping-particle":"","parse-names":false,"suffix":""}],"container-title":"Visual Cognition - VIS COGN","id":"ITEM-1","issued":{"date-parts":[["2007","11"]]},"number-of-pages":"881-895","title":"Inhibition of return in response to gaze cues: The roles of time course and fixation cue","type":"book","volume":"15"},"uris":["http://www.mendeley.com/documents/?uuid=43b703ba-9201-4c3d-9e65-267a70ac0bde","http://www.mendeley.com/documents/?uuid=c6c63cad-202d-4f13-a1af-d055f4723229"]}],"mendeley":{"formattedCitation":"(Frischen, Smilek, et al., 2007)","plainTextFormattedCitation":"(Frischen, Smilek, et al., 2007)","previouslyFormattedCitation":"(Frischen, Smilek, et al., 2007)"},"properties":{"noteIndex":0},"schema":"https://github.com/citation-style-language/schema/raw/master/csl-citation.json"}</w:instrText>
      </w:r>
      <w:r w:rsidRPr="00BD14B0">
        <w:fldChar w:fldCharType="separate"/>
      </w:r>
      <w:r w:rsidRPr="00BD14B0">
        <w:rPr>
          <w:noProof/>
        </w:rPr>
        <w:t>(Frischen, Smilek, et al., 2007)</w:t>
      </w:r>
      <w:r w:rsidRPr="00BD14B0">
        <w:fldChar w:fldCharType="end"/>
      </w:r>
      <w:r w:rsidRPr="00BD14B0">
        <w:t xml:space="preserve"> at longer SOAs. In summary, these studies provide strong support for the existence of a reflexive and informational-encapsulated mechanism involved in human gazing. </w:t>
      </w:r>
    </w:p>
    <w:p w14:paraId="26F0C898" w14:textId="3E2E7873" w:rsidR="00784D6C" w:rsidRPr="00BD14B0" w:rsidRDefault="006D2026" w:rsidP="00553E01">
      <w:r w:rsidRPr="00BD14B0">
        <w:tab/>
      </w:r>
      <w:r w:rsidR="00784D6C" w:rsidRPr="00BD14B0">
        <w:t xml:space="preserve">There is an ongoing debate on whether the attention system reflexively orients itself through exogenous processes in an automatic manner </w:t>
      </w:r>
      <w:r w:rsidR="00784D6C" w:rsidRPr="00BD14B0">
        <w:fldChar w:fldCharType="begin" w:fldLock="1"/>
      </w:r>
      <w:r w:rsidR="00784D6C" w:rsidRPr="00BD14B0">
        <w:instrText>ADDIN CSL_CITATION {"citationItems":[{"id":"ITEM-1","itemData":{"DOI":"10.3758/PBR.15.6.1148","ISSN":"1069-9384","abstract":"It has been suggested that two types of uninformative central cues produce reflexive orienting: gaze and arrow cues. Using the criterion that voluntary shifts of attention facilitate both response speed and perceptual accuracy, whereas reflexive shifts of attention facilitate only response speed (Prinzmetal, McCool, &amp; Park, 2005), we tested whether these cues produce reflexive or volitional shifts of attention. A cued letter discrimination task was used with both gaze (Experiments 1A and 1B) and arrow (Experiments 2A and 2B) cues, in which participants responded to the identity of the target letter. In the response time (respond speed) tasks, participants were asked to respond as quickly as possible to the target; in the accuracy (perceptual quality) tasks, participants were asked to respond as accurately as possible. For both cue types, compatible cues were found to facilitate response speed but not perceptual accuracy, indicating that both gaze and arrow cues generate reflexive shifts in attention. © 2008 Psychonomic Society, Inc.","author":[{"dropping-particle":"","family":"Stevens","given":"Sara A.","non-dropping-particle":"","parse-names":false,"suffix":""},{"dropping-particle":"","family":"West","given":"Greg L.","non-dropping-particle":"","parse-names":false,"suffix":""},{"dropping-particle":"","family":"Al-Aidroos","given":"Naseem","non-dropping-particle":"","parse-names":false,"suffix":""},{"dropping-particle":"","family":"Weger","given":"Ulrich W.","non-dropping-particle":"","parse-names":false,"suffix":""},{"dropping-particle":"","family":"Pratt","given":"Jay","non-dropping-particle":"","parse-names":false,"suffix":""}],"container-title":"Psychonomic Bulletin &amp; Review","id":"ITEM-1","issue":"6","issued":{"date-parts":[["2008","12","1"]]},"page":"1148-1153","title":"Testing whether gaze cues and arrow cues produce reflexive or volitional shifts of attention","type":"article-journal","volume":"15"},"uris":["http://www.mendeley.com/documents/?uuid=b31423a3-6359-41a5-b09d-3a3e21a6fcf2"]}],"mendeley":{"formattedCitation":"(Stevens et al., 2008)","plainTextFormattedCitation":"(Stevens et al., 2008)","previouslyFormattedCitation":"(Stevens et al., 2008)"},"properties":{"noteIndex":0},"schema":"https://github.com/citation-style-language/schema/raw/master/csl-citation.json"}</w:instrText>
      </w:r>
      <w:r w:rsidR="00784D6C" w:rsidRPr="00BD14B0">
        <w:fldChar w:fldCharType="separate"/>
      </w:r>
      <w:r w:rsidR="00784D6C" w:rsidRPr="00BD14B0">
        <w:rPr>
          <w:noProof/>
        </w:rPr>
        <w:t>(Stevens et al., 2008)</w:t>
      </w:r>
      <w:r w:rsidR="00784D6C" w:rsidRPr="00BD14B0">
        <w:fldChar w:fldCharType="end"/>
      </w:r>
      <w:r w:rsidR="00784D6C" w:rsidRPr="00BD14B0">
        <w:t xml:space="preserve"> or intentionally via endogenous orientation system </w:t>
      </w:r>
      <w:r w:rsidR="00784D6C" w:rsidRPr="00BD14B0">
        <w:fldChar w:fldCharType="begin" w:fldLock="1"/>
      </w:r>
      <w:r w:rsidR="00784D6C" w:rsidRPr="00BD14B0">
        <w:instrText>ADDIN CSL_CITATION {"citationItems":[{"id":"ITEM-1","itemData":{"DOI":"10.1016/j.neuropsychologia.2005.04.010","ISSN":"00283932","abstract":"Humans are able to predict the behavior of others using visual information. Several studies have argued that social cues, such as eye gaze direction, can influence the allocation of visual attention in a reflexive manner. We have previously shown that a patient with frontal-lobe damage, patient EVR, can use peripheral cues to direct attention but cannot use either word cues or gaze cues to allocate attention. These findings suggest that 'social attention' may involve frontal-lobe processes that control voluntary, not automatic, shifts of visuospatial attention. In the current paper, we further examine 'social attention' in EVR and demonstrate that his failure to orient attention voluntarily cannot be attributed to either cue predictability or a 'sluggish' attentional system. EVR exhibits a general impairment in orienting attention endogenously, and this impairment includes orienting from gaze cues. Gaze cues direct attention in a voluntary, not a reflexive, manner. © 2005 Elsevier Ltd. All rights reserved.","author":[{"dropping-particle":"","family":"Vecera","given":"Shaun P.","non-dropping-particle":"","parse-names":false,"suffix":""},{"dropping-particle":"","family":"Rizzo","given":"Matthew","non-dropping-particle":"","parse-names":false,"suffix":""}],"container-title":"Neuropsychologia","id":"ITEM-1","issue":"1","issued":{"date-parts":[["2006","1"]]},"page":"150-159","title":"Eye gaze does not produce reflexive shifts of attention: Evidence from frontal-lobe damage","type":"article-journal","volume":"44"},"uris":["http://www.mendeley.com/documents/?uuid=90edd0e4-fd3e-4ee4-9bea-301ff2e67f45"]}],"mendeley":{"formattedCitation":"(Vecera &amp; Rizzo, 2006)","plainTextFormattedCitation":"(Vecera &amp; Rizzo, 2006)","previouslyFormattedCitation":"(Vecera &amp; Rizzo, 2006)"},"properties":{"noteIndex":0},"schema":"https://github.com/citation-style-language/schema/raw/master/csl-citation.json"}</w:instrText>
      </w:r>
      <w:r w:rsidR="00784D6C" w:rsidRPr="00BD14B0">
        <w:fldChar w:fldCharType="separate"/>
      </w:r>
      <w:r w:rsidR="00784D6C" w:rsidRPr="00BD14B0">
        <w:rPr>
          <w:noProof/>
        </w:rPr>
        <w:t>(Vecera &amp; Rizzo, 2006)</w:t>
      </w:r>
      <w:r w:rsidR="00784D6C" w:rsidRPr="00BD14B0">
        <w:fldChar w:fldCharType="end"/>
      </w:r>
      <w:r w:rsidR="00784D6C" w:rsidRPr="00BD14B0">
        <w:t xml:space="preserve">. The first line of evidence </w:t>
      </w:r>
      <w:r w:rsidR="00F623F8" w:rsidRPr="00BD14B0">
        <w:t xml:space="preserve">suggests </w:t>
      </w:r>
      <w:r w:rsidR="00784D6C" w:rsidRPr="00BD14B0">
        <w:t>that the endogenous system</w:t>
      </w:r>
      <w:r w:rsidR="00F623F8" w:rsidRPr="00BD14B0">
        <w:t>,</w:t>
      </w:r>
      <w:r w:rsidR="00784D6C" w:rsidRPr="00BD14B0">
        <w:t xml:space="preserve"> in which attention shifts are controlled and </w:t>
      </w:r>
      <w:r w:rsidR="00784D6C" w:rsidRPr="00BD14B0">
        <w:lastRenderedPageBreak/>
        <w:t>intentional</w:t>
      </w:r>
      <w:r w:rsidR="00F623F8" w:rsidRPr="00BD14B0">
        <w:t>,</w:t>
      </w:r>
      <w:r w:rsidR="00784D6C" w:rsidRPr="00BD14B0">
        <w:t xml:space="preserve"> </w:t>
      </w:r>
      <w:r w:rsidR="00F623F8" w:rsidRPr="00BD14B0">
        <w:t>is</w:t>
      </w:r>
      <w:r w:rsidR="00784D6C" w:rsidRPr="00BD14B0">
        <w:t xml:space="preserve"> related to </w:t>
      </w:r>
      <w:r w:rsidR="00F623F8" w:rsidRPr="00BD14B0">
        <w:t>gaze</w:t>
      </w:r>
      <w:r w:rsidR="00784D6C" w:rsidRPr="00BD14B0">
        <w:t xml:space="preserve"> following. With non-social cues, exogenous shifts of attention occur with the cues (such as a flashlight) in the periphery; however, social cues (such as eye gaze) are centrally located. To extract the direction of the target, this may require a higher degree of processing. According to </w:t>
      </w:r>
      <w:r w:rsidR="00784D6C" w:rsidRPr="00BD14B0">
        <w:fldChar w:fldCharType="begin" w:fldLock="1"/>
      </w:r>
      <w:r w:rsidR="004D2901" w:rsidRPr="00BD14B0">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1998)","manualFormatting":"Friesen and Kingstone (1998)","plainTextFormattedCitation":"(C. K. Friesen &amp; Kingstone, 1998)","previouslyFormattedCitation":"(C. K. Friesen &amp; Kingstone, 1998)"},"properties":{"noteIndex":0},"schema":"https://github.com/citation-style-language/schema/raw/master/csl-citation.json"}</w:instrText>
      </w:r>
      <w:r w:rsidR="00784D6C" w:rsidRPr="00BD14B0">
        <w:fldChar w:fldCharType="separate"/>
      </w:r>
      <w:r w:rsidR="00784D6C" w:rsidRPr="00BD14B0">
        <w:rPr>
          <w:noProof/>
        </w:rPr>
        <w:t>Friesen and Kingstone (1998)</w:t>
      </w:r>
      <w:r w:rsidR="00784D6C" w:rsidRPr="00BD14B0">
        <w:fldChar w:fldCharType="end"/>
      </w:r>
      <w:r w:rsidR="00784D6C" w:rsidRPr="00BD14B0">
        <w:t xml:space="preserve">, unlike </w:t>
      </w:r>
      <w:r w:rsidR="00F623F8" w:rsidRPr="00BD14B0">
        <w:t xml:space="preserve">the </w:t>
      </w:r>
      <w:r w:rsidR="00784D6C" w:rsidRPr="00BD14B0">
        <w:t>exogenous system</w:t>
      </w:r>
      <w:r w:rsidR="00F623F8" w:rsidRPr="00BD14B0">
        <w:t>,</w:t>
      </w:r>
      <w:r w:rsidR="00784D6C" w:rsidRPr="00BD14B0">
        <w:t xml:space="preserve"> gaze cued attentional shifts appear to emerge relatively slowly. This idea is consistent with the volitional control of attention </w:t>
      </w:r>
      <w:r w:rsidR="00784D6C" w:rsidRPr="00BD14B0">
        <w:fldChar w:fldCharType="begin" w:fldLock="1"/>
      </w:r>
      <w:r w:rsidR="00784D6C" w:rsidRPr="00BD14B0">
        <w:instrText>ADDIN CSL_CITATION {"citationItems":[{"id":"ITEM-1","itemData":{"DOI":"10.1037/h0081031","ISBN":"0008-4255(Print)","ISSN":"0008-4255","abstract":"Conducted 2 experiments with 24 undergraduates to investigate alternative models for shifts of attention to parts of the visual field without changes in fixation. Such shifts were diagnosed by a cost–benefit analysis of RTs and errors in a forced-choice visual search task. The results cannot be accounted for by models that postulate sequential examination of array items. Rather, search through an array is better viewed as a process in which the items are examined simultaneously. A shift of attention, according to this view, is characterized as a modification in the processing resources that are allocated to the examination of each array item. (French abstract) (15 ref) (PsycINFO Database Record (c) 2016 APA, all rights reserved)","author":[{"dropping-particle":"","family":"Jonides","given":"John","non-dropping-particle":"","parse-names":false,"suffix":""}],"container-title":"Canadian Journal of Psychology/Revue canadienne de psychologie","id":"ITEM-1","issue":"2","issued":{"date-parts":[["1980"]]},"page":"103-112","publisher":"University of Toronto Press","publisher-place":"Canada","title":"Towards a model of the mind's eye's movement.","type":"article-journal","volume":"34"},"uris":["http://www.mendeley.com/documents/?uuid=ab69d3b1-46d2-4ae2-809a-71d7ed7298a6"]}],"mendeley":{"formattedCitation":"(Jonides, 1980)","plainTextFormattedCitation":"(Jonides, 1980)","previouslyFormattedCitation":"(Jonides, 1980)"},"properties":{"noteIndex":0},"schema":"https://github.com/citation-style-language/schema/raw/master/csl-citation.json"}</w:instrText>
      </w:r>
      <w:r w:rsidR="00784D6C" w:rsidRPr="00BD14B0">
        <w:fldChar w:fldCharType="separate"/>
      </w:r>
      <w:r w:rsidR="00784D6C" w:rsidRPr="00BD14B0">
        <w:rPr>
          <w:noProof/>
        </w:rPr>
        <w:t>(Jonides, 1980)</w:t>
      </w:r>
      <w:r w:rsidR="00784D6C" w:rsidRPr="00BD14B0">
        <w:fldChar w:fldCharType="end"/>
      </w:r>
      <w:r w:rsidR="00784D6C" w:rsidRPr="00BD14B0">
        <w:t xml:space="preserve">. Next, evidence from neural mechanisms has </w:t>
      </w:r>
      <w:r w:rsidR="00361F91" w:rsidRPr="00BD14B0">
        <w:t>shown</w:t>
      </w:r>
      <w:r w:rsidR="00784D6C" w:rsidRPr="00BD14B0">
        <w:t xml:space="preserve"> that exogenous attentional shifts are related to the superior colliculus </w:t>
      </w:r>
      <w:r w:rsidR="00784D6C" w:rsidRPr="00BD14B0">
        <w:fldChar w:fldCharType="begin" w:fldLock="1"/>
      </w:r>
      <w:r w:rsidR="0028287E" w:rsidRPr="00BD14B0">
        <w:instrText>ADDIN CSL_CITATION {"citationItems":[{"id":"ITEM-1","itemData":{"DOI":"10.1080/02643298508252866","ISSN":"0264-3294","abstract":"Three experiments examined the relationship of inhibition of return (the tendency to inhibit orienting toward visual locations that have been previously attended) to neural systems that generate saccades. Exp I, with 6 progressive supranuclear palsy patients (aged 55–76 yrs), 4 Parkinson's disease patients, 5 patients with frontal cortical lesions, 7 patients with parietal cortical lesions, and 10 young normal controls, showed that midbrain lesions impairing saccade generation produced a concurrent loss of the inhibition of return, whereas cortical components shown to impair facilitatory components did not. Exp II, with 8 Ss, and Exp III, with 12 young normal Ss, showed that the inhibition of return was associated with a bias in eye movements against returning to a previously inhibited location and indicated that inhibition of return occurred even when the eyes moved to an unchanging visual target. It is concluded the deficits found in patients and the conditions under which inhibition is found in normals suggest that inhibition of return may function to favor foveation of information at new locations. (20 ref) (PsycINFO Database Record (c) 2016 APA, all rights reserved)","author":[{"dropping-particle":"","family":"Posner","given":"Michael I","non-dropping-particle":"","parse-names":false,"suffix":""},{"dropping-particle":"","family":"Rafal","given":"Robert D","non-dropping-particle":"","parse-names":false,"suffix":""},{"dropping-particle":"","family":"Choate","given":"Lisa S","non-dropping-particle":"","parse-names":false,"suffix":""},{"dropping-particle":"","family":"Vaughan","given":"Jonathan","non-dropping-particle":"","parse-names":false,"suffix":""}],"container-title":"Cognitive Neuropsychology","id":"ITEM-1","issue":"3","issued":{"date-parts":[["1985","8","16"]]},"page":"211-228","publisher":"Taylor &amp; Francis","publisher-place":"United Kingdom","title":"Inhibition of return: Neural basis and function","type":"chapter","volume":"2"},"uris":["http://www.mendeley.com/documents/?uuid=8eecc066-423b-41d8-b690-7314d0bcfa3d"]}],"mendeley":{"formattedCitation":"(M. I. Posner et al., 1985)","manualFormatting":"(Posner et al., 1985)","plainTextFormattedCitation":"(M. I. Posner et al., 1985)","previouslyFormattedCitation":"(M. I. Posner et al., 1985)"},"properties":{"noteIndex":0},"schema":"https://github.com/citation-style-language/schema/raw/master/csl-citation.json"}</w:instrText>
      </w:r>
      <w:r w:rsidR="00784D6C" w:rsidRPr="00BD14B0">
        <w:fldChar w:fldCharType="separate"/>
      </w:r>
      <w:r w:rsidR="004D2901" w:rsidRPr="00BD14B0">
        <w:rPr>
          <w:noProof/>
        </w:rPr>
        <w:t>(Posner et al., 1985)</w:t>
      </w:r>
      <w:r w:rsidR="00784D6C" w:rsidRPr="00BD14B0">
        <w:fldChar w:fldCharType="end"/>
      </w:r>
      <w:r w:rsidR="00784D6C" w:rsidRPr="00BD14B0">
        <w:t xml:space="preserve">; however, later studies have failed to show associations between gaze cues and this structure </w:t>
      </w:r>
      <w:r w:rsidR="00784D6C" w:rsidRPr="00BD14B0">
        <w:fldChar w:fldCharType="begin" w:fldLock="1"/>
      </w:r>
      <w:r w:rsidR="00784D6C" w:rsidRPr="00BD14B0">
        <w:instrText>ADDIN CSL_CITATION {"citationItems":[{"id":"ITEM-1","itemData":{"DOI":"10.1097/00001756-200303030-00039","ISBN":"1473-558X(Electronic),0959-4965(Print)","ISSN":"0959-4965","abstract":"We examined covert and overt orienting in response to non-predictive gaze direction cues and investigated whether the subcortical superior colliculus (SC) plays a role in this type of orienting. Participants viewed a centrally presented gazing schematic face and responded to targets appearing at gazed-at or non-gazed-at locations either by making a keypress response while maintaining central fixation or by making an eye movement to the target. For both response conditions, the fixation stimulus (the gazing face) either remained on the screen or was extinguished at the time of target presentation, a manipulation known to engage and disengage the SC. Results revealed that participants making manual responses oriented covertly to the gazed-at location regardless of the fixation condition, and that participants making eye movements oriented overtly only if the fixation stimulus remained on the screen. Overt gaze-triggered orienting was not enhanced relative to covert orienting, and the fixation offset effect was not reduced for averted gaze cues relative to straight gaze cues. These findings suggest that gaze direction cues do not activate or predisengage the oculomotor system, and thus that orienting to gaze direction does not engage the SC. (PsycINFO Database Record (c) 2016 APA, all rights reserved)","author":[{"dropping-particle":"","family":"Friesen","given":"Chris Kelland","non-dropping-particle":"","parse-names":false,"suffix":""},{"dropping-particle":"","family":"Kingstone","given":"Alan","non-dropping-particle":"","parse-names":false,"suffix":""}],"container-title":"NeuroReport","id":"ITEM-1","issue":"3","issued":{"date-parts":[["2003","3"]]},"page":"489-493","publisher":"Lippincott Williams &amp; Wilkins","publisher-place":"Friesen, Chris Kelland: Department of Psychology, University of Saskatchewan, 9 Campus Drive, Saskatoon, SK, Canada, S7N 5AS, chris.friesen@usask.ca","title":"Covert and overt orienting to gaze direction cues and the effects of fixation offset","type":"article-journal","volume":"14"},"uris":["http://www.mendeley.com/documents/?uuid=b1bee99d-9a8d-4ca8-9215-027f5cf73129"]}],"mendeley":{"formattedCitation":"(C. K. Friesen &amp; Kingstone, 2003)","manualFormatting":"(Friesen &amp; Kingstone, 2003)","plainTextFormattedCitation":"(C. K. Friesen &amp; Kingstone, 2003)","previouslyFormattedCitation":"(C. K. Friesen &amp; Kingstone, 2003)"},"properties":{"noteIndex":0},"schema":"https://github.com/citation-style-language/schema/raw/master/csl-citation.json"}</w:instrText>
      </w:r>
      <w:r w:rsidR="00784D6C" w:rsidRPr="00BD14B0">
        <w:fldChar w:fldCharType="separate"/>
      </w:r>
      <w:r w:rsidR="00784D6C" w:rsidRPr="00BD14B0">
        <w:rPr>
          <w:noProof/>
        </w:rPr>
        <w:t>(Friesen &amp; Kingstone, 2003)</w:t>
      </w:r>
      <w:r w:rsidR="00784D6C" w:rsidRPr="00BD14B0">
        <w:fldChar w:fldCharType="end"/>
      </w:r>
      <w:r w:rsidR="00784D6C" w:rsidRPr="00BD14B0">
        <w:t xml:space="preserve">. Also, endogenous attention control has been found to be associated with a parietal-frontal attention system </w:t>
      </w:r>
      <w:r w:rsidR="00784D6C" w:rsidRPr="00BD14B0">
        <w:fldChar w:fldCharType="begin" w:fldLock="1"/>
      </w:r>
      <w:r w:rsidR="004D2901" w:rsidRPr="00BD14B0">
        <w:instrText>ADDIN CSL_CITATION {"citationItems":[{"id":"ITEM-1","itemData":{"DOI":"10.1038/nrn755","ISSN":"1471-003X","abstract":"This review proposes that two networks of brain areas are involved in controlling attention. One network is primarily responsible for applying cognitive, top-down selection for stimuli and responses, whereas the other detects behaviourally relevant stimuli and might act as a 'circuit breaker' for the first system. Humans use cognitive information to direct attention to relevant objects (targets) in a visual scene. Information such as the target's colour or location is represented as a 'perceptual set'. Similarly, advance information about the required response to a target is represented as a 'motor set'. These can be considered together as an 'attentional set', which aids the detection of and response to targets. Such top-down control of attentional processes activates dorsal posterior parietal and frontal regions of the brain bilaterally in both monkeys and humans. This dorsal frontoparietal system is responsible for the generation of attentional sets. Attention can also be driven by stimulus properties rather than cognitive processes. This 'bottom-up' control of attention explains why we find ourselves drawn to 'oddball' stimuli that are very different from the background, or to salient stimuli that share some sensory features, such as colour, with the target for which we are searching. The dorsal frontoparietal system seems to maintain a 'salience map' that combines bottom-up with top-down information during visual search. Potentially important sensory stimuli, such as loud alarms or sudden movement, can attract our attention regardless of the ongoing task. This sensory orienting process seems to be mediated by the second attentional network, which is mainly lateralized to the right side of the brain and includes the temporoparietal junction and the ventral frontal cortex. This network seems to interrupt ongoing cognitive activity when a stimulus that might be behaviourally important is detected. These two networks could interact in humans to control attention. It is possible that damage to these networks is responsible for the syndrome of neglect, in which patients that have suffered damage to the right side of the brain tend to ignore stimuli on the left side of space. The authors suggest that neglect results from damage to the ventral network that also 'functionally inactivates' the dorsal network.","author":[{"dropping-particle":"","family":"Corbetta","given":"Maurizio","non-dropping-particle":"","parse-names":false,"suffix":""},{"dropping-particle":"","family":"Shulman","given":"Gordon L","non-dropping-particle":"","parse-names":false,"suffix":""}],"container-title":"Nature Reviews Neuroscience","id":"ITEM-1","issue":"3","issued":{"date-parts":[["2002","3"]]},"page":"201-215","title":"Control of goal-directed and stimulus-driven attention in the brain","type":"article-journal","volume":"3"},"uris":["http://www.mendeley.com/documents/?uuid=bbb51c05-f9f5-4443-bc0f-6a5b0fa1a69a"]}],"mendeley":{"formattedCitation":"(Maurizio Corbetta &amp; Shulman, 2002)","plainTextFormattedCitation":"(Maurizio Corbetta &amp; Shulman, 2002)","previouslyFormattedCitation":"(Maurizio Corbetta &amp; Shulman, 2002)"},"properties":{"noteIndex":0},"schema":"https://github.com/citation-style-language/schema/raw/master/csl-citation.json"}</w:instrText>
      </w:r>
      <w:r w:rsidR="00784D6C" w:rsidRPr="00BD14B0">
        <w:fldChar w:fldCharType="separate"/>
      </w:r>
      <w:r w:rsidR="004D2901" w:rsidRPr="00BD14B0">
        <w:rPr>
          <w:noProof/>
        </w:rPr>
        <w:t>(Maurizio Corbetta &amp; Shulman, 2002)</w:t>
      </w:r>
      <w:r w:rsidR="00784D6C" w:rsidRPr="00BD14B0">
        <w:fldChar w:fldCharType="end"/>
      </w:r>
      <w:r w:rsidR="00784D6C" w:rsidRPr="00BD14B0">
        <w:t xml:space="preserve">. Interestingly, a neuropsychological study conducted with a patient suffering from frontal damage showed that the patient was not able to complete gaze cueing attentional shifts </w:t>
      </w:r>
      <w:r w:rsidR="00784D6C" w:rsidRPr="00BD14B0">
        <w:fldChar w:fldCharType="begin" w:fldLock="1"/>
      </w:r>
      <w:r w:rsidR="00784D6C" w:rsidRPr="00BD14B0">
        <w:instrText>ADDIN CSL_CITATION {"citationItems":[{"id":"ITEM-1","itemData":{"DOI":"10.1016/j.neuropsychologia.2005.04.010","ISSN":"00283932","abstract":"Humans are able to predict the behavior of others using visual information. Several studies have argued that social cues, such as eye gaze direction, can influence the allocation of visual attention in a reflexive manner. We have previously shown that a patient with frontal-lobe damage, patient EVR, can use peripheral cues to direct attention but cannot use either word cues or gaze cues to allocate attention. These findings suggest that 'social attention' may involve frontal-lobe processes that control voluntary, not automatic, shifts of visuospatial attention. In the current paper, we further examine 'social attention' in EVR and demonstrate that his failure to orient attention voluntarily cannot be attributed to either cue predictability or a 'sluggish' attentional system. EVR exhibits a general impairment in orienting attention endogenously, and this impairment includes orienting from gaze cues. Gaze cues direct attention in a voluntary, not a reflexive, manner. © 2005 Elsevier Ltd. All rights reserved.","author":[{"dropping-particle":"","family":"Vecera","given":"Shaun P.","non-dropping-particle":"","parse-names":false,"suffix":""},{"dropping-particle":"","family":"Rizzo","given":"Matthew","non-dropping-particle":"","parse-names":false,"suffix":""}],"container-title":"Neuropsychologia","id":"ITEM-1","issue":"1","issued":{"date-parts":[["2006","1"]]},"page":"150-159","title":"Eye gaze does not produce reflexive shifts of attention: Evidence from frontal-lobe damage","type":"article-journal","volume":"44"},"uris":["http://www.mendeley.com/documents/?uuid=90edd0e4-fd3e-4ee4-9bea-301ff2e67f45"]}],"mendeley":{"formattedCitation":"(Vecera &amp; Rizzo, 2006)","plainTextFormattedCitation":"(Vecera &amp; Rizzo, 2006)","previouslyFormattedCitation":"(Vecera &amp; Rizzo, 2006)"},"properties":{"noteIndex":0},"schema":"https://github.com/citation-style-language/schema/raw/master/csl-citation.json"}</w:instrText>
      </w:r>
      <w:r w:rsidR="00784D6C" w:rsidRPr="00BD14B0">
        <w:fldChar w:fldCharType="separate"/>
      </w:r>
      <w:r w:rsidR="00784D6C" w:rsidRPr="00BD14B0">
        <w:rPr>
          <w:noProof/>
        </w:rPr>
        <w:t>(Vecera &amp; Rizzo, 2006)</w:t>
      </w:r>
      <w:r w:rsidR="00784D6C" w:rsidRPr="00BD14B0">
        <w:fldChar w:fldCharType="end"/>
      </w:r>
      <w:r w:rsidR="00784D6C" w:rsidRPr="00BD14B0">
        <w:t xml:space="preserve"> which suggests top-down control over attention is necessary for gaze cueing. Lastly, exogenous shifts of attention have been found to produce subsequent IOR (inhibition of return) after 300</w:t>
      </w:r>
      <w:r w:rsidR="00515B0D" w:rsidRPr="00BD14B0">
        <w:t xml:space="preserve"> </w:t>
      </w:r>
      <w:proofErr w:type="spellStart"/>
      <w:r w:rsidR="00784D6C" w:rsidRPr="00BD14B0">
        <w:t>ms</w:t>
      </w:r>
      <w:proofErr w:type="spellEnd"/>
      <w:r w:rsidR="00784D6C" w:rsidRPr="00BD14B0">
        <w:t xml:space="preserve"> </w:t>
      </w:r>
      <w:r w:rsidR="00784D6C" w:rsidRPr="00BD14B0">
        <w:fldChar w:fldCharType="begin" w:fldLock="1"/>
      </w:r>
      <w:r w:rsidR="0028287E" w:rsidRPr="00BD14B0">
        <w:instrText>ADDIN CSL_CITATION {"citationItems":[{"id":"ITEM-1","itemData":{"DOI":"10.1080/17470218.2014.937446","ISBN":"1747-0218","ISSN":"1747-0226","PMID":"25176352","abstract":"It is nearly 35 years since I gave the 7th Sir Frederick Bartlett lecture at Oxford University. This was published as a paper entitled \"Orienting of attention in the quarterly journal\". The topic was then primarily in psychology, but now equally often in neuroscience. This paper summarizes the background of the reaction time methods used in the original paper and findings that emerged later on the sensory consequences of orienting, mainly in the visual system. It then discusses the brain network that is the source of the sensory amplification and other brain networks that are involved in attention. Next, it reviews studies of the development of attentional networks in early life. Finally, it indicates how the new tools available to explore the human brain can lead to further progress.","author":[{"dropping-particle":"","family":"Posner","given":"Michael I","non-dropping-particle":"","parse-names":false,"suffix":""}],"container-title":"Quarterly journal of experimental psychology (2006)","id":"ITEM-1","issue":"September","issued":{"date-parts":[["2014"]]},"page":"1-12","title":"Orienting of attention: Then and now.","type":"article-journal","volume":"0218"},"uris":["http://www.mendeley.com/documents/?uuid=954f811f-ec71-4335-8fdd-859f188224ac"]}],"mendeley":{"formattedCitation":"(M. I. Posner, 2014)","manualFormatting":"(Posner, 2014)","plainTextFormattedCitation":"(M. I. Posner, 2014)","previouslyFormattedCitation":"(M. I. Posner, 2014)"},"properties":{"noteIndex":0},"schema":"https://github.com/citation-style-language/schema/raw/master/csl-citation.json"}</w:instrText>
      </w:r>
      <w:r w:rsidR="00784D6C" w:rsidRPr="00BD14B0">
        <w:fldChar w:fldCharType="separate"/>
      </w:r>
      <w:r w:rsidR="004D2901" w:rsidRPr="00BD14B0">
        <w:rPr>
          <w:noProof/>
        </w:rPr>
        <w:t>(Posner, 2014)</w:t>
      </w:r>
      <w:r w:rsidR="00784D6C" w:rsidRPr="00BD14B0">
        <w:fldChar w:fldCharType="end"/>
      </w:r>
      <w:r w:rsidR="00784D6C" w:rsidRPr="00BD14B0">
        <w:t xml:space="preserve"> but this is not the case for the gaze cues. Overall, the above evidence suggests that gaze cueing might be producing voluntary, controlled shifts of attention.</w:t>
      </w:r>
    </w:p>
    <w:p w14:paraId="7E4C2F34" w14:textId="17CFB6C3" w:rsidR="00784D6C" w:rsidRPr="00BD14B0" w:rsidRDefault="00122337" w:rsidP="00553E01">
      <w:r w:rsidRPr="00BD14B0">
        <w:tab/>
      </w:r>
      <w:r w:rsidR="00784D6C" w:rsidRPr="00BD14B0">
        <w:t>Despite the number of studies which have highlighted mechanisms related to voluntary orientation in gaze cueing, a large amount of evidence suggests otherwise. The second line of evidence suggests that overall gaze cues cause some form of automatic attention shifts. First, the inability to disengage from the gaze cues, even when viewing a counter-predictive shift indicates the opposite of a voluntary process. For example,</w:t>
      </w:r>
      <w:r w:rsidR="00784D6C" w:rsidRPr="00BD14B0">
        <w:fldChar w:fldCharType="begin" w:fldLock="1"/>
      </w:r>
      <w:r w:rsidR="004D2901" w:rsidRPr="00BD14B0">
        <w:instrText>ADDIN CSL_CITATION {"citationItems":[{"id":"ITEM-1","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Cognition","id":"ITEM-1","issue":"5","issued":{"date-parts":[["1999"]]},"page":"509-540","title":"Gaze perception triggers reflexive visuospatial orienting","type":"article-journal","volume":"6"},"uris":["http://www.mendeley.com/documents/?uuid=d75d6f62-db29-416a-8682-3ddf8bb6262f"]}],"mendeley":{"formattedCitation":"(Driver et al., 1999)","manualFormatting":" Driver et al. (1999)","plainTextFormattedCitation":"(Driver et al., 1999)","previouslyFormattedCitation":"(Driver et al., 1999)"},"properties":{"noteIndex":0},"schema":"https://github.com/citation-style-language/schema/raw/master/csl-citation.json"}</w:instrText>
      </w:r>
      <w:r w:rsidR="00784D6C" w:rsidRPr="00BD14B0">
        <w:fldChar w:fldCharType="separate"/>
      </w:r>
      <w:r w:rsidR="00784D6C" w:rsidRPr="00BD14B0">
        <w:rPr>
          <w:noProof/>
        </w:rPr>
        <w:t xml:space="preserve"> Driver et al. (1999)</w:t>
      </w:r>
      <w:r w:rsidR="00784D6C" w:rsidRPr="00BD14B0">
        <w:fldChar w:fldCharType="end"/>
      </w:r>
      <w:r w:rsidR="00784D6C" w:rsidRPr="00BD14B0">
        <w:t xml:space="preserve"> found that even when participants were told that the target would appear on the </w:t>
      </w:r>
      <w:proofErr w:type="spellStart"/>
      <w:r w:rsidR="00784D6C" w:rsidRPr="00BD14B0">
        <w:t>uncued</w:t>
      </w:r>
      <w:proofErr w:type="spellEnd"/>
      <w:r w:rsidR="00784D6C" w:rsidRPr="00BD14B0">
        <w:t xml:space="preserve"> side of the screen 80% of the time and that they should avoid gaze cues, the eye cue effect persisted. Second, evidence has also been found against the assumption that the gaze cueing effect is slower than the automatic shifting of attention. One study showed that, under certain circumstances, gaze cueing effects could emerge as quickly as 14</w:t>
      </w:r>
      <w:r w:rsidR="00515B0D" w:rsidRPr="00BD14B0">
        <w:t xml:space="preserve"> </w:t>
      </w:r>
      <w:proofErr w:type="spellStart"/>
      <w:r w:rsidR="00784D6C" w:rsidRPr="00BD14B0">
        <w:t>ms</w:t>
      </w:r>
      <w:proofErr w:type="spellEnd"/>
      <w:r w:rsidR="00784D6C" w:rsidRPr="00BD14B0">
        <w:t xml:space="preserve"> </w:t>
      </w:r>
      <w:r w:rsidR="00784D6C" w:rsidRPr="00BD14B0">
        <w:fldChar w:fldCharType="begin" w:fldLock="1"/>
      </w:r>
      <w:r w:rsidR="00784D6C" w:rsidRPr="00BD14B0">
        <w:instrText>ADDIN CSL_CITATION {"citationItems":[{"id":"ITEM-1","itemData":{"DOI":"10.1037/0096-1523.29.6.1228","ISBN":"0096-1523 (Print)","ISSN":"1939-1277","PMID":"14640840","abstract":"In 6 experiments, the authors investigated whether attention orienting by gaze direction is modulated by the emotional expression (neutral, happy, angry, or fearful) on the face. The results showed a clear spatial cuing effect by gaze direction but no effect by facial expression. In addition, it was shown that the cuing effect was stronger with schematic faces than with real faces, that gaze cuing could be achieved at very short stimulus onset asynchronies (14 ms), and that there was no evidence for a difference in the strength of cuing triggered by static gaze cues and by cues involving apparent motion of the pupils. In sum, the results suggest that in normal, healthy adults, eye direction processing for attention shifts is independent of facial expression analysis.","author":[{"dropping-particle":"","family":"Hietanen","given":"Jari K.","non-dropping-particle":"","parse-names":false,"suffix":""},{"dropping-particle":"","family":"Leppänen","given":"Jukka M.","non-dropping-particle":"","parse-names":false,"suffix":""}],"container-title":"Journal of Experimental Psychology: Human Perception and Performance","id":"ITEM-1","issue":"6","issued":{"date-parts":[["2003"]]},"page":"1228-1243","title":"Does Facial Expression Affect Attention Orienting by Gaze Direction Cues?","type":"article-journal","volume":"29"},"uris":["http://www.mendeley.com/documents/?uuid=eacedced-5fc4-4714-ad16-918d6400bf34"]}],"mendeley":{"formattedCitation":"(Hietanen &amp; Leppänen, 2003)","plainTextFormattedCitation":"(Hietanen &amp; Leppänen, 2003)","previouslyFormattedCitation":"(Hietanen &amp; Leppänen, 2003)"},"properties":{"noteIndex":0},"schema":"https://github.com/citation-style-language/schema/raw/master/csl-citation.json"}</w:instrText>
      </w:r>
      <w:r w:rsidR="00784D6C" w:rsidRPr="00BD14B0">
        <w:fldChar w:fldCharType="separate"/>
      </w:r>
      <w:r w:rsidR="00784D6C" w:rsidRPr="00BD14B0">
        <w:rPr>
          <w:noProof/>
        </w:rPr>
        <w:t>(Hietanen &amp; Leppänen, 2003)</w:t>
      </w:r>
      <w:r w:rsidR="00784D6C" w:rsidRPr="00BD14B0">
        <w:fldChar w:fldCharType="end"/>
      </w:r>
      <w:r w:rsidR="00784D6C" w:rsidRPr="00BD14B0">
        <w:t xml:space="preserve">. Importantly, the inhibition of return (IOR) that is the result of exogenous shifts of attention </w:t>
      </w:r>
      <w:r w:rsidR="00784D6C" w:rsidRPr="00BD14B0">
        <w:fldChar w:fldCharType="begin" w:fldLock="1"/>
      </w:r>
      <w:r w:rsidR="0028287E" w:rsidRPr="00BD14B0">
        <w:instrText>ADDIN CSL_CITATION {"citationItems":[{"id":"ITEM-1","itemData":{"DOI":"10.1080/17470218.2014.937446","ISBN":"1747-0218","ISSN":"1747-0226","PMID":"25176352","abstract":"It is nearly 35 years since I gave the 7th Sir Frederick Bartlett lecture at Oxford University. This was published as a paper entitled \"Orienting of attention in the quarterly journal\". The topic was then primarily in psychology, but now equally often in neuroscience. This paper summarizes the background of the reaction time methods used in the original paper and findings that emerged later on the sensory consequences of orienting, mainly in the visual system. It then discusses the brain network that is the source of the sensory amplification and other brain networks that are involved in attention. Next, it reviews studies of the development of attentional networks in early life. Finally, it indicates how the new tools available to explore the human brain can lead to further progress.","author":[{"dropping-particle":"","family":"Posner","given":"Michael I","non-dropping-particle":"","parse-names":false,"suffix":""}],"container-title":"Quarterly journal of experimental psychology (2006)","id":"ITEM-1","issue":"September","issued":{"date-parts":[["2014"]]},"page":"1-12","title":"Orienting of attention: Then and now.","type":"article-journal","volume":"0218"},"uris":["http://www.mendeley.com/documents/?uuid=954f811f-ec71-4335-8fdd-859f188224ac"]}],"mendeley":{"formattedCitation":"(M. I. Posner, 2014)","manualFormatting":"(Posner, 2014)","plainTextFormattedCitation":"(M. I. Posner, 2014)","previouslyFormattedCitation":"(M. I. Posner, 2014)"},"properties":{"noteIndex":0},"schema":"https://github.com/citation-style-language/schema/raw/master/csl-citation.json"}</w:instrText>
      </w:r>
      <w:r w:rsidR="00784D6C" w:rsidRPr="00BD14B0">
        <w:fldChar w:fldCharType="separate"/>
      </w:r>
      <w:r w:rsidR="004D2901" w:rsidRPr="00BD14B0">
        <w:rPr>
          <w:noProof/>
        </w:rPr>
        <w:t>(Posner, 2014)</w:t>
      </w:r>
      <w:r w:rsidR="00784D6C" w:rsidRPr="00BD14B0">
        <w:fldChar w:fldCharType="end"/>
      </w:r>
      <w:r w:rsidR="00784D6C" w:rsidRPr="00BD14B0">
        <w:t xml:space="preserve"> has been shown in altered experimental designs </w:t>
      </w:r>
      <w:r w:rsidR="00784D6C" w:rsidRPr="00BD14B0">
        <w:fldChar w:fldCharType="begin" w:fldLock="1"/>
      </w:r>
      <w:r w:rsidR="004D2901" w:rsidRPr="00BD14B0">
        <w:instrText>ADDIN CSL_CITATION {"citationItems":[{"id":"ITEM-1","itemData":{"DOI":"10.1037/0033-2909.133.4.694","ISSN":"0033-2909","abstract":"During social interactions, people's eyes convey a wealth of information about their direction of attention and their emotional and mental states. This review aims to provide a comprehensive overview of past and current research into the perception of gaze behavior and its effect on the observer. This encompasses the perception of gaze direction and its influence on perception of the other person, as well as gaze-following behavior such as joint attention, in infant, adult, and clinical populations. Particular focus is given to the gaze-cueing paradigm that has been used to investigate the mechanisms of joint attention. The contribution of this paradigm has been significant and will likely continue to advance knowledge across diverse fields within psychology and neuroscience.","author":[{"dropping-particle":"","family":"Frischen","given":"Alexandra","non-dropping-particle":"","parse-names":false,"suffix":""},{"dropping-particle":"","family":"Bayliss","given":"Andrew P","non-dropping-particle":"","parse-names":false,"suffix":""},{"dropping-particle":"","family":"Tipper","given":"Steven P","non-dropping-particle":"","parse-names":false,"suffix":""}],"container-title":"Psychological Bulletin","id":"ITEM-1","issue":"4","issued":{"date-parts":[["2007"]]},"note":"Times Cited: 256\nTipper, Steven/I-6884-2012\nTipper, Steven/0000-0002-1554-0531\n263","page":"694-724","title":"Gaze cueing of attention: Visual attention, social cognition, and individual differences","type":"article-journal","volume":"133"},"uris":["http://www.mendeley.com/documents/?uuid=e2eb9afa-c516-4618-87bf-fe33cf7905fe"]},{"id":"ITEM-2","itemData":{"DOI":"10.1037/0096-3445.133.4.516","ISSN":"00963445","author":[{"dropping-particle":"","family":"Frischen","given":"Alexandra","non-dropping-particle":"","parse-names":false,"suffix":""},{"dropping-particle":"","family":"Tipper","given":"Steven P","non-dropping-particle":"","parse-names":false,"suffix":""}],"container-title":"Journal of Experimental Psychology: General","id":"ITEM-2","issue":"4","issued":{"date-parts":[["2004"]]},"page":"516-533","title":"Orienting attention via observed gaze shift evokes longer term inhibitory effects: Implications for social interactions, attention, and memory","type":"article-journal","volume":"133"},"uris":["http://www.mendeley.com/documents/?uuid=bca0f169-1d1f-4f75-9f37-831cef3d847d"]}],"mendeley":{"formattedCitation":"(Frischen, Bayliss, et al., 2007; Frischen &amp; Tipper, 2004)","plainTextFormattedCitation":"(Frischen, Bayliss, et al., 2007; Frischen &amp; Tipper, 2004)","previouslyFormattedCitation":"(Frischen, Bayliss, et al., 2007; Frischen &amp; Tipper, 2004)"},"properties":{"noteIndex":0},"schema":"https://github.com/citation-style-language/schema/raw/master/csl-citation.json"}</w:instrText>
      </w:r>
      <w:r w:rsidR="00784D6C" w:rsidRPr="00BD14B0">
        <w:fldChar w:fldCharType="separate"/>
      </w:r>
      <w:r w:rsidR="004D2901" w:rsidRPr="00BD14B0">
        <w:rPr>
          <w:noProof/>
        </w:rPr>
        <w:t>(Frischen, Bayliss, et al., 2007; Frischen &amp; Tipper, 2004)</w:t>
      </w:r>
      <w:r w:rsidR="00784D6C" w:rsidRPr="00BD14B0">
        <w:fldChar w:fldCharType="end"/>
      </w:r>
      <w:r w:rsidR="00784D6C" w:rsidRPr="00BD14B0">
        <w:t xml:space="preserve">. Lastly, although neuropsychological data are quite informative, there are few such studies. Moreover, there </w:t>
      </w:r>
      <w:r w:rsidR="00784D6C" w:rsidRPr="00BD14B0">
        <w:lastRenderedPageBreak/>
        <w:t>is a need for replication and large sample studies (more than one person) to draw reliable conclusions. Overall, evidence suggests that eye gaze cues evoke some kind of automatic shifts in the cued direction, independent of instruction.</w:t>
      </w:r>
    </w:p>
    <w:p w14:paraId="4BBBE2BD" w14:textId="23D9BD9D" w:rsidR="00784D6C" w:rsidRPr="00BD14B0" w:rsidRDefault="00784D6C" w:rsidP="00553E01">
      <w:r w:rsidRPr="00BD14B0">
        <w:tab/>
        <w:t xml:space="preserve">Orienting attention via gaze cues is more likely to be the product of both stimulus-driven (or exogenous orienting) and goal-driven (or endogenous orienting) attentional mechanisms </w:t>
      </w:r>
      <w:r w:rsidRPr="00BD14B0">
        <w:fldChar w:fldCharType="begin" w:fldLock="1"/>
      </w:r>
      <w:r w:rsidRPr="00BD14B0">
        <w:instrText>ADDIN CSL_CITATION {"citationItems":[{"id":"ITEM-1","itemData":{"DOI":"10.1007/s00426-009-0233-3","ISSN":"0340-0727","abstract":"Previous evidence suggests that directional social cues (e.g., eye gaze) cause automatic shifts in attention toward gaze direction. It has been proposed that automatic attentional orienting driven by social cues (social orienting) involves a different neural network from automatic orienting driven by nonsocial cues. However, previous neuroimaging studies on social orienting have only compared gaze cues to symbolic cues, which typically engage top-down mechanisms. Therefore, we directly compared the neural activity involved in social orienting to that involved in purely automatic nonsocial orienting. Twenty participants performed a spatial cueing task consisting of social (gaze) cues and automatic nonsocial (peripheral squares) cues presented at short and long stimulus (cue-to-target) onset asynchronies (SOA), while undergoing fMRI. Behaviorally, a facilitation effect was found for both cue types at the short SOA, while an inhibitory effect (inhibition of return: IOR) was found only for nonsocial cues at the long SOA. Imaging results demonstrated that social and nonsocial cues recruited a largely overlapping fronto-parietal network. In addition, social cueing evoked greater activity in occipito-temporal regions at both SOAs, while nonsocial cueing recruited greater subcortical activity, but only for the long SOA (when IOR was found). A control experiment, including central arrow cues, confirmed that the occipito-temporal activity was at least in part due to the social nature of the cue and not simply to the location of presentation (central vs. peripheral). These results suggest an evolutionary trajectory for automatic orienting, from predominantly subcortical mechanisms for nonsocial orienting to predominantly cortical mechanisms for social orienting.","author":[{"dropping-particle":"","family":"Greene","given":"Deanna J","non-dropping-particle":"","parse-names":false,"suffix":""},{"dropping-particle":"","family":"Mooshagian","given":"Eric","non-dropping-particle":"","parse-names":false,"suffix":""},{"dropping-particle":"","family":"Kaplan","given":"Jonas T","non-dropping-particle":"","parse-names":false,"suffix":""},{"dropping-particle":"","family":"Zaidel","given":"Eran","non-dropping-particle":"","parse-names":false,"suffix":""},{"dropping-particle":"","family":"Iacoboni","given":"Marco","non-dropping-particle":"","parse-names":false,"suffix":""}],"container-title":"Psychological Research-Psychologische Forschung","id":"ITEM-1","issue":"4","issued":{"date-parts":[["2009"]]},"note":"Times Cited: 28\n28","page":"499-511","title":"The neural correlates of social attention: automatic orienting to social and nonsocial cues","type":"article-journal","volume":"73"},"uris":["http://www.mendeley.com/documents/?uuid=6d2a23e3-5627-45e6-84e1-a5862b870e05"]}],"mendeley":{"formattedCitation":"(Greene et al., 2009)","plainTextFormattedCitation":"(Greene et al., 2009)","previouslyFormattedCitation":"(Greene et al., 2009)"},"properties":{"noteIndex":0},"schema":"https://github.com/citation-style-language/schema/raw/master/csl-citation.json"}</w:instrText>
      </w:r>
      <w:r w:rsidRPr="00BD14B0">
        <w:fldChar w:fldCharType="separate"/>
      </w:r>
      <w:r w:rsidRPr="00BD14B0">
        <w:rPr>
          <w:noProof/>
        </w:rPr>
        <w:t>(Greene et al., 2009)</w:t>
      </w:r>
      <w:r w:rsidRPr="00BD14B0">
        <w:fldChar w:fldCharType="end"/>
      </w:r>
      <w:r w:rsidRPr="00BD14B0">
        <w:t xml:space="preserve">. </w:t>
      </w:r>
      <w:r w:rsidRPr="00BD14B0">
        <w:fldChar w:fldCharType="begin" w:fldLock="1"/>
      </w:r>
      <w:r w:rsidR="004D2901" w:rsidRPr="00BD14B0">
        <w:instrText xml:space="preserve">ADDIN CSL_CITATION {"citationItems":[{"id":"ITEM-1","itemData":{"DOI":"10.1016/j.neuropsychologia.2006.09.004","ISSN":"00283932","abstract":"Eyes and gaze are central to social cognition but whether they attract attention differently depending on the task is unknown. Here, the shift in attention towards the eye region and gaze direction of a perceived face was studied in two tasks by monitoring eye movements. The same face stimuli in front- or 3/4-view, with direct or averted gaze, were used in both tasks. In the Gaze task, subjects performed an explicit gaze direction judgment (gaze straight or averted) while in the Head task they performed a head orientation judgment (front- or 3/4-view). Gaze processing was evident in both tasks as shown by longer RTs and lower accuracy when head and gaze directions did not match. In both tasks the eye region was the most attended area but the amount of viewing was task-dependent. Most importantly, </w:instrText>
      </w:r>
      <w:r w:rsidR="004D2901" w:rsidRPr="00BD14B0">
        <w:rPr>
          <w:rFonts w:ascii="Cambria Math" w:hAnsi="Cambria Math" w:cs="Cambria Math"/>
        </w:rPr>
        <w:instrText>∼</w:instrText>
      </w:r>
      <w:r w:rsidR="004D2901" w:rsidRPr="00BD14B0">
        <w:instrText xml:space="preserve">90% of the initial saccades landed in the eye region in the Gaze task but only </w:instrText>
      </w:r>
      <w:r w:rsidR="004D2901" w:rsidRPr="00BD14B0">
        <w:rPr>
          <w:rFonts w:ascii="Cambria Math" w:hAnsi="Cambria Math" w:cs="Cambria Math"/>
        </w:rPr>
        <w:instrText>∼</w:instrText>
      </w:r>
      <w:r w:rsidR="004D2901" w:rsidRPr="00BD14B0">
        <w:instrText>50% of them did so in the Head task. These saccades were made in the direction signaled by gaze in the Gaze task but in the direction signaled by head orientation in the Head task. Altogether, these task-modulated behaviors argue against a purely exogenous and automatic orienting-to-gaze mechanism. Based on patient work and neuroimaging studies of gaze processing, we suggest that this task-dependent orienting behavior is rather endogenous and subtended by cortical areas amongst which frontal regions play a central role. We discuss the implications of this finding for clinical populations.","author":[{"dropping-particle":"","family":"Itier","given":"Roxane J.","non-dropping-particle":"","parse-names":false,"suffix":""},{"dropping-particle":"","family":"Villate","given":"Christina","non-dropping-particle":"","parse-names":false,"suffix":""},{"dropping-particle":"","family":"Ryan","given":"Jennifer D.","non-dropping-particle":"","parse-names":false,"suffix":""}],"container-title":"Neuropsychologia","id":"ITEM-1","issue":"5","issued":{"date-parts":[["2007"]]},"page":"1019-1028","title":"Eyes always attract attention but gaze orienting is task-dependent: Evidence from eye movement monitoring","type":"article-journal","volume":"45"},"uris":["http://www.mendeley.com/documents/?uuid=b316a9d5-01fb-43c6-930d-4c9a0d0f4af7"]}],"mendeley":{"formattedCitation":"(Itier et al., 2007)","manualFormatting":"Itier et al. (2007)","plainTextFormattedCitation":"(Itier et al., 2007)","previouslyFormattedCitation":"(Itier et al., 2007)"},"properties":{"noteIndex":0},"schema":"https://github.com/citation-style-language/schema/raw/master/csl-citation.json"}</w:instrText>
      </w:r>
      <w:r w:rsidRPr="00BD14B0">
        <w:fldChar w:fldCharType="separate"/>
      </w:r>
      <w:r w:rsidRPr="00BD14B0">
        <w:rPr>
          <w:noProof/>
        </w:rPr>
        <w:t>Itier et al. (2007)</w:t>
      </w:r>
      <w:r w:rsidRPr="00BD14B0">
        <w:fldChar w:fldCharType="end"/>
      </w:r>
      <w:r w:rsidRPr="00BD14B0">
        <w:t xml:space="preserve"> argued against purely exogenous, automatic orienting-to-gaze mechanisms and put forward the idea that that the gaze cueing effect indeed has automatic tendencies, but </w:t>
      </w:r>
      <w:r w:rsidR="00D5001B" w:rsidRPr="00BD14B0">
        <w:t xml:space="preserve">that </w:t>
      </w:r>
      <w:r w:rsidRPr="00BD14B0">
        <w:t xml:space="preserve">this is task-dependent. Previously, </w:t>
      </w:r>
      <w:r w:rsidRPr="00BD14B0">
        <w:fldChar w:fldCharType="begin" w:fldLock="1"/>
      </w:r>
      <w:r w:rsidR="004D2901" w:rsidRPr="00BD14B0">
        <w:instrText>ADDIN CSL_CITATION {"citationItems":[{"id":"ITEM-1","itemData":{"DOI":"10.1146/annurev.psych.48.1.269","ISSN":"0066-4308","abstract":"Three central problems in the recent literature on visual attention are reviewed. The first concerns the control of attention by top-down (or goal-directed) and bottom-up (or stimulus-driven) processes. The second concerns the representational basis for visual selection, including how much attention can be said to be location- or object-based. Finally, we consider the time course of attention as it is directed to one stimulus after another.","author":[{"dropping-particle":"","family":"Egeth","given":"Howard E.","non-dropping-particle":"","parse-names":false,"suffix":""},{"dropping-particle":"","family":"Yantis","given":"Steven","non-dropping-particle":"","parse-names":false,"suffix":""}],"container-title":"Annual Review of Psychology","id":"ITEM-1","issue":"1","issued":{"date-parts":[["1997","2"]]},"page":"269-297","title":"VISUAL ATTENTION: Control, Representation, and Time Course","type":"article-journal","volume":"48"},"uris":["http://www.mendeley.com/documents/?uuid=270e545a-580b-42e6-8152-7e7d79df147f"]}],"mendeley":{"formattedCitation":"(Egeth &amp; Yantis, 1997)","manualFormatting":"Egeth and Yantis (1997)","plainTextFormattedCitation":"(Egeth &amp; Yantis, 1997)","previouslyFormattedCitation":"(Egeth &amp; Yantis, 1997)"},"properties":{"noteIndex":0},"schema":"https://github.com/citation-style-language/schema/raw/master/csl-citation.json"}</w:instrText>
      </w:r>
      <w:r w:rsidRPr="00BD14B0">
        <w:fldChar w:fldCharType="separate"/>
      </w:r>
      <w:r w:rsidRPr="00BD14B0">
        <w:rPr>
          <w:noProof/>
        </w:rPr>
        <w:t>Egeth and Yantis (1997)</w:t>
      </w:r>
      <w:r w:rsidRPr="00BD14B0">
        <w:fldChar w:fldCharType="end"/>
      </w:r>
      <w:r w:rsidRPr="00BD14B0">
        <w:t xml:space="preserve"> showed that </w:t>
      </w:r>
      <w:r w:rsidR="00361F91" w:rsidRPr="00BD14B0">
        <w:t>behaviourally</w:t>
      </w:r>
      <w:r w:rsidRPr="00BD14B0">
        <w:t xml:space="preserve"> relevant stimuli draw attention more efficiently</w:t>
      </w:r>
      <w:r w:rsidR="00D5001B" w:rsidRPr="00BD14B0">
        <w:t>, thereby</w:t>
      </w:r>
      <w:r w:rsidRPr="00BD14B0">
        <w:t xml:space="preserve"> arguing against a pure exogenous reflexive system. Interestingly, </w:t>
      </w:r>
      <w:r w:rsidRPr="00BD14B0">
        <w:fldChar w:fldCharType="begin" w:fldLock="1"/>
      </w:r>
      <w:r w:rsidR="004D2901" w:rsidRPr="00BD14B0">
        <w:instrText>ADDIN CSL_CITATION {"citationItems":[{"id":"ITEM-1","itemData":{"DOI":"10.3758/BF03196213","ISSN":"1069-9384","abstract":"Common sense suggests that unique or abruptly changing (transient) elements in a visual scene often draw attention involuntarily. Visual search studies paint a seemingly different picture, however: Unique items usually draw attention involuntarily only when observers seek a unique target. One type of transient— abrupt onsets—draws attention involuntarily, but only when the observer is seeking an onset (Folk, Remington, &amp; Johnston, 1992). One way of reconciling common-sense with these findings is to suppose that when people view a scene with no specific goal or task, they adopt adefault set, which might prioritize novelty and/or transients. In two experiments, 336 subjects saw a single display of six items for 900 msec, expecting to have to describe it (Experiment 1) or make an aesthetic judgment about it (Experiment 2). One item in the display was either uniquely flashing (surrounded by static items) or uniquely static (surrounded by flashing items). In both studies, the unique item, even if static, was more often reported than the nonunique item, with flashing items enjoying an additional advantage.","author":[{"dropping-particle":"","family":"Pashler","given":"Harold","non-dropping-particle":"","parse-names":false,"suffix":""},{"dropping-particle":"","family":"Harris","given":"Christine R","non-dropping-particle":"","parse-names":false,"suffix":""}],"container-title":"Psychonomic Bulletin &amp; Review","id":"ITEM-1","issue":"4","issued":{"date-parts":[["2001","12"]]},"page":"747-752","title":"Spontaneous allocation of visual attention: Dominant role of uniqueness","type":"article-journal","volume":"8"},"uris":["http://www.mendeley.com/documents/?uuid=032911a8-7267-4170-a80b-6e5f4282d117"]}],"mendeley":{"formattedCitation":"(Pashler &amp; Harris, 2001)","manualFormatting":"Pashler and Harris (2001)","plainTextFormattedCitation":"(Pashler &amp; Harris, 2001)","previouslyFormattedCitation":"(Pashler &amp; Harris, 2001)"},"properties":{"noteIndex":0},"schema":"https://github.com/citation-style-language/schema/raw/master/csl-citation.json"}</w:instrText>
      </w:r>
      <w:r w:rsidRPr="00BD14B0">
        <w:fldChar w:fldCharType="separate"/>
      </w:r>
      <w:r w:rsidRPr="00BD14B0">
        <w:rPr>
          <w:noProof/>
        </w:rPr>
        <w:t>Pashler and Harris (2001)</w:t>
      </w:r>
      <w:r w:rsidRPr="00BD14B0">
        <w:fldChar w:fldCharType="end"/>
      </w:r>
      <w:r w:rsidRPr="00BD14B0">
        <w:t xml:space="preserve"> showed that reflexive orienting is more active when participants do not have a specific task at hand, suggesting that the reflexive bottom-up attentional orienting is affected by the current goal. </w:t>
      </w:r>
    </w:p>
    <w:p w14:paraId="01F64874" w14:textId="2077486D" w:rsidR="00784D6C" w:rsidRPr="00BD14B0" w:rsidRDefault="009D6461" w:rsidP="00553E01">
      <w:r w:rsidRPr="00BD14B0">
        <w:tab/>
      </w:r>
      <w:r w:rsidR="00784D6C" w:rsidRPr="00BD14B0">
        <w:t xml:space="preserve">A recent study conducted by </w:t>
      </w:r>
      <w:r w:rsidR="00784D6C" w:rsidRPr="00BD14B0">
        <w:fldChar w:fldCharType="begin" w:fldLock="1"/>
      </w:r>
      <w:r w:rsidR="004D2901" w:rsidRPr="00BD14B0">
        <w:instrText>ADDIN CSL_CITATION {"citationItems":[{"id":"ITEM-1","itemData":{"DOI":"10.1016/j.actpsy.2018.11.006","ISSN":"00016918","abstract":"The present research assessed the nature of endogenous shifts of attention based on internally generated expectations (i.e., target location probability) and involuntary attention shifts following eye-gaze cues from line-drawings of schematic faces (Experiment 1) and photographs of real neutral faces (Experiment 2) and fearful faces (Experiment 3). The time-course of these two forms of attention was explored by manipulating the gaze-target SOA (i.e., 100 ms, 200 ms, 300 ms). In all three experiments, target location probability influenced responding at each SOA with faster responses to high probability than low probability targets. However, the time-course of involuntary attention shifts was dependent on the gaze-cueing stimulus employed. For photographs of neutral gaze, endogenous orienting of attention was most efficient at the briefest SOA with involuntary attention shifts emerging later. However, both schematic and fearful gaze-cues influenced responding across all SOAs, which is indicative of stronger gaze-cueing effects from these cues. At 200 ms there was an additive effect as responses were slowest when the target had been invalidly cued by neutral gaze and also appeared in the low probability location. Taken together these findings suggest that these forms of involuntary and endogenous attention can operate in parallel and relatively independently, but can show potentially differing levels of influence, dependent on the time course in which they take to operate.","author":[{"dropping-particle":"","family":"Slessor","given":"Gillian","non-dropping-particle":"","parse-names":false,"suffix":""},{"dropping-particle":"","family":"Finnerty","given":"Ailbhe","non-dropping-particle":"","parse-names":false,"suffix":""},{"dropping-particle":"","family":"Papp","given":"Jessika","non-dropping-particle":"","parse-names":false,"suffix":""},{"dropping-particle":"","family":"Smith","given":"Daniel T.","non-dropping-particle":"","parse-names":false,"suffix":""},{"dropping-particle":"","family":"Martin","given":"Douglas","non-dropping-particle":"","parse-names":false,"suffix":""}],"container-title":"Acta Psychologica","id":"ITEM-1","issue":"May 2018","issued":{"date-parts":[["2019","1"]]},"page":"172-180","publisher":"Elsevier","title":"Gaze-cueing and endogenous attention operate in parallel","type":"article-journal","volume":"192"},"uris":["http://www.mendeley.com/documents/?uuid=49d98c0e-d00d-4572-ad38-2ca1795f0311"]}],"mendeley":{"formattedCitation":"(Slessor et al., 2019)","manualFormatting":"Slessor et al. (2019)","plainTextFormattedCitation":"(Slessor et al., 2019)","previouslyFormattedCitation":"(Slessor et al., 2019)"},"properties":{"noteIndex":0},"schema":"https://github.com/citation-style-language/schema/raw/master/csl-citation.json"}</w:instrText>
      </w:r>
      <w:r w:rsidR="00784D6C" w:rsidRPr="00BD14B0">
        <w:fldChar w:fldCharType="separate"/>
      </w:r>
      <w:r w:rsidR="00784D6C" w:rsidRPr="00BD14B0">
        <w:rPr>
          <w:noProof/>
        </w:rPr>
        <w:t>Slessor et al. (2019)</w:t>
      </w:r>
      <w:r w:rsidR="00784D6C" w:rsidRPr="00BD14B0">
        <w:fldChar w:fldCharType="end"/>
      </w:r>
      <w:r w:rsidR="00784D6C" w:rsidRPr="00BD14B0">
        <w:t xml:space="preserve"> investigated the mechanism of gaze cueing end endogenous shifts by comparing schematic or real faces (neutral or fearful expression) at three different SOAs (100 </w:t>
      </w:r>
      <w:proofErr w:type="spellStart"/>
      <w:r w:rsidR="00784D6C" w:rsidRPr="00BD14B0">
        <w:t>ms</w:t>
      </w:r>
      <w:proofErr w:type="spellEnd"/>
      <w:r w:rsidR="00784D6C" w:rsidRPr="00BD14B0">
        <w:t xml:space="preserve">, 200 </w:t>
      </w:r>
      <w:proofErr w:type="spellStart"/>
      <w:r w:rsidR="00784D6C" w:rsidRPr="00BD14B0">
        <w:t>ms</w:t>
      </w:r>
      <w:proofErr w:type="spellEnd"/>
      <w:r w:rsidR="00784D6C" w:rsidRPr="00BD14B0">
        <w:t xml:space="preserve">, 300 </w:t>
      </w:r>
      <w:proofErr w:type="spellStart"/>
      <w:r w:rsidR="00784D6C" w:rsidRPr="00BD14B0">
        <w:t>ms</w:t>
      </w:r>
      <w:proofErr w:type="spellEnd"/>
      <w:r w:rsidR="00784D6C" w:rsidRPr="00BD14B0">
        <w:t xml:space="preserve">). They found that </w:t>
      </w:r>
      <w:r w:rsidR="00D5001B" w:rsidRPr="00BD14B0">
        <w:t xml:space="preserve">the </w:t>
      </w:r>
      <w:r w:rsidR="00784D6C" w:rsidRPr="00BD14B0">
        <w:t>gaze cueing effect emerged for both real and schematic faces</w:t>
      </w:r>
      <w:r w:rsidR="00D5001B" w:rsidRPr="00BD14B0">
        <w:t xml:space="preserve"> but that</w:t>
      </w:r>
      <w:r w:rsidR="00784D6C" w:rsidRPr="00BD14B0">
        <w:t xml:space="preserve"> the time-course was dependent on the type of stimuli shown. The results showed than when the participant was observing a real face picture with natural expression, the endogenous shifts were most efficient at 100</w:t>
      </w:r>
      <w:r w:rsidR="00515B0D" w:rsidRPr="00BD14B0">
        <w:t xml:space="preserve"> </w:t>
      </w:r>
      <w:proofErr w:type="spellStart"/>
      <w:r w:rsidR="00784D6C" w:rsidRPr="00BD14B0">
        <w:t>ms</w:t>
      </w:r>
      <w:proofErr w:type="spellEnd"/>
      <w:r w:rsidR="00784D6C" w:rsidRPr="00BD14B0">
        <w:t xml:space="preserve">, and </w:t>
      </w:r>
      <w:r w:rsidR="00D5001B" w:rsidRPr="00BD14B0">
        <w:t xml:space="preserve">that </w:t>
      </w:r>
      <w:r w:rsidR="00784D6C" w:rsidRPr="00BD14B0">
        <w:t>the involuntary shifting emerged later at 200</w:t>
      </w:r>
      <w:r w:rsidR="00515B0D" w:rsidRPr="00BD14B0">
        <w:t xml:space="preserve"> </w:t>
      </w:r>
      <w:proofErr w:type="spellStart"/>
      <w:r w:rsidR="00784D6C" w:rsidRPr="00BD14B0">
        <w:t>ms</w:t>
      </w:r>
      <w:proofErr w:type="spellEnd"/>
      <w:r w:rsidR="00784D6C" w:rsidRPr="00BD14B0">
        <w:t>. At 200</w:t>
      </w:r>
      <w:r w:rsidR="00515B0D" w:rsidRPr="00BD14B0">
        <w:t xml:space="preserve"> </w:t>
      </w:r>
      <w:proofErr w:type="spellStart"/>
      <w:r w:rsidR="00784D6C" w:rsidRPr="00BD14B0">
        <w:t>ms</w:t>
      </w:r>
      <w:proofErr w:type="spellEnd"/>
      <w:r w:rsidR="00784D6C" w:rsidRPr="00BD14B0">
        <w:t xml:space="preserve"> there was an additive effect of incongruent trials. However, with schematic drawing faces and fearful faces; gaze cues were responding in all SOAs thereby suggesting a stronger gaze cueing effects for these type of stimuli </w:t>
      </w:r>
      <w:r w:rsidR="00784D6C" w:rsidRPr="00BD14B0">
        <w:fldChar w:fldCharType="begin" w:fldLock="1"/>
      </w:r>
      <w:r w:rsidR="00784D6C" w:rsidRPr="00BD14B0">
        <w:instrText>ADDIN CSL_CITATION {"citationItems":[{"id":"ITEM-1","itemData":{"DOI":"10.1016/j.actpsy.2018.11.006","ISSN":"00016918","abstract":"The present research assessed the nature of endogenous shifts of attention based on internally generated expectations (i.e., target location probability) and involuntary attention shifts following eye-gaze cues from line-drawings of schematic faces (Experiment 1) and photographs of real neutral faces (Experiment 2) and fearful faces (Experiment 3). The time-course of these two forms of attention was explored by manipulating the gaze-target SOA (i.e., 100 ms, 200 ms, 300 ms). In all three experiments, target location probability influenced responding at each SOA with faster responses to high probability than low probability targets. However, the time-course of involuntary attention shifts was dependent on the gaze-cueing stimulus employed. For photographs of neutral gaze, endogenous orienting of attention was most efficient at the briefest SOA with involuntary attention shifts emerging later. However, both schematic and fearful gaze-cues influenced responding across all SOAs, which is indicative of stronger gaze-cueing effects from these cues. At 200 ms there was an additive effect as responses were slowest when the target had been invalidly cued by neutral gaze and also appeared in the low probability location. Taken together these findings suggest that these forms of involuntary and endogenous attention can operate in parallel and relatively independently, but can show potentially differing levels of influence, dependent on the time course in which they take to operate.","author":[{"dropping-particle":"","family":"Slessor","given":"Gillian","non-dropping-particle":"","parse-names":false,"suffix":""},{"dropping-particle":"","family":"Finnerty","given":"Ailbhe","non-dropping-particle":"","parse-names":false,"suffix":""},{"dropping-particle":"","family":"Papp","given":"Jessika","non-dropping-particle":"","parse-names":false,"suffix":""},{"dropping-particle":"","family":"Smith","given":"Daniel T.","non-dropping-particle":"","parse-names":false,"suffix":""},{"dropping-particle":"","family":"Martin","given":"Douglas","non-dropping-particle":"","parse-names":false,"suffix":""}],"container-title":"Acta Psychologica","id":"ITEM-1","issue":"May 2018","issued":{"date-parts":[["2019","1"]]},"page":"172-180","publisher":"Elsevier","title":"Gaze-cueing and endogenous attention operate in parallel","type":"article-journal","volume":"192"},"uris":["http://www.mendeley.com/documents/?uuid=49d98c0e-d00d-4572-ad38-2ca1795f0311"]}],"mendeley":{"formattedCitation":"(Slessor et al., 2019)","plainTextFormattedCitation":"(Slessor et al., 2019)","previouslyFormattedCitation":"(Slessor et al., 2019)"},"properties":{"noteIndex":0},"schema":"https://github.com/citation-style-language/schema/raw/master/csl-citation.json"}</w:instrText>
      </w:r>
      <w:r w:rsidR="00784D6C" w:rsidRPr="00BD14B0">
        <w:fldChar w:fldCharType="separate"/>
      </w:r>
      <w:r w:rsidR="00784D6C" w:rsidRPr="00BD14B0">
        <w:rPr>
          <w:noProof/>
        </w:rPr>
        <w:t>(Slessor et al., 2019)</w:t>
      </w:r>
      <w:r w:rsidR="00784D6C" w:rsidRPr="00BD14B0">
        <w:fldChar w:fldCharType="end"/>
      </w:r>
      <w:r w:rsidR="00784D6C" w:rsidRPr="00BD14B0">
        <w:t xml:space="preserve">. The authors argued that these two forms of attentional orienting (gaze cueing and endogenous attention) operate in parallel and relatively independently from each other while being influenced by SOA or stimuli type in differing levels. </w:t>
      </w:r>
    </w:p>
    <w:p w14:paraId="60462ACF" w14:textId="291921BC" w:rsidR="00784D6C" w:rsidRPr="00BD14B0" w:rsidRDefault="00784D6C" w:rsidP="00553E01">
      <w:r w:rsidRPr="00BD14B0">
        <w:tab/>
        <w:t xml:space="preserve">Indeed, this is in line with </w:t>
      </w:r>
      <w:proofErr w:type="spellStart"/>
      <w:r w:rsidRPr="00BD14B0">
        <w:t>Corbetta</w:t>
      </w:r>
      <w:proofErr w:type="spellEnd"/>
      <w:r w:rsidRPr="00BD14B0">
        <w:t xml:space="preserve"> and colleagues’ theory suggesting there are two different neural systems for attentional orienting </w:t>
      </w:r>
      <w:r w:rsidRPr="00BD14B0">
        <w:fldChar w:fldCharType="begin" w:fldLock="1"/>
      </w:r>
      <w:r w:rsidR="0028287E" w:rsidRPr="00BD14B0">
        <w:instrText>ADDIN CSL_CITATION {"citationItems":[{"id":"ITEM-1","itemData":{"DOI":"10.1038/nrn755","ISSN":"1471-003X","abstract":"This review proposes that two networks of brain areas are involved in controlling attention. One network is primarily responsible for applying cognitive, top-down selection for stimuli and responses, whereas the other detects behaviourally relevant stimuli and might act as a 'circuit breaker' for the first system. Humans use cognitive information to direct attention to relevant objects (targets) in a visual scene. Information such as the target's colour or location is represented as a 'perceptual set'. Similarly, advance information about the required response to a target is represented as a 'motor set'. These can be considered together as an 'attentional set', which aids the detection of and response to targets. Such top-down control of attentional processes activates dorsal posterior parietal and frontal regions of the brain bilaterally in both monkeys and humans. This dorsal frontoparietal system is responsible for the generation of attentional sets. Attention can also be driven by stimulus properties rather than cognitive processes. This 'bottom-up' control of attention explains why we find ourselves drawn to 'oddball' stimuli that are very different from the background, or to salient stimuli that share some sensory features, such as colour, with the target for which we are searching. The dorsal frontoparietal system seems to maintain a 'salience map' that combines bottom-up with top-down information during visual search. Potentially important sensory stimuli, such as loud alarms or sudden movement, can attract our attention regardless of the ongoing task. This sensory orienting process seems to be mediated by the second attentional network, which is mainly lateralized to the right side of the brain and includes the temporoparietal junction and the ventral frontal cortex. This network seems to interrupt ongoing cognitive activity when a stimulus that might be behaviourally important is detected. These two networks could interact in humans to control attention. It is possible that damage to these networks is responsible for the syndrome of neglect, in which patients that have suffered damage to the right side of the brain tend to ignore stimuli on the left side of space. The authors suggest that neglect results from damage to the ventral network that also 'functionally inactivates' the dorsal network.","author":[{"dropping-particle":"","family":"Corbetta","given":"Maurizio","non-dropping-particle":"","parse-names":false,"suffix":""},{"dropping-particle":"","family":"Shulman","given":"Gordon L","non-dropping-particle":"","parse-names":false,"suffix":""}],"container-title":"Nature Reviews Neuroscience","id":"ITEM-1","issue":"3","issued":{"date-parts":[["2002","3"]]},"page":"201-215","title":"Control of goal-directed and stimulus-driven attention in the brain","type":"article-journal","volume":"3"},"uris":["http://www.mendeley.com/documents/?uuid=bbb51c05-f9f5-4443-bc0f-6a5b0fa1a69a"]},{"id":"ITEM-2","itemData":{"DOI":"10.1016/j.neuron.2008.04.017","ISSN":"08966273","abstract":"Survival can depend on the ability to change a current course of action to respond to potentially advantageous or threatening stimuli. This \"reorienting\" response involves the coordinated action of a right hemisphere dominant ventral frontoparietal network that interrupts and resets ongoing activity and a dorsal frontoparietal network specialized for selecting and linking stimuli and responses. At rest, each network is distinct and internally correlated, but when attention is focused, the ventral network is suppressed to prevent reorienting to distracting events. These different patterns of recruitment may reflect inputs to the ventral attention network from the locus coeruleus/norepinephrine system. While originally conceptualized as a system for redirecting attention from one object to another, recent evidence suggests a more general role in switching between networks, which may explain recent evidence of its involvement in functions such as social cognition.","author":[{"dropping-particle":"","family":"Corbetta","given":"Maurizio","non-dropping-particle":"","parse-names":false,"suffix":""},{"dropping-particle":"","family":"Patel","given":"Gaurav","non-dropping-particle":"","parse-names":false,"suffix":""},{"dropping-particle":"","family":"Shulman","given":"Gordon L","non-dropping-particle":"","parse-names":false,"suffix":""}],"container-title":"Neuron","id":"ITEM-2","issue":"3","issued":{"date-parts":[["2008","5","8"]]},"language":"eng","page":"306-324","title":"The Reorienting System of the Human Brain: From Environment to Theory of Mind","type":"article-journal","volume":"58"},"uris":["http://www.mendeley.com/documents/?uuid=54d30d05-921a-4743-90de-c4ead474a12b"]}],"mendeley":{"formattedCitation":"(Maurizio Corbetta et al., 2008; Maurizio Corbetta &amp; Shulman, 2002)","manualFormatting":"(Corbetta et al., 2008; Corbetta &amp; Shulman, 2002)","plainTextFormattedCitation":"(Maurizio Corbetta et al., 2008; Maurizio Corbetta &amp; Shulman, 2002)","previouslyFormattedCitation":"(Maurizio Corbetta et al., 2008; Maurizio Corbetta &amp; Shulman, 2002)"},"properties":{"noteIndex":0},"schema":"https://github.com/citation-style-language/schema/raw/master/csl-citation.json"}</w:instrText>
      </w:r>
      <w:r w:rsidRPr="00BD14B0">
        <w:fldChar w:fldCharType="separate"/>
      </w:r>
      <w:r w:rsidR="004D2901" w:rsidRPr="00BD14B0">
        <w:rPr>
          <w:noProof/>
        </w:rPr>
        <w:t>(Corbetta et al., 2008; Corbetta &amp; Shulman, 2002)</w:t>
      </w:r>
      <w:r w:rsidRPr="00BD14B0">
        <w:fldChar w:fldCharType="end"/>
      </w:r>
      <w:r w:rsidRPr="00BD14B0">
        <w:t xml:space="preserve">. </w:t>
      </w:r>
      <w:r w:rsidRPr="00BD14B0">
        <w:fldChar w:fldCharType="begin" w:fldLock="1"/>
      </w:r>
      <w:r w:rsidR="004D2901" w:rsidRPr="00BD14B0">
        <w:instrText>ADDIN CSL_CITATION {"citationItems":[{"id":"ITEM-1","itemData":{"DOI":"10.1016/j.neuron.2008.04.017","ISSN":"08966273","abstract":"Survival can depend on the ability to change a current course of action to respond to potentially advantageous or threatening stimuli. This \"reorienting\" response involves the coordinated action of a right hemisphere dominant ventral frontoparietal network that interrupts and resets ongoing activity and a dorsal frontoparietal network specialized for selecting and linking stimuli and responses. At rest, each network is distinct and internally correlated, but when attention is focused, the ventral network is suppressed to prevent reorienting to distracting events. These different patterns of recruitment may reflect inputs to the ventral attention network from the locus coeruleus/norepinephrine system. While originally conceptualized as a system for redirecting attention from one object to another, recent evidence suggests a more general role in switching between networks, which may explain recent evidence of its involvement in functions such as social cognition.","author":[{"dropping-particle":"","family":"Corbetta","given":"Maurizio","non-dropping-particle":"","parse-names":false,"suffix":""},{"dropping-particle":"","family":"Patel","given":"Gaurav","non-dropping-particle":"","parse-names":false,"suffix":""},{"dropping-particle":"","family":"Shulman","given":"Gordon L","non-dropping-particle":"","parse-names":false,"suffix":""}],"container-title":"Neuron","id":"ITEM-1","issue":"3","issued":{"date-parts":[["2008","5","8"]]},"language":"eng","page":"306-324","title":"The Reorienting System of the Human Brain: From Environment to Theory of Mind","type":"article-journal","volume":"58"},"uris":["http://www.mendeley.com/documents/?uuid=54d30d05-921a-4743-90de-c4ead474a12b"]}],"mendeley":{"formattedCitation":"(Maurizio Corbetta et al., 2008)","manualFormatting":"Corbetta et al. (2008)","plainTextFormattedCitation":"(Maurizio Corbetta et al., 2008)","previouslyFormattedCitation":"(Maurizio Corbetta et al., 2008)"},"properties":{"noteIndex":0},"schema":"https://github.com/citation-style-language/schema/raw/master/csl-citation.json"}</w:instrText>
      </w:r>
      <w:r w:rsidRPr="00BD14B0">
        <w:fldChar w:fldCharType="separate"/>
      </w:r>
      <w:r w:rsidRPr="00BD14B0">
        <w:rPr>
          <w:noProof/>
        </w:rPr>
        <w:t>Corbetta et al. (2008)</w:t>
      </w:r>
      <w:r w:rsidRPr="00BD14B0">
        <w:fldChar w:fldCharType="end"/>
      </w:r>
      <w:r w:rsidRPr="00BD14B0">
        <w:t xml:space="preserve"> suggested that stimulus-driven (bottom-up) and goal-driven (top-down) orienting consists of two different neural networks: one responsible </w:t>
      </w:r>
      <w:r w:rsidRPr="00BD14B0">
        <w:lastRenderedPageBreak/>
        <w:t xml:space="preserve">for re-directing attention towards </w:t>
      </w:r>
      <w:r w:rsidR="00361F91" w:rsidRPr="00BD14B0">
        <w:t>behaviourally</w:t>
      </w:r>
      <w:r w:rsidRPr="00BD14B0">
        <w:t xml:space="preserve"> relevant stimuli (the temporoparietal and ventral frontal cortex) and the other involved in the voluntary selection of sensory information and responses (the dorsal posterior parietal and frontal cortex). In line with </w:t>
      </w:r>
      <w:r w:rsidRPr="00BD14B0">
        <w:fldChar w:fldCharType="begin" w:fldLock="1"/>
      </w:r>
      <w:r w:rsidR="004D2901" w:rsidRPr="00BD14B0">
        <w:instrText>ADDIN CSL_CITATION {"citationItems":[{"id":"ITEM-1","itemData":{"DOI":"10.1016/j.actpsy.2018.11.006","ISSN":"00016918","abstract":"The present research assessed the nature of endogenous shifts of attention based on internally generated expectations (i.e., target location probability) and involuntary attention shifts following eye-gaze cues from line-drawings of schematic faces (Experiment 1) and photographs of real neutral faces (Experiment 2) and fearful faces (Experiment 3). The time-course of these two forms of attention was explored by manipulating the gaze-target SOA (i.e., 100 ms, 200 ms, 300 ms). In all three experiments, target location probability influenced responding at each SOA with faster responses to high probability than low probability targets. However, the time-course of involuntary attention shifts was dependent on the gaze-cueing stimulus employed. For photographs of neutral gaze, endogenous orienting of attention was most efficient at the briefest SOA with involuntary attention shifts emerging later. However, both schematic and fearful gaze-cues influenced responding across all SOAs, which is indicative of stronger gaze-cueing effects from these cues. At 200 ms there was an additive effect as responses were slowest when the target had been invalidly cued by neutral gaze and also appeared in the low probability location. Taken together these findings suggest that these forms of involuntary and endogenous attention can operate in parallel and relatively independently, but can show potentially differing levels of influence, dependent on the time course in which they take to operate.","author":[{"dropping-particle":"","family":"Slessor","given":"Gillian","non-dropping-particle":"","parse-names":false,"suffix":""},{"dropping-particle":"","family":"Finnerty","given":"Ailbhe","non-dropping-particle":"","parse-names":false,"suffix":""},{"dropping-particle":"","family":"Papp","given":"Jessika","non-dropping-particle":"","parse-names":false,"suffix":""},{"dropping-particle":"","family":"Smith","given":"Daniel T.","non-dropping-particle":"","parse-names":false,"suffix":""},{"dropping-particle":"","family":"Martin","given":"Douglas","non-dropping-particle":"","parse-names":false,"suffix":""}],"container-title":"Acta Psychologica","id":"ITEM-1","issue":"May 2018","issued":{"date-parts":[["2019","1"]]},"page":"172-180","publisher":"Elsevier","title":"Gaze-cueing and endogenous attention operate in parallel","type":"article-journal","volume":"192"},"uris":["http://www.mendeley.com/documents/?uuid=49d98c0e-d00d-4572-ad38-2ca1795f0311"]}],"mendeley":{"formattedCitation":"(Slessor et al., 2019)","manualFormatting":"Slessor et al. (2019)","plainTextFormattedCitation":"(Slessor et al., 2019)","previouslyFormattedCitation":"(Slessor et al., 2019)"},"properties":{"noteIndex":0},"schema":"https://github.com/citation-style-language/schema/raw/master/csl-citation.json"}</w:instrText>
      </w:r>
      <w:r w:rsidRPr="00BD14B0">
        <w:fldChar w:fldCharType="separate"/>
      </w:r>
      <w:r w:rsidRPr="00BD14B0">
        <w:rPr>
          <w:noProof/>
        </w:rPr>
        <w:t>Slessor et al. (2019)</w:t>
      </w:r>
      <w:r w:rsidRPr="00BD14B0">
        <w:fldChar w:fldCharType="end"/>
      </w:r>
      <w:r w:rsidRPr="00BD14B0">
        <w:t xml:space="preserve"> results, top-down, endogenous attention control and involuntary gaze-cueing could operate in parallel and may not draw on the same cognitive mechanism. Hence, the re-orienting of attention is more likely to be both related to bottom-up and top-down processing and its dependent on the context and the SOA.</w:t>
      </w:r>
    </w:p>
    <w:p w14:paraId="7EE52888" w14:textId="65B06C27" w:rsidR="00784D6C" w:rsidRPr="00BD14B0" w:rsidRDefault="006D2026" w:rsidP="00553E01">
      <w:r w:rsidRPr="00BD14B0">
        <w:tab/>
      </w:r>
      <w:r w:rsidR="00784D6C" w:rsidRPr="00BD14B0">
        <w:t xml:space="preserve">Social information about the gazer has been found to be perceived quicker from schematic compared to real faces </w:t>
      </w:r>
      <w:r w:rsidR="00930C9A" w:rsidRPr="00BD14B0">
        <w:fldChar w:fldCharType="begin" w:fldLock="1"/>
      </w:r>
      <w:r w:rsidR="00930C9A" w:rsidRPr="00BD14B0">
        <w:instrText>ADDIN CSL_CITATION {"citationItems":[{"id":"ITEM-1","itemData":{"DOI":"10.1186/s41235-016-0021-8","ISSN":"2365-7464","abstract":"Iconic representations are ubiquitous; they fill children’s cartoons, add humor to newspapers, and bring emotional tone to online communication. Yet, the communicative function they serve remains unaddressed by cognitive psychology. Here, we examined the hypothesis that iconic representations communicate emotional information more efficiently than their realistic counterparts. In Experiment 1, we manipulated low-level features of emotional faces to create five sets of stimuli that ranged from photorealistic to fully iconic. Participants identified emotions on briefly presented faces. Results showed that, at short presentation times, accuracy for identifying emotion on more “cartoonized” images was enhanced. In addition, increasing contrast and decreasing featural complexity benefited accuracy. In Experiment 2, we examined an event-related potential component, the P1, which is sensitive to low-level visual stimulus features. Lower levels of contrast and complexity within schematic stimuli were also associated with lower P1 amplitudes. These findings support the hypothesis that iconic representations differ from realistic images in their ability to communicate specific information, including emotion, quickly and efficiently, and that this effect is driven by changes in low-level visual features in the stimuli.","author":[{"dropping-particle":"","family":"Kendall","given":"L N","non-dropping-particle":"","parse-names":false,"suffix":""},{"dropping-particle":"","family":"Raffaelli","given":"Quentin","non-dropping-particle":"","parse-names":false,"suffix":""},{"dropping-particle":"","family":"Kingstone","given":"Alan","non-dropping-particle":"","parse-names":false,"suffix":""},{"dropping-particle":"","family":"Todd","given":"Rebecca M","non-dropping-particle":"","parse-names":false,"suffix":""}],"container-title":"Cognitive Research: Principles and Implications","id":"ITEM-1","issue":"1","issued":{"date-parts":[["2016","12","12"]]},"page":"19","title":"Iconic faces are not real faces: enhanced emotion detection and altered neural processing as faces become more iconic","type":"article-journal","volume":"1"},"uris":["http://www.mendeley.com/documents/?uuid=32a5c6df-4af2-4a9e-af08-fd4b5ec49469"]}],"mendeley":{"formattedCitation":"(Kendall et al., 2016)","plainTextFormattedCitation":"(Kendall et al., 2016)","previouslyFormattedCitation":"(Kendall et al., 2016)"},"properties":{"noteIndex":0},"schema":"https://github.com/citation-style-language/schema/raw/master/csl-citation.json"}</w:instrText>
      </w:r>
      <w:r w:rsidR="00930C9A" w:rsidRPr="00BD14B0">
        <w:fldChar w:fldCharType="separate"/>
      </w:r>
      <w:r w:rsidR="00930C9A" w:rsidRPr="00BD14B0">
        <w:rPr>
          <w:noProof/>
        </w:rPr>
        <w:t>(Kendall et al., 2016)</w:t>
      </w:r>
      <w:r w:rsidR="00930C9A" w:rsidRPr="00BD14B0">
        <w:fldChar w:fldCharType="end"/>
      </w:r>
      <w:r w:rsidR="00930C9A" w:rsidRPr="00BD14B0">
        <w:t xml:space="preserve">, </w:t>
      </w:r>
      <w:r w:rsidR="00784D6C" w:rsidRPr="00BD14B0">
        <w:t>thereby creating reliable gaze cueing quicker than photograph of a real face. Several widely cited studies demonstrating gaze cueing in short SOAs (100</w:t>
      </w:r>
      <w:r w:rsidR="00515B0D" w:rsidRPr="00BD14B0">
        <w:t xml:space="preserve"> </w:t>
      </w:r>
      <w:proofErr w:type="spellStart"/>
      <w:r w:rsidR="00784D6C" w:rsidRPr="00BD14B0">
        <w:t>ms</w:t>
      </w:r>
      <w:proofErr w:type="spellEnd"/>
      <w:r w:rsidR="00784D6C" w:rsidRPr="00BD14B0">
        <w:t xml:space="preserve">) have used schematic faces </w:t>
      </w:r>
      <w:r w:rsidR="00784D6C" w:rsidRPr="00BD14B0">
        <w:fldChar w:fldCharType="begin" w:fldLock="1"/>
      </w:r>
      <w:r w:rsidR="00784D6C" w:rsidRPr="00BD14B0">
        <w:instrText>ADDIN CSL_CITATION {"citationItems":[{"id":"ITEM-1","itemData":{"DOI":"10.1037/0096-1523.30.2.319","ISSN":"0096-1523","author":[{"dropping-particle":"","family":"Friesen","given":"Ck","non-dropping-particle":"","parse-names":false,"suffix":""},{"dropping-particle":"","family":"Ristic","given":"J","non-dropping-particle":"","parse-names":false,"suffix":""},{"dropping-particle":"","family":"Kingstone","given":"A","non-dropping-particle":"","parse-names":false,"suffix":""}],"container-title":"J. Exp. Psychol.-Hum. Percept. Perform.","id":"ITEM-1","issue":"2","issued":{"date-parts":[["2004"]]},"page":"319-329","title":"Attentional effects of counterpredictive gaze and arrow cues","type":"article-journal","volume":"30"},"uris":["http://www.mendeley.com/documents/?uuid=45b2d509-1186-4dda-87f2-f753de148932"]},{"id":"ITEM-2","itemData":{"DOI":"10.3758/BF03208827","ISSN":"1069-9384","abstract":"Normal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Review","id":"ITEM-2","issue":"3","issued":{"date-parts":[["1998","9"]]},"note":"Times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id":"ITEM-3","itemData":{"DOI":"10.1097/00001756-200303030-00039","ISBN":"1473-558X(Electronic),0959-4965(Print)","ISSN":"0959-4965","abstract":"We examined covert and overt orienting in response to non-predictive gaze direction cues and investigated whether the subcortical superior colliculus (SC) plays a role in this type of orienting. Participants viewed a centrally presented gazing schematic face and responded to targets appearing at gazed-at or non-gazed-at locations either by making a keypress response while maintaining central fixation or by making an eye movement to the target. For both response conditions, the fixation stimulus (the gazing face) either remained on the screen or was extinguished at the time of target presentation, a manipulation known to engage and disengage the SC. Results revealed that participants making manual responses oriented covertly to the gazed-at location regardless of the fixation condition, and that participants making eye movements oriented overtly only if the fixation stimulus remained on the screen. Overt gaze-triggered orienting was not enhanced relative to covert orienting, and the fixation offset effect was not reduced for averted gaze cues relative to straight gaze cues. These findings suggest that gaze direction cues do not activate or predisengage the oculomotor system, and thus that orienting to gaze direction does not engage the SC. (PsycINFO Database Record (c) 2016 APA, all rights reserved)","author":[{"dropping-particle":"","family":"Friesen","given":"Chris Kelland","non-dropping-particle":"","parse-names":false,"suffix":""},{"dropping-particle":"","family":"Kingstone","given":"Alan","non-dropping-particle":"","parse-names":false,"suffix":""}],"container-title":"NeuroReport","id":"ITEM-3","issue":"3","issued":{"date-parts":[["2003","3"]]},"page":"489-493","publisher":"Lippincott Williams &amp; Wilkins","publisher-place":"Friesen, Chris Kelland: Department of Psychology, University of Saskatchewan, 9 Campus Drive, Saskatoon, SK, Canada, S7N 5AS, chris.friesen@usask.ca","title":"Covert and overt orienting to gaze direction cues and the effects of fixation offset","type":"article-journal","volume":"14"},"uris":["http://www.mendeley.com/documents/?uuid=b1bee99d-9a8d-4ca8-9215-027f5cf73129"]}],"mendeley":{"formattedCitation":"(C. Friesen et al., 2004; C. K. Friesen &amp; Kingstone, 1998, 2003)","manualFormatting":"(Friesen et al., 2004; Friesen &amp; Kingstone, 1998, 2003)","plainTextFormattedCitation":"(C. Friesen et al., 2004; C. K. Friesen &amp; Kingstone, 1998, 2003)","previouslyFormattedCitation":"(C. Friesen et al., 2004; C. K. Friesen &amp; Kingstone, 1998, 2003)"},"properties":{"noteIndex":0},"schema":"https://github.com/citation-style-language/schema/raw/master/csl-citation.json"}</w:instrText>
      </w:r>
      <w:r w:rsidR="00784D6C" w:rsidRPr="00BD14B0">
        <w:fldChar w:fldCharType="separate"/>
      </w:r>
      <w:r w:rsidR="00784D6C" w:rsidRPr="00BD14B0">
        <w:rPr>
          <w:noProof/>
        </w:rPr>
        <w:t>(Friesen et al., 2004; Friesen &amp; Kingstone, 1998, 2003)</w:t>
      </w:r>
      <w:r w:rsidR="00784D6C" w:rsidRPr="00BD14B0">
        <w:fldChar w:fldCharType="end"/>
      </w:r>
      <w:r w:rsidR="00784D6C" w:rsidRPr="00BD14B0">
        <w:t>. Other studies which have used a real face photograph as a stimulus have not found the gaze cueing effect until around 200-300</w:t>
      </w:r>
      <w:r w:rsidR="00515B0D" w:rsidRPr="00BD14B0">
        <w:t xml:space="preserve"> </w:t>
      </w:r>
      <w:proofErr w:type="spellStart"/>
      <w:r w:rsidR="00784D6C" w:rsidRPr="00BD14B0">
        <w:t>ms</w:t>
      </w:r>
      <w:proofErr w:type="spellEnd"/>
      <w:r w:rsidR="00784D6C" w:rsidRPr="00BD14B0">
        <w:t xml:space="preserve"> </w:t>
      </w:r>
      <w:r w:rsidR="00784D6C" w:rsidRPr="00BD14B0">
        <w:fldChar w:fldCharType="begin" w:fldLock="1"/>
      </w:r>
      <w:r w:rsidR="0028287E" w:rsidRPr="00BD14B0">
        <w:instrText>ADDIN CSL_CITATION {"citationItems":[{"id":"ITEM-1","itemData":{"DOI":"10.1348/000712604X15626","ISSN":"20448295","author":[{"dropping-particle":"","family":"Bayliss","given":"Andrew P","non-dropping-particle":"","parse-names":false,"suffix":""},{"dropping-particle":"","family":"Tipper","given":"Steven P","non-dropping-particle":"","parse-names":false,"suffix":""}],"container-title":"British Journal of Psychology","id":"ITEM-1","issue":"1","issued":{"date-parts":[["2005"]]},"page":"95-114","title":"Gaze and arrow cueing of attention reveals individual differences along the autism spectrum as a function of target context","type":"article-journal","volume":"96"},"uris":["http://www.mendeley.com/documents/?uuid=187ec140-a032-41d0-9a0e-8f582d48051c"]},{"id":"ITEM-2","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Cognition","id":"ITEM-2","issue":"5","issued":{"date-parts":[["1999"]]},"page":"509-540","title":"Gaze perception triggers reflexive visuospatial orienting","type":"article-journal","volume":"6"},"uris":["http://www.mendeley.com/documents/?uuid=d75d6f62-db29-416a-8682-3ddf8bb6262f"]}],"mendeley":{"formattedCitation":"(Andrew P Bayliss &amp; Tipper, 2005; Driver et al., 1999)","manualFormatting":"(Bayliss &amp; Tipper, 2005; Driver et al., 1999)","plainTextFormattedCitation":"(Andrew P Bayliss &amp; Tipper, 2005; Driver et al., 1999)","previouslyFormattedCitation":"(Andrew P Bayliss &amp; Tipper, 2005; Driver et al., 1999)"},"properties":{"noteIndex":0},"schema":"https://github.com/citation-style-language/schema/raw/master/csl-citation.json"}</w:instrText>
      </w:r>
      <w:r w:rsidR="00784D6C" w:rsidRPr="00BD14B0">
        <w:fldChar w:fldCharType="separate"/>
      </w:r>
      <w:r w:rsidR="004D2901" w:rsidRPr="00BD14B0">
        <w:rPr>
          <w:noProof/>
        </w:rPr>
        <w:t>(Bayliss &amp; Tipper, 2005; Driver et al., 1999)</w:t>
      </w:r>
      <w:r w:rsidR="00784D6C" w:rsidRPr="00BD14B0">
        <w:fldChar w:fldCharType="end"/>
      </w:r>
      <w:r w:rsidR="00784D6C" w:rsidRPr="00BD14B0">
        <w:t xml:space="preserve">. Information about the gazer may be extracted quickly from schematic faces compared to real faces since there is not additional visual input such as skin colour, eye shape or facial expressions </w:t>
      </w:r>
      <w:r w:rsidR="00784D6C" w:rsidRPr="00BD14B0">
        <w:fldChar w:fldCharType="begin" w:fldLock="1"/>
      </w:r>
      <w:r w:rsidR="00784D6C" w:rsidRPr="00BD14B0">
        <w:instrText>ADDIN CSL_CITATION {"citationItems":[{"id":"ITEM-1","itemData":{"DOI":"10.1186/s41235-016-0021-8","ISSN":"2365-7464","abstract":"Iconic representations are ubiquitous; they fill children’s cartoons, add humor to newspapers, and bring emotional tone to online communication. Yet, the communicative function they serve remains unaddressed by cognitive psychology. Here, we examined the hypothesis that iconic representations communicate emotional information more efficiently than their realistic counterparts. In Experiment 1, we manipulated low-level features of emotional faces to create five sets of stimuli that ranged from photorealistic to fully iconic. Participants identified emotions on briefly presented faces. Results showed that, at short presentation times, accuracy for identifying emotion on more “cartoonized” images was enhanced. In addition, increasing contrast and decreasing featural complexity benefited accuracy. In Experiment 2, we examined an event-related potential component, the P1, which is sensitive to low-level visual stimulus features. Lower levels of contrast and complexity within schematic stimuli were also associated with lower P1 amplitudes. These findings support the hypothesis that iconic representations differ from realistic images in their ability to communicate specific information, including emotion, quickly and efficiently, and that this effect is driven by changes in low-level visual features in the stimuli.","author":[{"dropping-particle":"","family":"Kendall","given":"L N","non-dropping-particle":"","parse-names":false,"suffix":""},{"dropping-particle":"","family":"Raffaelli","given":"Quentin","non-dropping-particle":"","parse-names":false,"suffix":""},{"dropping-particle":"","family":"Kingstone","given":"Alan","non-dropping-particle":"","parse-names":false,"suffix":""},{"dropping-particle":"","family":"Todd","given":"Rebecca M","non-dropping-particle":"","parse-names":false,"suffix":""}],"container-title":"Cognitive Research: Principles and Implications","id":"ITEM-1","issue":"1","issued":{"date-parts":[["2016","12","12"]]},"page":"19","title":"Iconic faces are not real faces: enhanced emotion detection and altered neural processing as faces become more iconic","type":"article-journal","volume":"1"},"uris":["http://www.mendeley.com/documents/?uuid=32a5c6df-4af2-4a9e-af08-fd4b5ec49469"]}],"mendeley":{"formattedCitation":"(Kendall et al., 2016)","plainTextFormattedCitation":"(Kendall et al., 2016)","previouslyFormattedCitation":"(Kendall et al., 2016)"},"properties":{"noteIndex":0},"schema":"https://github.com/citation-style-language/schema/raw/master/csl-citation.json"}</w:instrText>
      </w:r>
      <w:r w:rsidR="00784D6C" w:rsidRPr="00BD14B0">
        <w:fldChar w:fldCharType="separate"/>
      </w:r>
      <w:r w:rsidR="00784D6C" w:rsidRPr="00BD14B0">
        <w:rPr>
          <w:noProof/>
        </w:rPr>
        <w:t>(Kendall et al., 2016)</w:t>
      </w:r>
      <w:r w:rsidR="00784D6C" w:rsidRPr="00BD14B0">
        <w:fldChar w:fldCharType="end"/>
      </w:r>
      <w:r w:rsidR="00784D6C" w:rsidRPr="00BD14B0">
        <w:t>. Hence, real face photos will not be efficient enough to create gaze cueing effect at short SOAs (100</w:t>
      </w:r>
      <w:r w:rsidR="00515B0D" w:rsidRPr="00BD14B0">
        <w:t xml:space="preserve"> </w:t>
      </w:r>
      <w:proofErr w:type="spellStart"/>
      <w:r w:rsidR="00784D6C" w:rsidRPr="00BD14B0">
        <w:t>ms</w:t>
      </w:r>
      <w:proofErr w:type="spellEnd"/>
      <w:r w:rsidR="00784D6C" w:rsidRPr="00BD14B0">
        <w:t xml:space="preserve">), </w:t>
      </w:r>
      <w:r w:rsidR="00D5001B" w:rsidRPr="00BD14B0">
        <w:t xml:space="preserve">whereas </w:t>
      </w:r>
      <w:r w:rsidR="00784D6C" w:rsidRPr="00BD14B0">
        <w:t xml:space="preserve">schematic gaze-cues, which are less complex, are processed more quickly and efficiently at very brief SOAs. Indeed, in line with this idea, </w:t>
      </w:r>
      <w:r w:rsidR="00784D6C" w:rsidRPr="00BD14B0">
        <w:fldChar w:fldCharType="begin" w:fldLock="1"/>
      </w:r>
      <w:r w:rsidR="004D2901" w:rsidRPr="00BD14B0">
        <w:instrText>ADDIN CSL_CITATION {"citationItems":[{"id":"ITEM-1","itemData":{"DOI":"10.3389/fnhum.2012.00143","ISSN":"1662-5161","abstract":"Cognitive neuroscientists often study social cognition by using simple but socially relevant stimuli, such as schematic faces or images of other people. Whilst this research is valuable, important aspects of genuine social encounters are absent from these studies, a fact that has recently drawn criticism. In the present review we argue for an empirical approach to the determination of the equivalence of different social stimuli. This approach involves the systematic comparison of different types of social stimuli ranging in their approximation to a real social interaction. In garnering support for this cognitive ethological approach, we focus on recent research in social attention that has involved stimuli ranging from simple schematic faces to real social interactions. We highlight both meaningful similarities and differences in various social attentional phenomena across these different types of social stimuli thus validating the utility of the research initiative. Furthermore, we argue that exploring these similarities and differences will provide new insights into social cognition and social neuroscience.","author":[{"dropping-particle":"","family":"Risko","given":"Evan F","non-dropping-particle":"","parse-names":false,"suffix":""},{"dropping-particle":"","family":"Laidlaw","given":"Kaitlin","non-dropping-particle":"","parse-names":false,"suffix":""},{"dropping-particle":"","family":"Freeth","given":"Megan","non-dropping-particle":"","parse-names":false,"suffix":""},{"dropping-particle":"","family":"Foulsham","given":"Tom","non-dropping-particle":"","parse-names":false,"suffix":""},{"dropping-particle":"","family":"Kingstone","given":"Alan","non-dropping-particle":"","parse-names":false,"suffix":""}],"container-title":"Frontiers in Human Neuroscience","id":"ITEM-1","issued":{"date-parts":[["2012"]]},"note":"17","page":"143","title":"Social attention with real versus reel stimuli: toward an empirical approach to concerns about ecological validity","type":"article-journal","volume":"6"},"uris":["http://www.mendeley.com/documents/?uuid=4b69c46c-a09b-48c1-8224-726a20074048"]}],"mendeley":{"formattedCitation":"(Risko et al., 2012)","manualFormatting":"Risko et al. (2012)","plainTextFormattedCitation":"(Risko et al., 2012)","previouslyFormattedCitation":"(Risko et al., 2012)"},"properties":{"noteIndex":0},"schema":"https://github.com/citation-style-language/schema/raw/master/csl-citation.json"}</w:instrText>
      </w:r>
      <w:r w:rsidR="00784D6C" w:rsidRPr="00BD14B0">
        <w:fldChar w:fldCharType="separate"/>
      </w:r>
      <w:r w:rsidR="00784D6C" w:rsidRPr="00BD14B0">
        <w:rPr>
          <w:noProof/>
        </w:rPr>
        <w:t>Risko et al. (2012)</w:t>
      </w:r>
      <w:r w:rsidR="00784D6C" w:rsidRPr="00BD14B0">
        <w:fldChar w:fldCharType="end"/>
      </w:r>
      <w:r w:rsidR="00784D6C" w:rsidRPr="00BD14B0">
        <w:t xml:space="preserve"> showed that enhanced attentional orienting to schematic faces might be related to non-social mechanisms, specifically motion detection, suggesting that social mechanisms have not been activated with schematic faces. So, when real face photographs are used as a gaze cue stimulus, participants need sufficient time to extract eye-gaze information; only after this sufficient time do gaze cues start to influence responses with faster detection of targets in congruent conditions compared to incongruent conditions. To sum, reflexive and automatic orienting versus voluntary deliberate orienting systems might work together, be affected </w:t>
      </w:r>
      <w:r w:rsidR="00D5001B" w:rsidRPr="00BD14B0">
        <w:t>by</w:t>
      </w:r>
      <w:r w:rsidR="00784D6C" w:rsidRPr="00BD14B0">
        <w:t xml:space="preserve"> the type of stimuli in different time course</w:t>
      </w:r>
      <w:r w:rsidR="00D5001B" w:rsidRPr="00BD14B0">
        <w:t>s</w:t>
      </w:r>
      <w:r w:rsidR="00784D6C" w:rsidRPr="00BD14B0">
        <w:t xml:space="preserve"> as well as have different but additive functions on identifying the gazer and the gaze direction. </w:t>
      </w:r>
    </w:p>
    <w:p w14:paraId="7152FCC6" w14:textId="03718348" w:rsidR="00E85440" w:rsidRPr="00BD14B0" w:rsidRDefault="006D2026" w:rsidP="00553E01">
      <w:r w:rsidRPr="00BD14B0">
        <w:tab/>
      </w:r>
      <w:r w:rsidR="00784D6C" w:rsidRPr="00BD14B0">
        <w:t>This section briefly explained the cognitive attentional mechanisms creating gaze cueing effect. Wh</w:t>
      </w:r>
      <w:r w:rsidR="00D5001B" w:rsidRPr="00BD14B0">
        <w:t>ereas</w:t>
      </w:r>
      <w:r w:rsidR="00784D6C" w:rsidRPr="00BD14B0">
        <w:t xml:space="preserve"> some studies </w:t>
      </w:r>
      <w:r w:rsidR="00D5001B" w:rsidRPr="00BD14B0">
        <w:t>have provided</w:t>
      </w:r>
      <w:r w:rsidR="00784D6C" w:rsidRPr="00BD14B0">
        <w:t xml:space="preserve"> strong evidence </w:t>
      </w:r>
      <w:r w:rsidR="00D5001B" w:rsidRPr="00BD14B0">
        <w:t xml:space="preserve">for the </w:t>
      </w:r>
      <w:r w:rsidR="00784D6C" w:rsidRPr="00BD14B0">
        <w:t xml:space="preserve">automaticity of </w:t>
      </w:r>
      <w:r w:rsidR="00784D6C" w:rsidRPr="00BD14B0">
        <w:lastRenderedPageBreak/>
        <w:t xml:space="preserve">gaze following, </w:t>
      </w:r>
      <w:r w:rsidR="00D5001B" w:rsidRPr="00BD14B0">
        <w:t xml:space="preserve">such that </w:t>
      </w:r>
      <w:r w:rsidR="00784D6C" w:rsidRPr="00BD14B0">
        <w:t>when an observer sees a gazer looking at right or left, he/she experiences automatic attentional orientation to the same side, other</w:t>
      </w:r>
      <w:r w:rsidR="00D5001B" w:rsidRPr="00BD14B0">
        <w:t xml:space="preserve"> studies have</w:t>
      </w:r>
      <w:r w:rsidR="00784D6C" w:rsidRPr="00BD14B0">
        <w:t xml:space="preserve"> focused on more voluntary </w:t>
      </w:r>
      <w:r w:rsidR="00D5001B" w:rsidRPr="00BD14B0">
        <w:t>aspects of gaze following</w:t>
      </w:r>
      <w:r w:rsidR="00784D6C" w:rsidRPr="00BD14B0">
        <w:t xml:space="preserve">. </w:t>
      </w:r>
      <w:r w:rsidR="00D5001B" w:rsidRPr="00BD14B0">
        <w:t>Moreover</w:t>
      </w:r>
      <w:r w:rsidR="00784D6C" w:rsidRPr="00BD14B0">
        <w:t xml:space="preserve">, </w:t>
      </w:r>
      <w:r w:rsidR="00D5001B" w:rsidRPr="00BD14B0">
        <w:t xml:space="preserve">the </w:t>
      </w:r>
      <w:r w:rsidR="00784D6C" w:rsidRPr="00BD14B0">
        <w:t xml:space="preserve">literature </w:t>
      </w:r>
      <w:r w:rsidR="00D5001B" w:rsidRPr="00BD14B0">
        <w:t xml:space="preserve">indicates </w:t>
      </w:r>
      <w:r w:rsidR="00784D6C" w:rsidRPr="00BD14B0">
        <w:t xml:space="preserve">that there might be more than one mechanism </w:t>
      </w:r>
      <w:r w:rsidR="00D5001B" w:rsidRPr="00BD14B0">
        <w:t xml:space="preserve">working </w:t>
      </w:r>
      <w:r w:rsidR="00784D6C" w:rsidRPr="00BD14B0">
        <w:t xml:space="preserve">independently and in parallel, having an additive effect on attentional shifts. </w:t>
      </w:r>
      <w:r w:rsidR="00D5001B" w:rsidRPr="00BD14B0">
        <w:t>Therefore, g</w:t>
      </w:r>
      <w:r w:rsidR="00784D6C" w:rsidRPr="00BD14B0">
        <w:t xml:space="preserve">aze cueing of attention might be related to more than one specific mechanism, </w:t>
      </w:r>
      <w:r w:rsidR="00D5001B" w:rsidRPr="00BD14B0">
        <w:t xml:space="preserve">which is </w:t>
      </w:r>
      <w:r w:rsidR="00784D6C" w:rsidRPr="00BD14B0">
        <w:t>not surprisingly since it has more than one function. These attentional shifts may go beyond the classical top-down/bottom-up distinction</w:t>
      </w:r>
      <w:r w:rsidR="00784D6C" w:rsidRPr="00BD14B0">
        <w:rPr>
          <w:b/>
          <w:bCs/>
        </w:rPr>
        <w:t xml:space="preserve">. </w:t>
      </w:r>
      <w:r w:rsidR="00D5001B" w:rsidRPr="00BD14B0">
        <w:t>The n</w:t>
      </w:r>
      <w:r w:rsidR="00784D6C" w:rsidRPr="00BD14B0">
        <w:t>ext section focus</w:t>
      </w:r>
      <w:r w:rsidR="00D5001B" w:rsidRPr="00BD14B0">
        <w:t>es</w:t>
      </w:r>
      <w:r w:rsidR="00784D6C" w:rsidRPr="00BD14B0">
        <w:t xml:space="preserve"> on the functionality of gaze cueing </w:t>
      </w:r>
      <w:r w:rsidR="00D5001B" w:rsidRPr="00BD14B0">
        <w:t>in</w:t>
      </w:r>
      <w:r w:rsidR="00784D6C" w:rsidRPr="00BD14B0">
        <w:t xml:space="preserve"> interpersonal relations.</w:t>
      </w:r>
    </w:p>
    <w:p w14:paraId="1D2F9AC9" w14:textId="77777777" w:rsidR="00784D6C" w:rsidRPr="00BD14B0" w:rsidRDefault="00784D6C" w:rsidP="00553E01"/>
    <w:p w14:paraId="6F1EF9D6" w14:textId="13D34148" w:rsidR="000E4F71" w:rsidRPr="00BD14B0" w:rsidRDefault="001B6377" w:rsidP="00553E01">
      <w:pPr>
        <w:pStyle w:val="Heading2"/>
      </w:pPr>
      <w:bookmarkStart w:id="20" w:name="_Toc108310755"/>
      <w:r w:rsidRPr="00BD14B0">
        <w:t xml:space="preserve">What </w:t>
      </w:r>
      <w:r w:rsidR="00780000" w:rsidRPr="00BD14B0">
        <w:t>E</w:t>
      </w:r>
      <w:r w:rsidRPr="00BD14B0">
        <w:t xml:space="preserve">nhances </w:t>
      </w:r>
      <w:r w:rsidR="00780000" w:rsidRPr="00BD14B0">
        <w:t>G</w:t>
      </w:r>
      <w:r w:rsidRPr="00BD14B0">
        <w:t xml:space="preserve">aze </w:t>
      </w:r>
      <w:r w:rsidR="00780000" w:rsidRPr="00BD14B0">
        <w:t>C</w:t>
      </w:r>
      <w:r w:rsidRPr="00BD14B0">
        <w:t>ueing?</w:t>
      </w:r>
      <w:bookmarkEnd w:id="20"/>
    </w:p>
    <w:p w14:paraId="45505FE7" w14:textId="48B3B536" w:rsidR="00784D6C" w:rsidRPr="00BD14B0" w:rsidRDefault="006D2026" w:rsidP="00553E01">
      <w:r w:rsidRPr="00BD14B0">
        <w:tab/>
      </w:r>
      <w:r w:rsidR="00784D6C" w:rsidRPr="00BD14B0">
        <w:t xml:space="preserve">The previous section covered the debate about the </w:t>
      </w:r>
      <w:r w:rsidR="001B6948" w:rsidRPr="00BD14B0">
        <w:t xml:space="preserve">mechanisms underlying </w:t>
      </w:r>
      <w:r w:rsidR="00784D6C" w:rsidRPr="00BD14B0">
        <w:t xml:space="preserve">eye gaze cueing. The literature suggests that the automaticity of eye gaze cues - specifically shown at a behavioural level - might be similar to arrow cues. The automaticity of arrow cues may result from over-learning the significance of symbolic cues </w:t>
      </w:r>
      <w:r w:rsidR="00784D6C" w:rsidRPr="00BD14B0">
        <w:fldChar w:fldCharType="begin" w:fldLock="1"/>
      </w:r>
      <w:r w:rsidR="0028287E" w:rsidRPr="00BD14B0">
        <w:instrText>ADDIN CSL_CITATION {"citationItems":[{"id":"ITEM-1","itemData":{"DOI":"10.1080/13506285.2012.658101","ISSN":"1350-6285","abstract":"The control of human attention is typically conceptualized either in terms of exogenous automatic processes that are driven by external sensory stimulation or endogenous strategic processes that are driven by internal expectancies about events in the environment. However, this classic dichotomy has struggled to explain a wealth of new data demonstrating that behaviourally and biologically relevant visual stimuli, like arrow and eye direction, elicit shifts of spatial attention that on the one hand, appear exogenous, and on the other hand, endogenous. To address this issue, we used a double-cueing task that combined arrows with classic cues known to invoke either exogenous or endogenous orienting. Our data suggest that behaviourally relevant directional cues, like arrows, engage a new form of cortically mediated orienting-automated symbolic orienting-that operates independent of, and in parallel with, the two classic forms of exogenous and endogenous spatial attention.","author":[{"dropping-particle":"","family":"Ristic","given":"Jelena","non-dropping-particle":"","parse-names":false,"suffix":""},{"dropping-particle":"","family":"Kingstone","given":"Alan","non-dropping-particle":"","parse-names":false,"suffix":""}],"container-title":"Visual Cognition","id":"ITEM-1","issue":"3","issued":{"date-parts":[["2012"]]},"note":"Times Cited: 18\n18","page":"244-264","title":"A new form of human spatial attention: Automated symbolic orienting","type":"article-journal","volume":"20"},"uris":["http://www.mendeley.com/documents/?uuid=048b5532-4178-46f3-ad57-29be2535b165"]}],"mendeley":{"formattedCitation":"(Jelena Ristic &amp; Kingstone, 2012)","manualFormatting":"(Ristic &amp; Kingstone, 2012)","plainTextFormattedCitation":"(Jelena Ristic &amp; Kingstone, 2012)","previouslyFormattedCitation":"(Jelena Ristic &amp; Kingstone, 2012)"},"properties":{"noteIndex":0},"schema":"https://github.com/citation-style-language/schema/raw/master/csl-citation.json"}</w:instrText>
      </w:r>
      <w:r w:rsidR="00784D6C" w:rsidRPr="00BD14B0">
        <w:fldChar w:fldCharType="separate"/>
      </w:r>
      <w:r w:rsidR="004D2901" w:rsidRPr="00BD14B0">
        <w:rPr>
          <w:noProof/>
        </w:rPr>
        <w:t>(Ristic &amp; Kingstone, 2012)</w:t>
      </w:r>
      <w:r w:rsidR="00784D6C" w:rsidRPr="00BD14B0">
        <w:fldChar w:fldCharType="end"/>
      </w:r>
      <w:r w:rsidR="006F59A8" w:rsidRPr="00BD14B0">
        <w:t>,</w:t>
      </w:r>
      <w:r w:rsidR="00784D6C" w:rsidRPr="00BD14B0">
        <w:t xml:space="preserve"> but gaze triggered processing is likely to be more hardwired </w:t>
      </w:r>
      <w:r w:rsidR="00784D6C" w:rsidRPr="00BD14B0">
        <w:fldChar w:fldCharType="begin" w:fldLock="1"/>
      </w:r>
      <w:r w:rsidR="00784D6C" w:rsidRPr="00BD14B0">
        <w:instrText>ADDIN CSL_CITATION {"citationItems":[{"id":"ITEM-1","itemData":{"DOI":"10.1073/pnas.152159999","ISSN":"0027-8424","abstract":"Making eye contact is the most powerful mode of establishing a communicative link between humans. During their first year of life, infants learn rapidly that the looking behaviors of others conveys significant information. Two experiments were carried out to demonstrate special sensitivity to direct eye contact from birth. The first experiment tested the ability of 2- to 5-day-old newborns to discriminate between direct and averted gaze. In the second experiment, we measured 4-month-old infants&amp;#039; brain electric activity to assess neural processing of faces when accompanied by direct (as opposed to averted) eye gaze. The results show that, from birth, human infants prefer to look at faces that engage them in mutual gaze and that, from an early age, healthy babies show enhanced neural processing of direct gaze. The exceptionally early sensitivity to mutual gaze demonstrated in these studies is arguably the major foundation for the later development of social skills.","author":[{"dropping-particle":"","family":"Farroni","given":"T","non-dropping-particle":"","parse-names":false,"suffix":""},{"dropping-particle":"","family":"Csibra","given":"G","non-dropping-particle":"","parse-names":false,"suffix":""},{"dropping-particle":"","family":"Simion","given":"G","non-dropping-particle":"","parse-names":false,"suffix":""},{"dropping-particle":"","family":"Johnson","given":"M H","non-dropping-particle":"","parse-names":false,"suffix":""}],"container-title":"Proc. Natl. Acad. Sci. U. S. A.","id":"ITEM-1","issue":"14","issued":{"date-parts":[["2002"]]},"page":"9602-9605","title":"Eye contact detection in humans from birth","type":"article-journal","volume":"99"},"uris":["http://www.mendeley.com/documents/?uuid=0fa874fa-f6c3-4860-ab58-af0ffbf13bad"]}],"mendeley":{"formattedCitation":"(Farroni et al., 2002)","plainTextFormattedCitation":"(Farroni et al., 2002)","previouslyFormattedCitation":"(Farroni et al., 2002)"},"properties":{"noteIndex":0},"schema":"https://github.com/citation-style-language/schema/raw/master/csl-citation.json"}</w:instrText>
      </w:r>
      <w:r w:rsidR="00784D6C" w:rsidRPr="00BD14B0">
        <w:fldChar w:fldCharType="separate"/>
      </w:r>
      <w:r w:rsidR="00784D6C" w:rsidRPr="00BD14B0">
        <w:rPr>
          <w:noProof/>
        </w:rPr>
        <w:t>(Farroni et al., 2002)</w:t>
      </w:r>
      <w:r w:rsidR="00784D6C" w:rsidRPr="00BD14B0">
        <w:fldChar w:fldCharType="end"/>
      </w:r>
      <w:r w:rsidR="00784D6C" w:rsidRPr="00BD14B0">
        <w:t xml:space="preserve">. Studies have focused on using more ecological stimuli, such as real face images, to understand the social significance of eye gaze. Hence, it is not surprising that studies using schematic faces found similar results to those using  arrow cues, as the schematic faces are deprived of any social characteristics </w:t>
      </w:r>
      <w:r w:rsidR="00784D6C" w:rsidRPr="00BD14B0">
        <w:fldChar w:fldCharType="begin" w:fldLock="1"/>
      </w:r>
      <w:r w:rsidR="004D2901" w:rsidRPr="00BD14B0">
        <w:instrText>ADDIN CSL_CITATION {"citationItems":[{"id":"ITEM-1","itemData":{"DOI":"10.1080/17470218.2012.663765","ISSN":"1747-0218","abstract":"Recent studies have tried to shed light on the automaticity of attentional shifts triggered by gaze and arrows with mixed results. In the present research, we aimed at testing a strong definition of resistance to suppression for orienting of attention elicited by these two cues. In five experiments, participants were informed with 100% certainty about the future location of a target they had to react to by presentation of either a direction word at the beginning of each trial or instructions at the beginning of each block. Gaze and arrows were presented before the target as uninformative distractors irrelevant for the task. The results showed similar patterns for gaze and arrows-namely, an interference effect when the distractors were incongruent with the upcoming target location. This suggests that the orienting of attention mediated by gaze and arrows can be considered as strongly automatic.","author":[{"dropping-particle":"","family":"Galfano","given":"Giovanni","non-dropping-particle":"","parse-names":false,"suffix":""},{"dropping-particle":"","family":"Dalmaso","given":"Mario","non-dropping-particle":"","parse-names":false,"suffix":""},{"dropping-particle":"","family":"Marzoli","given":"Daniele","non-dropping-particle":"","parse-names":false,"suffix":""},{"dropping-particle":"","family":"Pavan","given":"Giulia","non-dropping-particle":"","parse-names":false,"suffix":""},{"dropping-particle":"","family":"Coricelli","given":"Carol","non-dropping-particle":"","parse-names":false,"suffix":""},{"dropping-particle":"","family":"Castelli","given":"Luigi","non-dropping-particle":"","parse-names":false,"suffix":""}],"container-title":"Quarterly Journal of Experimental Psychology","id":"ITEM-1","issue":"10","issued":{"date-parts":[["2012"]]},"note":"Times Cited: 12\nGalfano, Giovanni/B-7582-2008\n12","page":"1895-1910","title":"Eye gaze cannot be ignored (but neither can arrows)","type":"article-journal","volume":"65"},"uris":["http://www.mendeley.com/documents/?uuid=d3c2e3e4-9352-46d2-a794-ba6bd9f7f5f3"]},{"id":"ITEM-2","itemData":{"DOI":"10.1073/pnas.152159999","ISSN":"0027-8424","abstract":"Making eye contact is the most powerful mode of establishing a communicative link between humans. During their first year of life, infants learn rapidly that the looking behaviors of others conveys significant information. Two experiments were carried out to demonstrate special sensitivity to direct eye contact from birth. The first experiment tested the ability of 2- to 5-day-old newborns to discriminate between direct and averted gaze. In the second experiment, we measured 4-month-old infants&amp;#039; brain electric activity to assess neural processing of faces when accompanied by direct (as opposed to averted) eye gaze. The results show that, from birth, human infants prefer to look at faces that engage them in mutual gaze and that, from an early age, healthy babies show enhanced neural processing of direct gaze. The exceptionally early sensitivity to mutual gaze demonstrated in these studies is arguably the major foundation for the later development of social skills.","author":[{"dropping-particle":"","family":"Farroni","given":"T","non-dropping-particle":"","parse-names":false,"suffix":""},{"dropping-particle":"","family":"Csibra","given":"G","non-dropping-particle":"","parse-names":false,"suffix":""},{"dropping-particle":"","family":"Simion","given":"G","non-dropping-particle":"","parse-names":false,"suffix":""},{"dropping-particle":"","family":"Johnson","given":"M H","non-dropping-particle":"","parse-names":false,"suffix":""}],"container-title":"Proc. Natl. Acad. Sci. U. S. A.","id":"ITEM-2","issue":"14","issued":{"date-parts":[["2002"]]},"page":"9602-9605","title":"Eye contact detection in humans from birth","type":"article-journal","volume":"99"},"uris":["http://www.mendeley.com/documents/?uuid=0fa874fa-f6c3-4860-ab58-af0ffbf13bad"]},{"id":"ITEM-3","itemData":{"DOI":"10.3758/APP.71.2.314","ISSN":"19433921","author":[{"dropping-particle":"","family":"Kuhn","given":"Gustav","non-dropping-particle":"","parse-names":false,"suffix":""},{"dropping-particle":"","family":"Kingstone","given":"Alan","non-dropping-particle":"","parse-names":false,"suffix":""}],"container-title":"Attention, Perception, and Psychophysics","id":"ITEM-3","issue":"2","issued":{"date-parts":[["2009"]]},"page":"314-327","title":"Look away! Eyes and arrows engage oculomotor responses automatically","type":"article-journal","volume":"71"},"uris":["http://www.mendeley.com/documents/?uuid=93dfdceb-1473-4459-933a-c9c932c98356"]},{"id":"ITEM-4","itemData":{"DOI":"10.3758/PP.70.1.77","ISSN":"0031-5117","abstract":"In separate experiments, counterpredictive arrow, eye gaze, or abrupt-onset cues were used to test the hypothesis that individual differences in voluntary control influence involuntary orienting. In contrast with previous findings (Friesen, Ristic, &amp; Kingstone, 2004), involuntary orienting effects were found for arrow cues. Furthermore, for both eye gaze and arrow cues, individual differences in voluntary control were associated with involuntary orienting: Involuntary orienting effects were larger for participants who were more effective at using the cue to reorient attention, and also for participants who reported greater ability to control attention. Orienting to abrupt-onset cues was not correlated to individual differences in self-reported attentional control. The findings show that eye gaze and arrow cues instigate similar involuntary and voluntary effects and that involuntary orienting to symbolic cues is linked to individual differences in voluntary control.","author":[{"dropping-particle":"","family":"Tipples","given":"J.","non-dropping-particle":"","parse-names":false,"suffix":""}],"container-title":"Perception &amp; Psychophysics","id":"ITEM-4","issue":"1","issued":{"date-parts":[["2008","1","1"]]},"page":"77-87","title":"Orienting to counterpredictive gaze and arrow cues","type":"article-journal","volume":"70"},"uris":["http://www.mendeley.com/documents/?uuid=e66ae119-f28d-4a0e-847e-80db94667949"]}],"mendeley":{"formattedCitation":"(Farroni et al., 2002; Galfano et al., 2012; Kuhn &amp; Kingstone, 2009; Tipples, 2008)","plainTextFormattedCitation":"(Farroni et al., 2002; Galfano et al., 2012; Kuhn &amp; Kingstone, 2009; Tipples, 2008)","previouslyFormattedCitation":"(Farroni et al., 2002; Galfano et al., 2012; Kuhn &amp; Kingstone, 2009; Tipples, 2008)"},"properties":{"noteIndex":0},"schema":"https://github.com/citation-style-language/schema/raw/master/csl-citation.json"}</w:instrText>
      </w:r>
      <w:r w:rsidR="00784D6C" w:rsidRPr="00BD14B0">
        <w:fldChar w:fldCharType="separate"/>
      </w:r>
      <w:r w:rsidR="00784D6C" w:rsidRPr="00BD14B0">
        <w:rPr>
          <w:noProof/>
        </w:rPr>
        <w:t>(Farroni et al., 2002; Galfano et al., 2012; Kuhn &amp; Kingstone, 2009; Tipples, 2008)</w:t>
      </w:r>
      <w:r w:rsidR="00784D6C" w:rsidRPr="00BD14B0">
        <w:fldChar w:fldCharType="end"/>
      </w:r>
      <w:r w:rsidR="00784D6C" w:rsidRPr="00BD14B0">
        <w:t xml:space="preserve">. In </w:t>
      </w:r>
      <w:r w:rsidR="00361F91" w:rsidRPr="00BD14B0">
        <w:t>real-world environment humans</w:t>
      </w:r>
      <w:r w:rsidR="00784D6C" w:rsidRPr="00BD14B0">
        <w:t xml:space="preserve"> are in contact with many different individuals with </w:t>
      </w:r>
      <w:r w:rsidR="006F59A8" w:rsidRPr="00BD14B0">
        <w:t xml:space="preserve">a </w:t>
      </w:r>
      <w:r w:rsidR="00784D6C" w:rsidRPr="00BD14B0">
        <w:t xml:space="preserve">rich variety of different social information. Therefore, it is essential to understand the key factors </w:t>
      </w:r>
      <w:r w:rsidR="006F59A8" w:rsidRPr="00BD14B0">
        <w:t xml:space="preserve">implicated in </w:t>
      </w:r>
      <w:r w:rsidR="00784D6C" w:rsidRPr="00BD14B0">
        <w:t xml:space="preserve">eye gaze following which include the characteristic of the gazer, </w:t>
      </w:r>
      <w:r w:rsidR="006F59A8" w:rsidRPr="00BD14B0">
        <w:t xml:space="preserve">as well as </w:t>
      </w:r>
      <w:r w:rsidR="00784D6C" w:rsidRPr="00BD14B0">
        <w:t>the observer and the environment that they occupy which could also be affected by external factors, such as social variables and personal experience.</w:t>
      </w:r>
    </w:p>
    <w:p w14:paraId="377BF13E" w14:textId="2D7FC31F" w:rsidR="00784D6C" w:rsidRPr="00BD14B0" w:rsidRDefault="006D2026" w:rsidP="00553E01">
      <w:r w:rsidRPr="00BD14B0">
        <w:tab/>
      </w:r>
      <w:r w:rsidR="00784D6C" w:rsidRPr="00BD14B0">
        <w:t xml:space="preserve">The magnitude of gaze cueing effect can be shaped by several social variables, in addition to the visual stimuli. These variables might relate to the physical features of the gazer face, </w:t>
      </w:r>
      <w:r w:rsidR="006F59A8" w:rsidRPr="00BD14B0">
        <w:t xml:space="preserve">the </w:t>
      </w:r>
      <w:r w:rsidR="00784D6C" w:rsidRPr="00BD14B0">
        <w:t xml:space="preserve">social relation of gazer and the observer as well as individual differences of the observer. The studies conducted so far assert that eye gaze is a special stimulus and we </w:t>
      </w:r>
      <w:r w:rsidR="00784D6C" w:rsidRPr="00BD14B0">
        <w:lastRenderedPageBreak/>
        <w:t xml:space="preserve">do tend to shift our eye gaze in the same manner for every gazer or in every situation. The evidence suggests that although early rising (consistent with reflexive processing), this attentional shift occurs according to social modulation. Hence, the automatic attentional shifts occur in line with some social modulations. </w:t>
      </w:r>
    </w:p>
    <w:p w14:paraId="28E2A693" w14:textId="36C006F0" w:rsidR="00784D6C" w:rsidRPr="00BD14B0" w:rsidRDefault="00122337" w:rsidP="00553E01">
      <w:r w:rsidRPr="00BD14B0">
        <w:tab/>
      </w:r>
      <w:r w:rsidR="00784D6C" w:rsidRPr="00BD14B0">
        <w:t xml:space="preserve">The </w:t>
      </w:r>
      <w:r w:rsidR="00343CFD" w:rsidRPr="00BD14B0">
        <w:t>importance</w:t>
      </w:r>
      <w:r w:rsidR="00784D6C" w:rsidRPr="00BD14B0">
        <w:t xml:space="preserve"> of the eye gaze cue can be directly influenced by the person</w:t>
      </w:r>
      <w:r w:rsidR="006F59A8" w:rsidRPr="00BD14B0">
        <w:t>’</w:t>
      </w:r>
      <w:r w:rsidR="00784D6C" w:rsidRPr="00BD14B0">
        <w:t xml:space="preserve">s perception due to prior social modulation. Firstly, when social categorization was active, </w:t>
      </w:r>
      <w:r w:rsidR="006F59A8" w:rsidRPr="00BD14B0">
        <w:t xml:space="preserve">a </w:t>
      </w:r>
      <w:r w:rsidR="00784D6C" w:rsidRPr="00BD14B0">
        <w:t xml:space="preserve">difference in the magnitude of gaze cueing occurred </w:t>
      </w:r>
      <w:r w:rsidR="00784D6C" w:rsidRPr="00BD14B0">
        <w:fldChar w:fldCharType="begin" w:fldLock="1"/>
      </w:r>
      <w:r w:rsidR="00784D6C" w:rsidRPr="00BD14B0">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2011)","plainTextFormattedCitation":"(Pavan et al., 2011)","previouslyFormattedCitation":"(Pavan et al., 2011)"},"properties":{"noteIndex":0},"schema":"https://github.com/citation-style-language/schema/raw/master/csl-citation.json"}</w:instrText>
      </w:r>
      <w:r w:rsidR="00784D6C" w:rsidRPr="00BD14B0">
        <w:fldChar w:fldCharType="separate"/>
      </w:r>
      <w:r w:rsidR="00784D6C" w:rsidRPr="00BD14B0">
        <w:rPr>
          <w:noProof/>
        </w:rPr>
        <w:t>(Pavan et al., 2011)</w:t>
      </w:r>
      <w:r w:rsidR="00784D6C" w:rsidRPr="00BD14B0">
        <w:fldChar w:fldCharType="end"/>
      </w:r>
      <w:r w:rsidR="00784D6C" w:rsidRPr="00BD14B0">
        <w:t xml:space="preserve">. </w:t>
      </w:r>
      <w:r w:rsidR="006F59A8" w:rsidRPr="00BD14B0">
        <w:t>In particular</w:t>
      </w:r>
      <w:r w:rsidR="00784D6C" w:rsidRPr="00BD14B0">
        <w:t xml:space="preserve">, </w:t>
      </w:r>
      <w:r w:rsidR="00784D6C" w:rsidRPr="00BD14B0">
        <w:fldChar w:fldCharType="begin" w:fldLock="1"/>
      </w:r>
      <w:r w:rsidR="004D2901" w:rsidRPr="00BD14B0">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2011)","manualFormatting":"Pavan et al. (2011)","plainTextFormattedCitation":"(Pavan et al., 2011)","previouslyFormattedCitation":"(Pavan et al., 2011)"},"properties":{"noteIndex":0},"schema":"https://github.com/citation-style-language/schema/raw/master/csl-citation.json"}</w:instrText>
      </w:r>
      <w:r w:rsidR="00784D6C" w:rsidRPr="00BD14B0">
        <w:fldChar w:fldCharType="separate"/>
      </w:r>
      <w:r w:rsidR="00784D6C" w:rsidRPr="00BD14B0">
        <w:rPr>
          <w:noProof/>
        </w:rPr>
        <w:t>Pavan et al. (2011)</w:t>
      </w:r>
      <w:r w:rsidR="00784D6C" w:rsidRPr="00BD14B0">
        <w:fldChar w:fldCharType="end"/>
      </w:r>
      <w:r w:rsidR="00784D6C" w:rsidRPr="00BD14B0">
        <w:t xml:space="preserve"> showed that the social categorization process activated when the in-group and out-group faces were in the same experimental block and the magnitude of the gaze cueing differed</w:t>
      </w:r>
      <w:r w:rsidR="006F59A8" w:rsidRPr="00BD14B0">
        <w:t>,</w:t>
      </w:r>
      <w:r w:rsidR="00784D6C" w:rsidRPr="00BD14B0">
        <w:t xml:space="preserve"> but this difference did not occur when the in-group and out-group faces were in the different experimental blocks (thus in a single category) presented. Although visual information indicating social categories is effective for manipulating the </w:t>
      </w:r>
      <w:r w:rsidR="00343CFD" w:rsidRPr="00BD14B0">
        <w:t>magnitude</w:t>
      </w:r>
      <w:r w:rsidR="00784D6C" w:rsidRPr="00BD14B0">
        <w:t xml:space="preserve"> of gaze cueing, social information is not always obtained only through the gazer's physical characteristics. Human beings are exposed to many different social environments and different social groups in everyday life, and interaction</w:t>
      </w:r>
      <w:r w:rsidR="006F59A8" w:rsidRPr="00BD14B0">
        <w:t>s</w:t>
      </w:r>
      <w:r w:rsidR="00784D6C" w:rsidRPr="00BD14B0">
        <w:t xml:space="preserve"> with these individuals depend on the context. Secondly, later studies focused on the social factors that are required to activate higher-level processing. In such cases, previous knowledge about the characteristics and </w:t>
      </w:r>
      <w:proofErr w:type="spellStart"/>
      <w:r w:rsidR="00343CFD" w:rsidRPr="00BD14B0">
        <w:t>behaviors</w:t>
      </w:r>
      <w:proofErr w:type="spellEnd"/>
      <w:r w:rsidR="00784D6C" w:rsidRPr="00BD14B0">
        <w:t xml:space="preserve"> of the gazer become relevant. The literature also suggests that both social and physical features tend to influence the magnitude of eye gaze cueing with short SOAs. For example, perceived social power has shown to manipulate the gaze cueing effect, depending on the context.  </w:t>
      </w:r>
      <w:r w:rsidR="00784D6C" w:rsidRPr="00BD14B0">
        <w:fldChar w:fldCharType="begin" w:fldLock="1"/>
      </w:r>
      <w:r w:rsidR="004D2901" w:rsidRPr="00BD14B0">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et al. (2014)","plainTextFormattedCitation":"(Cui et al., 2014)","previouslyFormattedCitation":"(Cui et al., 2014)"},"properties":{"noteIndex":0},"schema":"https://github.com/citation-style-language/schema/raw/master/csl-citation.json"}</w:instrText>
      </w:r>
      <w:r w:rsidR="00784D6C" w:rsidRPr="00BD14B0">
        <w:fldChar w:fldCharType="separate"/>
      </w:r>
      <w:r w:rsidR="00784D6C" w:rsidRPr="00BD14B0">
        <w:rPr>
          <w:noProof/>
        </w:rPr>
        <w:t>Cui et al. (2014)</w:t>
      </w:r>
      <w:r w:rsidR="00784D6C" w:rsidRPr="00BD14B0">
        <w:fldChar w:fldCharType="end"/>
      </w:r>
      <w:r w:rsidR="00784D6C" w:rsidRPr="00BD14B0">
        <w:t xml:space="preserve"> manipulated the social power of the participants to maximize ecological validity by challenging them to imagine a scenario they are in control (high-social power) or controlled by others (low-social power). The results showed that females with low social power had an increased gaze-cueing effect compared to males and females with high social power </w:t>
      </w:r>
      <w:r w:rsidR="00784D6C" w:rsidRPr="00BD14B0">
        <w:fldChar w:fldCharType="begin" w:fldLock="1"/>
      </w:r>
      <w:r w:rsidR="004D2901" w:rsidRPr="00BD14B0">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2014)","plainTextFormattedCitation":"(Cui et al., 2014)","previouslyFormattedCitation":"(Cui et al., 2014)"},"properties":{"noteIndex":0},"schema":"https://github.com/citation-style-language/schema/raw/master/csl-citation.json"}</w:instrText>
      </w:r>
      <w:r w:rsidR="00784D6C" w:rsidRPr="00BD14B0">
        <w:fldChar w:fldCharType="separate"/>
      </w:r>
      <w:r w:rsidR="00784D6C" w:rsidRPr="00BD14B0">
        <w:rPr>
          <w:noProof/>
        </w:rPr>
        <w:t>(Cui et al., 2014)</w:t>
      </w:r>
      <w:r w:rsidR="00784D6C" w:rsidRPr="00BD14B0">
        <w:fldChar w:fldCharType="end"/>
      </w:r>
      <w:r w:rsidR="00784D6C" w:rsidRPr="00BD14B0">
        <w:t xml:space="preserve">. This approach showed that social features can impact the gaze cueing effect. Lastly, the characteristics of the observer need to be considered. Indeed, while some studies have focused on cueing faces, others have </w:t>
      </w:r>
      <w:r w:rsidR="00343CFD" w:rsidRPr="00BD14B0">
        <w:t>examined</w:t>
      </w:r>
      <w:r w:rsidR="00784D6C" w:rsidRPr="00BD14B0">
        <w:t xml:space="preserve"> the impact of the individual characteristics of the observer as well. We interact with people in a social environment in a context-dependent way. As a result, using a socio-cognitive approach to understand the different interactions depending </w:t>
      </w:r>
      <w:r w:rsidR="00784D6C" w:rsidRPr="00BD14B0">
        <w:lastRenderedPageBreak/>
        <w:t xml:space="preserve">on the physical features, social features and individual differences would constitute a more realistic approach. </w:t>
      </w:r>
    </w:p>
    <w:p w14:paraId="46AFFDAD" w14:textId="4224FA19" w:rsidR="00233E5C" w:rsidRPr="00BD14B0" w:rsidRDefault="006D2026" w:rsidP="00553E01">
      <w:r w:rsidRPr="00BD14B0">
        <w:tab/>
      </w:r>
      <w:r w:rsidR="00784D6C" w:rsidRPr="00BD14B0">
        <w:t xml:space="preserve">The following section will discuss visual cues and </w:t>
      </w:r>
      <w:r w:rsidR="006F59A8" w:rsidRPr="00BD14B0">
        <w:t>their</w:t>
      </w:r>
      <w:r w:rsidR="00784D6C" w:rsidRPr="00BD14B0">
        <w:t xml:space="preserve"> effect on gaze cueing, explore the socio-cognitive variables about the gazer and how </w:t>
      </w:r>
      <w:r w:rsidR="006F59A8" w:rsidRPr="00BD14B0">
        <w:t xml:space="preserve">they </w:t>
      </w:r>
      <w:r w:rsidR="00784D6C" w:rsidRPr="00BD14B0">
        <w:t>affect the observer’s strength o</w:t>
      </w:r>
      <w:r w:rsidR="002D4822" w:rsidRPr="00BD14B0">
        <w:t>f</w:t>
      </w:r>
      <w:r w:rsidR="00784D6C" w:rsidRPr="00BD14B0">
        <w:t xml:space="preserve"> </w:t>
      </w:r>
      <w:r w:rsidR="002D4822" w:rsidRPr="00BD14B0">
        <w:t xml:space="preserve">the </w:t>
      </w:r>
      <w:r w:rsidR="00784D6C" w:rsidRPr="00BD14B0">
        <w:t>gaze</w:t>
      </w:r>
      <w:r w:rsidR="002D4822" w:rsidRPr="00BD14B0">
        <w:t xml:space="preserve"> cueing effect</w:t>
      </w:r>
      <w:r w:rsidR="00784D6C" w:rsidRPr="00BD14B0">
        <w:t xml:space="preserve">, and examine the personal traits </w:t>
      </w:r>
      <w:r w:rsidR="006F59A8" w:rsidRPr="00BD14B0">
        <w:t xml:space="preserve">of </w:t>
      </w:r>
      <w:r w:rsidR="00784D6C" w:rsidRPr="00BD14B0">
        <w:t xml:space="preserve">the observer. </w:t>
      </w:r>
      <w:r w:rsidR="00233E5C" w:rsidRPr="00BD14B0">
        <w:t xml:space="preserve"> </w:t>
      </w:r>
    </w:p>
    <w:p w14:paraId="2C4235CF" w14:textId="77777777" w:rsidR="00780000" w:rsidRPr="00BD14B0" w:rsidRDefault="00780000" w:rsidP="00553E01"/>
    <w:p w14:paraId="7C3E5D3A" w14:textId="2D9F3F49" w:rsidR="00CB636D" w:rsidRPr="00BD14B0" w:rsidRDefault="00212AC9" w:rsidP="00553E01">
      <w:pPr>
        <w:pStyle w:val="Heading3"/>
      </w:pPr>
      <w:bookmarkStart w:id="21" w:name="_Toc108310756"/>
      <w:r w:rsidRPr="00BD14B0">
        <w:t>Physical features</w:t>
      </w:r>
      <w:bookmarkEnd w:id="21"/>
    </w:p>
    <w:p w14:paraId="6F6D2DC6" w14:textId="247CE28A" w:rsidR="00784D6C" w:rsidRPr="00BD14B0" w:rsidRDefault="000F4700" w:rsidP="00553E01">
      <w:r w:rsidRPr="00BD14B0">
        <w:tab/>
      </w:r>
      <w:r w:rsidR="00784D6C" w:rsidRPr="00BD14B0">
        <w:t xml:space="preserve">Gaze cueing in its nature has more than one function. At one level, just like arrows, eye gaze can signal a specific location </w:t>
      </w:r>
      <w:r w:rsidR="00532349" w:rsidRPr="00BD14B0">
        <w:t xml:space="preserve">in </w:t>
      </w:r>
      <w:r w:rsidR="00784D6C" w:rsidRPr="00BD14B0">
        <w:t>the environment around us. Therefore, it is not surprising that schematic faces deprived of any social meaning exhibit similar effects as arrow cues. However, at another level eye gazes have more of a social meaning reflecting more of a top-down processing. Faces are one of the richest stimuli of social informativeness</w:t>
      </w:r>
      <w:r w:rsidR="00930C9A" w:rsidRPr="00BD14B0">
        <w:t xml:space="preserve"> </w:t>
      </w:r>
      <w:r w:rsidR="00930C9A" w:rsidRPr="00BD14B0">
        <w:fldChar w:fldCharType="begin" w:fldLock="1"/>
      </w:r>
      <w:r w:rsidR="00BB7E39" w:rsidRPr="00BD14B0">
        <w:instrText>ADDIN CSL_CITATION {"citationItems":[{"id":"ITEM-1","itemData":{"DOI":"10.1037/0033-2909.133.4.694","ISSN":"0033-2909","abstract":"During social interactions, people's eyes convey a wealth of information about their direction of attention and their emotional and mental states. This review aims to provide a comprehensive overview of past and current research into the perception of gaze behavior and its effect on the observer. This encompasses the perception of gaze direction and its influence on perception of the other person, as well as gaze-following behavior such as joint attention, in infant, adult, and clinical populations. Particular focus is given to the gaze-cueing paradigm that has been used to investigate the mechanisms of joint attention. The contribution of this paradigm has been significant and will likely continue to advance knowledge across diverse fields within psychology and neuroscience.","author":[{"dropping-particle":"","family":"Frischen","given":"Alexandra","non-dropping-particle":"","parse-names":false,"suffix":""},{"dropping-particle":"","family":"Bayliss","given":"Andrew P","non-dropping-particle":"","parse-names":false,"suffix":""},{"dropping-particle":"","family":"Tipper","given":"Steven P","non-dropping-particle":"","parse-names":false,"suffix":""}],"container-title":"Psychological Bulletin","id":"ITEM-1","issue":"4","issued":{"date-parts":[["2007"]]},"note":"Times Cited: 256\nTipper, Steven/I-6884-2012\nTipper, Steven/0000-0002-1554-0531\n263","page":"694-724","title":"Gaze cueing of attention: Visual attention, social cognition, and individual differences","type":"article-journal","volume":"133"},"uris":["http://www.mendeley.com/documents/?uuid=e2eb9afa-c516-4618-87bf-fe33cf7905fe"]}],"mendeley":{"formattedCitation":"(Frischen, Bayliss, et al., 2007)","manualFormatting":"(Frischen &amp; Bayliss, et al., 2007)","plainTextFormattedCitation":"(Frischen, Bayliss, et al., 2007)","previouslyFormattedCitation":"(Frischen, Bayliss, et al., 2007)"},"properties":{"noteIndex":0},"schema":"https://github.com/citation-style-language/schema/raw/master/csl-citation.json"}</w:instrText>
      </w:r>
      <w:r w:rsidR="00930C9A" w:rsidRPr="00BD14B0">
        <w:fldChar w:fldCharType="separate"/>
      </w:r>
      <w:r w:rsidR="00930C9A" w:rsidRPr="00BD14B0">
        <w:rPr>
          <w:noProof/>
        </w:rPr>
        <w:t>(Frischen &amp; Bayliss, et al., 2007)</w:t>
      </w:r>
      <w:r w:rsidR="00930C9A" w:rsidRPr="00BD14B0">
        <w:fldChar w:fldCharType="end"/>
      </w:r>
      <w:r w:rsidR="00784D6C" w:rsidRPr="00BD14B0">
        <w:t xml:space="preserve">. In the </w:t>
      </w:r>
      <w:r w:rsidR="00343CFD" w:rsidRPr="00BD14B0">
        <w:t>real-world</w:t>
      </w:r>
      <w:r w:rsidR="00784D6C" w:rsidRPr="00BD14B0">
        <w:t xml:space="preserve"> environment humans are exposed to different individuals. We are able to detect others’ focus of attention, their intent, any danger in the environment or a desirable object in the environment. We are able to orient our own attention quite rapidly according to such observations.</w:t>
      </w:r>
    </w:p>
    <w:p w14:paraId="4A81F1E0" w14:textId="219C107A" w:rsidR="00784D6C" w:rsidRPr="00BD14B0" w:rsidRDefault="00784D6C" w:rsidP="00553E01">
      <w:r w:rsidRPr="00BD14B0">
        <w:tab/>
        <w:t xml:space="preserve">Early studies in the literature focused on the issue of automaticity and compared arrow cues with eye gaze cues. However, later studies have been more focused on the effect of social variables such as dominance, </w:t>
      </w:r>
      <w:proofErr w:type="gramStart"/>
      <w:r w:rsidRPr="00BD14B0">
        <w:t>age</w:t>
      </w:r>
      <w:proofErr w:type="gramEnd"/>
      <w:r w:rsidRPr="00BD14B0">
        <w:t xml:space="preserve"> or race. Moving the focus away from automaticity provides researchers the flexibility to examine the social meaning of the visual cues from faces. Given that our attention resources are limited, it is likely that the attention system evolved with the ability to respond to some stimuli more </w:t>
      </w:r>
      <w:r w:rsidR="00482980" w:rsidRPr="00BD14B0">
        <w:t xml:space="preserve">efficiently </w:t>
      </w:r>
      <w:r w:rsidRPr="00BD14B0">
        <w:t>than others.</w:t>
      </w:r>
    </w:p>
    <w:p w14:paraId="2574DC80" w14:textId="7628FC68" w:rsidR="00780000" w:rsidRPr="00BD14B0" w:rsidRDefault="00780000" w:rsidP="00553E01"/>
    <w:p w14:paraId="5DA5B636" w14:textId="0F3BEF40" w:rsidR="00212AC9" w:rsidRPr="00BD14B0" w:rsidRDefault="00212AC9" w:rsidP="00D21204">
      <w:pPr>
        <w:pStyle w:val="Heading4"/>
        <w:numPr>
          <w:ilvl w:val="0"/>
          <w:numId w:val="0"/>
        </w:numPr>
        <w:ind w:left="851"/>
      </w:pPr>
      <w:r w:rsidRPr="00BD14B0">
        <w:t>Faces</w:t>
      </w:r>
    </w:p>
    <w:p w14:paraId="76D0846C" w14:textId="2FC26C47" w:rsidR="005D1D6B" w:rsidRPr="00BD14B0" w:rsidRDefault="006D2026" w:rsidP="00553E01">
      <w:r w:rsidRPr="00BD14B0">
        <w:tab/>
      </w:r>
      <w:r w:rsidR="00997A0C" w:rsidRPr="00BD14B0">
        <w:t xml:space="preserve">Faces are important to deduce social context, in addition to the gaze cueing effect. The gaze cueing effect has been replicated with different black and white photographs of real faces </w:t>
      </w:r>
      <w:r w:rsidR="00997A0C" w:rsidRPr="00BD14B0">
        <w:fldChar w:fldCharType="begin" w:fldLock="1"/>
      </w:r>
      <w:r w:rsidR="00997A0C" w:rsidRPr="00BD14B0">
        <w:instrText>ADDIN CSL_CITATION {"citationItems":[{"id":"ITEM-1","itemData":{"DOI":"10.1037/0096-3445.133.4.516","ISSN":"00963445","author":[{"dropping-particle":"","family":"Frischen","given":"Alexandra","non-dropping-particle":"","parse-names":false,"suffix":""},{"dropping-particle":"","family":"Tipper","given":"Steven P","non-dropping-particle":"","parse-names":false,"suffix":""}],"container-title":"Journal of Experimental Psychology: General","id":"ITEM-1","issue":"4","issued":{"date-parts":[["2004"]]},"page":"516-533","title":"Orienting attention via observed gaze shift evokes longer term inhibitory effects: Implications for social interactions, attention, and memory","type":"article-journal","volume":"133"},"uris":["http://www.mendeley.com/documents/?uuid=bca0f169-1d1f-4f75-9f37-831cef3d847d"]}],"mendeley":{"formattedCitation":"(Frischen &amp; Tipper, 2004)","plainTextFormattedCitation":"(Frischen &amp; Tipper, 2004)","previouslyFormattedCitation":"(Frischen &amp; Tipper, 2004)"},"properties":{"noteIndex":0},"schema":"https://github.com/citation-style-language/schema/raw/master/csl-citation.json"}</w:instrText>
      </w:r>
      <w:r w:rsidR="00997A0C" w:rsidRPr="00BD14B0">
        <w:fldChar w:fldCharType="separate"/>
      </w:r>
      <w:r w:rsidR="00997A0C" w:rsidRPr="00BD14B0">
        <w:rPr>
          <w:noProof/>
        </w:rPr>
        <w:t>(Frischen &amp; Tipper, 2004)</w:t>
      </w:r>
      <w:r w:rsidR="00997A0C" w:rsidRPr="00BD14B0">
        <w:fldChar w:fldCharType="end"/>
      </w:r>
      <w:r w:rsidR="00997A0C" w:rsidRPr="00BD14B0">
        <w:t xml:space="preserve">, computerized faces </w:t>
      </w:r>
      <w:r w:rsidR="00997A0C" w:rsidRPr="00BD14B0">
        <w:fldChar w:fldCharType="begin" w:fldLock="1"/>
      </w:r>
      <w:r w:rsidR="004D2901" w:rsidRPr="00BD14B0">
        <w:instrText>ADDIN CSL_CITATION {"citationItems":[{"id":"ITEM-1","itemData":{"DOI":"10.1016/j.cognition.2004.05.002","ISSN":"00100277","abstract":"Observing averted eye gaze results in the automatic allocation of attention to the gazed-at location. The role of the orientation of the face that produces the gaze cue was investigated. The eyes in the face could look left or right in a head-centred frame, but the face itself could be oriented 90 degrees clockwise or anticlockwise such that the eyes were gazing up or down. Significant cueing effects to targets presented to the left or right of the screen were found in these head orientation conditions. This suggests that attention was directed to the side to which the eyes would have been looking towards, had the face been presented upright. This finding provides evidence that head orientation can affect gaze following, even when the head orientation alone is not a social cue. It also shows that the mechanism responsible for the allocation of attention following a gaze cue can be influenced by intrinsic object-based (i.e. head-centred) properties of the task-irrelevant cue. © 2004 Elsevier B.V. All rights reserved.","author":[{"dropping-particle":"","family":"Bayliss","given":"","non-dropping-particle":"","parse-names":false,"suffix":""},{"dropping-particle":"","family":"Pellegrino","given":"Giuseppe","non-dropping-particle":"Di","parse-names":false,"suffix":""},{"dropping-particle":"","family":"Tipper","given":"Steven P","non-dropping-particle":"","parse-names":false,"suffix":""}],"container-title":"Cognition","id":"ITEM-1","issue":"1","issued":{"date-parts":[["2004"]]},"page":"B1","title":"Orienting of attention via observed eye gaze is head-centred","type":"article-journal","volume":"94"},"uris":["http://www.mendeley.com/documents/?uuid=49246632-c166-489b-bb7c-ab01f98b44f7"]},{"id":"ITEM-2","itemData":{"DOI":"10.1348/000712604X15626","ISSN":"20448295","author":[{"dropping-particle":"","family":"Bayliss","given":"Andrew P","non-dropping-particle":"","parse-names":false,"suffix":""},{"dropping-particle":"","family":"Tipper","given":"Steven P","non-dropping-particle":"","parse-names":false,"suffix":""}],"container-title":"British Journal of Psychology","id":"ITEM-2","issue":"1","issued":{"date-parts":[["2005"]]},"page":"95-114","title":"Gaze and arrow cueing of attention reveals individual differences along the autism spectrum as a function of target context","type":"article-journal","volume":"96"},"uris":["http://www.mendeley.com/documents/?uuid=187ec140-a032-41d0-9a0e-8f582d48051c"]}],"mendeley":{"formattedCitation":"(Bayliss et al., 2004; Andrew P Bayliss &amp; Tipper, 2005)","manualFormatting":"(Bayliss &amp; Tipper, 2005; Bayliss, Di Pellegrino, &amp; Tipper, 2004)","plainTextFormattedCitation":"(Bayliss et al., 2004; Andrew P Bayliss &amp; Tipper, 2005)","previouslyFormattedCitation":"(Bayliss et al., 2004; Andrew P Bayliss &amp; Tipper, 2005)"},"properties":{"noteIndex":0},"schema":"https://github.com/citation-style-language/schema/raw/master/csl-citation.json"}</w:instrText>
      </w:r>
      <w:r w:rsidR="00997A0C" w:rsidRPr="00BD14B0">
        <w:fldChar w:fldCharType="separate"/>
      </w:r>
      <w:r w:rsidR="00997A0C" w:rsidRPr="00BD14B0">
        <w:rPr>
          <w:noProof/>
        </w:rPr>
        <w:t>(Bayliss &amp; Tipper, 2005; Bayliss, Di Pellegrino, &amp; Tipper, 2004)</w:t>
      </w:r>
      <w:r w:rsidR="00997A0C" w:rsidRPr="00BD14B0">
        <w:fldChar w:fldCharType="end"/>
      </w:r>
      <w:r w:rsidR="00997A0C" w:rsidRPr="00BD14B0">
        <w:t xml:space="preserve">, virtual agents </w:t>
      </w:r>
      <w:r w:rsidR="00997A0C" w:rsidRPr="00BD14B0">
        <w:fldChar w:fldCharType="begin" w:fldLock="1"/>
      </w:r>
      <w:r w:rsidR="00997A0C" w:rsidRPr="00BD14B0">
        <w:instrText>ADDIN CSL_CITATION {"citationItems":[{"id":"ITEM-1","itemData":{"DOI":"10.1016/j.concog.2007.06.014","ISSN":"1053-8100","abstract":"Research has shown that observers automatically align their attention with another's gaze direction. The present study investigates whether inferring another's attended location affects the observer's attention in the same way as observing their gaze direction. In two experiments, we used a laterally oriented virtual human head to prime one of two laterally presented targets. Experiment I showed that, in contrast to the agent with closed eyes, observing the agent with open eyes facilitated the observer's alignment of attention with the primed target location. Experiment 2, where either sunglasses or occluders concealed the agent's eye direction, showed that only the agent with the sunglasses facilitated the observer's alignment of attention with the target location. Taken together, the data demonstrate that head orientation alone is not sufficient to trigger a shift in the observer's attention, that gaze direction is crucial to this process, and that inferring the region to which another person is attending does facilitate the alignment of attention. (C) 2007 Elsevier Inc. All rights reserved.","author":[{"dropping-particle":"","family":"Nuku","given":"Pines","non-dropping-particle":"","parse-names":false,"suffix":""},{"dropping-particle":"","family":"Bekkering","given":"Harold","non-dropping-particle":"","parse-names":false,"suffix":""}],"container-title":"Consciousness and Cognition","id":"ITEM-1","issue":"1","issued":{"date-parts":[["2008"]]},"note":"Times Cited: 21\nBekkering, Harold/A-6357-2009\n22","page":"339-349","title":"Joint attention: Inferring what others perceive (and don't perceive)","type":"article-journal","volume":"17"},"uris":["http://www.mendeley.com/documents/?uuid=6cacee25-9644-492a-aca0-c6d368ccfa6b"]}],"mendeley":{"formattedCitation":"(Nuku &amp; Bekkering, 2008)","plainTextFormattedCitation":"(Nuku &amp; Bekkering, 2008)","previouslyFormattedCitation":"(Nuku &amp; Bekkering, 2008)"},"properties":{"noteIndex":0},"schema":"https://github.com/citation-style-language/schema/raw/master/csl-citation.json"}</w:instrText>
      </w:r>
      <w:r w:rsidR="00997A0C" w:rsidRPr="00BD14B0">
        <w:fldChar w:fldCharType="separate"/>
      </w:r>
      <w:r w:rsidR="00997A0C" w:rsidRPr="00BD14B0">
        <w:rPr>
          <w:noProof/>
        </w:rPr>
        <w:t>(Nuku &amp; Bekkering, 2008)</w:t>
      </w:r>
      <w:r w:rsidR="00997A0C" w:rsidRPr="00BD14B0">
        <w:fldChar w:fldCharType="end"/>
      </w:r>
      <w:r w:rsidR="00997A0C" w:rsidRPr="00BD14B0">
        <w:t xml:space="preserve">, schematic drawings </w:t>
      </w:r>
      <w:r w:rsidR="00997A0C" w:rsidRPr="00BD14B0">
        <w:fldChar w:fldCharType="begin" w:fldLock="1"/>
      </w:r>
      <w:r w:rsidR="004D2901" w:rsidRPr="00BD14B0">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id":"ITEM-2","itemData":{"DOI":"10.3758/APP.71.2.314","ISSN":"19433921","author":[{"dropping-particle":"","family":"Kuhn","given":"Gustav","non-dropping-particle":"","parse-names":false,"suffix":""},{"dropping-particle":"","family":"Kingstone","given":"Alan","non-dropping-particle":"","parse-names":false,"suffix":""}],"container-title":"Attention, Perception, and Psychophysics","id":"ITEM-2","issue":"2","issued":{"date-parts":[["2009"]]},"page":"314-327","title":"Look away! Eyes and arrows engage oculomotor responses automatically","type":"article-journal","volume":"71"},"uris":["http://www.mendeley.com/documents/?uuid=93dfdceb-1473-4459-933a-c9c932c98356"]}],"mendeley":{"formattedCitation":"(C. K. Friesen &amp; Kingstone, 1998; Kuhn &amp; Kingstone, 2009)","manualFormatting":"(Friesen &amp; Kingstone, 1998; Kuhn &amp; Kingstone, 2009)","plainTextFormattedCitation":"(C. K. Friesen &amp; Kingstone, 1998; Kuhn &amp; Kingstone, 2009)","previouslyFormattedCitation":"(C. K. Friesen &amp; Kingstone, 1998; Kuhn &amp; Kingstone, 2009)"},"properties":{"noteIndex":0},"schema":"https://github.com/citation-style-language/schema/raw/master/csl-citation.json"}</w:instrText>
      </w:r>
      <w:r w:rsidR="00997A0C" w:rsidRPr="00BD14B0">
        <w:fldChar w:fldCharType="separate"/>
      </w:r>
      <w:r w:rsidR="00997A0C" w:rsidRPr="00BD14B0">
        <w:rPr>
          <w:noProof/>
        </w:rPr>
        <w:t>(Friesen &amp; Kingstone, 1998; Kuhn &amp; Kingstone, 2009)</w:t>
      </w:r>
      <w:r w:rsidR="00997A0C" w:rsidRPr="00BD14B0">
        <w:fldChar w:fldCharType="end"/>
      </w:r>
      <w:r w:rsidR="00997A0C" w:rsidRPr="00BD14B0">
        <w:t xml:space="preserve">, and even humanoid </w:t>
      </w:r>
      <w:r w:rsidR="00997A0C" w:rsidRPr="00BD14B0">
        <w:lastRenderedPageBreak/>
        <w:t xml:space="preserve">robotic faces </w:t>
      </w:r>
      <w:r w:rsidR="00997A0C" w:rsidRPr="00BD14B0">
        <w:fldChar w:fldCharType="begin" w:fldLock="1"/>
      </w:r>
      <w:r w:rsidR="00997A0C" w:rsidRPr="00BD14B0">
        <w:instrText>ADDIN CSL_CITATION {"citationItems":[{"id":"ITEM-1","itemData":{"ISBN":"1662-5218","abstract":"The current study was designed to investigate how the automatic spatial orientation of attention induced by the perception of another agent’s orientation of attention is modulated by the social nature of the other agent. Modified versions of the Posner task, using a real or schematic face with eyes or head looking towards the left or the right before a to-be-detected target appears on one side of the screen have been used to demonstrate a reduction of reaction time for target detection when the gaze is directed towards the target, even though the cue is not informative. We compared the effect of two agents, the humanoid robotic platform Nao and a real human, using head turn to cue the spatial orientation of attention. Our results reproduced the typical Posner effect, with reduced reaction time to valid compared to invalid spatial cues. Reaction time increased when no spatial information was provided, interpreted as an increased difficulty to disengage from a direct gaze. Reaction time was also increased when the robot was used instead of the human face and when the eyes of the stimuli were blacked out. Both effects were interpreted as resulting from an increased difficulty to disengage attention from the central stimulus because of its novelty. In all experiments, there was no interaction between cue validity and cue agent, implying that the exact nature of the human-like agent didn’t have an effect on the automatic spatial orientation of attention. Altogether, our results imply that a humanoid face is as potent as a human face to trigger an automatic orientation of spatial attention.","author":[{"dropping-particle":"","family":"Chaminade","given":"Thierry","non-dropping-particle":"","parse-names":false,"suffix":""},{"dropping-particle":"","family":"Okka","given":"Maria","non-dropping-particle":"","parse-names":false,"suffix":""}],"container-title":"Frontiers in Neurorobotics  ","id":"ITEM-1","issued":{"date-parts":[["2013"]]},"page":"12","title":"Comparing the effect of humanoid and human face for the spatial orientation of attention   ","type":"article","volume":"7      "},"uris":["http://www.mendeley.com/documents/?uuid=68fed731-16bf-42a5-a557-85fd82fb527f"]}],"mendeley":{"formattedCitation":"(Chaminade &amp; Okka, 2013)","plainTextFormattedCitation":"(Chaminade &amp; Okka, 2013)","previouslyFormattedCitation":"(Chaminade &amp; Okka, 2013)"},"properties":{"noteIndex":0},"schema":"https://github.com/citation-style-language/schema/raw/master/csl-citation.json"}</w:instrText>
      </w:r>
      <w:r w:rsidR="00997A0C" w:rsidRPr="00BD14B0">
        <w:fldChar w:fldCharType="separate"/>
      </w:r>
      <w:r w:rsidR="00997A0C" w:rsidRPr="00BD14B0">
        <w:rPr>
          <w:noProof/>
        </w:rPr>
        <w:t>(Chaminade &amp; Okka, 2013)</w:t>
      </w:r>
      <w:r w:rsidR="00997A0C" w:rsidRPr="00BD14B0">
        <w:fldChar w:fldCharType="end"/>
      </w:r>
      <w:r w:rsidR="00997A0C" w:rsidRPr="00BD14B0">
        <w:t>. In a recent study, pareidolia faces were used as unpredictive cues for the gaze cueing paradigm experiment (</w:t>
      </w:r>
      <w:r w:rsidR="00997A0C" w:rsidRPr="00BD14B0">
        <w:fldChar w:fldCharType="begin" w:fldLock="1"/>
      </w:r>
      <w:r w:rsidR="004D2901" w:rsidRPr="00BD14B0">
        <w:instrText>ADDIN CSL_CITATION {"citationItems":[{"id":"ITEM-1","itemData":{"DOI":"10.1068/i0617sas","ISSN":"2041-6695","abstract":"Visual images that are not faces are sometimes perceived as faces (the pareidolia phenomenon). While the pareidolia phenomenon provides people with a strong impression that a face is present, it is unclear how deeply pareidolia faces are processed as faces. In the present study, we examined whether a shift in spatial attention would be produced by gaze cueing of face-like objects. A robust cueing effect was observed when the face-like objects were perceived as faces. The magnitude of the cueing effect was comparable between the face-like objects and a cartoon face. However, the cueing effect was eliminated when the observer did not perceive the objects as faces. These results demonstrated that pareidolia faces do more than give the impression of the presence of faces; indeed, they trigger an additional face-specific attentional process.","author":[{"dropping-particle":"","family":"Takahashi","given":"Kohske","non-dropping-particle":"","parse-names":false,"suffix":""},{"dropping-particle":"","family":"Watanabe","given":"Katsumi","non-dropping-particle":"","parse-names":false,"suffix":""}],"container-title":"i-Perception","id":"ITEM-1","issue":"8","issued":{"date-parts":[["2013","12"]]},"page":"490-492","title":"Gaze Cueing by Pareidolia Faces","type":"article-journal","volume":"4"},"uris":["http://www.mendeley.com/documents/?uuid=c605afd4-2fca-4d2f-bd91-688f1fb9bd54"]}],"mendeley":{"formattedCitation":"(Takahashi &amp; Watanabe, 2013)","manualFormatting":"Takahashi &amp; Watanabe, 2013)","plainTextFormattedCitation":"(Takahashi &amp; Watanabe, 2013)","previouslyFormattedCitation":"(Takahashi &amp; Watanabe, 2013)"},"properties":{"noteIndex":0},"schema":"https://github.com/citation-style-language/schema/raw/master/csl-citation.json"}</w:instrText>
      </w:r>
      <w:r w:rsidR="00997A0C" w:rsidRPr="00BD14B0">
        <w:fldChar w:fldCharType="separate"/>
      </w:r>
      <w:r w:rsidR="00997A0C" w:rsidRPr="00BD14B0">
        <w:rPr>
          <w:noProof/>
        </w:rPr>
        <w:t>Takahashi &amp; Watanabe, 2013)</w:t>
      </w:r>
      <w:r w:rsidR="00997A0C" w:rsidRPr="00BD14B0">
        <w:fldChar w:fldCharType="end"/>
      </w:r>
      <w:r w:rsidR="00997A0C" w:rsidRPr="00BD14B0">
        <w:t xml:space="preserve">. Pareidolia faces represent misread objects that are perceived as faces, such as clouds in the sky, moon in the sky or even potato chips </w:t>
      </w:r>
      <w:r w:rsidR="00997A0C" w:rsidRPr="00BD14B0">
        <w:fldChar w:fldCharType="begin" w:fldLock="1"/>
      </w:r>
      <w:r w:rsidR="00997A0C" w:rsidRPr="00BD14B0">
        <w:instrText>ADDIN CSL_CITATION {"citationItems":[{"id":"ITEM-1","itemData":{"DOI":"10.1093/cercor/bhr315","ISSN":"1047-3211","abstract":"Clouds and inkblots often compellingly resemble something else—faces, animals, or other identifiable objects. Here, we investigated illusions of meaning produced by novel visual shapes. Individuals found some shapes meaningful and others meaningless, with considerable variability among individuals in these subjective categorizations. Repetition for shapes endorsed as meaningful produced conceptual priming in a priming test along with concurrent activity reductions in cortical regions associated with conceptual processing of real objects. Subjectively meaningless shapes elicited robust activity in the same brain areas, but activity was not influenced by repetition. Thus, all shapes were conceptually evaluated, but stable conceptual representations supported neural priming for meaningful shapes only. During a recognition memory test, performance was associated with increased frontoparietal activity, regardless of meaningfulness. In contrast, neural conceptual priming effects for meaningful shapes occurred during both priming and recognition testing. These different patterns of brain activation as a function of stimulus repetition, type of memory test, and subjective meaningfulness underscore the distinctive neural bases of conceptual fluency versus episodic memory retrieval. Finding meaning in ambiguous stimuli appears to depend on conceptual evaluation and cortical processing events similar to those typically observed for known objects. To the brain, the vaguely Elvis-like potato chip truly can provide a substitute for the King himself.","author":[{"dropping-particle":"","family":"Voss","given":"Joel L","non-dropping-particle":"","parse-names":false,"suffix":""},{"dropping-particle":"","family":"Federmeier","given":"Kara D","non-dropping-particle":"","parse-names":false,"suffix":""},{"dropping-particle":"","family":"Paller","given":"Ken A","non-dropping-particle":"","parse-names":false,"suffix":""}],"container-title":"Cerebral Cortex","id":"ITEM-1","issue":"10","issued":{"date-parts":[["2012"]]},"page":"2354-2364","title":"The Potato Chip Really Does Look Like Elvis! Neural Hallmarks of Conceptual Processing Associated with Finding Novel Shapes Subjectively Meaningful","type":"article-journal","volume":"22"},"uris":["http://www.mendeley.com/documents/?uuid=9805ac94-f0b0-4f1c-98af-54af4d1ef185"]}],"mendeley":{"formattedCitation":"(Voss et al., 2012)","plainTextFormattedCitation":"(Voss et al., 2012)","previouslyFormattedCitation":"(Voss et al., 2012)"},"properties":{"noteIndex":0},"schema":"https://github.com/citation-style-language/schema/raw/master/csl-citation.json"}</w:instrText>
      </w:r>
      <w:r w:rsidR="00997A0C" w:rsidRPr="00BD14B0">
        <w:fldChar w:fldCharType="separate"/>
      </w:r>
      <w:r w:rsidR="00997A0C" w:rsidRPr="00BD14B0">
        <w:rPr>
          <w:noProof/>
        </w:rPr>
        <w:t>(Voss et al., 2012)</w:t>
      </w:r>
      <w:r w:rsidR="00997A0C" w:rsidRPr="00BD14B0">
        <w:fldChar w:fldCharType="end"/>
      </w:r>
      <w:r w:rsidR="00997A0C" w:rsidRPr="00BD14B0">
        <w:t xml:space="preserve">. Pareidolia faces give people an impression that they are seeing the face and also causes activation in the face related areas in the brain </w:t>
      </w:r>
      <w:r w:rsidR="00997A0C" w:rsidRPr="00BD14B0">
        <w:fldChar w:fldCharType="begin" w:fldLock="1"/>
      </w:r>
      <w:r w:rsidR="00997A0C" w:rsidRPr="00BD14B0">
        <w:instrText>ADDIN CSL_CITATION {"citationItems":[{"id":"ITEM-1","itemData":{"abstract":"The tendency to perceive faces in random patterns exhibiting configural properties of faces is an example of pareidolia. Perception of &amp;#039;real&amp;#039; faces has been associated with a cortical response signal arising at approximately 170 ms after stimulus onset, but what happens when nonface objects are perceived as faces? Using magnetoencephalography, we found that objects incidentally perceived as faces evoked an early (165 ms) activation in the ventral fusiform cortex, at a time and location similar to that evoked by faces, whereas common objects did not evoke such activation. An earlier peak at 130 ms was also seen for images of real faces only. Our findings suggest that face perception evoked by face-like objects is a relatively early process, and not a late reinterpretation cognitive phenomenon. NeuroReport 20:403-407 (C) 2009 Wolters Kluwer Health | Lippincott Williams &amp;amp; Wilkins.","author":[{"dropping-particle":"","family":"Hadjikhani","given":"Nouchine","non-dropping-particle":"","parse-names":false,"suffix":""},{"dropping-particle":"","family":"Kveraga","given":"Kestutis","non-dropping-particle":"","parse-names":false,"suffix":""},{"dropping-particle":"","family":"Naik","given":"Paulami","non-dropping-particle":"","parse-names":false,"suffix":""},{"dropping-particle":"","family":"Ahlfors","given":"Seppo P","non-dropping-particle":"","parse-names":false,"suffix":""}],"id":"ITEM-1","issued":{"date-parts":[["2009"]]},"publisher":"Lippincott, Williams &amp;amp; Wilkins","title":"Early (M170) activation of face-specific cortex by face-like objects","type":"article"},"uris":["http://www.mendeley.com/documents/?uuid=c0437b96-e19f-4544-8929-771971fdb77d"]}],"mendeley":{"formattedCitation":"(Hadjikhani et al., 2009)","plainTextFormattedCitation":"(Hadjikhani et al., 2009)","previouslyFormattedCitation":"(Hadjikhani et al., 2009)"},"properties":{"noteIndex":0},"schema":"https://github.com/citation-style-language/schema/raw/master/csl-citation.json"}</w:instrText>
      </w:r>
      <w:r w:rsidR="00997A0C" w:rsidRPr="00BD14B0">
        <w:fldChar w:fldCharType="separate"/>
      </w:r>
      <w:r w:rsidR="00997A0C" w:rsidRPr="00BD14B0">
        <w:rPr>
          <w:noProof/>
        </w:rPr>
        <w:t>(Hadjikhani et al., 2009)</w:t>
      </w:r>
      <w:r w:rsidR="00997A0C" w:rsidRPr="00BD14B0">
        <w:fldChar w:fldCharType="end"/>
      </w:r>
      <w:r w:rsidR="00997A0C" w:rsidRPr="00BD14B0">
        <w:t xml:space="preserve">. </w:t>
      </w:r>
      <w:r w:rsidR="00997A0C" w:rsidRPr="00BD14B0">
        <w:fldChar w:fldCharType="begin" w:fldLock="1"/>
      </w:r>
      <w:r w:rsidR="004D2901" w:rsidRPr="00BD14B0">
        <w:instrText>ADDIN CSL_CITATION {"citationItems":[{"id":"ITEM-1","itemData":{"DOI":"10.1068/i0617sas","ISSN":"2041-6695","abstract":"Visual images that are not faces are sometimes perceived as faces (the pareidolia phenomenon). While the pareidolia phenomenon provides people with a strong impression that a face is present, it is unclear how deeply pareidolia faces are processed as faces. In the present study, we examined whether a shift in spatial attention would be produced by gaze cueing of face-like objects. A robust cueing effect was observed when the face-like objects were perceived as faces. The magnitude of the cueing effect was comparable between the face-like objects and a cartoon face. However, the cueing effect was eliminated when the observer did not perceive the objects as faces. These results demonstrated that pareidolia faces do more than give the impression of the presence of faces; indeed, they trigger an additional face-specific attentional process.","author":[{"dropping-particle":"","family":"Takahashi","given":"Kohske","non-dropping-particle":"","parse-names":false,"suffix":""},{"dropping-particle":"","family":"Watanabe","given":"Katsumi","non-dropping-particle":"","parse-names":false,"suffix":""}],"container-title":"i-Perception","id":"ITEM-1","issue":"8","issued":{"date-parts":[["2013","12"]]},"page":"490-492","title":"Gaze Cueing by Pareidolia Faces","type":"article-journal","volume":"4"},"uris":["http://www.mendeley.com/documents/?uuid=c605afd4-2fca-4d2f-bd91-688f1fb9bd54"]}],"mendeley":{"formattedCitation":"(Takahashi &amp; Watanabe, 2013)","manualFormatting":"Takahashi and Watanabe (2013)","plainTextFormattedCitation":"(Takahashi &amp; Watanabe, 2013)","previouslyFormattedCitation":"(Takahashi &amp; Watanabe, 2013)"},"properties":{"noteIndex":0},"schema":"https://github.com/citation-style-language/schema/raw/master/csl-citation.json"}</w:instrText>
      </w:r>
      <w:r w:rsidR="00997A0C" w:rsidRPr="00BD14B0">
        <w:fldChar w:fldCharType="separate"/>
      </w:r>
      <w:r w:rsidR="00997A0C" w:rsidRPr="00BD14B0">
        <w:rPr>
          <w:noProof/>
        </w:rPr>
        <w:t>Takahashi and Watanabe (2013)</w:t>
      </w:r>
      <w:r w:rsidR="00997A0C" w:rsidRPr="00BD14B0">
        <w:fldChar w:fldCharType="end"/>
      </w:r>
      <w:r w:rsidR="00997A0C" w:rsidRPr="00BD14B0">
        <w:t xml:space="preserve"> examined whether a gaze cueing effect would emerge with an image resembling a face. In the gaze cueing experiment, participants were presented with face-like images (either a cabinet or an electrical outlet), a cartoon face, or a framed circle. In first </w:t>
      </w:r>
      <w:r w:rsidR="00361F91" w:rsidRPr="00BD14B0">
        <w:t>condition,</w:t>
      </w:r>
      <w:r w:rsidR="00997A0C" w:rsidRPr="00BD14B0">
        <w:t xml:space="preserve"> participants were explicitly instructed that the objects were indeed faces. In the second condition, they were not given any instruction about whether to judge the images as faces or not. Later</w:t>
      </w:r>
      <w:r w:rsidR="00A054B7" w:rsidRPr="00BD14B0">
        <w:t>,</w:t>
      </w:r>
      <w:r w:rsidR="00997A0C" w:rsidRPr="00BD14B0">
        <w:t xml:space="preserve"> at the end of the second condition</w:t>
      </w:r>
      <w:r w:rsidR="00A054B7" w:rsidRPr="00BD14B0">
        <w:t>,</w:t>
      </w:r>
      <w:r w:rsidR="00997A0C" w:rsidRPr="00BD14B0">
        <w:t xml:space="preserve"> they were asked if they saw a face or an object. The authors used the stimulus as uninformative cues about the location of the target. Their research showed that face-like objects could elicit a reflexive attention shift but only when they were perceived as faces. Participants </w:t>
      </w:r>
      <w:r w:rsidR="00A054B7" w:rsidRPr="00BD14B0">
        <w:t xml:space="preserve">who </w:t>
      </w:r>
      <w:r w:rsidR="00997A0C" w:rsidRPr="00BD14B0">
        <w:t>showed no gaze cueing effect reported not perceiving the object as a face. There was a significant interaction between face awareness and cue congruency. When participant perceived faces in the objects, gaze cueing occurred regardless of the object type. In contrast, if participants did not perceive objects as faces, the gaze cueing did not occur. In summary, this work suggests that faces are important to gaze leading attention.</w:t>
      </w:r>
    </w:p>
    <w:p w14:paraId="34514400" w14:textId="77777777" w:rsidR="00784D6C" w:rsidRPr="00BD14B0" w:rsidRDefault="00784D6C" w:rsidP="00553E01"/>
    <w:p w14:paraId="392A2873" w14:textId="2453C2C6" w:rsidR="00212AC9" w:rsidRPr="00BD14B0" w:rsidRDefault="00212AC9" w:rsidP="00D21204">
      <w:pPr>
        <w:pStyle w:val="Heading4"/>
        <w:numPr>
          <w:ilvl w:val="0"/>
          <w:numId w:val="0"/>
        </w:numPr>
        <w:ind w:left="851"/>
      </w:pPr>
      <w:r w:rsidRPr="00BD14B0">
        <w:t>Race and physical similarity</w:t>
      </w:r>
    </w:p>
    <w:p w14:paraId="282A6301" w14:textId="7D3DCBDE" w:rsidR="00C614D3" w:rsidRPr="00BD14B0" w:rsidRDefault="005953A0" w:rsidP="00553E01">
      <w:pPr>
        <w:rPr>
          <w:u w:color="FF0000"/>
        </w:rPr>
      </w:pPr>
      <w:r w:rsidRPr="00BD14B0">
        <w:tab/>
      </w:r>
      <w:r w:rsidR="00C614D3" w:rsidRPr="00BD14B0">
        <w:t xml:space="preserve">Identifying the physical features of the face such as sex, age, and skin colour is considered an effortless process that is used for social categorization </w:t>
      </w:r>
      <w:r w:rsidR="00C614D3" w:rsidRPr="00BD14B0">
        <w:rPr>
          <w:u w:color="FF0000"/>
        </w:rPr>
        <w:fldChar w:fldCharType="begin" w:fldLock="1"/>
      </w:r>
      <w:r w:rsidR="004D2901" w:rsidRPr="00BD14B0">
        <w:rPr>
          <w:u w:color="FF0000"/>
        </w:rPr>
        <w:instrText>ADDIN CSL_CITATION {"citationItems":[{"id":"ITEM-1","itemData":{"author":[{"dropping-particle":"","family":"Fiske","given":"Susan","non-dropping-particle":"","parse-names":false,"suffix":""}],"container-title":"European journal of social psychology","id":"ITEM-1","issue":"3","issued":{"date-parts":[["2000"]]},"page":"299-322","title":"AGENDA 2000 - stereotyping, prejudice, and discrimination at the seam between the centuries: evolution, culture, mind and brain","type":"article-journal","volume":"30"},"uris":["http://www.mendeley.com/documents/?uuid=a2c3c9d9-8484-40c2-adec-471fc4f69d1f"]}],"mendeley":{"formattedCitation":"(Fiske, 2000)","plainTextFormattedCitation":"(Fiske, 2000)","previouslyFormattedCitation":"(Fiske, 2000)"},"properties":{"noteIndex":0},"schema":"https://github.com/citation-style-language/schema/raw/master/csl-citation.json"}</w:instrText>
      </w:r>
      <w:r w:rsidR="00C614D3" w:rsidRPr="00BD14B0">
        <w:rPr>
          <w:u w:color="FF0000"/>
        </w:rPr>
        <w:fldChar w:fldCharType="separate"/>
      </w:r>
      <w:r w:rsidR="00C614D3" w:rsidRPr="00BD14B0">
        <w:rPr>
          <w:noProof/>
          <w:u w:color="FF0000"/>
        </w:rPr>
        <w:t>(Fiske, 2000)</w:t>
      </w:r>
      <w:r w:rsidR="00C614D3" w:rsidRPr="00BD14B0">
        <w:rPr>
          <w:u w:color="FF0000"/>
        </w:rPr>
        <w:fldChar w:fldCharType="end"/>
      </w:r>
      <w:r w:rsidR="00C614D3" w:rsidRPr="00BD14B0">
        <w:rPr>
          <w:u w:color="FF0000"/>
        </w:rPr>
        <w:t>. Categorical information such as race can be coded implicitly</w:t>
      </w:r>
      <w:r w:rsidR="009F280A" w:rsidRPr="00BD14B0">
        <w:rPr>
          <w:u w:color="FF0000"/>
        </w:rPr>
        <w:t xml:space="preserve">. </w:t>
      </w:r>
      <w:r w:rsidR="00C614D3" w:rsidRPr="00BD14B0">
        <w:rPr>
          <w:u w:color="FF0000"/>
        </w:rPr>
        <w:t xml:space="preserve">For instance, </w:t>
      </w:r>
      <w:r w:rsidR="00C614D3" w:rsidRPr="00BD14B0">
        <w:rPr>
          <w:u w:color="FF0000"/>
        </w:rPr>
        <w:fldChar w:fldCharType="begin" w:fldLock="1"/>
      </w:r>
      <w:r w:rsidR="0028287E" w:rsidRPr="00BD14B0">
        <w:rPr>
          <w:u w:color="FF0000"/>
        </w:rPr>
        <w:instrText>ADDIN CSL_CITATION {"citationItems":[{"id":"ITEM-1","itemData":{"DOI":"10.1037//1089-2699.6.1.101","ISSN":"1089-2699","author":[{"dropping-particle":"","family":"Nosek","given":"Brian A","non-dropping-particle":"","parse-names":false,"suffix":""},{"dropping-particle":"","family":"Banaji","given":"Mahzarin","non-dropping-particle":"","parse-names":false,"suffix":""},{"dropping-particle":"","family":"Greenwald","given":"Anthony G","non-dropping-particle":"","parse-names":false,"suffix":""}],"container-title":"Group Dynamics: Theory, Research, and Practice","id":"ITEM-1","issue":"1","issued":{"date-parts":[["2002"]]},"page":"101-115","title":"Harvesting implicit group attitudes and beliefs from a demonstration web site.","type":"article-journal","volume":"6"},"uris":["http://www.mendeley.com/documents/?uuid=8e180649-7a90-4d1c-9d1c-ac8b3c105334"]}],"mendeley":{"formattedCitation":"(Nosek et al., 2002)","manualFormatting":"Nosek, Banaji, &amp; Greenwald (2002)","plainTextFormattedCitation":"(Nosek et al., 2002)","previouslyFormattedCitation":"(Nosek et al., 2002)"},"properties":{"noteIndex":0},"schema":"https://github.com/citation-style-language/schema/raw/master/csl-citation.json"}</w:instrText>
      </w:r>
      <w:r w:rsidR="00C614D3" w:rsidRPr="00BD14B0">
        <w:rPr>
          <w:u w:color="FF0000"/>
        </w:rPr>
        <w:fldChar w:fldCharType="separate"/>
      </w:r>
      <w:r w:rsidR="00C614D3" w:rsidRPr="00BD14B0">
        <w:rPr>
          <w:noProof/>
          <w:u w:color="FF0000"/>
        </w:rPr>
        <w:t xml:space="preserve">Nosek, Banaji, </w:t>
      </w:r>
      <w:r w:rsidR="002366D8" w:rsidRPr="00BD14B0">
        <w:rPr>
          <w:noProof/>
          <w:u w:color="FF0000"/>
        </w:rPr>
        <w:t>&amp;</w:t>
      </w:r>
      <w:r w:rsidR="00C614D3" w:rsidRPr="00BD14B0">
        <w:rPr>
          <w:noProof/>
          <w:u w:color="FF0000"/>
        </w:rPr>
        <w:t xml:space="preserve"> Greenwald (2002)</w:t>
      </w:r>
      <w:r w:rsidR="00C614D3" w:rsidRPr="00BD14B0">
        <w:rPr>
          <w:u w:color="FF0000"/>
        </w:rPr>
        <w:fldChar w:fldCharType="end"/>
      </w:r>
      <w:r w:rsidR="00C614D3" w:rsidRPr="00BD14B0">
        <w:rPr>
          <w:u w:color="FF0000"/>
        </w:rPr>
        <w:t xml:space="preserve"> conducted an online study using an implicit bias test to measure in-group preference between black and white participants. Participants were shown black and white faces and asked to refer to those faces with negative and positive words. Researchers measured the automatic preference for positive attitudes by these words. They showed that white participants have a strong implicit in-group preference whereas the same preference </w:t>
      </w:r>
      <w:r w:rsidR="00C614D3" w:rsidRPr="00BD14B0">
        <w:rPr>
          <w:u w:color="FF0000"/>
        </w:rPr>
        <w:lastRenderedPageBreak/>
        <w:t xml:space="preserve">did not exist for black participants. Black participants also showed a </w:t>
      </w:r>
      <w:r w:rsidR="00C614D3" w:rsidRPr="00BD14B0">
        <w:t>preference</w:t>
      </w:r>
      <w:r w:rsidR="00C614D3" w:rsidRPr="00BD14B0">
        <w:rPr>
          <w:u w:color="FF0000"/>
        </w:rPr>
        <w:t xml:space="preserve"> </w:t>
      </w:r>
      <w:r w:rsidR="00C614D3" w:rsidRPr="00BD14B0">
        <w:t>for</w:t>
      </w:r>
      <w:r w:rsidR="00C614D3" w:rsidRPr="00BD14B0">
        <w:rPr>
          <w:u w:color="FF0000"/>
        </w:rPr>
        <w:t xml:space="preserve"> whites, but the overall effect was modest. Based on this </w:t>
      </w:r>
      <w:r w:rsidR="00C614D3" w:rsidRPr="00BD14B0">
        <w:t>evidence,</w:t>
      </w:r>
      <w:r w:rsidR="00C614D3" w:rsidRPr="00BD14B0">
        <w:rPr>
          <w:u w:color="FF0000"/>
        </w:rPr>
        <w:t xml:space="preserve"> it can be expected that racial prototypes can influence gaze cueing because people </w:t>
      </w:r>
      <w:r w:rsidR="00C614D3" w:rsidRPr="00BD14B0">
        <w:t>tend</w:t>
      </w:r>
      <w:r w:rsidR="00C614D3" w:rsidRPr="00BD14B0">
        <w:rPr>
          <w:u w:color="FF0000"/>
        </w:rPr>
        <w:t xml:space="preserve"> to show asymmetrical preference according to the face presented to them. </w:t>
      </w:r>
    </w:p>
    <w:p w14:paraId="7D24E42B" w14:textId="3C2AFF62" w:rsidR="00C614D3" w:rsidRPr="00BD14B0" w:rsidRDefault="00C614D3" w:rsidP="00553E01">
      <w:pPr>
        <w:rPr>
          <w:u w:color="FF0000"/>
        </w:rPr>
      </w:pPr>
      <w:r w:rsidRPr="00BD14B0">
        <w:rPr>
          <w:u w:color="FF0000"/>
        </w:rPr>
        <w:tab/>
        <w:t xml:space="preserve">Some studies suggest that gaze following behaviour is sensitive to the race of the observer as well as the race of the perceiver. </w:t>
      </w:r>
      <w:r w:rsidRPr="00BD14B0">
        <w:rPr>
          <w:u w:color="FF0000"/>
        </w:rPr>
        <w:fldChar w:fldCharType="begin" w:fldLock="1"/>
      </w:r>
      <w:r w:rsidR="0028287E" w:rsidRPr="00BD14B0">
        <w:rPr>
          <w:u w:color="FF0000"/>
        </w:rPr>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2011)","manualFormatting":"Pavan, Dalmaso, Galfano, &amp; Castelli (2011)","plainTextFormattedCitation":"(Pavan et al., 2011)","previouslyFormattedCitation":"(Pavan et al., 2011)"},"properties":{"noteIndex":0},"schema":"https://github.com/citation-style-language/schema/raw/master/csl-citation.json"}</w:instrText>
      </w:r>
      <w:r w:rsidRPr="00BD14B0">
        <w:rPr>
          <w:u w:color="FF0000"/>
        </w:rPr>
        <w:fldChar w:fldCharType="separate"/>
      </w:r>
      <w:r w:rsidRPr="00BD14B0">
        <w:rPr>
          <w:noProof/>
          <w:u w:color="FF0000"/>
        </w:rPr>
        <w:t xml:space="preserve">Pavan, Dalmaso, Galfano, </w:t>
      </w:r>
      <w:r w:rsidR="002C58F6" w:rsidRPr="00BD14B0">
        <w:rPr>
          <w:noProof/>
          <w:u w:color="FF0000"/>
        </w:rPr>
        <w:t>&amp;</w:t>
      </w:r>
      <w:r w:rsidRPr="00BD14B0">
        <w:rPr>
          <w:noProof/>
          <w:u w:color="FF0000"/>
        </w:rPr>
        <w:t xml:space="preserve"> Castelli (2011)</w:t>
      </w:r>
      <w:r w:rsidRPr="00BD14B0">
        <w:rPr>
          <w:u w:color="FF0000"/>
        </w:rPr>
        <w:fldChar w:fldCharType="end"/>
      </w:r>
      <w:r w:rsidRPr="00BD14B0">
        <w:rPr>
          <w:u w:color="FF0000"/>
        </w:rPr>
        <w:t xml:space="preserve"> showed faces of black and white individuals to black and white participants and asked them to complete a gaze cueing task. Each of the face stimuli were used as an uninformative cue - the gazer’s face was not informative of the target location. They found that black participants shifted their attention to the averted gaze of both in-group and outgroup members, but white participants selectively shifted their attention only to the white faces (in-group faces). Hence, this suggests that white participants have an attentional preference to individuals with white faces over black faces. Black participants showed no effect of racial group membership preference. This indicates that enhanced gaze cueing effect would be seen for in-group faces only if the participant is a member of the </w:t>
      </w:r>
      <w:r w:rsidRPr="00BD14B0">
        <w:t>majority (in this case, white participants)</w:t>
      </w:r>
      <w:r w:rsidRPr="00BD14B0">
        <w:rPr>
          <w:u w:color="FF0000"/>
        </w:rPr>
        <w:t xml:space="preserve">. These findings suggest that using virtual features of faces as cues would likely lead to automatic social categorization that may affect our </w:t>
      </w:r>
      <w:r w:rsidR="002366D8" w:rsidRPr="00BD14B0">
        <w:rPr>
          <w:u w:color="FF0000"/>
        </w:rPr>
        <w:t>gaze mediated</w:t>
      </w:r>
      <w:r w:rsidR="002D4822" w:rsidRPr="00BD14B0">
        <w:rPr>
          <w:u w:color="FF0000"/>
        </w:rPr>
        <w:t xml:space="preserve"> by </w:t>
      </w:r>
      <w:r w:rsidRPr="00BD14B0">
        <w:rPr>
          <w:u w:color="FF0000"/>
        </w:rPr>
        <w:t xml:space="preserve">orienting of attention. In the same vein, a more recent study conducted by </w:t>
      </w:r>
      <w:r w:rsidRPr="00BD14B0">
        <w:rPr>
          <w:u w:color="FF0000"/>
        </w:rPr>
        <w:fldChar w:fldCharType="begin" w:fldLock="1"/>
      </w:r>
      <w:r w:rsidR="0028287E" w:rsidRPr="00BD14B0">
        <w:rPr>
          <w:u w:color="FF0000"/>
        </w:rPr>
        <w:instrText>ADDIN CSL_CITATION {"citationItems":[{"id":"ITEM-1","itemData":{"DOI":"10.1521/soco.2017.35.6.619","ISSN":"0278016X","abstract":"Observing shifts in others’ eye gaze causes perceivers to shift their own attention in the same direction, and such gaze following has been regarded as reflexive. We hypothesized that effects of social hierarchy on reflexive gaze following are driven largely by power asymmetries. We used a standard gaze-cuing paradigm with 100 and 300 ms stimulus onset asynchronies. In Study 1, we compared gazers with a historically privileged social identity (European American/“White”) to gazers with a historically underprivileged social identity (African American/“Black”). White gazers elicited gaze following from both White and Black perceivers, whereas Black gazers only elicited gaze following from Black perceivers. In Study 2, we examined the role of perceiver power in these effects by experimentally manipulating felt power. White gazers elicited gaze following from both high-power and low-power White perceivers whereas Black gazers only elicited gaze following from low-power White perceivers. These results suggest that felt power may play a key role in stratified and interracial gaze following.","author":[{"dropping-particle":"","family":"Weisbuch","given":"Max","non-dropping-particle":"","parse-names":false,"suffix":""},{"dropping-particle":"","family":"Pauker","given":"Kristin","non-dropping-particle":"","parse-names":false,"suffix":""},{"dropping-particle":"","family":"Adams, Jr.","given":"Reginald B","non-dropping-particle":"","parse-names":false,"suffix":""},{"dropping-particle":"","family":"Lamer","given":"Sarah A","non-dropping-particle":"","parse-names":false,"suffix":""},{"dropping-particle":"","family":"Ambady","given":"Nalini","non-dropping-particle":"","parse-names":false,"suffix":""}],"container-title":"Social Cognition","id":"ITEM-1","issue":"6","issued":{"date-parts":[["2017"]]},"page":"619-638","title":"Race, power, and reflexive gaze following","type":"article-journal","volume":"35"},"uris":["http://www.mendeley.com/documents/?uuid=8007fe4a-d24f-48e8-8cf5-0e7eb468a6ed"]}],"mendeley":{"formattedCitation":"(Weisbuch et al., 2017)","manualFormatting":"Weisbuch, Pauker, Adams, Jr., Lamer, &amp; Ambady (2017)","plainTextFormattedCitation":"(Weisbuch et al., 2017)","previouslyFormattedCitation":"(Weisbuch et al., 2017)"},"properties":{"noteIndex":0},"schema":"https://github.com/citation-style-language/schema/raw/master/csl-citation.json"}</w:instrText>
      </w:r>
      <w:r w:rsidRPr="00BD14B0">
        <w:rPr>
          <w:u w:color="FF0000"/>
        </w:rPr>
        <w:fldChar w:fldCharType="separate"/>
      </w:r>
      <w:r w:rsidRPr="00BD14B0">
        <w:rPr>
          <w:noProof/>
          <w:u w:color="FF0000"/>
        </w:rPr>
        <w:t xml:space="preserve">Weisbuch, Pauker, Adams, Jr., Lamer, </w:t>
      </w:r>
      <w:r w:rsidR="002C58F6" w:rsidRPr="00BD14B0">
        <w:rPr>
          <w:noProof/>
          <w:u w:color="FF0000"/>
        </w:rPr>
        <w:t>&amp;</w:t>
      </w:r>
      <w:r w:rsidRPr="00BD14B0">
        <w:rPr>
          <w:noProof/>
          <w:u w:color="FF0000"/>
        </w:rPr>
        <w:t xml:space="preserve"> Ambady (2017)</w:t>
      </w:r>
      <w:r w:rsidRPr="00BD14B0">
        <w:rPr>
          <w:u w:color="FF0000"/>
        </w:rPr>
        <w:fldChar w:fldCharType="end"/>
      </w:r>
      <w:r w:rsidRPr="00BD14B0">
        <w:rPr>
          <w:u w:color="FF0000"/>
        </w:rPr>
        <w:t xml:space="preserve"> examined the effect of social hierarchy on reflexive gaze following. They hypothesised that the difference shown by</w:t>
      </w:r>
      <w:r w:rsidRPr="00BD14B0">
        <w:rPr>
          <w:u w:color="FF0000"/>
        </w:rPr>
        <w:fldChar w:fldCharType="begin" w:fldLock="1"/>
      </w:r>
      <w:r w:rsidR="004D2901" w:rsidRPr="00BD14B0">
        <w:rPr>
          <w:u w:color="FF0000"/>
        </w:rPr>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2011)","manualFormatting":" Pavan et al. (2011)","plainTextFormattedCitation":"(Pavan et al., 2011)","previouslyFormattedCitation":"(Pavan et al., 2011)"},"properties":{"noteIndex":0},"schema":"https://github.com/citation-style-language/schema/raw/master/csl-citation.json"}</w:instrText>
      </w:r>
      <w:r w:rsidRPr="00BD14B0">
        <w:rPr>
          <w:u w:color="FF0000"/>
        </w:rPr>
        <w:fldChar w:fldCharType="separate"/>
      </w:r>
      <w:r w:rsidRPr="00BD14B0">
        <w:rPr>
          <w:noProof/>
          <w:u w:color="FF0000"/>
        </w:rPr>
        <w:t xml:space="preserve"> Pavan et al. (2011)</w:t>
      </w:r>
      <w:r w:rsidRPr="00BD14B0">
        <w:rPr>
          <w:u w:color="FF0000"/>
        </w:rPr>
        <w:fldChar w:fldCharType="end"/>
      </w:r>
      <w:r w:rsidRPr="00BD14B0">
        <w:rPr>
          <w:u w:color="FF0000"/>
        </w:rPr>
        <w:t xml:space="preserve"> is driven largely by power asymmetries. To test this hypothesis, they conducted two studies. The first study was a replication of </w:t>
      </w:r>
      <w:r w:rsidRPr="00BD14B0">
        <w:rPr>
          <w:u w:color="FF0000"/>
        </w:rPr>
        <w:fldChar w:fldCharType="begin" w:fldLock="1"/>
      </w:r>
      <w:r w:rsidR="004D2901" w:rsidRPr="00BD14B0">
        <w:rPr>
          <w:u w:color="FF0000"/>
        </w:rPr>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2011)","manualFormatting":"Pavan et al. (2011)","plainTextFormattedCitation":"(Pavan et al., 2011)","previouslyFormattedCitation":"(Pavan et al., 2011)"},"properties":{"noteIndex":0},"schema":"https://github.com/citation-style-language/schema/raw/master/csl-citation.json"}</w:instrText>
      </w:r>
      <w:r w:rsidRPr="00BD14B0">
        <w:rPr>
          <w:u w:color="FF0000"/>
        </w:rPr>
        <w:fldChar w:fldCharType="separate"/>
      </w:r>
      <w:r w:rsidRPr="00BD14B0">
        <w:rPr>
          <w:noProof/>
          <w:u w:color="FF0000"/>
        </w:rPr>
        <w:t>Pavan et al. (2011)</w:t>
      </w:r>
      <w:r w:rsidRPr="00BD14B0">
        <w:rPr>
          <w:u w:color="FF0000"/>
        </w:rPr>
        <w:fldChar w:fldCharType="end"/>
      </w:r>
      <w:r w:rsidRPr="00BD14B0">
        <w:rPr>
          <w:u w:color="FF0000"/>
        </w:rPr>
        <w:t xml:space="preserve"> where they showed black and white face pictures as a gazer to black and white participants. Interestingly, the results showed asymmetrical results to the </w:t>
      </w:r>
      <w:r w:rsidRPr="00BD14B0">
        <w:rPr>
          <w:u w:color="FF0000"/>
        </w:rPr>
        <w:fldChar w:fldCharType="begin" w:fldLock="1"/>
      </w:r>
      <w:r w:rsidR="004D2901" w:rsidRPr="00BD14B0">
        <w:rPr>
          <w:u w:color="FF0000"/>
        </w:rPr>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2011)","manualFormatting":"Pavan et al. (2011)","plainTextFormattedCitation":"(Pavan et al., 2011)","previouslyFormattedCitation":"(Pavan et al., 2011)"},"properties":{"noteIndex":0},"schema":"https://github.com/citation-style-language/schema/raw/master/csl-citation.json"}</w:instrText>
      </w:r>
      <w:r w:rsidRPr="00BD14B0">
        <w:rPr>
          <w:u w:color="FF0000"/>
        </w:rPr>
        <w:fldChar w:fldCharType="separate"/>
      </w:r>
      <w:r w:rsidRPr="00BD14B0">
        <w:rPr>
          <w:noProof/>
          <w:u w:color="FF0000"/>
        </w:rPr>
        <w:t>Pavan et al. (2011)</w:t>
      </w:r>
      <w:r w:rsidRPr="00BD14B0">
        <w:rPr>
          <w:u w:color="FF0000"/>
        </w:rPr>
        <w:fldChar w:fldCharType="end"/>
      </w:r>
      <w:r w:rsidRPr="00BD14B0">
        <w:rPr>
          <w:u w:color="FF0000"/>
        </w:rPr>
        <w:t xml:space="preserve"> study. The results indicated that </w:t>
      </w:r>
      <w:r w:rsidR="002D4822" w:rsidRPr="00BD14B0">
        <w:rPr>
          <w:u w:color="FF0000"/>
        </w:rPr>
        <w:t>W</w:t>
      </w:r>
      <w:r w:rsidRPr="00BD14B0">
        <w:rPr>
          <w:u w:color="FF0000"/>
        </w:rPr>
        <w:t>hite gaz</w:t>
      </w:r>
      <w:r w:rsidR="002D4822" w:rsidRPr="00BD14B0">
        <w:rPr>
          <w:u w:color="FF0000"/>
        </w:rPr>
        <w:t>er</w:t>
      </w:r>
      <w:r w:rsidRPr="00BD14B0">
        <w:rPr>
          <w:u w:color="FF0000"/>
        </w:rPr>
        <w:t xml:space="preserve"> elicited gaze following from both White and Black participants, whereas Black gazer identities only elicited gaze following from Black perceivers. It is important to note though that the original study was conducted in Italy whereas the replication was conducted in the USA. Thus, </w:t>
      </w:r>
      <w:proofErr w:type="gramStart"/>
      <w:r w:rsidRPr="00BD14B0">
        <w:rPr>
          <w:u w:color="FF0000"/>
        </w:rPr>
        <w:t>cultural</w:t>
      </w:r>
      <w:proofErr w:type="gramEnd"/>
      <w:r w:rsidRPr="00BD14B0">
        <w:rPr>
          <w:u w:color="FF0000"/>
        </w:rPr>
        <w:t xml:space="preserve"> and historical differences might play a role in this difference.</w:t>
      </w:r>
    </w:p>
    <w:p w14:paraId="0B52386A" w14:textId="5573B92C" w:rsidR="00C614D3" w:rsidRPr="00BD14B0" w:rsidRDefault="00C614D3" w:rsidP="00553E01">
      <w:pPr>
        <w:rPr>
          <w:u w:color="FF0000"/>
        </w:rPr>
      </w:pPr>
      <w:r w:rsidRPr="00BD14B0">
        <w:rPr>
          <w:u w:color="FF0000"/>
        </w:rPr>
        <w:tab/>
        <w:t xml:space="preserve">In the second study, the effect of perceived power was manipulated by using an imagined contact task. Participants were randomly assigned to either a high-power </w:t>
      </w:r>
      <w:r w:rsidRPr="00BD14B0">
        <w:rPr>
          <w:u w:color="FF0000"/>
        </w:rPr>
        <w:lastRenderedPageBreak/>
        <w:t>condition or low-power condition. They were asked to imagine and write about a situation when they have power over others (high-power</w:t>
      </w:r>
      <w:proofErr w:type="gramStart"/>
      <w:r w:rsidRPr="00BD14B0">
        <w:rPr>
          <w:u w:color="FF0000"/>
        </w:rPr>
        <w:t>)</w:t>
      </w:r>
      <w:proofErr w:type="gramEnd"/>
      <w:r w:rsidRPr="00BD14B0">
        <w:rPr>
          <w:u w:color="FF0000"/>
        </w:rPr>
        <w:t xml:space="preserve"> or others have power over them (low power). In this study, only white participants were tested with a classical gaze cueing paradigm with both black and white gazer identities after they completed the imagined contact task. The results revealed that black gazer identities elicited gaze following from low-power condition </w:t>
      </w:r>
      <w:r w:rsidR="00361F91" w:rsidRPr="00BD14B0">
        <w:rPr>
          <w:u w:color="FF0000"/>
        </w:rPr>
        <w:t>participants</w:t>
      </w:r>
      <w:r w:rsidR="00091059" w:rsidRPr="00BD14B0">
        <w:rPr>
          <w:u w:color="FF0000"/>
        </w:rPr>
        <w:t>,</w:t>
      </w:r>
      <w:r w:rsidRPr="00BD14B0">
        <w:rPr>
          <w:u w:color="FF0000"/>
        </w:rPr>
        <w:t xml:space="preserve"> whereas white gazer identities elicited gaze following from both high-power and low-power condition participants. This study aimed to examine the role of perceived power on social group hierarchy and gaze following. The results suggested that the perceived power might play a role in explaining gaze following differences between races. However, it is important to keep in mind that the </w:t>
      </w:r>
      <w:r w:rsidRPr="00BD14B0">
        <w:rPr>
          <w:u w:color="FF0000"/>
        </w:rPr>
        <w:fldChar w:fldCharType="begin" w:fldLock="1"/>
      </w:r>
      <w:r w:rsidR="004D2901" w:rsidRPr="00BD14B0">
        <w:rPr>
          <w:u w:color="FF0000"/>
        </w:rPr>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2011)","manualFormatting":"Pavan et al. (2011)","plainTextFormattedCitation":"(Pavan et al., 2011)","previouslyFormattedCitation":"(Pavan et al., 2011)"},"properties":{"noteIndex":0},"schema":"https://github.com/citation-style-language/schema/raw/master/csl-citation.json"}</w:instrText>
      </w:r>
      <w:r w:rsidRPr="00BD14B0">
        <w:rPr>
          <w:u w:color="FF0000"/>
        </w:rPr>
        <w:fldChar w:fldCharType="separate"/>
      </w:r>
      <w:r w:rsidRPr="00BD14B0">
        <w:rPr>
          <w:noProof/>
          <w:u w:color="FF0000"/>
        </w:rPr>
        <w:t>Pavan et al. (2011)</w:t>
      </w:r>
      <w:r w:rsidRPr="00BD14B0">
        <w:rPr>
          <w:u w:color="FF0000"/>
        </w:rPr>
        <w:fldChar w:fldCharType="end"/>
      </w:r>
      <w:r w:rsidRPr="00BD14B0">
        <w:rPr>
          <w:u w:color="FF0000"/>
        </w:rPr>
        <w:t xml:space="preserve"> study was not replicated by </w:t>
      </w:r>
      <w:r w:rsidRPr="00BD14B0">
        <w:rPr>
          <w:u w:color="FF0000"/>
        </w:rPr>
        <w:fldChar w:fldCharType="begin" w:fldLock="1"/>
      </w:r>
      <w:r w:rsidR="004D2901" w:rsidRPr="00BD14B0">
        <w:rPr>
          <w:u w:color="FF0000"/>
        </w:rPr>
        <w:instrText>ADDIN CSL_CITATION {"citationItems":[{"id":"ITEM-1","itemData":{"DOI":"10.1521/soco.2017.35.6.619","ISSN":"0278016X","abstract":"Observing shifts in others’ eye gaze causes perceivers to shift their own attention in the same direction, and such gaze following has been regarded as reflexive. We hypothesized that effects of social hierarchy on reflexive gaze following are driven largely by power asymmetries. We used a standard gaze-cuing paradigm with 100 and 300 ms stimulus onset asynchronies. In Study 1, we compared gazers with a historically privileged social identity (European American/“White”) to gazers with a historically underprivileged social identity (African American/“Black”). White gazers elicited gaze following from both White and Black perceivers, whereas Black gazers only elicited gaze following from Black perceivers. In Study 2, we examined the role of perceiver power in these effects by experimentally manipulating felt power. White gazers elicited gaze following from both high-power and low-power White perceivers whereas Black gazers only elicited gaze following from low-power White perceivers. These results suggest that felt power may play a key role in stratified and interracial gaze following.","author":[{"dropping-particle":"","family":"Weisbuch","given":"Max","non-dropping-particle":"","parse-names":false,"suffix":""},{"dropping-particle":"","family":"Pauker","given":"Kristin","non-dropping-particle":"","parse-names":false,"suffix":""},{"dropping-particle":"","family":"Adams, Jr.","given":"Reginald B","non-dropping-particle":"","parse-names":false,"suffix":""},{"dropping-particle":"","family":"Lamer","given":"Sarah A","non-dropping-particle":"","parse-names":false,"suffix":""},{"dropping-particle":"","family":"Ambady","given":"Nalini","non-dropping-particle":"","parse-names":false,"suffix":""}],"container-title":"Social Cognition","id":"ITEM-1","issue":"6","issued":{"date-parts":[["2017"]]},"page":"619-638","title":"Race, power, and reflexive gaze following","type":"article-journal","volume":"35"},"uris":["http://www.mendeley.com/documents/?uuid=8007fe4a-d24f-48e8-8cf5-0e7eb468a6ed"]}],"mendeley":{"formattedCitation":"(Weisbuch et al., 2017)","manualFormatting":"Weisbuch et al. (2017)","plainTextFormattedCitation":"(Weisbuch et al., 2017)","previouslyFormattedCitation":"(Weisbuch et al., 2017)"},"properties":{"noteIndex":0},"schema":"https://github.com/citation-style-language/schema/raw/master/csl-citation.json"}</w:instrText>
      </w:r>
      <w:r w:rsidRPr="00BD14B0">
        <w:rPr>
          <w:u w:color="FF0000"/>
        </w:rPr>
        <w:fldChar w:fldCharType="separate"/>
      </w:r>
      <w:r w:rsidRPr="00BD14B0">
        <w:rPr>
          <w:noProof/>
          <w:u w:color="FF0000"/>
        </w:rPr>
        <w:t>Weisbuch et al. (2017)</w:t>
      </w:r>
      <w:r w:rsidRPr="00BD14B0">
        <w:rPr>
          <w:u w:color="FF0000"/>
        </w:rPr>
        <w:fldChar w:fldCharType="end"/>
      </w:r>
      <w:r w:rsidRPr="00BD14B0">
        <w:rPr>
          <w:u w:color="FF0000"/>
        </w:rPr>
        <w:t xml:space="preserve">. On the contrary, they showed opposite results. As </w:t>
      </w:r>
      <w:r w:rsidRPr="00BD14B0">
        <w:rPr>
          <w:u w:color="FF0000"/>
        </w:rPr>
        <w:fldChar w:fldCharType="begin" w:fldLock="1"/>
      </w:r>
      <w:r w:rsidR="004D2901" w:rsidRPr="00BD14B0">
        <w:rPr>
          <w:u w:color="FF0000"/>
        </w:rPr>
        <w:instrText>ADDIN CSL_CITATION {"citationItems":[{"id":"ITEM-1","itemData":{"DOI":"10.1521/soco.2017.35.6.619","ISSN":"0278016X","abstract":"Observing shifts in others’ eye gaze causes perceivers to shift their own attention in the same direction, and such gaze following has been regarded as reflexive. We hypothesized that effects of social hierarchy on reflexive gaze following are driven largely by power asymmetries. We used a standard gaze-cuing paradigm with 100 and 300 ms stimulus onset asynchronies. In Study 1, we compared gazers with a historically privileged social identity (European American/“White”) to gazers with a historically underprivileged social identity (African American/“Black”). White gazers elicited gaze following from both White and Black perceivers, whereas Black gazers only elicited gaze following from Black perceivers. In Study 2, we examined the role of perceiver power in these effects by experimentally manipulating felt power. White gazers elicited gaze following from both high-power and low-power White perceivers whereas Black gazers only elicited gaze following from low-power White perceivers. These results suggest that felt power may play a key role in stratified and interracial gaze following.","author":[{"dropping-particle":"","family":"Weisbuch","given":"Max","non-dropping-particle":"","parse-names":false,"suffix":""},{"dropping-particle":"","family":"Pauker","given":"Kristin","non-dropping-particle":"","parse-names":false,"suffix":""},{"dropping-particle":"","family":"Adams, Jr.","given":"Reginald B","non-dropping-particle":"","parse-names":false,"suffix":""},{"dropping-particle":"","family":"Lamer","given":"Sarah A","non-dropping-particle":"","parse-names":false,"suffix":""},{"dropping-particle":"","family":"Ambady","given":"Nalini","non-dropping-particle":"","parse-names":false,"suffix":""}],"container-title":"Social Cognition","id":"ITEM-1","issue":"6","issued":{"date-parts":[["2017"]]},"page":"619-638","title":"Race, power, and reflexive gaze following","type":"article-journal","volume":"35"},"uris":["http://www.mendeley.com/documents/?uuid=8007fe4a-d24f-48e8-8cf5-0e7eb468a6ed"]}],"mendeley":{"formattedCitation":"(Weisbuch et al., 2017)","manualFormatting":"Weisbuch et al. (2017)","plainTextFormattedCitation":"(Weisbuch et al., 2017)","previouslyFormattedCitation":"(Weisbuch et al., 2017)"},"properties":{"noteIndex":0},"schema":"https://github.com/citation-style-language/schema/raw/master/csl-citation.json"}</w:instrText>
      </w:r>
      <w:r w:rsidRPr="00BD14B0">
        <w:rPr>
          <w:u w:color="FF0000"/>
        </w:rPr>
        <w:fldChar w:fldCharType="separate"/>
      </w:r>
      <w:r w:rsidRPr="00BD14B0">
        <w:rPr>
          <w:noProof/>
          <w:u w:color="FF0000"/>
        </w:rPr>
        <w:t>Weisbuch et al. (2017)</w:t>
      </w:r>
      <w:r w:rsidRPr="00BD14B0">
        <w:rPr>
          <w:u w:color="FF0000"/>
        </w:rPr>
        <w:fldChar w:fldCharType="end"/>
      </w:r>
      <w:r w:rsidRPr="00BD14B0">
        <w:rPr>
          <w:u w:color="FF0000"/>
        </w:rPr>
        <w:t xml:space="preserve"> suggested, power dynamics might be playing a role and they conducted a second study to examine this power asymmetry. However, there might be different explanations as well. First, </w:t>
      </w:r>
      <w:r w:rsidRPr="00BD14B0">
        <w:rPr>
          <w:u w:color="FF0000"/>
        </w:rPr>
        <w:fldChar w:fldCharType="begin" w:fldLock="1"/>
      </w:r>
      <w:r w:rsidR="004D2901" w:rsidRPr="00BD14B0">
        <w:rPr>
          <w:u w:color="FF0000"/>
        </w:rPr>
        <w:instrText>ADDIN CSL_CITATION {"citationItems":[{"id":"ITEM-1","itemData":{"DOI":"10.1521/soco.2017.35.6.619","ISSN":"0278016X","abstract":"Observing shifts in others’ eye gaze causes perceivers to shift their own attention in the same direction, and such gaze following has been regarded as reflexive. We hypothesized that effects of social hierarchy on reflexive gaze following are driven largely by power asymmetries. We used a standard gaze-cuing paradigm with 100 and 300 ms stimulus onset asynchronies. In Study 1, we compared gazers with a historically privileged social identity (European American/“White”) to gazers with a historically underprivileged social identity (African American/“Black”). White gazers elicited gaze following from both White and Black perceivers, whereas Black gazers only elicited gaze following from Black perceivers. In Study 2, we examined the role of perceiver power in these effects by experimentally manipulating felt power. White gazers elicited gaze following from both high-power and low-power White perceivers whereas Black gazers only elicited gaze following from low-power White perceivers. These results suggest that felt power may play a key role in stratified and interracial gaze following.","author":[{"dropping-particle":"","family":"Weisbuch","given":"Max","non-dropping-particle":"","parse-names":false,"suffix":""},{"dropping-particle":"","family":"Pauker","given":"Kristin","non-dropping-particle":"","parse-names":false,"suffix":""},{"dropping-particle":"","family":"Adams, Jr.","given":"Reginald B","non-dropping-particle":"","parse-names":false,"suffix":""},{"dropping-particle":"","family":"Lamer","given":"Sarah A","non-dropping-particle":"","parse-names":false,"suffix":""},{"dropping-particle":"","family":"Ambady","given":"Nalini","non-dropping-particle":"","parse-names":false,"suffix":""}],"container-title":"Social Cognition","id":"ITEM-1","issue":"6","issued":{"date-parts":[["2017"]]},"page":"619-638","title":"Race, power, and reflexive gaze following","type":"article-journal","volume":"35"},"uris":["http://www.mendeley.com/documents/?uuid=8007fe4a-d24f-48e8-8cf5-0e7eb468a6ed"]}],"mendeley":{"formattedCitation":"(Weisbuch et al., 2017)","manualFormatting":"Weisbuch et al. (2017)","plainTextFormattedCitation":"(Weisbuch et al., 2017)","previouslyFormattedCitation":"(Weisbuch et al., 2017)"},"properties":{"noteIndex":0},"schema":"https://github.com/citation-style-language/schema/raw/master/csl-citation.json"}</w:instrText>
      </w:r>
      <w:r w:rsidRPr="00BD14B0">
        <w:rPr>
          <w:u w:color="FF0000"/>
        </w:rPr>
        <w:fldChar w:fldCharType="separate"/>
      </w:r>
      <w:r w:rsidRPr="00BD14B0">
        <w:rPr>
          <w:noProof/>
          <w:u w:color="FF0000"/>
        </w:rPr>
        <w:t>Weisbuch et al. (2017)</w:t>
      </w:r>
      <w:r w:rsidRPr="00BD14B0">
        <w:rPr>
          <w:u w:color="FF0000"/>
        </w:rPr>
        <w:fldChar w:fldCharType="end"/>
      </w:r>
      <w:r w:rsidRPr="00BD14B0">
        <w:rPr>
          <w:u w:color="FF0000"/>
        </w:rPr>
        <w:t xml:space="preserve"> only invited white participants to examine the effect of perceived social power on racial gaze following. So, how black participants would behave in </w:t>
      </w:r>
      <w:r w:rsidR="00091059" w:rsidRPr="00BD14B0">
        <w:rPr>
          <w:u w:color="FF0000"/>
        </w:rPr>
        <w:t xml:space="preserve">the </w:t>
      </w:r>
      <w:r w:rsidRPr="00BD14B0">
        <w:rPr>
          <w:u w:color="FF0000"/>
        </w:rPr>
        <w:t xml:space="preserve">low-high perceived social power condition and how this would interact with same/other race gazers are unclear. Second, gazer faces </w:t>
      </w:r>
      <w:r w:rsidR="00091059" w:rsidRPr="00BD14B0">
        <w:rPr>
          <w:u w:color="FF0000"/>
        </w:rPr>
        <w:t xml:space="preserve">were </w:t>
      </w:r>
      <w:r w:rsidRPr="00BD14B0">
        <w:rPr>
          <w:u w:color="FF0000"/>
        </w:rPr>
        <w:t>shown with extremely short SOA</w:t>
      </w:r>
      <w:r w:rsidR="00091059" w:rsidRPr="00BD14B0">
        <w:rPr>
          <w:u w:color="FF0000"/>
        </w:rPr>
        <w:t>s</w:t>
      </w:r>
      <w:r w:rsidRPr="00BD14B0">
        <w:rPr>
          <w:u w:color="FF0000"/>
        </w:rPr>
        <w:t xml:space="preserve"> (100 </w:t>
      </w:r>
      <w:proofErr w:type="spellStart"/>
      <w:r w:rsidR="00515B0D" w:rsidRPr="00BD14B0">
        <w:rPr>
          <w:u w:color="FF0000"/>
        </w:rPr>
        <w:t>m</w:t>
      </w:r>
      <w:r w:rsidRPr="00BD14B0">
        <w:rPr>
          <w:u w:color="FF0000"/>
        </w:rPr>
        <w:t>s</w:t>
      </w:r>
      <w:proofErr w:type="spellEnd"/>
      <w:r w:rsidRPr="00BD14B0">
        <w:rPr>
          <w:u w:color="FF0000"/>
        </w:rPr>
        <w:t xml:space="preserve">, 300 </w:t>
      </w:r>
      <w:proofErr w:type="spellStart"/>
      <w:r w:rsidR="00515B0D" w:rsidRPr="00BD14B0">
        <w:rPr>
          <w:u w:color="FF0000"/>
        </w:rPr>
        <w:t>m</w:t>
      </w:r>
      <w:r w:rsidRPr="00BD14B0">
        <w:rPr>
          <w:u w:color="FF0000"/>
        </w:rPr>
        <w:t>s</w:t>
      </w:r>
      <w:proofErr w:type="spellEnd"/>
      <w:r w:rsidRPr="00BD14B0">
        <w:rPr>
          <w:u w:color="FF0000"/>
        </w:rPr>
        <w:t xml:space="preserve">). Each face photo was converted to greyscale and </w:t>
      </w:r>
      <w:r w:rsidR="00091059" w:rsidRPr="00BD14B0">
        <w:rPr>
          <w:u w:color="FF0000"/>
        </w:rPr>
        <w:t xml:space="preserve">placed </w:t>
      </w:r>
      <w:r w:rsidRPr="00BD14B0">
        <w:rPr>
          <w:u w:color="FF0000"/>
        </w:rPr>
        <w:t xml:space="preserve">on a white background. Therefore, </w:t>
      </w:r>
      <w:proofErr w:type="gramStart"/>
      <w:r w:rsidRPr="00BD14B0">
        <w:rPr>
          <w:u w:color="FF0000"/>
        </w:rPr>
        <w:t>black</w:t>
      </w:r>
      <w:proofErr w:type="gramEnd"/>
      <w:r w:rsidRPr="00BD14B0">
        <w:rPr>
          <w:u w:color="FF0000"/>
        </w:rPr>
        <w:t xml:space="preserve"> and white face pictures had a different level of contrast in each picture. Contrast is an important component on gaze cueing and people tend to shift their attention toward the position of the dark region of the eyes </w:t>
      </w:r>
      <w:r w:rsidRPr="00BD14B0">
        <w:rPr>
          <w:u w:color="FF0000"/>
        </w:rPr>
        <w:fldChar w:fldCharType="begin" w:fldLock="1"/>
      </w:r>
      <w:r w:rsidR="004D2901" w:rsidRPr="00BD14B0">
        <w:rPr>
          <w:u w:color="FF0000"/>
        </w:rPr>
        <w:instrText>ADDIN CSL_CITATION {"citationItems":[{"id":"ITEM-1","itemData":{"DOI":"10.1111/j.1468-5884.2011.00474.x","ISSN":"0021-5368","abstract":"Two experiments using a modified Posner-type visual cueing paradigm tested the prediction that detecting the darker region of the eyes of another's gaze triggers a reflexive orienting of the observer in the direction of the gaze. A target was presented in the left or right visual-field following a gaze-cue with positive or negative-image polarity (Experiment 1). In Experiment 2, the polarity of the eyes was manipulated independently of the negative polarity of the face (eye-positive or eye-negative-image polarity conditions). The results showed that the response to the target presented at the side the eyes gazed toward was faster than for the target presented at the other side in the positive polarity condition (Experiment 1), whereas, in the negative polarity condition, the gaze-cuing effect was not found. In Experiment 2, in the eye-negative condition, a reversed gaze-cueing effect appeared, whereas in the eye-positive polarity condition, a typical gaze-cueing effect was obtained. These findings suggested that the reflexive orienting of the observer shifts toward the position indicated by the darker region of the other's eyes.","author":[{"dropping-particle":"","family":"Yoshizaki","given":"Kazuhito","non-dropping-particle":"","parse-names":false,"suffix":""},{"dropping-particle":"","family":"Kato","given":"Kimiko","non-dropping-particle":"","parse-names":false,"suffix":""}],"container-title":"Japanese Psychological Research","id":"ITEM-1","issue":"3","issued":{"date-parts":[["2011"]]},"note":"Times Cited: 1\n1","page":"333-340","title":"Contrast polarity of eyes modulates gaze-cueing effect","type":"article-journal","volume":"53"},"uris":["http://www.mendeley.com/documents/?uuid=dfe45363-7815-4b52-aa8d-5ad9ecd3bd84"]}],"mendeley":{"formattedCitation":"(Yoshizaki &amp; Kato, 2011)","plainTextFormattedCitation":"(Yoshizaki &amp; Kato, 2011)","previouslyFormattedCitation":"(Yoshizaki &amp; Kato, 2011)"},"properties":{"noteIndex":0},"schema":"https://github.com/citation-style-language/schema/raw/master/csl-citation.json"}</w:instrText>
      </w:r>
      <w:r w:rsidRPr="00BD14B0">
        <w:rPr>
          <w:u w:color="FF0000"/>
        </w:rPr>
        <w:fldChar w:fldCharType="separate"/>
      </w:r>
      <w:r w:rsidRPr="00BD14B0">
        <w:rPr>
          <w:noProof/>
          <w:u w:color="FF0000"/>
        </w:rPr>
        <w:t>(Yoshizaki &amp; Kato, 2011)</w:t>
      </w:r>
      <w:r w:rsidRPr="00BD14B0">
        <w:rPr>
          <w:u w:color="FF0000"/>
        </w:rPr>
        <w:fldChar w:fldCharType="end"/>
      </w:r>
      <w:r w:rsidRPr="00BD14B0">
        <w:rPr>
          <w:u w:color="FF0000"/>
        </w:rPr>
        <w:t xml:space="preserve">. Hence, the different level of contrast in the black and white face pictures used in the experiment might influence the strength of gaze cueing. Lastly, it is important to keep in mind that the </w:t>
      </w:r>
      <w:r w:rsidRPr="00BD14B0">
        <w:rPr>
          <w:u w:color="FF0000"/>
        </w:rPr>
        <w:fldChar w:fldCharType="begin" w:fldLock="1"/>
      </w:r>
      <w:r w:rsidR="004D2901" w:rsidRPr="00BD14B0">
        <w:rPr>
          <w:u w:color="FF0000"/>
        </w:rPr>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2011)","manualFormatting":"Pavan et al. (2011)","plainTextFormattedCitation":"(Pavan et al., 2011)","previouslyFormattedCitation":"(Pavan et al., 2011)"},"properties":{"noteIndex":0},"schema":"https://github.com/citation-style-language/schema/raw/master/csl-citation.json"}</w:instrText>
      </w:r>
      <w:r w:rsidRPr="00BD14B0">
        <w:rPr>
          <w:u w:color="FF0000"/>
        </w:rPr>
        <w:fldChar w:fldCharType="separate"/>
      </w:r>
      <w:r w:rsidRPr="00BD14B0">
        <w:rPr>
          <w:noProof/>
          <w:u w:color="FF0000"/>
        </w:rPr>
        <w:t>Pavan et al. (2011)</w:t>
      </w:r>
      <w:r w:rsidRPr="00BD14B0">
        <w:rPr>
          <w:u w:color="FF0000"/>
        </w:rPr>
        <w:fldChar w:fldCharType="end"/>
      </w:r>
      <w:r w:rsidRPr="00BD14B0">
        <w:rPr>
          <w:u w:color="FF0000"/>
        </w:rPr>
        <w:t xml:space="preserve"> and </w:t>
      </w:r>
      <w:r w:rsidRPr="00BD14B0">
        <w:rPr>
          <w:u w:color="FF0000"/>
        </w:rPr>
        <w:fldChar w:fldCharType="begin" w:fldLock="1"/>
      </w:r>
      <w:r w:rsidR="004D2901" w:rsidRPr="00BD14B0">
        <w:rPr>
          <w:u w:color="FF0000"/>
        </w:rPr>
        <w:instrText>ADDIN CSL_CITATION {"citationItems":[{"id":"ITEM-1","itemData":{"DOI":"10.1521/soco.2017.35.6.619","ISSN":"0278016X","abstract":"Observing shifts in others’ eye gaze causes perceivers to shift their own attention in the same direction, and such gaze following has been regarded as reflexive. We hypothesized that effects of social hierarchy on reflexive gaze following are driven largely by power asymmetries. We used a standard gaze-cuing paradigm with 100 and 300 ms stimulus onset asynchronies. In Study 1, we compared gazers with a historically privileged social identity (European American/“White”) to gazers with a historically underprivileged social identity (African American/“Black”). White gazers elicited gaze following from both White and Black perceivers, whereas Black gazers only elicited gaze following from Black perceivers. In Study 2, we examined the role of perceiver power in these effects by experimentally manipulating felt power. White gazers elicited gaze following from both high-power and low-power White perceivers whereas Black gazers only elicited gaze following from low-power White perceivers. These results suggest that felt power may play a key role in stratified and interracial gaze following.","author":[{"dropping-particle":"","family":"Weisbuch","given":"Max","non-dropping-particle":"","parse-names":false,"suffix":""},{"dropping-particle":"","family":"Pauker","given":"Kristin","non-dropping-particle":"","parse-names":false,"suffix":""},{"dropping-particle":"","family":"Adams, Jr.","given":"Reginald B","non-dropping-particle":"","parse-names":false,"suffix":""},{"dropping-particle":"","family":"Lamer","given":"Sarah A","non-dropping-particle":"","parse-names":false,"suffix":""},{"dropping-particle":"","family":"Ambady","given":"Nalini","non-dropping-particle":"","parse-names":false,"suffix":""}],"container-title":"Social Cognition","id":"ITEM-1","issue":"6","issued":{"date-parts":[["2017"]]},"page":"619-638","title":"Race, power, and reflexive gaze following","type":"article-journal","volume":"35"},"uris":["http://www.mendeley.com/documents/?uuid=8007fe4a-d24f-48e8-8cf5-0e7eb468a6ed"]}],"mendeley":{"formattedCitation":"(Weisbuch et al., 2017)","manualFormatting":"Weisbuch et al. (2017)","plainTextFormattedCitation":"(Weisbuch et al., 2017)","previouslyFormattedCitation":"(Weisbuch et al., 2017)"},"properties":{"noteIndex":0},"schema":"https://github.com/citation-style-language/schema/raw/master/csl-citation.json"}</w:instrText>
      </w:r>
      <w:r w:rsidRPr="00BD14B0">
        <w:rPr>
          <w:u w:color="FF0000"/>
        </w:rPr>
        <w:fldChar w:fldCharType="separate"/>
      </w:r>
      <w:r w:rsidRPr="00BD14B0">
        <w:rPr>
          <w:noProof/>
          <w:u w:color="FF0000"/>
        </w:rPr>
        <w:t>Weisbuch et al. (2017)</w:t>
      </w:r>
      <w:r w:rsidRPr="00BD14B0">
        <w:rPr>
          <w:u w:color="FF0000"/>
        </w:rPr>
        <w:fldChar w:fldCharType="end"/>
      </w:r>
      <w:r w:rsidRPr="00BD14B0">
        <w:rPr>
          <w:u w:color="FF0000"/>
        </w:rPr>
        <w:t xml:space="preserve"> studies were conducted in different countries (Italy and USA, respectively). Indeed, studies suggest that culture has a profound effect on gaze following and the control of visual-spatial attention elicited by social stimuli systematically differs between eastern and western cultures </w:t>
      </w:r>
      <w:r w:rsidRPr="00BD14B0">
        <w:rPr>
          <w:u w:color="FF0000"/>
        </w:rPr>
        <w:fldChar w:fldCharType="begin" w:fldLock="1"/>
      </w:r>
      <w:r w:rsidR="004D2901" w:rsidRPr="00BD14B0">
        <w:rPr>
          <w:u w:color="FF0000"/>
        </w:rPr>
        <w:instrText>ADDIN CSL_CITATION {"citationItems":[{"id":"ITEM-1","itemData":{"DOI":"10.3389/fpsyg.2017.02343","ISSN":"1664-1078","abstract":"© 2018 Takao, Yamani and Ariga. The direction of gaze automatically and exogenously guides visual spatial attention, a phenomenon termed as the gaze-cueing effect. Although this effect arises when the duration of stimulus onset asynchrony (SOA) between a non-predictive gaze cue and the target is relatively long, no empirical research has examined the factors underlying this extended cueing effect. Two experiments compared the gaze-cueing effect at longer SOAs (700 ms) in Japanese and American participants. Cross-cultural studies on cognition suggest that Westerners tend to use a context-independent analytical strategy to process visual environments, whereas Asians use a context-dependent holistic approach. We hypothesized that Japanese participants would not demonstrate the gaze-cueing effect at longer SOAs because they are more sensitive to contextual information, such as the knowledge that the direction of a gaze is not predictive. Furthermore, we hypothesized that American participants would demonstrate the gaze-cueing effect at the long SOAs because they tend to follow gaze direction whether it is predictive or not. In Experiment 1, American participants demonstrated the gaze-cueing effect at the long SOA, indicating that their attention was driven by the central non-predictive gaze direction regardless of the SOAs. In Experiment 2, Japanese participants demonstrated no gaze-cueing effect at the long SOA, suggesting that the Japanese participants exercised voluntary control of their attention, which inhibited the gaze-cueing effect with the long SOA. Our findings suggest that the control of visual spatial attention elicited by social stimuli systematically differs between American and Japanese individuals.","author":[{"dropping-particle":"","family":"Takao","given":"Saki","non-dropping-particle":"","parse-names":false,"suffix":""},{"dropping-particle":"","family":"Yamani","given":"Yusuke","non-dropping-particle":"","parse-names":false,"suffix":""},{"dropping-particle":"","family":"Ariga","given":"Atsunori","non-dropping-particle":"","parse-names":false,"suffix":""}],"container-title":"Frontiers in Psychology","id":"ITEM-1","issue":"JAN","issued":{"date-parts":[["2018","1","15"]]},"page":"1-8","title":"The Gaze-Cueing Effect in the United States and Japan: Influence of Cultural Differences in Cognitive Strategies on Control of Attention","type":"article-journal","volume":"8"},"uris":["http://www.mendeley.com/documents/?uuid=cab866ce-e9a3-401e-9690-4600fc4a486d"]}],"mendeley":{"formattedCitation":"(Takao et al., 2018)","plainTextFormattedCitation":"(Takao et al., 2018)","previouslyFormattedCitation":"(Takao et al., 2018)"},"properties":{"noteIndex":0},"schema":"https://github.com/citation-style-language/schema/raw/master/csl-citation.json"}</w:instrText>
      </w:r>
      <w:r w:rsidRPr="00BD14B0">
        <w:rPr>
          <w:u w:color="FF0000"/>
        </w:rPr>
        <w:fldChar w:fldCharType="separate"/>
      </w:r>
      <w:r w:rsidR="004D2901" w:rsidRPr="00BD14B0">
        <w:rPr>
          <w:noProof/>
          <w:u w:color="FF0000"/>
        </w:rPr>
        <w:t>(Takao et al., 2018)</w:t>
      </w:r>
      <w:r w:rsidRPr="00BD14B0">
        <w:rPr>
          <w:u w:color="FF0000"/>
        </w:rPr>
        <w:fldChar w:fldCharType="end"/>
      </w:r>
      <w:r w:rsidRPr="00BD14B0">
        <w:rPr>
          <w:u w:color="FF0000"/>
        </w:rPr>
        <w:t xml:space="preserve">. It is feasible that cultural differences might influence overall results of both studies. These methodological limitations should be considered before drawing meaningful overall conclusions. </w:t>
      </w:r>
    </w:p>
    <w:p w14:paraId="6C4AF879" w14:textId="3183D05B" w:rsidR="00C614D3" w:rsidRPr="00BD14B0" w:rsidRDefault="00C614D3" w:rsidP="00553E01">
      <w:pPr>
        <w:rPr>
          <w:u w:color="FF0000"/>
        </w:rPr>
      </w:pPr>
      <w:r w:rsidRPr="00BD14B0">
        <w:rPr>
          <w:u w:color="FF0000"/>
        </w:rPr>
        <w:lastRenderedPageBreak/>
        <w:tab/>
        <w:t>Studies examining the effect of race on gaze cueing has been conducted with black and white face pictures and with black and white participants. However, this is a quite limited approach to investigate the effect of visual representations of race on gaze following. Race is an abstract concept that is used for categorization of humans based on the combination of shared physical traits and by definition, it overlooks social traits (the country that individual was born, the social norms that individual was raised). Besides, black/white categorization to characterise race is limited and it also excludes other defined cultural subgroups (such as Asian). Additionally, the differences in gaze following based on race might be simply explained by physical similarity and in-group preference. For example,</w:t>
      </w:r>
      <w:r w:rsidRPr="00BD14B0">
        <w:t xml:space="preserve"> in a study using </w:t>
      </w:r>
      <w:r w:rsidR="00091059" w:rsidRPr="00BD14B0">
        <w:t xml:space="preserve">an </w:t>
      </w:r>
      <w:r w:rsidRPr="00BD14B0">
        <w:t xml:space="preserve">eye tracker device and presenting white and Asian faces on a computer screen, </w:t>
      </w:r>
      <w:r w:rsidRPr="00BD14B0">
        <w:fldChar w:fldCharType="begin" w:fldLock="1"/>
      </w:r>
      <w:r w:rsidR="0028287E" w:rsidRPr="00BD14B0">
        <w:instrText>ADDIN CSL_CITATION {"citationItems":[{"id":"ITEM-1","itemData":{"DOI":"10.1371/journal.pone.0003022","ISSN":"1932-6203","abstract":"Background: Face processing, amongst many basic visual skills, is thought to be invariant across all humans. From as early as 1965, studies of eye movements have consistently revealed a systematic triangular sequence of fixations over the eyes and the mouth, suggesting that faces elicit a universal, biologically-determined information extraction pattern. Methodology/Principal Findings: Here we monitored the eye movements of Western Caucasian and East Asian observers while they learned, recognized, and categorized by race Western Caucasian and East Asian faces. Western Caucasian observers reproduced a scattered triangular pattern of fixations for faces of both races and across tasks. Contrary to intuition, East Asian observers focused more on the central region of the face. Conclusions/Significance: These results demonstrate that face processing can no longer be considered as arising from a universal series of perceptual events. The strategy employed to extract visual information from faces differs across cultures.","author":[{"dropping-particle":"","family":"Blais","given":"Caroline","non-dropping-particle":"","parse-names":false,"suffix":""},{"dropping-particle":"","family":"Jack","given":"Rachael E","non-dropping-particle":"","parse-names":false,"suffix":""},{"dropping-particle":"","family":"Scheepers","given":"Christoph","non-dropping-particle":"","parse-names":false,"suffix":""},{"dropping-particle":"","family":"Fiset","given":"Daniel","non-dropping-particle":"","parse-names":false,"suffix":""},{"dropping-particle":"","family":"Caldara","given":"Roberto","non-dropping-particle":"","parse-names":false,"suffix":""}],"container-title":"Plos One","id":"ITEM-1","issue":"8","issued":{"date-parts":[["2008"]]},"note":"Times Cited: 101\nJack, Rachael/A-4692-2012; Caldara, Roberto/H-1929-2011\n106","title":"Culture Shapes How We Look at Faces","type":"article-journal","volume":"3"},"uris":["http://www.mendeley.com/documents/?uuid=033709d8-a212-49e9-93d4-08fb7e552747"]}],"mendeley":{"formattedCitation":"(Blais et al., 2008)","manualFormatting":"Blais, Jack, Scheepers, Fiset, &amp;  Caldara (2008)","plainTextFormattedCitation":"(Blais et al., 2008)","previouslyFormattedCitation":"(Blais et al., 2008)"},"properties":{"noteIndex":0},"schema":"https://github.com/citation-style-language/schema/raw/master/csl-citation.json"}</w:instrText>
      </w:r>
      <w:r w:rsidRPr="00BD14B0">
        <w:fldChar w:fldCharType="separate"/>
      </w:r>
      <w:r w:rsidRPr="00BD14B0">
        <w:rPr>
          <w:noProof/>
        </w:rPr>
        <w:t xml:space="preserve">Blais, Jack, Scheepers, Fiset, </w:t>
      </w:r>
      <w:r w:rsidR="007A0135" w:rsidRPr="00BD14B0">
        <w:rPr>
          <w:noProof/>
        </w:rPr>
        <w:t xml:space="preserve">&amp; </w:t>
      </w:r>
      <w:r w:rsidRPr="00BD14B0">
        <w:rPr>
          <w:noProof/>
        </w:rPr>
        <w:t xml:space="preserve"> Caldara (2008)</w:t>
      </w:r>
      <w:r w:rsidRPr="00BD14B0">
        <w:fldChar w:fldCharType="end"/>
      </w:r>
      <w:r w:rsidRPr="00BD14B0">
        <w:t xml:space="preserve"> showed that white participants fixated more on eye region whereas Asian participants fixated more on the nose regardless of the race of the photo that they were </w:t>
      </w:r>
      <w:r w:rsidR="003D4B57" w:rsidRPr="00BD14B0">
        <w:t>presented</w:t>
      </w:r>
      <w:r w:rsidRPr="00BD14B0">
        <w:t xml:space="preserve">. Similarly, </w:t>
      </w:r>
      <w:r w:rsidRPr="00BD14B0">
        <w:fldChar w:fldCharType="begin" w:fldLock="1"/>
      </w:r>
      <w:r w:rsidR="0028287E" w:rsidRPr="00BD14B0">
        <w:instrText>ADDIN CSL_CITATION {"citationItems":[{"id":"ITEM-1","itemData":{"DOI":"10.1037/a0016548","ISSN":"0278-7393","abstract":"The own-race bias (ORB) is a well-known finding wherein people are better able to recognize and discriminate own-race faces, relative to cross-race faces. In 2 experiments, participants viewed Asian and Caucasian faces, in preparation for recognition memory tests, while their eye movements and pupil diameters were continuously monitored. In Experiment 1 (with Caucasian participants), systematic differences emerged in both measures as a function of depicted race: While encoding cross-race faces, participants made fewer (and longer) fixations, they preferentially attended to different sets of features, and their pupils were more dilated, all relative to own-race faces. Also, in both measures, a pattern emerged wherein some participants reduced their apparent encoding effort to cross-race faces over trials. In Experiment 2 (with Asian participants), the authors observed the same patterns, although the ORB favored the opposite set of faces. Taken together, the results suggest that the ORB appears during initial perceptual encoding. Relative to own-race face encoding, cross-race encoding requires greater effort, which may reduce vigilance in some participants. (Contains 6 tables, 10 figures, and 4 footnotes.)","author":[{"dropping-particle":"","family":"Goldinger","given":"Stephen D","non-dropping-particle":"","parse-names":false,"suffix":""},{"dropping-particle":"","family":"He","given":"Yi","non-dropping-particle":"","parse-names":false,"suffix":""},{"dropping-particle":"","family":"Papesh","given":"Megan H","non-dropping-particle":"","parse-names":false,"suffix":""}],"container-title":"Journal of Experimental Psychology: Learning, Memory, and Cognition","id":"ITEM-1","issue":"5","issued":{"date-parts":[["2009"]]},"page":"1105-1122","title":"Deficits in Cross- Race Face Learning: Insights from Eye Movements and Pupillometry","type":"article-journal","volume":"35"},"uris":["http://www.mendeley.com/documents/?uuid=2a98ace5-8a00-4072-ab1d-e4699fb10015"]}],"mendeley":{"formattedCitation":"(Goldinger et al., 2009)","manualFormatting":"Goldinger, He, &amp; Papesh (2009)","plainTextFormattedCitation":"(Goldinger et al., 2009)","previouslyFormattedCitation":"(Goldinger et al., 2009)"},"properties":{"noteIndex":0},"schema":"https://github.com/citation-style-language/schema/raw/master/csl-citation.json"}</w:instrText>
      </w:r>
      <w:r w:rsidRPr="00BD14B0">
        <w:fldChar w:fldCharType="separate"/>
      </w:r>
      <w:r w:rsidRPr="00BD14B0">
        <w:rPr>
          <w:noProof/>
        </w:rPr>
        <w:t xml:space="preserve">Goldinger, He, </w:t>
      </w:r>
      <w:r w:rsidR="007A0135" w:rsidRPr="00BD14B0">
        <w:rPr>
          <w:noProof/>
        </w:rPr>
        <w:t>&amp;</w:t>
      </w:r>
      <w:r w:rsidRPr="00BD14B0">
        <w:rPr>
          <w:noProof/>
        </w:rPr>
        <w:t xml:space="preserve"> Papesh (2009)</w:t>
      </w:r>
      <w:r w:rsidRPr="00BD14B0">
        <w:fldChar w:fldCharType="end"/>
      </w:r>
      <w:r w:rsidRPr="00BD14B0">
        <w:t xml:space="preserve"> found </w:t>
      </w:r>
      <w:r w:rsidR="003D4B57" w:rsidRPr="00BD14B0">
        <w:t xml:space="preserve">that </w:t>
      </w:r>
      <w:r w:rsidRPr="00BD14B0">
        <w:t>Asian participants tend</w:t>
      </w:r>
      <w:r w:rsidR="003D4B57" w:rsidRPr="00BD14B0">
        <w:t>ed</w:t>
      </w:r>
      <w:r w:rsidRPr="00BD14B0">
        <w:t xml:space="preserve"> to fixate more on the eyes of Asian pictures compared to white pictures suggesting that they are showing an in-group preference. </w:t>
      </w:r>
      <w:r w:rsidRPr="00BD14B0">
        <w:fldChar w:fldCharType="begin" w:fldLock="1"/>
      </w:r>
      <w:r w:rsidR="0028287E" w:rsidRPr="00BD14B0">
        <w:instrText>ADDIN CSL_CITATION {"citationItems":[{"id":"ITEM-1","itemData":{"DOI":"10.1016/0147-1767(78)90029-9","ISSN":"0147-1767","abstract":"A review of the literature on cultural aspects of nonverbal communication reveals the existence of both similarities and differences in the display of nonverbal behavior. It is argued that similarities are most manifest when analysis is at the level of the individual and the focus is on the objective, formal properties of the behavior; differences are more likely to become manifest when the analysis is at the level of the relationship between individuals and the focus is on the interpersonal import of the behavior. Material on gaze and eye contact, body motion and gesture, interpersonal distance and touch, facial expression, and paralanguage is surveyed and organized into three primary sections. The sections reflect the major functions nonverbal behavior is presumed to perform: (1) the sending of emotional states; (2) the conveying of interpersonal attitudes, particularly intimacy and status; and (3) the management of conversation. Implications are drawn concerning potential miscommunication in intercultural encounters. Un analisis de la literatura relacionada con los aspectos culturales de la comunicacion no verbal revela las similaridades y diferencias que existenen el comportamiento no verbal. Se sostiene que las similaridades se manifiestan más al nivel individual y mientras se enfocan las propiedades objetivas y formales del comportamiento. Las diferencias se destacan mas cuando se trata del nivel de la relación entre individuos y se centra en la importancia del comportamiento. Se examina y analiza el material relacionado con el contacto visual, expresion facial, distancia y contacto interpersonal y paralenguaje y se clasifica en tres secciones primarias. Las secciones reflejan las las principales funciones no verbales que se presume apareceran en el comportamiento; transmitir estados emocionales, en particular la intimidad y status y la administración de la conversación. Se deducen implicaciones respecto al potencial para errores de comunicación en encuentros interculturales. Une revue de littérature révèle l&amp;#039;existence de similarités et de différences entre les aspects culturels tels qu&amp;#039;exprimés à travers la communication non-verbale. Il apparaît que les similarités sont plus manifeste lorsque l&amp;#039;analyse se fait un niveau de l&amp;#039;individu et que l&amp;#039;on s&amp;#039;intéresse plus spécifiquement aux propriétés formelles et objectives du comportement; les différences se manifestent plus particulièrement lorsque l&amp;#039;analyse se porte a…","author":[{"dropping-particle":"","family":"LaFrance","given":"Marianne","non-dropping-particle":"","parse-names":false,"suffix":""},{"dropping-particle":"","family":"Mayo","given":"Clara","non-dropping-particle":"","parse-names":false,"suffix":""}],"container-title":"International Journal of Intercultural Relations","id":"ITEM-1","issue":"1","issued":{"date-parts":[["1978"]]},"page":"71-89","title":"Cultural aspects of nonverbal communication","type":"article-journal","volume":"2"},"uris":["http://www.mendeley.com/documents/?uuid=4435e77e-3528-4b6f-a9cc-5df7d04ac7c0"]}],"mendeley":{"formattedCitation":"(LaFrance &amp; Mayo, 1978)","manualFormatting":"LaFrance &amp; Mayo (1978)","plainTextFormattedCitation":"(LaFrance &amp; Mayo, 1978)","previouslyFormattedCitation":"(LaFrance &amp; Mayo, 1978)"},"properties":{"noteIndex":0},"schema":"https://github.com/citation-style-language/schema/raw/master/csl-citation.json"}</w:instrText>
      </w:r>
      <w:r w:rsidRPr="00BD14B0">
        <w:fldChar w:fldCharType="separate"/>
      </w:r>
      <w:r w:rsidRPr="00BD14B0">
        <w:rPr>
          <w:noProof/>
        </w:rPr>
        <w:t xml:space="preserve">LaFrance </w:t>
      </w:r>
      <w:r w:rsidR="007A0135" w:rsidRPr="00BD14B0">
        <w:rPr>
          <w:noProof/>
        </w:rPr>
        <w:t xml:space="preserve">&amp; </w:t>
      </w:r>
      <w:r w:rsidRPr="00BD14B0">
        <w:rPr>
          <w:noProof/>
        </w:rPr>
        <w:t>Mayo (1978)</w:t>
      </w:r>
      <w:r w:rsidRPr="00BD14B0">
        <w:fldChar w:fldCharType="end"/>
      </w:r>
      <w:r w:rsidRPr="00BD14B0">
        <w:t xml:space="preserve"> looked at the differences in gaze behaviour due to subcultural differences by using black-black conversations and black-white conversations. Significant temporal pattern differences were found between participants. Black listeners looked significantly less into the face of the speaker than white listeners. This is also known as an </w:t>
      </w:r>
      <w:r w:rsidRPr="00BD14B0">
        <w:rPr>
          <w:i/>
          <w:iCs/>
        </w:rPr>
        <w:t>in-group preference</w:t>
      </w:r>
      <w:r w:rsidRPr="00BD14B0">
        <w:t xml:space="preserve">. In a similar vein, information about a person’s membership </w:t>
      </w:r>
      <w:r w:rsidR="003D4B57" w:rsidRPr="00BD14B0">
        <w:t xml:space="preserve">of </w:t>
      </w:r>
      <w:r w:rsidRPr="00BD14B0">
        <w:t xml:space="preserve">one’s in-group or family has been found to be </w:t>
      </w:r>
      <w:proofErr w:type="spellStart"/>
      <w:r w:rsidRPr="00BD14B0">
        <w:t>cued</w:t>
      </w:r>
      <w:proofErr w:type="spellEnd"/>
      <w:r w:rsidRPr="00BD14B0">
        <w:t xml:space="preserve"> by physical similarity, as well as by more general ethnocultural cues of skin colour and facial structure </w:t>
      </w:r>
      <w:r w:rsidRPr="00BD14B0">
        <w:fldChar w:fldCharType="begin" w:fldLock="1"/>
      </w:r>
      <w:r w:rsidR="004D2901" w:rsidRPr="00BD14B0">
        <w:instrText>ADDIN CSL_CITATION {"citationItems":[{"id":"ITEM-1","itemData":{"DOI":"10.1007/s10508-007-9266-0","ISBN":"00040002","author":[{"dropping-particle":"","family":"DeBruine","given":"Lisa M","non-dropping-particle":"","parse-names":false,"suffix":""},{"dropping-particle":"","family":"Jones","given":"Benedict C","non-dropping-particle":"","parse-names":false,"suffix":""},{"dropping-particle":"","family":"Little","given":"Anthony C","non-dropping-particle":"","parse-names":false,"suffix":""},{"dropping-particle":"","family":"Perrett","given":"David I","non-dropping-particle":"","parse-names":false,"suffix":""}],"id":"ITEM-1","issued":{"date-parts":[["2008"]]},"page":"64-77","title":"Social perception of facial resemblance in humans","type":"article","volume":"37"},"uris":["http://www.mendeley.com/documents/?uuid=819e30e9-1696-4983-941e-60a12d9900d6"]}],"mendeley":{"formattedCitation":"(DeBruine et al., 2008)","plainTextFormattedCitation":"(DeBruine et al., 2008)","previouslyFormattedCitation":"(DeBruine et al., 2008)"},"properties":{"noteIndex":0},"schema":"https://github.com/citation-style-language/schema/raw/master/csl-citation.json"}</w:instrText>
      </w:r>
      <w:r w:rsidRPr="00BD14B0">
        <w:fldChar w:fldCharType="separate"/>
      </w:r>
      <w:r w:rsidR="004D2901" w:rsidRPr="00BD14B0">
        <w:rPr>
          <w:noProof/>
        </w:rPr>
        <w:t>(DeBruine et al., 2008)</w:t>
      </w:r>
      <w:r w:rsidRPr="00BD14B0">
        <w:fldChar w:fldCharType="end"/>
      </w:r>
      <w:r w:rsidRPr="00BD14B0">
        <w:t xml:space="preserve">. Together, studies examining </w:t>
      </w:r>
      <w:r w:rsidRPr="00BD14B0">
        <w:rPr>
          <w:u w:color="FF0000"/>
        </w:rPr>
        <w:t xml:space="preserve">differences in gaze following based on race are hard to generalise due to their methodological limitations and some alternative explanations might be possible such as </w:t>
      </w:r>
      <w:r w:rsidRPr="00BD14B0">
        <w:t xml:space="preserve">physical similarity </w:t>
      </w:r>
      <w:r w:rsidRPr="00BD14B0">
        <w:rPr>
          <w:u w:color="FF0000"/>
        </w:rPr>
        <w:t>and in-group preference.</w:t>
      </w:r>
    </w:p>
    <w:p w14:paraId="2B22CD89" w14:textId="496615AA" w:rsidR="006C4E35" w:rsidRPr="00BD14B0" w:rsidRDefault="00C614D3" w:rsidP="00553E01">
      <w:r w:rsidRPr="00BD14B0">
        <w:tab/>
        <w:t>Physical</w:t>
      </w:r>
      <w:r w:rsidRPr="00BD14B0">
        <w:rPr>
          <w:shd w:val="clear" w:color="auto" w:fill="FFFFFF"/>
        </w:rPr>
        <w:t xml:space="preserve"> similarity is an important aspect of our daily interactions. Using a computer-based task experiment, </w:t>
      </w:r>
      <w:r w:rsidRPr="00BD14B0">
        <w:rPr>
          <w:shd w:val="clear" w:color="auto" w:fill="FFFFFF"/>
        </w:rPr>
        <w:fldChar w:fldCharType="begin" w:fldLock="1"/>
      </w:r>
      <w:r w:rsidR="0028287E" w:rsidRPr="00BD14B0">
        <w:rPr>
          <w:shd w:val="clear" w:color="auto" w:fill="FFFFFF"/>
        </w:rPr>
        <w:instrText>ADDIN CSL_CITATION {"citationItems":[{"id":"ITEM-1","itemData":{"DOI":"10.1080/17470218.2012.690769","ISSN":"1747-0218","abstract":"Important social information can be gathered from the direction of another person's gaze, such as their intentions and aspects of the environment that are relevant to those intentions. Previous work has examined the effect of gaze on attention through the gaze-cueing effect: an enhancement of performance in detecting targets that appear where another person is looking. The present study investigated whether the physical self-similarity of a face could increase its impact on attention. Self-similarity was manipulated by morphing participants' faces with those of strangers. The effect of gaze direction on target detection was strongest for faces morphed with the participant's face. The results support previous work suggesting that self-similar faces are processed differently from dissimilar faces. The data also demonstrate that a face's similarity to one's own face influences the degree to which that face guides our attention in the environment.","author":[{"dropping-particle":"","family":"Hungr","given":"Clara J","non-dropping-particle":"","parse-names":false,"suffix":""},{"dropping-particle":"","family":"Hunt","given":"Amelia R","non-dropping-particle":"","parse-names":false,"suffix":""}],"container-title":"Quarterly Journal of Experimental Psychology","id":"ITEM-1","issue":"7","issued":{"date-parts":[["2012"]]},"note":"Times Cited: 3\n3","page":"1250-1259","title":"Physical self-similarity enhances the gaze-cueing effect","type":"article-journal","volume":"65"},"uris":["http://www.mendeley.com/documents/?uuid=2b3772d6-afbd-40b1-b6d0-f788c0bdaeb6"]}],"mendeley":{"formattedCitation":"(Hungr &amp; Hunt, 2012)","manualFormatting":"Hungr &amp; Hunt (2012)","plainTextFormattedCitation":"(Hungr &amp; Hunt, 2012)","previouslyFormattedCitation":"(Hungr &amp; Hunt, 2012)"},"properties":{"noteIndex":0},"schema":"https://github.com/citation-style-language/schema/raw/master/csl-citation.json"}</w:instrText>
      </w:r>
      <w:r w:rsidRPr="00BD14B0">
        <w:rPr>
          <w:shd w:val="clear" w:color="auto" w:fill="FFFFFF"/>
        </w:rPr>
        <w:fldChar w:fldCharType="separate"/>
      </w:r>
      <w:r w:rsidRPr="00BD14B0">
        <w:rPr>
          <w:noProof/>
          <w:shd w:val="clear" w:color="auto" w:fill="FFFFFF"/>
        </w:rPr>
        <w:t xml:space="preserve">Hungr </w:t>
      </w:r>
      <w:r w:rsidR="007A0135" w:rsidRPr="00BD14B0">
        <w:rPr>
          <w:noProof/>
        </w:rPr>
        <w:t>&amp;</w:t>
      </w:r>
      <w:r w:rsidRPr="00BD14B0">
        <w:rPr>
          <w:noProof/>
          <w:shd w:val="clear" w:color="auto" w:fill="FFFFFF"/>
        </w:rPr>
        <w:t xml:space="preserve"> Hunt (2012)</w:t>
      </w:r>
      <w:r w:rsidRPr="00BD14B0">
        <w:rPr>
          <w:shd w:val="clear" w:color="auto" w:fill="FFFFFF"/>
        </w:rPr>
        <w:fldChar w:fldCharType="end"/>
      </w:r>
      <w:r w:rsidRPr="00BD14B0">
        <w:rPr>
          <w:shd w:val="clear" w:color="auto" w:fill="FFFFFF"/>
        </w:rPr>
        <w:t xml:space="preserve"> </w:t>
      </w:r>
      <w:r w:rsidRPr="00BD14B0">
        <w:t>showed that self-similarity also influences the gaze cueing effect. They captured photographs of participants before the experiment day and manipulate</w:t>
      </w:r>
      <w:r w:rsidR="007C48B4" w:rsidRPr="00BD14B0">
        <w:t>d</w:t>
      </w:r>
      <w:r w:rsidRPr="00BD14B0">
        <w:t xml:space="preserve"> the photographs by morphing participants’ faces with strangers. They discovered that self-similarity invoked more robust effects in response to greater similarity in facial characteristics. Visual representation of familiarity has been </w:t>
      </w:r>
      <w:r w:rsidRPr="00BD14B0">
        <w:lastRenderedPageBreak/>
        <w:t>shown to modulate saccadic accuracy in response to centrally place</w:t>
      </w:r>
      <w:r w:rsidR="007C48B4" w:rsidRPr="00BD14B0">
        <w:t xml:space="preserve">d </w:t>
      </w:r>
      <w:r w:rsidRPr="00BD14B0">
        <w:t xml:space="preserve">eye gaze cues </w:t>
      </w:r>
      <w:r w:rsidRPr="00BD14B0">
        <w:fldChar w:fldCharType="begin" w:fldLock="1"/>
      </w:r>
      <w:r w:rsidRPr="00BD14B0">
        <w:instrText>ADDIN CSL_CITATION {"citationItems":[{"id":"ITEM-1","itemData":{"DOI":"10.1177/0301006615594936","ISBN":"0301-0066, 0301-0066","ISSN":"03010066","PMID":"27837290","abstract":"Two experiments were aimed at investigating whether the implementation of voluntary saccades in White participants could be modulated more strongly by gaze distractors embedded in White versus Black faces. Participants were instructed to make a rightward or leftward saccade, depending on a central directional cue. Saccade direction could be either congruent or incongruent with gaze direction of the distractor face. In Experiment 1, White faces produced greater interference on saccadic accuracy than Black faces when the averted-gaze face and cue onset were simultaneous rather than separated by a 900-ms asynchrony. In Experiment 2, two temporal intervals (50 ms vs. 1,000 ms) occurred between the initial presentation of the face with direct-gaze and the averted-gaze face onset, whereas the averted-gaze face and cue onset were synchronous. A greater interference emerged for White versus Black faces irrespective of the temporal interval. Overall, these findings suggest that saccadic generation system is sensit...","author":[{"dropping-particle":"","family":"Dalmaso","given":"Mario","non-dropping-particle":"","parse-names":false,"suffix":""},{"dropping-particle":"","family":"Galfano","given":"Giovanni","non-dropping-particle":"","parse-names":false,"suffix":""},{"dropping-particle":"","family":"Castelli","given":"Luigi","non-dropping-particle":"","parse-names":false,"suffix":""},{"dropping-particle":"","family":"Carraro","given":"Luciana","non-dropping-particle":"","parse-names":false,"suffix":""},{"dropping-particle":"","family":"Dalmaso","given":"Mario","non-dropping-particle":"","parse-names":false,"suffix":""},{"dropping-particle":"","family":"Castelli","given":"Luigi","non-dropping-particle":"","parse-names":false,"suffix":""},{"dropping-particle":"","family":"Galfano","given":"Giovanni","non-dropping-particle":"","parse-names":false,"suffix":""},{"dropping-particle":"","family":"Bobbio","given":"Andrea","non-dropping-particle":"","parse-names":false,"suffix":""},{"dropping-particle":"","family":"Mantovani","given":"Gabriele","non-dropping-particle":"","parse-names":false,"suffix":""},{"dropping-particle":"","family":"Frischen","given":"Alexandra","non-dropping-particle":"","parse-names":false,"suffix":""},{"dropping-particle":"","family":"Tipper","given":"Steven P","non-dropping-particle":"","parse-names":false,"suffix":""},{"dropping-particle":"","family":"Kawakami","given":"Kerry","non-dropping-particle":"","parse-names":false,"suffix":""},{"dropping-particle":"","family":"Williams","given":"Amanda","non-dropping-particle":"","parse-names":false,"suffix":""},{"dropping-particle":"","family":"Sidhu","given":"David","non-dropping-particle":"","parse-names":false,"suffix":""},{"dropping-particle":"","family":"Choma","given":"Becky L","non-dropping-particle":"","parse-names":false,"suffix":""},{"dropping-particle":"","family":"Rodriguez-Bailon","given":"Rosa","non-dropping-particle":"","parse-names":false,"suffix":""},{"dropping-particle":"","family":"Canadas","given":"Elena","non-dropping-particle":"","parse-names":false,"suffix":""},{"dropping-particle":"","family":"Chung","given":"Derek","non-dropping-particle":"","parse-names":false,"suffix":""},{"dropping-particle":"","family":"Hugenberg","given":"Kurt","non-dropping-particle":"","parse-names":false,"suffix":""}],"container-title":"Cognitive Processing","id":"ITEM-1","issue":"1","issued":{"date-parts":[["2017"]]},"note":"From Duplicate 1 (The Impact of Same- and Other-Race Gaze Distractors on the Control of Saccadic Eye Movements - Dalmaso, Mario; Galfano, Giovanni; Castelli, Luigi; Carraro, Luciana; Dalmaso, Mario; Castelli, Luigi; Galfano, Giovanni; Bobbio, Andrea; Mantovani, Gabriele; Frischen, Alexandra; Tipper, Steven P; Kawakami, Kerry; Williams, Amanda; Sidhu, David; Choma, Becky L; Rodriguez-Bailon, Rosa; Canadas, Elena; Chung, Derek; Hugenberg, Kurt)\n\nFrom Duplicate 1 (An Eye for the I: Preferential Attention to the Eyes of Ingroup Members - Kawakami, Kerry; Williams, Amanda; Sidhu, David; Choma, Becky L; Rodriguez-Bailon, Rosa; Canadas, Elena; Chung, Derek; Hugenberg, Kurt)\n\nTimes Cited: 0\n0","page":"1020-1028","publisher":"Springer Berlin Heidelberg","title":"The Impact of Same- and Other-Race Gaze Distractors on the Control of Saccadic Eye Movements","type":"article-journal","volume":"44"},"uris":["http://www.mendeley.com/documents/?uuid=7fd023b5-2693-4a58-93eb-e96b666a6fa9"]}],"mendeley":{"formattedCitation":"(Dalmaso et al., 2017)","plainTextFormattedCitation":"(Dalmaso et al., 2017)","previouslyFormattedCitation":"(Dalmaso et al., 2017)"},"properties":{"noteIndex":0},"schema":"https://github.com/citation-style-language/schema/raw/master/csl-citation.json"}</w:instrText>
      </w:r>
      <w:r w:rsidRPr="00BD14B0">
        <w:fldChar w:fldCharType="separate"/>
      </w:r>
      <w:r w:rsidRPr="00BD14B0">
        <w:rPr>
          <w:noProof/>
        </w:rPr>
        <w:t>(Dalmaso et al., 2017)</w:t>
      </w:r>
      <w:r w:rsidRPr="00BD14B0">
        <w:fldChar w:fldCharType="end"/>
      </w:r>
      <w:r w:rsidRPr="00BD14B0">
        <w:t xml:space="preserve">. The physically familiar face may indicate in-group relation; </w:t>
      </w:r>
      <w:proofErr w:type="gramStart"/>
      <w:r w:rsidRPr="00BD14B0">
        <w:t>thus</w:t>
      </w:r>
      <w:proofErr w:type="gramEnd"/>
      <w:r w:rsidRPr="00BD14B0">
        <w:t xml:space="preserve"> it would hold more relevance to the observer t</w:t>
      </w:r>
      <w:r w:rsidR="007C48B4" w:rsidRPr="00BD14B0">
        <w:t>h</w:t>
      </w:r>
      <w:r w:rsidRPr="00BD14B0">
        <w:t xml:space="preserve">rough self-referential processing. Indeed, studies have shown that gaze cueing is modulated by the perceived similarity with the self </w:t>
      </w:r>
      <w:r w:rsidRPr="00BD14B0">
        <w:fldChar w:fldCharType="begin" w:fldLock="1"/>
      </w:r>
      <w:r w:rsidRPr="00BD14B0">
        <w:instrText>ADDIN CSL_CITATION {"citationItems":[{"id":"ITEM-1","itemData":{"DOI":"10.1038/srep06669","ISBN":"2045-2322 (Electronic)\\r2045-2322 (Linking)","ISSN":"2045-2322","PMID":"25327255","abstract":"One's own face and gaze are never seen directly but only in a mirror. Yet, these stimuli capture attention more powerfully than others' face and gaze, suggesting the self is special for brain and behavior. Synchronous touches felt on one's own and seen on the face of others induce the sensation of including others in one's own face (enfacement). We demonstrate that enfacement may also reduce the overwhelming distracting power of self-gaze. This effect, hereafter called 'engazement', depends on the perceived physical attractiveness and inner beauty of the pair partner. Thus, we highlight for the first time the close link between enfacement and engazement by showing that changes of the self-face representation induced by facial visuo-tactile stimulation extend to gaze following, a separate process likely underpinned by different neural substrates. Moreover, although gaze following is a largely automatic, engazement is penetrable to the influence of social variables, such as positive interpersonal perception.","author":[{"dropping-particle":"","family":"Porciello","given":"Giuseppina","non-dropping-particle":"","parse-names":false,"suffix":""},{"dropping-particle":"","family":"Holmes","given":"Brittany Serra","non-dropping-particle":"","parse-names":false,"suffix":""},{"dropping-particle":"","family":"Liuzza","given":"Marco Tullio","non-dropping-particle":"","parse-names":false,"suffix":""},{"dropping-particle":"","family":"Crostella","given":"Filippo","non-dropping-particle":"","parse-names":false,"suffix":""},{"dropping-particle":"","family":"Aglioti","given":"Salvatore Maria","non-dropping-particle":"","parse-names":false,"suffix":""},{"dropping-particle":"","family":"Bufalari","given":"Ilaria","non-dropping-particle":"","parse-names":false,"suffix":""}],"container-title":"Scientific Reports","id":"ITEM-1","issue":"6669","issued":{"date-parts":[["2014"]]},"note":"From Duplicate 1 (Interpersonal Multisensory Stimulation reduces the overwhelming distracting power of self-gaze: psychophysical evidence for 'engazement' - Porciello, Giuseppina; Holmes, Brittany Serra; Liuzza, Marco Tullio; Crostella, Filippo; Aglioti, Salvatore Maria; Bufalari, Ilaria)\n\nTimes Cited: 0\n0","page":"1-7","title":"Interpersonal Multisensory Stimulation reduces the overwhelming distracting power of self-gaze: psychophysical evidence for 'engazement'","type":"article-journal","volume":"4"},"uris":["http://www.mendeley.com/documents/?uuid=9783589f-2441-4a5e-aa47-7b0eaa3ef878"]},{"id":"ITEM-2","itemData":{"DOI":"10.1007/s00221-015-4496-1","ISSN":"0014-4819","abstract":"Gaze-following is a pivotal social behaviour that, although largely automatic, is permeable to high-order variables like political affiliation. A few years ago we reported that the gaze of Italian right-wing voters was selectively captured by the gaze of their leader Silvio Berlusconi. This effect was particularly evident in voters who saw themselves as similar to Berlusconi. Two years later, we were able to run the present follow-up study because Berlusconi’s popularity had drastically dropped due to sex and political scandals, and he resigned from office. In a representative subsample of our original group, we investigated whether perceived similarity and gaze-following reflected Berlusconi’s loss in popularity. We were also able to test the same hypothesis in an independent group of right-wing voters when their leader, Renata Polverini, resigned as Governor of ‘Regione Lazio’ due to political scandals. Our results show that the leaders’ fall in popularity paralleled the reduction of their gaze’s attracting power, as well as the decrease in similarity perceived by their voters. The less similar right-wing voters felt to their leader, the less they followed his/her gaze. Thus, the present experimental findings suggest that gaze-following can be modulated by complex situational and dispositional factors such as leader’s popularity and voter–leader perceived similarity.","author":[{"dropping-particle":"","family":"Porciello","given":"Giuseppina","non-dropping-particle":"","parse-names":false,"suffix":""},{"dropping-particle":"","family":"Liuzza","given":"Marco","non-dropping-particle":"","parse-names":false,"suffix":""},{"dropping-particle":"","family":"Minio-Paluello","given":"Ilaria","non-dropping-particle":"","parse-names":false,"suffix":""},{"dropping-particle":"","family":"Caprara","given":"Gian","non-dropping-particle":"","parse-names":false,"suffix":""},{"dropping-particle":"","family":"Aglioti","given":"Salvatore","non-dropping-particle":"","parse-names":false,"suffix":""}],"container-title":"Exp Brain Res","id":"ITEM-2","issue":"3","issued":{"date-parts":[["2016"]]},"page":"733-740","title":"Fortunes and misfortunes of political leaders reflected in the eyes of their electors","type":"article-journal","volume":"234"},"uris":["http://www.mendeley.com/documents/?uuid=84dd89f6-c01b-426e-b3d3-edc45539718d"]}],"mendeley":{"formattedCitation":"(Porciello et al., 2014, 2016)","plainTextFormattedCitation":"(Porciello et al., 2014, 2016)","previouslyFormattedCitation":"(Porciello et al., 2014, 2016)"},"properties":{"noteIndex":0},"schema":"https://github.com/citation-style-language/schema/raw/master/csl-citation.json"}</w:instrText>
      </w:r>
      <w:r w:rsidRPr="00BD14B0">
        <w:fldChar w:fldCharType="separate"/>
      </w:r>
      <w:r w:rsidRPr="00BD14B0">
        <w:rPr>
          <w:noProof/>
        </w:rPr>
        <w:t>(Porciello et al., 2014, 2016)</w:t>
      </w:r>
      <w:r w:rsidRPr="00BD14B0">
        <w:fldChar w:fldCharType="end"/>
      </w:r>
      <w:r w:rsidRPr="00BD14B0">
        <w:t xml:space="preserve"> but not by increasing the familiarity of a gazer face by repeated exposure </w:t>
      </w:r>
      <w:r w:rsidRPr="00BD14B0">
        <w:fldChar w:fldCharType="begin" w:fldLock="1"/>
      </w:r>
      <w:r w:rsidRPr="00BD14B0">
        <w:instrText>ADDIN CSL_CITATION {"citationItems":[{"id":"ITEM-1","itemData":{"DOI":"10.1037/0096-3445.133.4.516","ISSN":"00963445","author":[{"dropping-particle":"","family":"Frischen","given":"Alexandra","non-dropping-particle":"","parse-names":false,"suffix":""},{"dropping-particle":"","family":"Tipper","given":"Steven P","non-dropping-particle":"","parse-names":false,"suffix":""}],"container-title":"Journal of Experimental Psychology: General","id":"ITEM-1","issue":"4","issued":{"date-parts":[["2004"]]},"page":"516-533","title":"Orienting attention via observed gaze shift evokes longer term inhibitory effects: Implications for social interactions, attention, and memory","type":"article-journal","volume":"133"},"uris":["http://www.mendeley.com/documents/?uuid=bca0f169-1d1f-4f75-9f37-831cef3d847d"]}],"mendeley":{"formattedCitation":"(Frischen &amp; Tipper, 2004)","plainTextFormattedCitation":"(Frischen &amp; Tipper, 2004)","previouslyFormattedCitation":"(Frischen &amp; Tipper, 2004)"},"properties":{"noteIndex":0},"schema":"https://github.com/citation-style-language/schema/raw/master/csl-citation.json"}</w:instrText>
      </w:r>
      <w:r w:rsidRPr="00BD14B0">
        <w:fldChar w:fldCharType="separate"/>
      </w:r>
      <w:r w:rsidRPr="00BD14B0">
        <w:rPr>
          <w:noProof/>
        </w:rPr>
        <w:t>(Frischen &amp; Tipper, 2004)</w:t>
      </w:r>
      <w:r w:rsidRPr="00BD14B0">
        <w:fldChar w:fldCharType="end"/>
      </w:r>
      <w:r w:rsidRPr="00BD14B0">
        <w:t xml:space="preserve">. One interesting study showed that familiar faces within one’s social circle increased the magnitude of gaze cueing effect but only in female participants </w:t>
      </w:r>
      <w:r w:rsidRPr="00BD14B0">
        <w:fldChar w:fldCharType="begin" w:fldLock="1"/>
      </w:r>
      <w:r w:rsidR="0028287E" w:rsidRPr="00BD14B0">
        <w:instrText>ADDIN CSL_CITATION {"citationItems":[{"id":"ITEM-1","itemData":{"DOI":"10.1098/rsbl.2006.0564","ISSN":"1744-9561","abstract":"Gaze cuing, the tendency to shift attention in the direction other individuals are looking, is hypothesized to depend on a distinct neural module. One expectation of such a module is that information processing should be encapsulated within it. Here, we tested whether familiarity, a type of social knowledge, penetrates the neural circuits governing gaze cuing. Male and female subjects viewed the face of an adult male looking left or right and then pressed a keypad to indicate the location of a target appearing randomly left or right. Responses were faster for targets congruent with gaze direction. Moreover, gaze cuing was stronger in females than males. Contrary to the modularity hypothesis, familiarity enhanced gaze cuing, but only in females. Sex differences in the effects of familiarity on gaze cuing may reflect greater adaptive significance of social information for females than males.","author":[{"dropping-particle":"","family":"Deaner","given":"Robert O","non-dropping-particle":"","parse-names":false,"suffix":""},{"dropping-particle":"V","family":"Shepherd","given":"Stephen","non-dropping-particle":"","parse-names":false,"suffix":""},{"dropping-particle":"","family":"Platt","given":"Michael L","non-dropping-particle":"","parse-names":false,"suffix":""}],"container-title":"Biology Letters","id":"ITEM-1","issue":"1","issued":{"date-parts":[["2007","2","22"]]},"note":"Times Cited: 31\n32","page":"65-68","title":"Familiarity accentuates gaze cuing in women but not men","type":"article-journal","volume":"3"},"uris":["http://www.mendeley.com/documents/?uuid=c40566fa-2045-42e8-8818-c7b3fd74af89"]}],"mendeley":{"formattedCitation":"(R. O. Deaner et al., 2007)","manualFormatting":"(Deaner et al., 2007)","plainTextFormattedCitation":"(R. O. Deaner et al., 2007)","previouslyFormattedCitation":"(R. O. Deaner et al., 2007)"},"properties":{"noteIndex":0},"schema":"https://github.com/citation-style-language/schema/raw/master/csl-citation.json"}</w:instrText>
      </w:r>
      <w:r w:rsidRPr="00BD14B0">
        <w:fldChar w:fldCharType="separate"/>
      </w:r>
      <w:r w:rsidR="004D2901" w:rsidRPr="00BD14B0">
        <w:rPr>
          <w:noProof/>
        </w:rPr>
        <w:t>(Deaner et al., 2007)</w:t>
      </w:r>
      <w:r w:rsidRPr="00BD14B0">
        <w:fldChar w:fldCharType="end"/>
      </w:r>
      <w:r w:rsidRPr="00BD14B0">
        <w:t>.</w:t>
      </w:r>
      <w:r w:rsidRPr="00BD14B0">
        <w:fldChar w:fldCharType="begin" w:fldLock="1"/>
      </w:r>
      <w:r w:rsidR="004D2901" w:rsidRPr="00BD14B0">
        <w:instrText>ADDIN CSL_CITATION {"citationItems":[{"id":"ITEM-1","itemData":{"DOI":"10.1098/rsbl.2006.0564","ISSN":"1744-9561","abstract":"Gaze cuing, the tendency to shift attention in the direction other individuals are looking, is hypothesized to depend on a distinct neural module. One expectation of such a module is that information processing should be encapsulated within it. Here, we tested whether familiarity, a type of social knowledge, penetrates the neural circuits governing gaze cuing. Male and female subjects viewed the face of an adult male looking left or right and then pressed a keypad to indicate the location of a target appearing randomly left or right. Responses were faster for targets congruent with gaze direction. Moreover, gaze cuing was stronger in females than males. Contrary to the modularity hypothesis, familiarity enhanced gaze cuing, but only in females. Sex differences in the effects of familiarity on gaze cuing may reflect greater adaptive significance of social information for females than males.","author":[{"dropping-particle":"","family":"Deaner","given":"Robert O","non-dropping-particle":"","parse-names":false,"suffix":""},{"dropping-particle":"V","family":"Shepherd","given":"Stephen","non-dropping-particle":"","parse-names":false,"suffix":""},{"dropping-particle":"","family":"Platt","given":"Michael L","non-dropping-particle":"","parse-names":false,"suffix":""}],"container-title":"Biology Letters","id":"ITEM-1","issue":"1","issued":{"date-parts":[["2007","2","22"]]},"note":"Times Cited: 31\n32","page":"65-68","title":"Familiarity accentuates gaze cuing in women but not men","type":"article-journal","volume":"3"},"uris":["http://www.mendeley.com/documents/?uuid=c40566fa-2045-42e8-8818-c7b3fd74af89"]}],"mendeley":{"formattedCitation":"(R. O. Deaner et al., 2007)","manualFormatting":" Deaner et al. (2007)","plainTextFormattedCitation":"(R. O. Deaner et al., 2007)","previouslyFormattedCitation":"(R. O. Deaner et al., 2007)"},"properties":{"noteIndex":0},"schema":"https://github.com/citation-style-language/schema/raw/master/csl-citation.json"}</w:instrText>
      </w:r>
      <w:r w:rsidRPr="00BD14B0">
        <w:fldChar w:fldCharType="separate"/>
      </w:r>
      <w:r w:rsidRPr="00BD14B0">
        <w:rPr>
          <w:noProof/>
        </w:rPr>
        <w:t xml:space="preserve"> Deaner et al. (2007)</w:t>
      </w:r>
      <w:r w:rsidRPr="00BD14B0">
        <w:fldChar w:fldCharType="end"/>
      </w:r>
      <w:r w:rsidRPr="00BD14B0">
        <w:t xml:space="preserve"> conducted a classical gaze cueing study by using face pictures of departmental academic members and asked departmental students to participate in the study to test whether the non-visual representation of familiarity would affect gaze cueing. The results indicated that familiarity modulated gaze cueing, but only in female participants. In this study, the gazer face pictures were from academic members of the department who were mentors or lecturers for the participating students. Naturally, the gazer face pictures already could be perceived as a leader or someone who is higher in a social hierarchy. Nevertheless, already known (familiar) non-visual structures about the gazer face seems to affect the magnitude of gaze cueing effect only in female participants. It is important to note that females are better at remembering faces </w:t>
      </w:r>
      <w:r w:rsidRPr="00BD14B0">
        <w:fldChar w:fldCharType="begin" w:fldLock="1"/>
      </w:r>
      <w:r w:rsidRPr="00BD14B0">
        <w:instrText>ADDIN CSL_CITATION {"citationItems":[{"id":"ITEM-1","itemData":{"DOI":"10.1076/jcen.24.1.107.970","ISSN":"1380-3395 (Print)","PMID":"11935429","abstract":"The influence of estimated intelligence (group assessment of WAIS-R( S)) on sex differences in face recognition, as well as verbal and non-verbal episodic memory tasks was examined in 99 women and 88 men between 20 and 40 years of age. Results showed that men performed at a higher level than women on the WAIS-R(S) subtest Information, whereas the opposite was true for Digit symbol. Women performed at a higher level than men on the verbal episodic memory tasks and on face recognition, but there were no sex differences on the non-verbal episodic memory task. Estimated intelligence for both men and women was positively associated with most episodic memory measures, the exception being face recognition in women. In face recognition, there was no association to estimated intelligence, suggesting that face recognition performance in women is unrelated to several basic cognitive processes.","author":[{"dropping-particle":"","family":"Herlitz","given":"Agneta","non-dropping-particle":"","parse-names":false,"suffix":""},{"dropping-particle":"","family":"Yonker","given":"Julie E","non-dropping-particle":"","parse-names":false,"suffix":""}],"container-title":"Journal of clinical and experimental neuropsychology","id":"ITEM-1","issue":"1","issued":{"date-parts":[["2002","2"]]},"language":"eng","page":"107-114","publisher-place":"England","title":"Sex differences in episodic memory: the influence of intelligence.","type":"article-journal","volume":"24"},"uris":["http://www.mendeley.com/documents/?uuid=5c4e3a42-3316-4ed7-a9d1-aa5e25bc4aa3","http://www.mendeley.com/documents/?uuid=77e7c493-095c-482f-9621-202054610514"]}],"mendeley":{"formattedCitation":"(Herlitz &amp; Yonker, 2002)","plainTextFormattedCitation":"(Herlitz &amp; Yonker, 2002)","previouslyFormattedCitation":"(Herlitz &amp; Yonker, 2002)"},"properties":{"noteIndex":0},"schema":"https://github.com/citation-style-language/schema/raw/master/csl-citation.json"}</w:instrText>
      </w:r>
      <w:r w:rsidRPr="00BD14B0">
        <w:fldChar w:fldCharType="separate"/>
      </w:r>
      <w:r w:rsidRPr="00BD14B0">
        <w:rPr>
          <w:noProof/>
        </w:rPr>
        <w:t>(Herlitz &amp; Yonker, 2002)</w:t>
      </w:r>
      <w:r w:rsidRPr="00BD14B0">
        <w:fldChar w:fldCharType="end"/>
      </w:r>
      <w:r w:rsidRPr="00BD14B0">
        <w:t xml:space="preserve"> and are more reflexive on social attention </w:t>
      </w:r>
      <w:r w:rsidRPr="00BD14B0">
        <w:fldChar w:fldCharType="begin" w:fldLock="1"/>
      </w:r>
      <w:r w:rsidR="004D2901" w:rsidRPr="00BD14B0">
        <w:instrText>ADDIN CSL_CITATION {"citationItems":[{"id":"ITEM-1","itemData":{"DOI":"10.1080/02724980443000124","ISSN":"0272-4987","author":[{"dropping-particle":"","family":"Bayliss","given":"A P","non-dropping-particle":"","parse-names":false,"suffix":""},{"dropping-particle":"","family":"Pellegrino","given":"G","non-dropping-particle":"Di","parse-names":false,"suffix":""},{"dropping-particle":"","family":"Tipper","given":"Sr.","non-dropping-particle":"","parse-names":false,"suffix":""}],"container-title":"Q. J. Exp. Psychol. Sect A-Hum. Exp. Psychol.","id":"ITEM-1","issue":"4","issued":{"date-parts":[["2005"]]},"page":"631-650","title":"Sex differences in eye gaze and symbolic cueing of attention","type":"article-journal","volume":"58"},"uris":["http://www.mendeley.com/documents/?uuid=7b881ecf-5260-4917-87e0-0a239da8d4e2"]}],"mendeley":{"formattedCitation":"(A P Bayliss et al., 2005)","manualFormatting":"(Bayliss, Di Pellegrino, &amp; Tipper, 2005)","plainTextFormattedCitation":"(A P Bayliss et al., 2005)","previouslyFormattedCitation":"(A P Bayliss et al., 2005)"},"properties":{"noteIndex":0},"schema":"https://github.com/citation-style-language/schema/raw/master/csl-citation.json"}</w:instrText>
      </w:r>
      <w:r w:rsidRPr="00BD14B0">
        <w:fldChar w:fldCharType="separate"/>
      </w:r>
      <w:r w:rsidRPr="00BD14B0">
        <w:rPr>
          <w:noProof/>
        </w:rPr>
        <w:t>(Bayliss, Di Pellegrino, &amp; Tipper, 2005)</w:t>
      </w:r>
      <w:r w:rsidRPr="00BD14B0">
        <w:fldChar w:fldCharType="end"/>
      </w:r>
      <w:r w:rsidRPr="00BD14B0">
        <w:t>. Overall, studies suggest that visual representation of physical similarity as well as non-visual information of familiarly of one’s social circle (only in females) produce stronger gaze cueing effects</w:t>
      </w:r>
      <w:r w:rsidR="006D648E" w:rsidRPr="00BD14B0">
        <w:t xml:space="preserve">. </w:t>
      </w:r>
    </w:p>
    <w:p w14:paraId="5D2E052B" w14:textId="77777777" w:rsidR="006E3EA5" w:rsidRPr="00BD14B0" w:rsidRDefault="006E3EA5" w:rsidP="00553E01"/>
    <w:p w14:paraId="7E78BC6C" w14:textId="1495E3A3" w:rsidR="00744953" w:rsidRPr="00BD14B0" w:rsidRDefault="006C4E35" w:rsidP="006E3F84">
      <w:pPr>
        <w:pStyle w:val="Heading4"/>
        <w:numPr>
          <w:ilvl w:val="0"/>
          <w:numId w:val="0"/>
        </w:numPr>
        <w:ind w:left="851"/>
        <w:rPr>
          <w:u w:color="FF0000"/>
        </w:rPr>
      </w:pPr>
      <w:r w:rsidRPr="006E3F84">
        <w:t>Dominance</w:t>
      </w:r>
    </w:p>
    <w:p w14:paraId="7FCC78FF" w14:textId="074F267C" w:rsidR="005A40F0" w:rsidRPr="00BD14B0" w:rsidRDefault="005A40F0" w:rsidP="00515B0D">
      <w:pPr>
        <w:pStyle w:val="Body"/>
        <w:spacing w:line="360" w:lineRule="auto"/>
        <w:ind w:firstLine="720"/>
        <w:rPr>
          <w:rFonts w:ascii="Times New Roman" w:hAnsi="Times New Roman" w:cs="Times New Roman"/>
          <w:color w:val="000000" w:themeColor="text1"/>
          <w:sz w:val="24"/>
          <w:szCs w:val="24"/>
          <w:u w:color="FF0000"/>
        </w:rPr>
      </w:pPr>
      <w:r w:rsidRPr="00BD14B0">
        <w:rPr>
          <w:rFonts w:ascii="Times New Roman" w:hAnsi="Times New Roman" w:cs="Times New Roman"/>
          <w:color w:val="000000" w:themeColor="text1"/>
          <w:sz w:val="24"/>
          <w:szCs w:val="24"/>
          <w:u w:color="FF0000"/>
        </w:rPr>
        <w:t xml:space="preserve">Facial dominance is an important facial cue indicating </w:t>
      </w:r>
      <w:r w:rsidRPr="00BD14B0">
        <w:rPr>
          <w:rFonts w:ascii="Times New Roman" w:hAnsi="Times New Roman" w:cs="Times New Roman"/>
          <w:noProof/>
          <w:color w:val="000000" w:themeColor="text1"/>
          <w:sz w:val="24"/>
          <w:szCs w:val="24"/>
        </w:rPr>
        <w:t>social</w:t>
      </w:r>
      <w:r w:rsidRPr="00BD14B0">
        <w:rPr>
          <w:rFonts w:ascii="Times New Roman" w:hAnsi="Times New Roman" w:cs="Times New Roman"/>
          <w:color w:val="000000" w:themeColor="text1"/>
          <w:sz w:val="24"/>
          <w:szCs w:val="24"/>
          <w:u w:color="FF0000"/>
        </w:rPr>
        <w:t xml:space="preserve"> power societal status. In humans, sexual dimorphism of face shape affects attributions of dominance; masculine faces more likely to be perceived as more dominant compared to feminized faces </w:t>
      </w:r>
      <w:r w:rsidR="00BB7E39" w:rsidRPr="00BD14B0">
        <w:rPr>
          <w:rFonts w:ascii="Times New Roman" w:hAnsi="Times New Roman" w:cs="Times New Roman"/>
          <w:color w:val="000000" w:themeColor="text1"/>
          <w:sz w:val="24"/>
          <w:szCs w:val="24"/>
          <w:u w:color="FF0000"/>
        </w:rPr>
        <w:fldChar w:fldCharType="begin" w:fldLock="1"/>
      </w:r>
      <w:r w:rsidR="00BB7E39" w:rsidRPr="00BD14B0">
        <w:rPr>
          <w:rFonts w:ascii="Times New Roman" w:hAnsi="Times New Roman" w:cs="Times New Roman"/>
          <w:color w:val="000000" w:themeColor="text1"/>
          <w:sz w:val="24"/>
          <w:szCs w:val="24"/>
          <w:u w:color="FF0000"/>
        </w:rPr>
        <w:instrText>ADDIN CSL_CITATION {"citationItems":[{"id":"ITEM-1","itemData":{"DOI":"10.1007/s10508-007-9266-0","ISBN":"00040002","author":[{"dropping-particle":"","family":"DeBruine","given":"Lisa M","non-dropping-particle":"","parse-names":false,"suffix":""},{"dropping-particle":"","family":"Jones","given":"Benedict C","non-dropping-particle":"","parse-names":false,"suffix":""},{"dropping-particle":"","family":"Little","given":"Anthony C","non-dropping-particle":"","parse-names":false,"suffix":""},{"dropping-particle":"","family":"Perrett","given":"David I","non-dropping-particle":"","parse-names":false,"suffix":""}],"id":"ITEM-1","issued":{"date-parts":[["2008"]]},"page":"64-77","title":"Social perception of facial resemblance in humans","type":"article","volume":"37"},"uris":["http://www.mendeley.com/documents/?uuid=819e30e9-1696-4983-941e-60a12d9900d6"]},{"id":"ITEM-2","itemData":{"DOI":"10.1038/29772","ISSN":"0028-0836","author":[{"dropping-particle":"","family":"Perrett","given":"D I","non-dropping-particle":"","parse-names":false,"suffix":""},{"dropping-particle":"","family":"Lee","given":"K J","non-dropping-particle":"","parse-names":false,"suffix":""},{"dropping-particle":"","family":"Penton-Voak","given":"I","non-dropping-particle":"","parse-names":false,"suffix":""},{"dropping-particle":"","family":"Rowland","given":"D","non-dropping-particle":"","parse-names":false,"suffix":""},{"dropping-particle":"","family":"Yoshikawa","given":"S","non-dropping-particle":"","parse-names":false,"suffix":""},{"dropping-particle":"","family":"Burt","given":"D M","non-dropping-particle":"","parse-names":false,"suffix":""},{"dropping-particle":"","family":"Henzi","given":"S P","non-dropping-particle":"","parse-names":false,"suffix":""},{"dropping-particle":"","family":"Castles","given":"D L","non-dropping-particle":"","parse-names":false,"suffix":""},{"dropping-particle":"","family":"Akamatsu","given":"S","non-dropping-particle":"","parse-names":false,"suffix":""}],"container-title":"Nature","id":"ITEM-2","issue":"6696","issued":{"date-parts":[["1998"]]},"page":"884","title":"Effects of sexual dimorphism on facial attractiveness","type":"article-journal","volume":"394"},"uris":["http://www.mendeley.com/documents/?uuid=dc02bde0-704f-4a51-b9fb-bbff5b577256"]}],"mendeley":{"formattedCitation":"(DeBruine et al., 2008; Perrett et al., 1998)","plainTextFormattedCitation":"(DeBruine et al., 2008; Perrett et al., 1998)","previouslyFormattedCitation":"(DeBruine et al., 2008; Perrett et al., 1998)"},"properties":{"noteIndex":0},"schema":"https://github.com/citation-style-language/schema/raw/master/csl-citation.json"}</w:instrText>
      </w:r>
      <w:r w:rsidR="00BB7E39" w:rsidRPr="00BD14B0">
        <w:rPr>
          <w:rFonts w:ascii="Times New Roman" w:hAnsi="Times New Roman" w:cs="Times New Roman"/>
          <w:color w:val="000000" w:themeColor="text1"/>
          <w:sz w:val="24"/>
          <w:szCs w:val="24"/>
          <w:u w:color="FF0000"/>
        </w:rPr>
        <w:fldChar w:fldCharType="separate"/>
      </w:r>
      <w:r w:rsidR="00BB7E39" w:rsidRPr="00BD14B0">
        <w:rPr>
          <w:rFonts w:ascii="Times New Roman" w:hAnsi="Times New Roman" w:cs="Times New Roman"/>
          <w:noProof/>
          <w:color w:val="000000" w:themeColor="text1"/>
          <w:sz w:val="24"/>
          <w:szCs w:val="24"/>
          <w:u w:color="FF0000"/>
        </w:rPr>
        <w:t>(DeBruine et al., 2008; Perrett et al., 1998)</w:t>
      </w:r>
      <w:r w:rsidR="00BB7E39" w:rsidRPr="00BD14B0">
        <w:rPr>
          <w:rFonts w:ascii="Times New Roman" w:hAnsi="Times New Roman" w:cs="Times New Roman"/>
          <w:color w:val="000000" w:themeColor="text1"/>
          <w:sz w:val="24"/>
          <w:szCs w:val="24"/>
          <w:u w:color="FF0000"/>
        </w:rPr>
        <w:fldChar w:fldCharType="end"/>
      </w:r>
      <w:r w:rsidR="00BB7E39" w:rsidRPr="00BD14B0">
        <w:rPr>
          <w:rFonts w:ascii="Times New Roman" w:hAnsi="Times New Roman" w:cs="Times New Roman"/>
          <w:color w:val="000000" w:themeColor="text1"/>
          <w:sz w:val="24"/>
          <w:szCs w:val="24"/>
          <w:u w:color="FF0000"/>
        </w:rPr>
        <w:t>.</w:t>
      </w:r>
      <w:r w:rsidRPr="00BD14B0">
        <w:rPr>
          <w:rFonts w:ascii="Times New Roman" w:hAnsi="Times New Roman" w:cs="Times New Roman"/>
          <w:color w:val="000000" w:themeColor="text1"/>
          <w:sz w:val="24"/>
          <w:szCs w:val="24"/>
          <w:u w:color="FF0000"/>
        </w:rPr>
        <w:t xml:space="preserve"> Studies of dominance show the importance of facial clues as well as gaze direction. Recent experiments suggest that facial clues associated with dominance have an effect on</w:t>
      </w:r>
      <w:r w:rsidRPr="00BD14B0" w:rsidDel="008E26B3">
        <w:rPr>
          <w:rFonts w:ascii="Times New Roman" w:hAnsi="Times New Roman" w:cs="Times New Roman"/>
          <w:color w:val="000000" w:themeColor="text1"/>
          <w:sz w:val="24"/>
          <w:szCs w:val="24"/>
          <w:u w:color="FF0000"/>
        </w:rPr>
        <w:t xml:space="preserve"> </w:t>
      </w:r>
      <w:r w:rsidRPr="00BD14B0">
        <w:rPr>
          <w:rFonts w:ascii="Times New Roman" w:hAnsi="Times New Roman" w:cs="Times New Roman"/>
          <w:color w:val="000000" w:themeColor="text1"/>
          <w:sz w:val="24"/>
          <w:szCs w:val="24"/>
          <w:u w:color="FF0000"/>
        </w:rPr>
        <w:t>gaze cueing task</w:t>
      </w:r>
      <w:r w:rsidR="007C48B4" w:rsidRPr="00BD14B0">
        <w:rPr>
          <w:rFonts w:ascii="Times New Roman" w:hAnsi="Times New Roman" w:cs="Times New Roman"/>
          <w:color w:val="000000" w:themeColor="text1"/>
          <w:sz w:val="24"/>
          <w:szCs w:val="24"/>
          <w:u w:color="FF0000"/>
        </w:rPr>
        <w:t>s</w:t>
      </w:r>
      <w:r w:rsidRPr="00BD14B0">
        <w:rPr>
          <w:rFonts w:ascii="Times New Roman" w:hAnsi="Times New Roman" w:cs="Times New Roman"/>
          <w:color w:val="000000" w:themeColor="text1"/>
          <w:sz w:val="24"/>
          <w:szCs w:val="24"/>
          <w:u w:color="FF0000"/>
        </w:rPr>
        <w:t xml:space="preserve">. A study in primates demonstrated that submissive macaque monkeys showed generalized gaze cueing </w:t>
      </w:r>
      <w:r w:rsidRPr="00BD14B0">
        <w:rPr>
          <w:rFonts w:ascii="Times New Roman" w:hAnsi="Times New Roman" w:cs="Times New Roman"/>
          <w:color w:val="000000" w:themeColor="text1"/>
          <w:sz w:val="24"/>
          <w:szCs w:val="24"/>
          <w:u w:color="FF0000"/>
        </w:rPr>
        <w:lastRenderedPageBreak/>
        <w:t xml:space="preserve">regardless of status, whereas dominant macaque monkeys selectively showed enhanced gaze cueing to the </w:t>
      </w:r>
      <w:r w:rsidRPr="00BD14B0">
        <w:rPr>
          <w:rFonts w:ascii="Times New Roman" w:hAnsi="Times New Roman" w:cs="Times New Roman"/>
          <w:noProof/>
          <w:color w:val="000000" w:themeColor="text1"/>
          <w:sz w:val="24"/>
          <w:szCs w:val="24"/>
        </w:rPr>
        <w:t>high-status</w:t>
      </w:r>
      <w:r w:rsidRPr="00BD14B0">
        <w:rPr>
          <w:rFonts w:ascii="Times New Roman" w:hAnsi="Times New Roman" w:cs="Times New Roman"/>
          <w:color w:val="000000" w:themeColor="text1"/>
          <w:sz w:val="24"/>
          <w:szCs w:val="24"/>
          <w:u w:color="FF0000"/>
        </w:rPr>
        <w:t xml:space="preserve"> individuals </w:t>
      </w:r>
      <w:r w:rsidRPr="00BD14B0">
        <w:rPr>
          <w:rFonts w:ascii="Times New Roman" w:hAnsi="Times New Roman" w:cs="Times New Roman"/>
          <w:color w:val="000000" w:themeColor="text1"/>
          <w:sz w:val="24"/>
          <w:szCs w:val="24"/>
          <w:u w:color="FF0000"/>
        </w:rPr>
        <w:fldChar w:fldCharType="begin" w:fldLock="1"/>
      </w:r>
      <w:r w:rsidR="004D2901" w:rsidRPr="00BD14B0">
        <w:rPr>
          <w:rFonts w:ascii="Times New Roman" w:hAnsi="Times New Roman" w:cs="Times New Roman"/>
          <w:color w:val="000000" w:themeColor="text1"/>
          <w:sz w:val="24"/>
          <w:szCs w:val="24"/>
          <w:u w:color="FF0000"/>
        </w:rPr>
        <w:instrText>ADDIN CSL_CITATION {"citationItems":[{"id":"ITEM-1","itemData":{"DOI":"10.1016/j.cub.2006.02.013","ISSN":"0960-9822","author":[{"dropping-particle":"V","family":"Shepherd","given":"S","non-dropping-particle":"","parse-names":false,"suffix":""},{"dropping-particle":"","family":"Deaner","given":"R O","non-dropping-particle":"","parse-names":false,"suffix":""},{"dropping-particle":"","family":"Platt","given":"M L","non-dropping-particle":"","parse-names":false,"suffix":""}],"container-title":"Current Biology","id":"ITEM-1","issue":"4","issued":{"date-parts":[["2006"]]},"note":"Times Cited: 56\n56","page":"R119-R120","title":"Social status gates social attention in monkeys","type":"article-journal","volume":"16"},"uris":["http://www.mendeley.com/documents/?uuid=b072f528-1bec-4ee9-a72f-dc51b8d8f893"]}],"mendeley":{"formattedCitation":"(S V Shepherd et al., 2006)","manualFormatting":"(Shepherd, Deaner, &amp; Platt, 2006)","plainTextFormattedCitation":"(S V Shepherd et al., 2006)","previouslyFormattedCitation":"(S V Shepherd et al., 2006)"},"properties":{"noteIndex":0},"schema":"https://github.com/citation-style-language/schema/raw/master/csl-citation.json"}</w:instrText>
      </w:r>
      <w:r w:rsidRPr="00BD14B0">
        <w:rPr>
          <w:rFonts w:ascii="Times New Roman" w:hAnsi="Times New Roman" w:cs="Times New Roman"/>
          <w:color w:val="000000" w:themeColor="text1"/>
          <w:sz w:val="24"/>
          <w:szCs w:val="24"/>
          <w:u w:color="FF0000"/>
        </w:rPr>
        <w:fldChar w:fldCharType="separate"/>
      </w:r>
      <w:r w:rsidRPr="00BD14B0">
        <w:rPr>
          <w:rFonts w:ascii="Times New Roman" w:hAnsi="Times New Roman" w:cs="Times New Roman"/>
          <w:noProof/>
          <w:color w:val="000000" w:themeColor="text1"/>
          <w:sz w:val="24"/>
          <w:szCs w:val="24"/>
          <w:u w:color="FF0000"/>
        </w:rPr>
        <w:t>(Shepherd, Deaner, &amp; Platt, 2006)</w:t>
      </w:r>
      <w:r w:rsidRPr="00BD14B0">
        <w:rPr>
          <w:rFonts w:ascii="Times New Roman" w:hAnsi="Times New Roman" w:cs="Times New Roman"/>
          <w:color w:val="000000" w:themeColor="text1"/>
          <w:sz w:val="24"/>
          <w:szCs w:val="24"/>
          <w:u w:color="FF0000"/>
        </w:rPr>
        <w:fldChar w:fldCharType="end"/>
      </w:r>
      <w:r w:rsidRPr="00BD14B0">
        <w:rPr>
          <w:rFonts w:ascii="Times New Roman" w:hAnsi="Times New Roman" w:cs="Times New Roman"/>
          <w:noProof/>
          <w:color w:val="000000" w:themeColor="text1"/>
          <w:sz w:val="24"/>
          <w:szCs w:val="24"/>
        </w:rPr>
        <w:t>.</w:t>
      </w:r>
      <w:r w:rsidRPr="00BD14B0">
        <w:rPr>
          <w:rFonts w:ascii="Times New Roman" w:hAnsi="Times New Roman" w:cs="Times New Roman"/>
          <w:color w:val="000000" w:themeColor="text1"/>
          <w:sz w:val="24"/>
          <w:szCs w:val="24"/>
          <w:u w:color="FF0000"/>
        </w:rPr>
        <w:t xml:space="preserve"> This effect of dominance on gaze cueing only existed at shorter SOAs (100-200</w:t>
      </w:r>
      <w:r w:rsidR="00515B0D" w:rsidRPr="00BD14B0">
        <w:rPr>
          <w:rFonts w:ascii="Times New Roman" w:hAnsi="Times New Roman" w:cs="Times New Roman"/>
          <w:color w:val="000000" w:themeColor="text1"/>
          <w:sz w:val="24"/>
          <w:szCs w:val="24"/>
          <w:u w:color="FF0000"/>
        </w:rPr>
        <w:t xml:space="preserve"> </w:t>
      </w:r>
      <w:proofErr w:type="spellStart"/>
      <w:r w:rsidRPr="00BD14B0">
        <w:rPr>
          <w:rFonts w:ascii="Times New Roman" w:hAnsi="Times New Roman" w:cs="Times New Roman"/>
          <w:color w:val="000000" w:themeColor="text1"/>
          <w:sz w:val="24"/>
          <w:szCs w:val="24"/>
          <w:u w:color="FF0000"/>
        </w:rPr>
        <w:t>ms</w:t>
      </w:r>
      <w:proofErr w:type="spellEnd"/>
      <w:r w:rsidRPr="00BD14B0">
        <w:rPr>
          <w:rFonts w:ascii="Times New Roman" w:hAnsi="Times New Roman" w:cs="Times New Roman"/>
          <w:color w:val="000000" w:themeColor="text1"/>
          <w:sz w:val="24"/>
          <w:szCs w:val="24"/>
          <w:u w:color="FF0000"/>
        </w:rPr>
        <w:t>) and diminished over time (longer SOAs-800</w:t>
      </w:r>
      <w:r w:rsidR="00515B0D" w:rsidRPr="00BD14B0">
        <w:rPr>
          <w:rFonts w:ascii="Times New Roman" w:hAnsi="Times New Roman" w:cs="Times New Roman"/>
          <w:color w:val="000000" w:themeColor="text1"/>
          <w:sz w:val="24"/>
          <w:szCs w:val="24"/>
          <w:u w:color="FF0000"/>
        </w:rPr>
        <w:t xml:space="preserve"> </w:t>
      </w:r>
      <w:proofErr w:type="spellStart"/>
      <w:r w:rsidRPr="00BD14B0">
        <w:rPr>
          <w:rFonts w:ascii="Times New Roman" w:hAnsi="Times New Roman" w:cs="Times New Roman"/>
          <w:color w:val="000000" w:themeColor="text1"/>
          <w:sz w:val="24"/>
          <w:szCs w:val="24"/>
          <w:u w:color="FF0000"/>
        </w:rPr>
        <w:t>ms</w:t>
      </w:r>
      <w:proofErr w:type="spellEnd"/>
      <w:r w:rsidRPr="00BD14B0">
        <w:rPr>
          <w:rFonts w:ascii="Times New Roman" w:hAnsi="Times New Roman" w:cs="Times New Roman"/>
          <w:color w:val="000000" w:themeColor="text1"/>
          <w:sz w:val="24"/>
          <w:szCs w:val="24"/>
          <w:u w:color="FF0000"/>
        </w:rPr>
        <w:t xml:space="preserve">) suggesting it might be automatic and reflexive. They manipulated images of faces to be of high and low dominance by changing the face shape with prototype-based image transformation. They also examined the effects of the </w:t>
      </w:r>
      <w:r w:rsidRPr="00BD14B0">
        <w:rPr>
          <w:rFonts w:ascii="Times New Roman" w:hAnsi="Times New Roman" w:cs="Times New Roman"/>
          <w:noProof/>
          <w:color w:val="000000" w:themeColor="text1"/>
          <w:sz w:val="24"/>
          <w:szCs w:val="24"/>
        </w:rPr>
        <w:t>dominance</w:t>
      </w:r>
      <w:r w:rsidRPr="00BD14B0">
        <w:rPr>
          <w:rFonts w:ascii="Times New Roman" w:hAnsi="Times New Roman" w:cs="Times New Roman"/>
          <w:color w:val="000000" w:themeColor="text1"/>
          <w:sz w:val="24"/>
          <w:szCs w:val="24"/>
          <w:u w:color="FF0000"/>
        </w:rPr>
        <w:t xml:space="preserve"> of facial stimuli on the gaze cueing several of SOAs (200</w:t>
      </w:r>
      <w:r w:rsidR="00515B0D" w:rsidRPr="00BD14B0">
        <w:rPr>
          <w:rFonts w:ascii="Times New Roman" w:hAnsi="Times New Roman" w:cs="Times New Roman"/>
          <w:color w:val="000000" w:themeColor="text1"/>
          <w:sz w:val="24"/>
          <w:szCs w:val="24"/>
          <w:u w:color="FF0000"/>
        </w:rPr>
        <w:t xml:space="preserve"> </w:t>
      </w:r>
      <w:proofErr w:type="spellStart"/>
      <w:r w:rsidRPr="00BD14B0">
        <w:rPr>
          <w:rFonts w:ascii="Times New Roman" w:hAnsi="Times New Roman" w:cs="Times New Roman"/>
          <w:color w:val="000000" w:themeColor="text1"/>
          <w:sz w:val="24"/>
          <w:szCs w:val="24"/>
          <w:u w:color="FF0000"/>
        </w:rPr>
        <w:t>ms</w:t>
      </w:r>
      <w:proofErr w:type="spellEnd"/>
      <w:r w:rsidRPr="00BD14B0">
        <w:rPr>
          <w:rFonts w:ascii="Times New Roman" w:hAnsi="Times New Roman" w:cs="Times New Roman"/>
          <w:color w:val="000000" w:themeColor="text1"/>
          <w:sz w:val="24"/>
          <w:szCs w:val="24"/>
          <w:u w:color="FF0000"/>
        </w:rPr>
        <w:t>, 400</w:t>
      </w:r>
      <w:r w:rsidR="00515B0D" w:rsidRPr="00BD14B0">
        <w:rPr>
          <w:rFonts w:ascii="Times New Roman" w:hAnsi="Times New Roman" w:cs="Times New Roman"/>
          <w:color w:val="000000" w:themeColor="text1"/>
          <w:sz w:val="24"/>
          <w:szCs w:val="24"/>
          <w:u w:color="FF0000"/>
        </w:rPr>
        <w:t xml:space="preserve"> </w:t>
      </w:r>
      <w:proofErr w:type="spellStart"/>
      <w:r w:rsidRPr="00BD14B0">
        <w:rPr>
          <w:rFonts w:ascii="Times New Roman" w:hAnsi="Times New Roman" w:cs="Times New Roman"/>
          <w:color w:val="000000" w:themeColor="text1"/>
          <w:sz w:val="24"/>
          <w:szCs w:val="24"/>
          <w:u w:color="FF0000"/>
        </w:rPr>
        <w:t>ms</w:t>
      </w:r>
      <w:proofErr w:type="spellEnd"/>
      <w:r w:rsidRPr="00BD14B0">
        <w:rPr>
          <w:rFonts w:ascii="Times New Roman" w:hAnsi="Times New Roman" w:cs="Times New Roman"/>
          <w:color w:val="000000" w:themeColor="text1"/>
          <w:sz w:val="24"/>
          <w:szCs w:val="24"/>
          <w:u w:color="FF0000"/>
        </w:rPr>
        <w:t>, and 800</w:t>
      </w:r>
      <w:r w:rsidR="00515B0D" w:rsidRPr="00BD14B0">
        <w:rPr>
          <w:rFonts w:ascii="Times New Roman" w:hAnsi="Times New Roman" w:cs="Times New Roman"/>
          <w:color w:val="000000" w:themeColor="text1"/>
          <w:sz w:val="24"/>
          <w:szCs w:val="24"/>
          <w:u w:color="FF0000"/>
        </w:rPr>
        <w:t xml:space="preserve"> </w:t>
      </w:r>
      <w:proofErr w:type="spellStart"/>
      <w:r w:rsidRPr="00BD14B0">
        <w:rPr>
          <w:rFonts w:ascii="Times New Roman" w:hAnsi="Times New Roman" w:cs="Times New Roman"/>
          <w:color w:val="000000" w:themeColor="text1"/>
          <w:sz w:val="24"/>
          <w:szCs w:val="24"/>
          <w:u w:color="FF0000"/>
        </w:rPr>
        <w:t>ms</w:t>
      </w:r>
      <w:proofErr w:type="spellEnd"/>
      <w:r w:rsidRPr="00BD14B0">
        <w:rPr>
          <w:rFonts w:ascii="Times New Roman" w:hAnsi="Times New Roman" w:cs="Times New Roman"/>
          <w:color w:val="000000" w:themeColor="text1"/>
          <w:sz w:val="24"/>
          <w:szCs w:val="24"/>
          <w:u w:color="FF0000"/>
        </w:rPr>
        <w:t xml:space="preserve">). They found that gaze cueing effects were greater for masculinized faces (high dominance) compared to feminized faces (low dominance), leading to the conclusion that dominant faces modulate the reflexive component of gaze cueing </w:t>
      </w:r>
      <w:r w:rsidRPr="00BD14B0">
        <w:rPr>
          <w:rFonts w:ascii="Times New Roman" w:eastAsia="Times New Roman" w:hAnsi="Times New Roman" w:cs="Times New Roman"/>
          <w:color w:val="000000" w:themeColor="text1"/>
          <w:sz w:val="24"/>
          <w:szCs w:val="24"/>
          <w:u w:color="FF0000"/>
        </w:rPr>
        <w:fldChar w:fldCharType="begin" w:fldLock="1"/>
      </w:r>
      <w:r w:rsidR="004D2901" w:rsidRPr="00BD14B0">
        <w:rPr>
          <w:rFonts w:ascii="Times New Roman" w:eastAsia="Times New Roman" w:hAnsi="Times New Roman" w:cs="Times New Roman"/>
          <w:color w:val="000000" w:themeColor="text1"/>
          <w:sz w:val="24"/>
          <w:szCs w:val="24"/>
          <w:u w:color="FF0000"/>
        </w:rPr>
        <w:instrText>ADDIN CSL_CITATION {"citationItems":[{"id":"ITEM-1","itemData":{"DOI":"10.1098/rspb.2009.1575","ISSN":"0962-8452","abstract":"Responding appropriately to gaze cues is essential for fluent social interaction, playing a crucial role in social learning, collaboration, threat assessment and understanding others' intentions. Previous research has shown that responses to gaze cues can be studied by investigating the gaze-cuing effect (i.e. the tendency for observers to respond more quickly to targets in locations that were cued by others' gaze than to uncued targets). A recent study demonstrating that macaques demonstrate larger gaze-cuing effects when viewing dominant conspecifics than when viewing subordinate conspecifics suggests that cues of dominance modulate the gaze-cuing effect in at least one primate species. Here, we show a similar effect of facial cues associated with dominance on gaze cuing in human observers: at short viewing times, observers demonstrated a greater cuing effect for gaze cues from masculinized (i.e. dominant) faces than from feminized (i.e. subordinate) faces. Moreover, this effect of facial masculinity on gaze cuing decreased as viewing time was increased, suggesting that the effect is driven by involuntary responses. Our findings suggest that the mechanisms that underpin reflexive gaze cuing evolved to be sensitive to facial cues of others' dominance, potentially because such differential gaze cuing promoted desirable outcomes from encounters with dominant individuals.","author":[{"dropping-particle":"","family":"Jones","given":"Benedict C","non-dropping-particle":"","parse-names":false,"suffix":""},{"dropping-particle":"","family":"DeBruine","given":"Lisa M","non-dropping-particle":"","parse-names":false,"suffix":""},{"dropping-particle":"","family":"Main","given":"Julie C","non-dropping-particle":"","parse-names":false,"suffix":""},{"dropping-particle":"","family":"Little","given":"Anthony C","non-dropping-particle":"","parse-names":false,"suffix":""},{"dropping-particle":"","family":"Welling","given":"Lisa L M","non-dropping-particle":"","parse-names":false,"suffix":""},{"dropping-particle":"","family":"Feinberg","given":"David R","non-dropping-particle":"","parse-names":false,"suffix":""},{"dropping-particle":"","family":"Tiddeman","given":"Bernard P","non-dropping-particle":"","parse-names":false,"suffix":""}],"container-title":"Proceedings of the Royal Society B: Biological Sciences","id":"ITEM-1","issue":"1681","issued":{"date-parts":[["2010","2","22"]]},"note":"Times Cited: 54\nJones, Benedict/A-7850-2008; DeBruine, Lisa/A-6990-2008; Little, Anthony/B-8497-2009; Feinberg, David/C-1249-2009\nJones, Benedict/0000-0001-7777-0220; DeBruine, Lisa/0000-0002-7523-5539; Little, Anthony/0000-0001-9100-1903; Feinberg, David/0000-0003-4179-1446\n56","page":"617-624","title":"Facial cues of dominance modulate the short-term gaze-cuing effect in human observers","type":"article-journal","volume":"277"},"uris":["http://www.mendeley.com/documents/?uuid=64bfee74-1a8b-412c-b705-07f9a61342c4"]}],"mendeley":{"formattedCitation":"(B. C. Jones et al., 2010)","manualFormatting":"(Jones et al., 2010)","plainTextFormattedCitation":"(B. C. Jones et al., 2010)","previouslyFormattedCitation":"(B. C. Jones et al., 2010)"},"properties":{"noteIndex":0},"schema":"https://github.com/citation-style-language/schema/raw/master/csl-citation.json"}</w:instrText>
      </w:r>
      <w:r w:rsidRPr="00BD14B0">
        <w:rPr>
          <w:rFonts w:ascii="Times New Roman" w:eastAsia="Times New Roman" w:hAnsi="Times New Roman" w:cs="Times New Roman"/>
          <w:color w:val="000000" w:themeColor="text1"/>
          <w:sz w:val="24"/>
          <w:szCs w:val="24"/>
          <w:u w:color="FF0000"/>
        </w:rPr>
        <w:fldChar w:fldCharType="separate"/>
      </w:r>
      <w:r w:rsidRPr="00BD14B0">
        <w:rPr>
          <w:rFonts w:ascii="Times New Roman" w:eastAsia="Times New Roman" w:hAnsi="Times New Roman" w:cs="Times New Roman"/>
          <w:noProof/>
          <w:color w:val="000000" w:themeColor="text1"/>
          <w:sz w:val="24"/>
          <w:szCs w:val="24"/>
          <w:u w:color="FF0000"/>
        </w:rPr>
        <w:t>(Jones et al., 2010)</w:t>
      </w:r>
      <w:r w:rsidRPr="00BD14B0">
        <w:rPr>
          <w:rFonts w:ascii="Times New Roman" w:eastAsia="Times New Roman" w:hAnsi="Times New Roman" w:cs="Times New Roman"/>
          <w:color w:val="000000" w:themeColor="text1"/>
          <w:sz w:val="24"/>
          <w:szCs w:val="24"/>
          <w:u w:color="FF0000"/>
        </w:rPr>
        <w:fldChar w:fldCharType="end"/>
      </w:r>
      <w:r w:rsidRPr="00BD14B0">
        <w:rPr>
          <w:rFonts w:ascii="Times New Roman" w:hAnsi="Times New Roman" w:cs="Times New Roman"/>
          <w:color w:val="000000" w:themeColor="text1"/>
          <w:sz w:val="24"/>
          <w:szCs w:val="24"/>
          <w:u w:color="FF0000"/>
        </w:rPr>
        <w:t>. On the other hand, the faster response times to gaze cues of dominant faces were only seen in shorter viewing times (200</w:t>
      </w:r>
      <w:r w:rsidR="00515B0D" w:rsidRPr="00BD14B0">
        <w:rPr>
          <w:rFonts w:ascii="Times New Roman" w:hAnsi="Times New Roman" w:cs="Times New Roman"/>
          <w:color w:val="000000" w:themeColor="text1"/>
          <w:sz w:val="24"/>
          <w:szCs w:val="24"/>
          <w:u w:color="FF0000"/>
        </w:rPr>
        <w:t xml:space="preserve"> </w:t>
      </w:r>
      <w:proofErr w:type="spellStart"/>
      <w:r w:rsidRPr="00BD14B0">
        <w:rPr>
          <w:rFonts w:ascii="Times New Roman" w:hAnsi="Times New Roman" w:cs="Times New Roman"/>
          <w:color w:val="000000" w:themeColor="text1"/>
          <w:sz w:val="24"/>
          <w:szCs w:val="24"/>
          <w:u w:color="FF0000"/>
        </w:rPr>
        <w:t>ms</w:t>
      </w:r>
      <w:proofErr w:type="spellEnd"/>
      <w:r w:rsidRPr="00BD14B0">
        <w:rPr>
          <w:rFonts w:ascii="Times New Roman" w:hAnsi="Times New Roman" w:cs="Times New Roman"/>
          <w:color w:val="000000" w:themeColor="text1"/>
          <w:sz w:val="24"/>
          <w:szCs w:val="24"/>
          <w:u w:color="FF0000"/>
        </w:rPr>
        <w:t xml:space="preserve">). At shorter viewing times, participants demonstrated enhanced gaze cueing effect for gaze cues from dominant faces when compared to non-dominant faces; this enhanced effect decreased as viewing time increased suggesting that it is involuntary. The authors did not report any effect of the sex of the observer or the face. Furthermore, another study conducted by </w:t>
      </w:r>
      <w:r w:rsidRPr="00BD14B0">
        <w:rPr>
          <w:rFonts w:ascii="Times New Roman" w:hAnsi="Times New Roman" w:cs="Times New Roman"/>
          <w:color w:val="000000" w:themeColor="text1"/>
          <w:sz w:val="24"/>
          <w:szCs w:val="24"/>
          <w:u w:color="FF0000"/>
        </w:rPr>
        <w:fldChar w:fldCharType="begin" w:fldLock="1"/>
      </w:r>
      <w:r w:rsidR="004D2901" w:rsidRPr="00BD14B0">
        <w:rPr>
          <w:rFonts w:ascii="Times New Roman" w:hAnsi="Times New Roman" w:cs="Times New Roman"/>
          <w:color w:val="000000" w:themeColor="text1"/>
          <w:sz w:val="24"/>
          <w:szCs w:val="24"/>
          <w:u w:color="FF0000"/>
        </w:rPr>
        <w:instrText>ADDIN CSL_CITATION {"citationItems":[{"id":"ITEM-1","itemData":{"DOI":"10.1024/1421-0185/a000056","ISSN":"1421-0185","abstract":"Many studies have demonstrated a gaze-cuing effect in humans, whereby observers are quicker to respond to targets in locations cued by others' gaze direction than they are to respond to uncued targets. Although researchers have generally suggested that this gaze-cuing effect is unaffected by facial cues other than gaze direction, recent work has challenged this view: Both human and macaque observers demonstrate greater gaze cuing when viewing conspecifics' faces that possess physical cues associated with high dominance than when viewing those that possess physical cues associated with low dominance. In the current study, we tested for further evidence of dominance-contingent gaze cuing in women. We conducted a gaze-cuing experiment in which different individual female faces were used as cues and calculated the strength of the gaze-cuing effect for each face. Composite (i.e., average) faces manufactured from images of women who elicited particularly large gaze-cuing effects were perceived as more dominant than composites manufactured from images of women who elicited particularly small gaze-cuing effects. This result supports (1) the existence of dominance-contingent gaze-cuing in human observers and (2) the proposal that the gaze-cuing system is sensitive to facial cues other than gaze direction.","author":[{"dropping-particle":"","family":"Jones","given":"Benedict C","non-dropping-particle":"","parse-names":false,"suffix":""},{"dropping-particle":"","family":"Main","given":"Julie C","non-dropping-particle":"","parse-names":false,"suffix":""},{"dropping-particle":"","family":"Little","given":"Anthony C","non-dropping-particle":"","parse-names":false,"suffix":""},{"dropping-particle":"","family":"DeBruine","given":"Lisa M","non-dropping-particle":"","parse-names":false,"suffix":""}],"container-title":"Swiss Journal of Psychology","id":"ITEM-1","issue":"4","issued":{"date-parts":[["2011","12"]]},"note":"Times Cited: 1\nLittle, Anthony/B-8497-2009; Jones, Benedict/A-7850-2008; DeBruine, Lisa/A-6990-2008\nLittle, Anthony/0000-0001-9100-1903; Jones, Benedict/0000-0001-7777-0220; DeBruine, Lisa/0000-0002-7523-5539\n1","page":"193-197","title":"Further Evidence That Facial Cues of Dominance Modulate Gaze Cuing in Human Observers","type":"article-journal","volume":"70"},"uris":["http://www.mendeley.com/documents/?uuid=c67516f8-8952-439d-87c5-c87786ba3c82"]}],"mendeley":{"formattedCitation":"(B. C. Jones et al., 2011)","manualFormatting":"Jones, Main, Little, and DeBruine (2011)","plainTextFormattedCitation":"(B. C. Jones et al., 2011)","previouslyFormattedCitation":"(B. C. Jones et al., 2011)"},"properties":{"noteIndex":0},"schema":"https://github.com/citation-style-language/schema/raw/master/csl-citation.json"}</w:instrText>
      </w:r>
      <w:r w:rsidRPr="00BD14B0">
        <w:rPr>
          <w:rFonts w:ascii="Times New Roman" w:hAnsi="Times New Roman" w:cs="Times New Roman"/>
          <w:color w:val="000000" w:themeColor="text1"/>
          <w:sz w:val="24"/>
          <w:szCs w:val="24"/>
          <w:u w:color="FF0000"/>
        </w:rPr>
        <w:fldChar w:fldCharType="separate"/>
      </w:r>
      <w:r w:rsidRPr="00BD14B0">
        <w:rPr>
          <w:rFonts w:ascii="Times New Roman" w:hAnsi="Times New Roman" w:cs="Times New Roman"/>
          <w:noProof/>
          <w:color w:val="000000" w:themeColor="text1"/>
          <w:sz w:val="24"/>
          <w:szCs w:val="24"/>
          <w:u w:color="FF0000"/>
        </w:rPr>
        <w:t>Jones, Main, Little, and DeBruine (2011)</w:t>
      </w:r>
      <w:r w:rsidRPr="00BD14B0">
        <w:rPr>
          <w:rFonts w:ascii="Times New Roman" w:hAnsi="Times New Roman" w:cs="Times New Roman"/>
          <w:color w:val="000000" w:themeColor="text1"/>
          <w:sz w:val="24"/>
          <w:szCs w:val="24"/>
          <w:u w:color="FF0000"/>
        </w:rPr>
        <w:fldChar w:fldCharType="end"/>
      </w:r>
      <w:r w:rsidRPr="00BD14B0">
        <w:rPr>
          <w:rFonts w:ascii="Times New Roman" w:hAnsi="Times New Roman" w:cs="Times New Roman"/>
          <w:color w:val="000000" w:themeColor="text1"/>
          <w:sz w:val="24"/>
          <w:szCs w:val="24"/>
          <w:u w:color="FF0000"/>
        </w:rPr>
        <w:t xml:space="preserve"> found that faces which caused greater gaze cueing effects were perceived to be more dominant compared to faces which caused smaller gaze cueing effects. This experiment was conducted with female faces where participants were asked to rate the dominance level of the faces. They only invited female participants to this study and used only female faces as gaze cues; as a consequent, the effects of gender on these results are uncertain.</w:t>
      </w:r>
    </w:p>
    <w:p w14:paraId="7F107F34" w14:textId="0386FF02" w:rsidR="00DB2915" w:rsidRPr="00BD14B0" w:rsidRDefault="005A40F0" w:rsidP="005953A0">
      <w:pPr>
        <w:pStyle w:val="Body"/>
        <w:spacing w:line="360" w:lineRule="auto"/>
        <w:ind w:firstLine="720"/>
        <w:rPr>
          <w:rFonts w:ascii="Times New Roman" w:hAnsi="Times New Roman" w:cs="Times New Roman"/>
          <w:color w:val="000000" w:themeColor="text1"/>
          <w:sz w:val="24"/>
          <w:szCs w:val="24"/>
          <w:u w:color="FF0000"/>
        </w:rPr>
      </w:pPr>
      <w:r w:rsidRPr="00BD14B0">
        <w:rPr>
          <w:rFonts w:ascii="Times New Roman" w:hAnsi="Times New Roman" w:cs="Times New Roman"/>
          <w:color w:val="000000" w:themeColor="text1"/>
          <w:sz w:val="24"/>
          <w:szCs w:val="24"/>
          <w:u w:color="FF0000"/>
        </w:rPr>
        <w:t xml:space="preserve">However, a more recent experiment concluded that gaze cue of the </w:t>
      </w:r>
      <w:r w:rsidRPr="00BD14B0">
        <w:rPr>
          <w:rFonts w:ascii="Times New Roman" w:hAnsi="Times New Roman" w:cs="Times New Roman"/>
          <w:noProof/>
          <w:color w:val="000000" w:themeColor="text1"/>
          <w:sz w:val="24"/>
          <w:szCs w:val="24"/>
        </w:rPr>
        <w:t>dominant</w:t>
      </w:r>
      <w:r w:rsidRPr="00BD14B0">
        <w:rPr>
          <w:rFonts w:ascii="Times New Roman" w:hAnsi="Times New Roman" w:cs="Times New Roman"/>
          <w:color w:val="000000" w:themeColor="text1"/>
          <w:sz w:val="24"/>
          <w:szCs w:val="24"/>
          <w:u w:color="FF0000"/>
        </w:rPr>
        <w:t xml:space="preserve"> male face is effective both in threat and no-threat condition</w:t>
      </w:r>
      <w:r w:rsidR="007C48B4" w:rsidRPr="00BD14B0">
        <w:rPr>
          <w:rFonts w:ascii="Times New Roman" w:hAnsi="Times New Roman" w:cs="Times New Roman"/>
          <w:color w:val="000000" w:themeColor="text1"/>
          <w:sz w:val="24"/>
          <w:szCs w:val="24"/>
          <w:u w:color="FF0000"/>
        </w:rPr>
        <w:t>s</w:t>
      </w:r>
      <w:r w:rsidRPr="00BD14B0">
        <w:rPr>
          <w:rFonts w:ascii="Times New Roman" w:hAnsi="Times New Roman" w:cs="Times New Roman"/>
          <w:color w:val="000000" w:themeColor="text1"/>
          <w:sz w:val="24"/>
          <w:szCs w:val="24"/>
          <w:u w:color="FF0000"/>
        </w:rPr>
        <w:t xml:space="preserve"> wh</w:t>
      </w:r>
      <w:r w:rsidR="007C48B4" w:rsidRPr="00BD14B0">
        <w:rPr>
          <w:rFonts w:ascii="Times New Roman" w:hAnsi="Times New Roman" w:cs="Times New Roman"/>
          <w:color w:val="000000" w:themeColor="text1"/>
          <w:sz w:val="24"/>
          <w:szCs w:val="24"/>
          <w:u w:color="FF0000"/>
        </w:rPr>
        <w:t>ereas</w:t>
      </w:r>
      <w:r w:rsidRPr="00BD14B0">
        <w:rPr>
          <w:rFonts w:ascii="Times New Roman" w:hAnsi="Times New Roman" w:cs="Times New Roman"/>
          <w:color w:val="000000" w:themeColor="text1"/>
          <w:sz w:val="24"/>
          <w:szCs w:val="24"/>
          <w:u w:color="FF0000"/>
        </w:rPr>
        <w:t xml:space="preserve"> the </w:t>
      </w:r>
      <w:r w:rsidRPr="00BD14B0">
        <w:rPr>
          <w:rFonts w:ascii="Times New Roman" w:hAnsi="Times New Roman" w:cs="Times New Roman"/>
          <w:noProof/>
          <w:color w:val="000000" w:themeColor="text1"/>
          <w:sz w:val="24"/>
          <w:szCs w:val="24"/>
        </w:rPr>
        <w:t>non-dominant</w:t>
      </w:r>
      <w:r w:rsidRPr="00BD14B0">
        <w:rPr>
          <w:rFonts w:ascii="Times New Roman" w:hAnsi="Times New Roman" w:cs="Times New Roman"/>
          <w:color w:val="000000" w:themeColor="text1"/>
          <w:sz w:val="24"/>
          <w:szCs w:val="24"/>
          <w:u w:color="FF0000"/>
        </w:rPr>
        <w:t xml:space="preserve"> female face </w:t>
      </w:r>
      <w:r w:rsidRPr="00BD14B0">
        <w:rPr>
          <w:rFonts w:ascii="Times New Roman" w:hAnsi="Times New Roman" w:cs="Times New Roman"/>
          <w:noProof/>
          <w:color w:val="000000" w:themeColor="text1"/>
          <w:sz w:val="24"/>
          <w:szCs w:val="24"/>
        </w:rPr>
        <w:t>only influenced</w:t>
      </w:r>
      <w:r w:rsidRPr="00BD14B0">
        <w:rPr>
          <w:rFonts w:ascii="Times New Roman" w:hAnsi="Times New Roman" w:cs="Times New Roman"/>
          <w:color w:val="000000" w:themeColor="text1"/>
          <w:sz w:val="24"/>
          <w:szCs w:val="24"/>
          <w:u w:color="FF0000"/>
        </w:rPr>
        <w:t xml:space="preserve"> performance in </w:t>
      </w:r>
      <w:r w:rsidR="007C48B4" w:rsidRPr="00BD14B0">
        <w:rPr>
          <w:rFonts w:ascii="Times New Roman" w:hAnsi="Times New Roman" w:cs="Times New Roman"/>
          <w:color w:val="000000" w:themeColor="text1"/>
          <w:sz w:val="24"/>
          <w:szCs w:val="24"/>
          <w:u w:color="FF0000"/>
        </w:rPr>
        <w:t xml:space="preserve">a </w:t>
      </w:r>
      <w:r w:rsidRPr="00BD14B0">
        <w:rPr>
          <w:rFonts w:ascii="Times New Roman" w:hAnsi="Times New Roman" w:cs="Times New Roman"/>
          <w:color w:val="000000" w:themeColor="text1"/>
          <w:sz w:val="24"/>
          <w:szCs w:val="24"/>
          <w:u w:color="FF0000"/>
        </w:rPr>
        <w:t>no-threat condition (</w:t>
      </w:r>
      <w:r w:rsidRPr="00BD14B0">
        <w:rPr>
          <w:rFonts w:ascii="Times New Roman" w:hAnsi="Times New Roman" w:cs="Times New Roman"/>
          <w:noProof/>
          <w:color w:val="000000" w:themeColor="text1"/>
          <w:sz w:val="24"/>
          <w:szCs w:val="24"/>
        </w:rPr>
        <w:fldChar w:fldCharType="begin" w:fldLock="1"/>
      </w:r>
      <w:r w:rsidR="004D2901" w:rsidRPr="00BD14B0">
        <w:rPr>
          <w:rFonts w:ascii="Times New Roman" w:hAnsi="Times New Roman" w:cs="Times New Roman"/>
          <w:noProof/>
          <w:color w:val="000000" w:themeColor="text1"/>
          <w:sz w:val="24"/>
          <w:szCs w:val="24"/>
        </w:rPr>
        <w:instrText>ADDIN CSL_CITATION {"citationItems":[{"id":"ITEM-1","itemData":{"DOI":"10.1371/journal.pone.0059471","ISSN":"1932-6203","abstract":"Gaze following is a socio-cognitive process that provides adaptive information about potential threats and opportunities in the individual's environment. The aim of the present study was to investigate the potential interaction between emotional context and facial dominance in gaze following. We used the gaze cue task to induce attention to or away from the location of a target stimulus. In the experiment, the gaze cue either belonged to a (dominant looking) male face or a (non-dominant looking) female face. Critically, prior to the task, individuals were primed with pictures of threat or no threat to induce either a dangerous or safe environment. Findings revealed that the primed emotional context critically influenced the gaze cuing effect. While a gaze cue of the dominant male face influenced performance in both the threat and no-threat conditions, the gaze cue of the non-dominant female face only influenced performance in the no-threat condition. This research suggests an implicit, context-dependent follower bias, which carries implications for research on visual attention, social cognition, and leadership.","author":[{"dropping-particle":"","family":"Ohlsen","given":"Garian","non-dropping-particle":"","parse-names":false,"suffix":""},{"dropping-particle":"","family":"Zoest","given":"Wieske","non-dropping-particle":"van","parse-names":false,"suffix":""},{"dropping-particle":"","family":"Vugt","given":"Mark","non-dropping-particle":"van","parse-names":false,"suffix":""}],"container-title":"PLoS ONE","editor":[{"dropping-particle":"","family":"Avenanti","given":"Alessio","non-dropping-particle":"","parse-names":false,"suffix":""}],"id":"ITEM-1","issue":"4","issued":{"date-parts":[["2013","4","3"]]},"note":"Times Cited: 7\n7","page":"e59471","title":"Gender and Facial Dominance in Gaze Cuing: Emotional Context Matters in the Eyes That We Follow","type":"article-journal","volume":"8"},"uris":["http://www.mendeley.com/documents/?uuid=7d99e529-16ff-4ecc-9ded-0ca936d93c3c"]}],"mendeley":{"formattedCitation":"(Ohlsen et al., 2013)","manualFormatting":"Ohlsen, van Zoest, &amp; van Vugt 2013)","plainTextFormattedCitation":"(Ohlsen et al., 2013)","previouslyFormattedCitation":"(Ohlsen et al., 2013)"},"properties":{"noteIndex":0},"schema":"https://github.com/citation-style-language/schema/raw/master/csl-citation.json"}</w:instrText>
      </w:r>
      <w:r w:rsidRPr="00BD14B0">
        <w:rPr>
          <w:rFonts w:ascii="Times New Roman" w:hAnsi="Times New Roman" w:cs="Times New Roman"/>
          <w:noProof/>
          <w:color w:val="000000" w:themeColor="text1"/>
          <w:sz w:val="24"/>
          <w:szCs w:val="24"/>
        </w:rPr>
        <w:fldChar w:fldCharType="separate"/>
      </w:r>
      <w:r w:rsidRPr="00BD14B0">
        <w:rPr>
          <w:rFonts w:ascii="Times New Roman" w:hAnsi="Times New Roman" w:cs="Times New Roman"/>
          <w:noProof/>
          <w:color w:val="000000" w:themeColor="text1"/>
          <w:sz w:val="24"/>
          <w:szCs w:val="24"/>
        </w:rPr>
        <w:t>Ohlsen, van Zoest, &amp; van Vugt 2013)</w:t>
      </w:r>
      <w:r w:rsidRPr="00BD14B0">
        <w:rPr>
          <w:rFonts w:ascii="Times New Roman" w:hAnsi="Times New Roman" w:cs="Times New Roman"/>
          <w:noProof/>
          <w:color w:val="000000" w:themeColor="text1"/>
          <w:sz w:val="24"/>
          <w:szCs w:val="24"/>
        </w:rPr>
        <w:fldChar w:fldCharType="end"/>
      </w:r>
      <w:r w:rsidRPr="00BD14B0">
        <w:rPr>
          <w:rFonts w:ascii="Times New Roman" w:hAnsi="Times New Roman" w:cs="Times New Roman"/>
          <w:color w:val="000000" w:themeColor="text1"/>
          <w:sz w:val="24"/>
          <w:szCs w:val="24"/>
          <w:u w:color="FF0000"/>
        </w:rPr>
        <w:t xml:space="preserve">. </w:t>
      </w:r>
      <w:r w:rsidR="00383C0E" w:rsidRPr="00BD14B0">
        <w:rPr>
          <w:rFonts w:ascii="Times New Roman" w:hAnsi="Times New Roman" w:cs="Times New Roman"/>
          <w:noProof/>
          <w:color w:val="000000" w:themeColor="text1"/>
          <w:sz w:val="24"/>
          <w:szCs w:val="24"/>
        </w:rPr>
        <w:fldChar w:fldCharType="begin" w:fldLock="1"/>
      </w:r>
      <w:r w:rsidR="004D2901" w:rsidRPr="00BD14B0">
        <w:rPr>
          <w:rFonts w:ascii="Times New Roman" w:hAnsi="Times New Roman" w:cs="Times New Roman"/>
          <w:noProof/>
          <w:color w:val="000000" w:themeColor="text1"/>
          <w:sz w:val="24"/>
          <w:szCs w:val="24"/>
        </w:rPr>
        <w:instrText>ADDIN CSL_CITATION {"citationItems":[{"id":"ITEM-1","itemData":{"DOI":"10.1371/journal.pone.0059471","ISSN":"1932-6203","abstract":"Gaze following is a socio-cognitive process that provides adaptive information about potential threats and opportunities in the individual's environment. The aim of the present study was to investigate the potential interaction between emotional context and facial dominance in gaze following. We used the gaze cue task to induce attention to or away from the location of a target stimulus. In the experiment, the gaze cue either belonged to a (dominant looking) male face or a (non-dominant looking) female face. Critically, prior to the task, individuals were primed with pictures of threat or no threat to induce either a dangerous or safe environment. Findings revealed that the primed emotional context critically influenced the gaze cuing effect. While a gaze cue of the dominant male face influenced performance in both the threat and no-threat conditions, the gaze cue of the non-dominant female face only influenced performance in the no-threat condition. This research suggests an implicit, context-dependent follower bias, which carries implications for research on visual attention, social cognition, and leadership.","author":[{"dropping-particle":"","family":"Ohlsen","given":"Garian","non-dropping-particle":"","parse-names":false,"suffix":""},{"dropping-particle":"","family":"Zoest","given":"Wieske","non-dropping-particle":"van","parse-names":false,"suffix":""},{"dropping-particle":"","family":"Vugt","given":"Mark","non-dropping-particle":"van","parse-names":false,"suffix":""}],"container-title":"PLoS ONE","editor":[{"dropping-particle":"","family":"Avenanti","given":"Alessio","non-dropping-particle":"","parse-names":false,"suffix":""}],"id":"ITEM-1","issue":"4","issued":{"date-parts":[["2013","4","3"]]},"note":"Times Cited: 7\n7","page":"e59471","title":"Gender and Facial Dominance in Gaze Cuing: Emotional Context Matters in the Eyes That We Follow","type":"article-journal","volume":"8"},"uris":["http://www.mendeley.com/documents/?uuid=7d99e529-16ff-4ecc-9ded-0ca936d93c3c"]}],"mendeley":{"formattedCitation":"(Ohlsen et al., 2013)","manualFormatting":"Ohlsen, van Zoest, and van Vugt (2013)","plainTextFormattedCitation":"(Ohlsen et al., 2013)","previouslyFormattedCitation":"(Ohlsen et al., 2013)"},"properties":{"noteIndex":0},"schema":"https://github.com/citation-style-language/schema/raw/master/csl-citation.json"}</w:instrText>
      </w:r>
      <w:r w:rsidR="00383C0E" w:rsidRPr="00BD14B0">
        <w:rPr>
          <w:rFonts w:ascii="Times New Roman" w:hAnsi="Times New Roman" w:cs="Times New Roman"/>
          <w:noProof/>
          <w:color w:val="000000" w:themeColor="text1"/>
          <w:sz w:val="24"/>
          <w:szCs w:val="24"/>
        </w:rPr>
        <w:fldChar w:fldCharType="separate"/>
      </w:r>
      <w:r w:rsidR="00383C0E" w:rsidRPr="00BD14B0">
        <w:rPr>
          <w:rFonts w:ascii="Times New Roman" w:hAnsi="Times New Roman" w:cs="Times New Roman"/>
          <w:noProof/>
          <w:color w:val="000000" w:themeColor="text1"/>
          <w:sz w:val="24"/>
          <w:szCs w:val="24"/>
        </w:rPr>
        <w:t>Ohlsen, van Zoest, and van Vugt (2013)</w:t>
      </w:r>
      <w:r w:rsidR="00383C0E" w:rsidRPr="00BD14B0">
        <w:rPr>
          <w:rFonts w:ascii="Times New Roman" w:hAnsi="Times New Roman" w:cs="Times New Roman"/>
          <w:noProof/>
          <w:color w:val="000000" w:themeColor="text1"/>
          <w:sz w:val="24"/>
          <w:szCs w:val="24"/>
        </w:rPr>
        <w:fldChar w:fldCharType="end"/>
      </w:r>
      <w:r w:rsidR="00383C0E" w:rsidRPr="00BD14B0">
        <w:rPr>
          <w:rFonts w:ascii="Times New Roman" w:hAnsi="Times New Roman" w:cs="Times New Roman"/>
          <w:noProof/>
          <w:color w:val="000000" w:themeColor="text1"/>
          <w:sz w:val="24"/>
          <w:szCs w:val="24"/>
        </w:rPr>
        <w:t xml:space="preserve"> </w:t>
      </w:r>
      <w:r w:rsidRPr="00BD14B0">
        <w:rPr>
          <w:rFonts w:ascii="Times New Roman" w:hAnsi="Times New Roman" w:cs="Times New Roman"/>
          <w:color w:val="000000" w:themeColor="text1"/>
          <w:sz w:val="24"/>
          <w:szCs w:val="24"/>
          <w:u w:color="FF0000"/>
        </w:rPr>
        <w:t xml:space="preserve">showed that although non-dominant female faces successfully affected gaze cueing, this only occurred in no-threat condition compared to threat condition; hence this affect was context dependent. The authors argued that these findings are compatible with leadership theories of evolutionary psychology, the idea that physically weaker individuals would be less likely to offer safety in dangerous situations. Hence, they argued that non-dominant looking females would be less likely to be followed via their eye gaze specifically </w:t>
      </w:r>
      <w:r w:rsidR="00383C0E" w:rsidRPr="00BD14B0">
        <w:rPr>
          <w:rFonts w:ascii="Times New Roman" w:hAnsi="Times New Roman" w:cs="Times New Roman"/>
          <w:color w:val="000000" w:themeColor="text1"/>
          <w:sz w:val="24"/>
          <w:szCs w:val="24"/>
          <w:u w:color="FF0000"/>
        </w:rPr>
        <w:t xml:space="preserve">in the </w:t>
      </w:r>
      <w:r w:rsidRPr="00BD14B0">
        <w:rPr>
          <w:rFonts w:ascii="Times New Roman" w:hAnsi="Times New Roman" w:cs="Times New Roman"/>
          <w:color w:val="000000" w:themeColor="text1"/>
          <w:sz w:val="24"/>
          <w:szCs w:val="24"/>
          <w:u w:color="FF0000"/>
        </w:rPr>
        <w:t>threatening condition.</w:t>
      </w:r>
      <w:r w:rsidR="00383C0E" w:rsidRPr="00BD14B0">
        <w:rPr>
          <w:rFonts w:ascii="Times New Roman" w:hAnsi="Times New Roman" w:cs="Times New Roman"/>
          <w:color w:val="000000" w:themeColor="text1"/>
          <w:sz w:val="24"/>
          <w:szCs w:val="24"/>
          <w:u w:color="FF0000"/>
        </w:rPr>
        <w:t xml:space="preserve"> </w:t>
      </w:r>
      <w:r w:rsidRPr="00BD14B0">
        <w:rPr>
          <w:rFonts w:ascii="Times New Roman" w:hAnsi="Times New Roman" w:cs="Times New Roman"/>
          <w:noProof/>
          <w:color w:val="000000" w:themeColor="text1"/>
          <w:sz w:val="24"/>
          <w:szCs w:val="24"/>
        </w:rPr>
        <w:fldChar w:fldCharType="begin" w:fldLock="1"/>
      </w:r>
      <w:r w:rsidR="004D2901" w:rsidRPr="00BD14B0">
        <w:rPr>
          <w:rFonts w:ascii="Times New Roman" w:hAnsi="Times New Roman" w:cs="Times New Roman"/>
          <w:noProof/>
          <w:color w:val="000000" w:themeColor="text1"/>
          <w:sz w:val="24"/>
          <w:szCs w:val="24"/>
        </w:rPr>
        <w:instrText>ADDIN CSL_CITATION {"citationItems":[{"id":"ITEM-1","itemData":{"DOI":"10.1371/journal.pone.0059471","ISSN":"1932-6203","abstract":"Gaze following is a socio-cognitive process that provides adaptive information about potential threats and opportunities in the individual's environment. The aim of the present study was to investigate the potential interaction between emotional context and facial dominance in gaze following. We used the gaze cue task to induce attention to or away from the location of a target stimulus. In the experiment, the gaze cue either belonged to a (dominant looking) male face or a (non-dominant looking) female face. Critically, prior to the task, individuals were primed with pictures of threat or no threat to induce either a dangerous or safe environment. Findings revealed that the primed emotional context critically influenced the gaze cuing effect. While a gaze cue of the dominant male face influenced performance in both the threat and no-threat conditions, the gaze cue of the non-dominant female face only influenced performance in the no-threat condition. This research suggests an implicit, context-dependent follower bias, which carries implications for research on visual attention, social cognition, and leadership.","author":[{"dropping-particle":"","family":"Ohlsen","given":"Garian","non-dropping-particle":"","parse-names":false,"suffix":""},{"dropping-particle":"","family":"Zoest","given":"Wieske","non-dropping-particle":"van","parse-names":false,"suffix":""},{"dropping-particle":"","family":"Vugt","given":"Mark","non-dropping-particle":"van","parse-names":false,"suffix":""}],"container-title":"PLoS ONE","editor":[{"dropping-particle":"","family":"Avenanti","given":"Alessio","non-dropping-particle":"","parse-names":false,"suffix":""}],"id":"ITEM-1","issue":"4","issued":{"date-parts":[["2013","4","3"]]},"note":"Times Cited: 7\n7","page":"e59471","title":"Gender and Facial Dominance in Gaze Cuing: Emotional Context Matters in the Eyes That We Follow","type":"article-journal","volume":"8"},"uris":["http://www.mendeley.com/documents/?uuid=7d99e529-16ff-4ecc-9ded-0ca936d93c3c"]}],"mendeley":{"formattedCitation":"(Ohlsen et al., 2013)","manualFormatting":"Ohlsen, van Zoest, and van Vugt (2013)","plainTextFormattedCitation":"(Ohlsen et al., 2013)","previouslyFormattedCitation":"(Ohlsen et al., 2013)"},"properties":{"noteIndex":0},"schema":"https://github.com/citation-style-language/schema/raw/master/csl-citation.json"}</w:instrText>
      </w:r>
      <w:r w:rsidRPr="00BD14B0">
        <w:rPr>
          <w:rFonts w:ascii="Times New Roman" w:hAnsi="Times New Roman" w:cs="Times New Roman"/>
          <w:noProof/>
          <w:color w:val="000000" w:themeColor="text1"/>
          <w:sz w:val="24"/>
          <w:szCs w:val="24"/>
        </w:rPr>
        <w:fldChar w:fldCharType="separate"/>
      </w:r>
      <w:r w:rsidRPr="00BD14B0">
        <w:rPr>
          <w:rFonts w:ascii="Times New Roman" w:hAnsi="Times New Roman" w:cs="Times New Roman"/>
          <w:noProof/>
          <w:color w:val="000000" w:themeColor="text1"/>
          <w:sz w:val="24"/>
          <w:szCs w:val="24"/>
        </w:rPr>
        <w:t xml:space="preserve">Ohlsen, van Zoest, and van Vugt </w:t>
      </w:r>
      <w:r w:rsidRPr="00BD14B0">
        <w:rPr>
          <w:rFonts w:ascii="Times New Roman" w:hAnsi="Times New Roman" w:cs="Times New Roman"/>
          <w:noProof/>
          <w:color w:val="000000" w:themeColor="text1"/>
          <w:sz w:val="24"/>
          <w:szCs w:val="24"/>
        </w:rPr>
        <w:lastRenderedPageBreak/>
        <w:t>(2013)</w:t>
      </w:r>
      <w:r w:rsidRPr="00BD14B0">
        <w:rPr>
          <w:rFonts w:ascii="Times New Roman" w:hAnsi="Times New Roman" w:cs="Times New Roman"/>
          <w:noProof/>
          <w:color w:val="000000" w:themeColor="text1"/>
          <w:sz w:val="24"/>
          <w:szCs w:val="24"/>
        </w:rPr>
        <w:fldChar w:fldCharType="end"/>
      </w:r>
      <w:r w:rsidRPr="00BD14B0">
        <w:rPr>
          <w:rFonts w:ascii="Times New Roman" w:hAnsi="Times New Roman" w:cs="Times New Roman"/>
          <w:noProof/>
          <w:color w:val="000000" w:themeColor="text1"/>
          <w:sz w:val="24"/>
          <w:szCs w:val="24"/>
        </w:rPr>
        <w:t xml:space="preserve"> </w:t>
      </w:r>
      <w:r w:rsidR="00383C0E" w:rsidRPr="00BD14B0">
        <w:rPr>
          <w:rFonts w:ascii="Times New Roman" w:hAnsi="Times New Roman" w:cs="Times New Roman"/>
          <w:noProof/>
          <w:color w:val="000000" w:themeColor="text1"/>
          <w:sz w:val="24"/>
          <w:szCs w:val="24"/>
        </w:rPr>
        <w:t xml:space="preserve">further </w:t>
      </w:r>
      <w:r w:rsidRPr="00BD14B0">
        <w:rPr>
          <w:rFonts w:ascii="Times New Roman" w:hAnsi="Times New Roman" w:cs="Times New Roman"/>
          <w:noProof/>
          <w:color w:val="000000" w:themeColor="text1"/>
          <w:sz w:val="24"/>
          <w:szCs w:val="24"/>
        </w:rPr>
        <w:t xml:space="preserve">argued that the difference between male and female faces are contrary to the idea that gaze cues are determined by low level, bottom-up differences. In their experiment the dominant male face caused an overall larger gaze cueing effect </w:t>
      </w:r>
      <w:r w:rsidR="00383C0E" w:rsidRPr="00BD14B0">
        <w:rPr>
          <w:rFonts w:ascii="Times New Roman" w:hAnsi="Times New Roman" w:cs="Times New Roman"/>
          <w:noProof/>
          <w:color w:val="000000" w:themeColor="text1"/>
          <w:sz w:val="24"/>
          <w:szCs w:val="24"/>
        </w:rPr>
        <w:t>despite</w:t>
      </w:r>
      <w:r w:rsidRPr="00BD14B0">
        <w:rPr>
          <w:rFonts w:ascii="Times New Roman" w:hAnsi="Times New Roman" w:cs="Times New Roman"/>
          <w:noProof/>
          <w:color w:val="000000" w:themeColor="text1"/>
          <w:sz w:val="24"/>
          <w:szCs w:val="24"/>
        </w:rPr>
        <w:t xml:space="preserve"> having smaller eyes and less visiable sclera compared to </w:t>
      </w:r>
      <w:r w:rsidR="00383C0E" w:rsidRPr="00BD14B0">
        <w:rPr>
          <w:rFonts w:ascii="Times New Roman" w:hAnsi="Times New Roman" w:cs="Times New Roman"/>
          <w:noProof/>
          <w:color w:val="000000" w:themeColor="text1"/>
          <w:sz w:val="24"/>
          <w:szCs w:val="24"/>
        </w:rPr>
        <w:t xml:space="preserve">the </w:t>
      </w:r>
      <w:r w:rsidRPr="00BD14B0">
        <w:rPr>
          <w:rFonts w:ascii="Times New Roman" w:hAnsi="Times New Roman" w:cs="Times New Roman"/>
          <w:noProof/>
          <w:color w:val="000000" w:themeColor="text1"/>
          <w:sz w:val="24"/>
          <w:szCs w:val="24"/>
        </w:rPr>
        <w:t xml:space="preserve">non-dominant looking female face. Theories explaining gaze cueing with low level perceptual differences would have proposed that visiable sclera should cause an enhanced gaze cueing becasuse the constrast in the pupil and white part of the eyes would be more visiable </w:t>
      </w:r>
      <w:r w:rsidRPr="00BD14B0">
        <w:rPr>
          <w:rFonts w:ascii="Times New Roman" w:hAnsi="Times New Roman" w:cs="Times New Roman"/>
          <w:color w:val="000000" w:themeColor="text1"/>
          <w:sz w:val="24"/>
          <w:szCs w:val="24"/>
          <w:u w:color="FF0000"/>
        </w:rPr>
        <w:t>(</w:t>
      </w:r>
      <w:r w:rsidRPr="00BD14B0">
        <w:rPr>
          <w:rFonts w:ascii="Times New Roman" w:hAnsi="Times New Roman" w:cs="Times New Roman"/>
          <w:noProof/>
          <w:color w:val="000000" w:themeColor="text1"/>
          <w:sz w:val="24"/>
          <w:szCs w:val="24"/>
        </w:rPr>
        <w:fldChar w:fldCharType="begin" w:fldLock="1"/>
      </w:r>
      <w:r w:rsidR="004D2901" w:rsidRPr="00BD14B0">
        <w:rPr>
          <w:rFonts w:ascii="Times New Roman" w:hAnsi="Times New Roman" w:cs="Times New Roman"/>
          <w:noProof/>
          <w:color w:val="000000" w:themeColor="text1"/>
          <w:sz w:val="24"/>
          <w:szCs w:val="24"/>
        </w:rPr>
        <w:instrText>ADDIN CSL_CITATION {"citationItems":[{"id":"ITEM-1","itemData":{"DOI":"10.1371/journal.pone.0059471","ISSN":"1932-6203","abstract":"Gaze following is a socio-cognitive process that provides adaptive information about potential threats and opportunities in the individual's environment. The aim of the present study was to investigate the potential interaction between emotional context and facial dominance in gaze following. We used the gaze cue task to induce attention to or away from the location of a target stimulus. In the experiment, the gaze cue either belonged to a (dominant looking) male face or a (non-dominant looking) female face. Critically, prior to the task, individuals were primed with pictures of threat or no threat to induce either a dangerous or safe environment. Findings revealed that the primed emotional context critically influenced the gaze cuing effect. While a gaze cue of the dominant male face influenced performance in both the threat and no-threat conditions, the gaze cue of the non-dominant female face only influenced performance in the no-threat condition. This research suggests an implicit, context-dependent follower bias, which carries implications for research on visual attention, social cognition, and leadership.","author":[{"dropping-particle":"","family":"Ohlsen","given":"Garian","non-dropping-particle":"","parse-names":false,"suffix":""},{"dropping-particle":"","family":"Zoest","given":"Wieske","non-dropping-particle":"van","parse-names":false,"suffix":""},{"dropping-particle":"","family":"Vugt","given":"Mark","non-dropping-particle":"van","parse-names":false,"suffix":""}],"container-title":"PLoS ONE","editor":[{"dropping-particle":"","family":"Avenanti","given":"Alessio","non-dropping-particle":"","parse-names":false,"suffix":""}],"id":"ITEM-1","issue":"4","issued":{"date-parts":[["2013","4","3"]]},"note":"Times Cited: 7\n7","page":"e59471","title":"Gender and Facial Dominance in Gaze Cuing: Emotional Context Matters in the Eyes That We Follow","type":"article-journal","volume":"8"},"uris":["http://www.mendeley.com/documents/?uuid=7d99e529-16ff-4ecc-9ded-0ca936d93c3c"]}],"mendeley":{"formattedCitation":"(Ohlsen et al., 2013)","manualFormatting":"Ohlsen, van Zoest, &amp; van Vugt, 2013)","plainTextFormattedCitation":"(Ohlsen et al., 2013)","previouslyFormattedCitation":"(Ohlsen et al., 2013)"},"properties":{"noteIndex":0},"schema":"https://github.com/citation-style-language/schema/raw/master/csl-citation.json"}</w:instrText>
      </w:r>
      <w:r w:rsidRPr="00BD14B0">
        <w:rPr>
          <w:rFonts w:ascii="Times New Roman" w:hAnsi="Times New Roman" w:cs="Times New Roman"/>
          <w:noProof/>
          <w:color w:val="000000" w:themeColor="text1"/>
          <w:sz w:val="24"/>
          <w:szCs w:val="24"/>
        </w:rPr>
        <w:fldChar w:fldCharType="separate"/>
      </w:r>
      <w:r w:rsidRPr="00BD14B0">
        <w:rPr>
          <w:rFonts w:ascii="Times New Roman" w:hAnsi="Times New Roman" w:cs="Times New Roman"/>
          <w:noProof/>
          <w:color w:val="000000" w:themeColor="text1"/>
          <w:sz w:val="24"/>
          <w:szCs w:val="24"/>
        </w:rPr>
        <w:t>Ohlsen, van Zoest, &amp; van Vugt, 2013)</w:t>
      </w:r>
      <w:r w:rsidRPr="00BD14B0">
        <w:rPr>
          <w:rFonts w:ascii="Times New Roman" w:hAnsi="Times New Roman" w:cs="Times New Roman"/>
          <w:noProof/>
          <w:color w:val="000000" w:themeColor="text1"/>
          <w:sz w:val="24"/>
          <w:szCs w:val="24"/>
        </w:rPr>
        <w:fldChar w:fldCharType="end"/>
      </w:r>
      <w:r w:rsidRPr="00BD14B0">
        <w:rPr>
          <w:rFonts w:ascii="Times New Roman" w:hAnsi="Times New Roman" w:cs="Times New Roman"/>
          <w:noProof/>
          <w:color w:val="000000" w:themeColor="text1"/>
          <w:sz w:val="24"/>
          <w:szCs w:val="24"/>
        </w:rPr>
        <w:t>. However, the results were in opposite direction in the non-threat condition. This suggests that the gaze cueing difference in the non-theathening condition was</w:t>
      </w:r>
      <w:r w:rsidR="00684C8B" w:rsidRPr="00BD14B0">
        <w:rPr>
          <w:rFonts w:ascii="Times New Roman" w:hAnsi="Times New Roman" w:cs="Times New Roman"/>
          <w:noProof/>
          <w:color w:val="000000" w:themeColor="text1"/>
          <w:sz w:val="24"/>
          <w:szCs w:val="24"/>
        </w:rPr>
        <w:t xml:space="preserve"> </w:t>
      </w:r>
      <w:r w:rsidRPr="00BD14B0">
        <w:rPr>
          <w:rFonts w:ascii="Times New Roman" w:hAnsi="Times New Roman" w:cs="Times New Roman"/>
          <w:noProof/>
          <w:color w:val="000000" w:themeColor="text1"/>
          <w:sz w:val="24"/>
          <w:szCs w:val="24"/>
        </w:rPr>
        <w:t xml:space="preserve">influened by higher-level social, top-down system and not the bottom-up system. </w:t>
      </w:r>
      <w:r w:rsidRPr="00BD14B0">
        <w:rPr>
          <w:rFonts w:ascii="Times New Roman" w:hAnsi="Times New Roman" w:cs="Times New Roman"/>
          <w:color w:val="000000" w:themeColor="text1"/>
          <w:sz w:val="24"/>
          <w:szCs w:val="24"/>
          <w:u w:color="FF0000"/>
        </w:rPr>
        <w:t xml:space="preserve">Earlier research on animal examine gaze cues and later research with humans has found that dominant faces </w:t>
      </w:r>
      <w:r w:rsidRPr="00BD14B0">
        <w:rPr>
          <w:rFonts w:ascii="Times New Roman" w:hAnsi="Times New Roman" w:cs="Times New Roman"/>
          <w:noProof/>
          <w:color w:val="000000" w:themeColor="text1"/>
          <w:sz w:val="24"/>
          <w:szCs w:val="24"/>
        </w:rPr>
        <w:t>affect</w:t>
      </w:r>
      <w:r w:rsidRPr="00BD14B0">
        <w:rPr>
          <w:rFonts w:ascii="Times New Roman" w:hAnsi="Times New Roman" w:cs="Times New Roman"/>
          <w:color w:val="000000" w:themeColor="text1"/>
          <w:sz w:val="24"/>
          <w:szCs w:val="24"/>
          <w:u w:color="FF0000"/>
        </w:rPr>
        <w:t xml:space="preserve"> </w:t>
      </w:r>
      <w:r w:rsidRPr="00BD14B0">
        <w:rPr>
          <w:rFonts w:ascii="Times New Roman" w:hAnsi="Times New Roman" w:cs="Times New Roman"/>
          <w:noProof/>
          <w:color w:val="000000" w:themeColor="text1"/>
          <w:sz w:val="24"/>
          <w:szCs w:val="24"/>
        </w:rPr>
        <w:t>gaze-following</w:t>
      </w:r>
      <w:r w:rsidRPr="00BD14B0">
        <w:rPr>
          <w:rFonts w:ascii="Times New Roman" w:hAnsi="Times New Roman" w:cs="Times New Roman"/>
          <w:color w:val="000000" w:themeColor="text1"/>
          <w:sz w:val="24"/>
          <w:szCs w:val="24"/>
          <w:u w:color="FF0000"/>
        </w:rPr>
        <w:t xml:space="preserve"> </w:t>
      </w:r>
      <w:r w:rsidRPr="00BD14B0">
        <w:rPr>
          <w:rFonts w:ascii="Times New Roman" w:hAnsi="Times New Roman" w:cs="Times New Roman"/>
          <w:noProof/>
          <w:color w:val="000000" w:themeColor="text1"/>
          <w:sz w:val="24"/>
          <w:szCs w:val="24"/>
        </w:rPr>
        <w:t>behaviour</w:t>
      </w:r>
      <w:r w:rsidRPr="00BD14B0">
        <w:rPr>
          <w:rFonts w:ascii="Times New Roman" w:hAnsi="Times New Roman" w:cs="Times New Roman"/>
          <w:color w:val="000000" w:themeColor="text1"/>
          <w:sz w:val="24"/>
          <w:szCs w:val="24"/>
          <w:u w:color="FF0000"/>
        </w:rPr>
        <w:t xml:space="preserve"> specifically in shorter SOAs and this enhanced gaze cueing diminishes over time, thus suggesting this effect is involuntary</w:t>
      </w:r>
      <w:r w:rsidR="003972D8" w:rsidRPr="00BD14B0">
        <w:rPr>
          <w:rFonts w:ascii="Times New Roman" w:hAnsi="Times New Roman" w:cs="Times New Roman"/>
          <w:color w:val="000000" w:themeColor="text1"/>
          <w:sz w:val="24"/>
          <w:szCs w:val="24"/>
          <w:u w:color="FF0000"/>
        </w:rPr>
        <w:t>. Later research has shown, however, that top-down, voluntary effects can occur depending on the context.</w:t>
      </w:r>
    </w:p>
    <w:p w14:paraId="2FC761FE" w14:textId="77777777" w:rsidR="006E3EA5" w:rsidRPr="00BD14B0" w:rsidRDefault="006E3EA5" w:rsidP="005953A0">
      <w:pPr>
        <w:pStyle w:val="Body"/>
        <w:spacing w:line="360" w:lineRule="auto"/>
        <w:ind w:firstLine="720"/>
        <w:rPr>
          <w:rFonts w:ascii="Times New Roman" w:hAnsi="Times New Roman" w:cs="Times New Roman"/>
          <w:color w:val="000000" w:themeColor="text1"/>
          <w:sz w:val="24"/>
          <w:szCs w:val="24"/>
          <w:u w:color="FF0000"/>
        </w:rPr>
      </w:pPr>
    </w:p>
    <w:p w14:paraId="42DFB5CC" w14:textId="11E6A10F" w:rsidR="00212AC9" w:rsidRPr="00BD14B0" w:rsidRDefault="006C4E35" w:rsidP="00D21204">
      <w:pPr>
        <w:pStyle w:val="Heading4"/>
        <w:numPr>
          <w:ilvl w:val="0"/>
          <w:numId w:val="0"/>
        </w:numPr>
        <w:ind w:left="851"/>
      </w:pPr>
      <w:r w:rsidRPr="00BD14B0">
        <w:t>Age</w:t>
      </w:r>
    </w:p>
    <w:p w14:paraId="05BADB5F" w14:textId="53FBEDFE" w:rsidR="00FA5590" w:rsidRPr="00BD14B0" w:rsidRDefault="005953A0" w:rsidP="00553E01">
      <w:pPr>
        <w:rPr>
          <w:u w:color="FF0000"/>
        </w:rPr>
      </w:pPr>
      <w:r w:rsidRPr="00BD14B0">
        <w:rPr>
          <w:u w:color="FF0000"/>
        </w:rPr>
        <w:tab/>
      </w:r>
      <w:r w:rsidR="005D13B0" w:rsidRPr="00BD14B0">
        <w:rPr>
          <w:u w:color="FF0000"/>
        </w:rPr>
        <w:t>Age is a strong indicator of social similarity and therefore may</w:t>
      </w:r>
      <w:r w:rsidR="005D13B0" w:rsidRPr="00BD14B0" w:rsidDel="008E26B3">
        <w:rPr>
          <w:u w:color="FF0000"/>
        </w:rPr>
        <w:t xml:space="preserve"> </w:t>
      </w:r>
      <w:r w:rsidR="005D13B0" w:rsidRPr="00BD14B0">
        <w:rPr>
          <w:u w:color="FF0000"/>
        </w:rPr>
        <w:t xml:space="preserve">influence gaze cueing. For example, experiencing faces with similar age range as oneself can lead to automatic and spontaneous social categorization into </w:t>
      </w:r>
      <w:r w:rsidR="005D13B0" w:rsidRPr="00BD14B0">
        <w:t>ingroup</w:t>
      </w:r>
      <w:r w:rsidR="005D13B0" w:rsidRPr="00BD14B0">
        <w:rPr>
          <w:u w:color="FF0000"/>
        </w:rPr>
        <w:t xml:space="preserve"> or outgroup </w:t>
      </w:r>
      <w:r w:rsidR="005D13B0" w:rsidRPr="00BD14B0">
        <w:rPr>
          <w:u w:color="FF0000"/>
        </w:rPr>
        <w:fldChar w:fldCharType="begin" w:fldLock="1"/>
      </w:r>
      <w:r w:rsidR="005D13B0" w:rsidRPr="00BD14B0">
        <w:rPr>
          <w:u w:color="FF0000"/>
        </w:rPr>
        <w:instrText>ADDIN CSL_CITATION {"citationItems":[{"id":"ITEM-1","itemData":{"ISSN":"00664308","author":[{"dropping-particle":"","family":"Macrae","given":"C Neil","non-dropping-particle":"","parse-names":false,"suffix":""},{"dropping-particle":"V","family":"Bodenhausen","given":"Galen","non-dropping-particle":"","parse-names":false,"suffix":""}],"container-title":"Annual Review of Psychology","id":"ITEM-1","issued":{"date-parts":[["2000"]]},"page":"93-120","title":"Social cognition: Thinking categorically about others","type":"article-journal","volume":"51"},"uris":["http://www.mendeley.com/documents/?uuid=84be848c-027d-4964-ab34-b669b10b4493"]}],"mendeley":{"formattedCitation":"(Macrae &amp; Bodenhausen, 2000)","plainTextFormattedCitation":"(Macrae &amp; Bodenhausen, 2000)","previouslyFormattedCitation":"(Macrae &amp; Bodenhausen, 2000)"},"properties":{"noteIndex":0},"schema":"https://github.com/citation-style-language/schema/raw/master/csl-citation.json"}</w:instrText>
      </w:r>
      <w:r w:rsidR="005D13B0" w:rsidRPr="00BD14B0">
        <w:rPr>
          <w:u w:color="FF0000"/>
        </w:rPr>
        <w:fldChar w:fldCharType="separate"/>
      </w:r>
      <w:r w:rsidR="005D13B0" w:rsidRPr="00BD14B0">
        <w:rPr>
          <w:noProof/>
          <w:u w:color="FF0000"/>
        </w:rPr>
        <w:t>(Macrae &amp; Bodenhausen, 2000)</w:t>
      </w:r>
      <w:r w:rsidR="005D13B0" w:rsidRPr="00BD14B0">
        <w:rPr>
          <w:u w:color="FF0000"/>
        </w:rPr>
        <w:fldChar w:fldCharType="end"/>
      </w:r>
      <w:r w:rsidR="005D13B0" w:rsidRPr="00BD14B0">
        <w:rPr>
          <w:u w:color="FF0000"/>
        </w:rPr>
        <w:t xml:space="preserve">. </w:t>
      </w:r>
      <w:r w:rsidR="005D13B0" w:rsidRPr="00BD14B0">
        <w:rPr>
          <w:u w:color="FF0000"/>
        </w:rPr>
        <w:fldChar w:fldCharType="begin" w:fldLock="1"/>
      </w:r>
      <w:r w:rsidR="004D2901" w:rsidRPr="00BD14B0">
        <w:rPr>
          <w:u w:color="FF0000"/>
        </w:rPr>
        <w:instrText>ADDIN CSL_CITATION {"citationItems":[{"id":"ITEM-1","itemData":{"DOI":"10.1037/a0014348","ISSN":"0882-7974","author":[{"dropping-particle":"","family":"Slessor","given":"Gillian","non-dropping-particle":"","parse-names":false,"suffix":""},{"dropping-particle":"","family":"Phillips","given":"Louise H","non-dropping-particle":"","parse-names":false,"suffix":""},{"dropping-particle":"","family":"Bull","given":"Rebecca","non-dropping-particle":"","parse-names":false,"suffix":""}],"container-title":"PSYCHOL AGING","id":"ITEM-1","issue":"4","issued":{"date-parts":[["2008"]]},"page":"812-822","title":"Age-related declines in basic social perception: evidence from tasks assessing eye-gaze processing","type":"article-journal","volume":"23"},"uris":["http://www.mendeley.com/documents/?uuid=87c7e284-1c3f-4d3b-a33f-19baa7aeab33"]}],"mendeley":{"formattedCitation":"(Slessor et al., 2008)","manualFormatting":"Slessor, Phillips, and Bull (2008)","plainTextFormattedCitation":"(Slessor et al., 2008)","previouslyFormattedCitation":"(Slessor et al., 2008)"},"properties":{"noteIndex":0},"schema":"https://github.com/citation-style-language/schema/raw/master/csl-citation.json"}</w:instrText>
      </w:r>
      <w:r w:rsidR="005D13B0" w:rsidRPr="00BD14B0">
        <w:rPr>
          <w:u w:color="FF0000"/>
        </w:rPr>
        <w:fldChar w:fldCharType="separate"/>
      </w:r>
      <w:r w:rsidR="005D13B0" w:rsidRPr="00BD14B0">
        <w:rPr>
          <w:noProof/>
          <w:u w:color="FF0000"/>
        </w:rPr>
        <w:t>Slessor, Phillips, and Bull (2008)</w:t>
      </w:r>
      <w:r w:rsidR="005D13B0" w:rsidRPr="00BD14B0">
        <w:rPr>
          <w:u w:color="FF0000"/>
        </w:rPr>
        <w:fldChar w:fldCharType="end"/>
      </w:r>
      <w:r w:rsidR="005D13B0" w:rsidRPr="00BD14B0">
        <w:rPr>
          <w:u w:color="FF0000"/>
        </w:rPr>
        <w:t xml:space="preserve"> stated that older adults would be less likely to engage in joint attention with others. To test this prediction, they conducted an experiment using a </w:t>
      </w:r>
      <w:r w:rsidR="005D13B0" w:rsidRPr="00BD14B0">
        <w:t>between-participants</w:t>
      </w:r>
      <w:r w:rsidR="005D13B0" w:rsidRPr="00BD14B0">
        <w:rPr>
          <w:u w:color="FF0000"/>
        </w:rPr>
        <w:t xml:space="preserve"> design by dividing their participants into two age-groups: younger adults (17-34) and older adults (65-79). The study reported that older adults displayed a </w:t>
      </w:r>
      <w:r w:rsidR="005D13B0" w:rsidRPr="00BD14B0">
        <w:t>slower</w:t>
      </w:r>
      <w:r w:rsidR="005D13B0" w:rsidRPr="00BD14B0">
        <w:rPr>
          <w:u w:color="FF0000"/>
        </w:rPr>
        <w:t xml:space="preserve"> </w:t>
      </w:r>
      <w:r w:rsidR="005D13B0" w:rsidRPr="00BD14B0">
        <w:t>cueing</w:t>
      </w:r>
      <w:r w:rsidR="005D13B0" w:rsidRPr="00BD14B0">
        <w:rPr>
          <w:u w:color="FF0000"/>
        </w:rPr>
        <w:t xml:space="preserve"> effect compared to the younger adults overall. </w:t>
      </w:r>
      <w:r w:rsidR="005D13B0" w:rsidRPr="00BD14B0">
        <w:t>However,</w:t>
      </w:r>
      <w:r w:rsidR="005D13B0" w:rsidRPr="00BD14B0">
        <w:rPr>
          <w:u w:color="FF0000"/>
        </w:rPr>
        <w:t xml:space="preserve"> it is important to note that this experiment only used young faces as stimuli and did not take into consideration that social similarity may influence the outcomes. An alternative explanation could have been that showing young faces as cue stimuli alerted an in-group categorization in younger adults and therefore led to faster responses. Indeed, </w:t>
      </w:r>
      <w:r w:rsidR="005D13B0" w:rsidRPr="00BD14B0">
        <w:rPr>
          <w:u w:color="FF0000"/>
        </w:rPr>
        <w:fldChar w:fldCharType="begin" w:fldLock="1"/>
      </w:r>
      <w:r w:rsidR="004D2901" w:rsidRPr="00BD14B0">
        <w:rPr>
          <w:u w:color="FF0000"/>
        </w:rPr>
        <w:instrText>ADDIN CSL_CITATION {"citationItems":[{"id":"ITEM-1","itemData":{"DOI":"10.1093/geronb/gbq038","ISSN":"1079-5014","author":[{"dropping-particle":"","family":"Slessor","given":"Gillian","non-dropping-particle":"","parse-names":false,"suffix":""},{"dropping-particle":"","family":"Laird","given":"Gillian","non-dropping-particle":"","parse-names":false,"suffix":""},{"dropping-particle":"","family":"Phillips","given":"Louise H","non-dropping-particle":"","parse-names":false,"suffix":""},{"dropping-particle":"","family":"Bull","given":"Rebecca","non-dropping-particle":"","parse-names":false,"suffix":""},{"dropping-particle":"","family":"Filippou","given":"Dimitra","non-dropping-particle":"","parse-names":false,"suffix":""}],"container-title":"J GERONTOL B-PSYCHOL","id":"ITEM-1","issue":"5","issued":{"date-parts":[["2010"]]},"page":"536-541","title":"Age-related differences in gaze following: does the age of the face matter?","type":"article-journal","volume":"65"},"uris":["http://www.mendeley.com/documents/?uuid=9a17e522-afa3-4fcd-803b-fac9519b2f72"]}],"mendeley":{"formattedCitation":"(Slessor et al., 2010)","manualFormatting":"Slessor, Laird, Phillips, Bull, and Filippou (2010)","plainTextFormattedCitation":"(Slessor et al., 2010)","previouslyFormattedCitation":"(Slessor et al., 2010)"},"properties":{"noteIndex":0},"schema":"https://github.com/citation-style-language/schema/raw/master/csl-citation.json"}</w:instrText>
      </w:r>
      <w:r w:rsidR="005D13B0" w:rsidRPr="00BD14B0">
        <w:rPr>
          <w:u w:color="FF0000"/>
        </w:rPr>
        <w:fldChar w:fldCharType="separate"/>
      </w:r>
      <w:r w:rsidR="005D13B0" w:rsidRPr="00BD14B0">
        <w:rPr>
          <w:noProof/>
          <w:u w:color="FF0000"/>
        </w:rPr>
        <w:t>Slessor, Laird, Phillips, Bull, and Filippou (2010)</w:t>
      </w:r>
      <w:r w:rsidR="005D13B0" w:rsidRPr="00BD14B0">
        <w:rPr>
          <w:u w:color="FF0000"/>
        </w:rPr>
        <w:fldChar w:fldCharType="end"/>
      </w:r>
      <w:r w:rsidR="005D13B0" w:rsidRPr="00BD14B0">
        <w:rPr>
          <w:u w:color="FF0000"/>
        </w:rPr>
        <w:t xml:space="preserve"> conducted a similar study that altered the age of the target faces. Younger adults (17-41) and older adults (65-81) participated in the study </w:t>
      </w:r>
      <w:r w:rsidR="005D13B0" w:rsidRPr="00BD14B0">
        <w:rPr>
          <w:u w:color="FF0000"/>
        </w:rPr>
        <w:lastRenderedPageBreak/>
        <w:t xml:space="preserve">and both age range targets were included. They reported that young participants showed greater gaze cueing effects towards young faces compared to old faces, whereas the no difference was observed with older participants. In another </w:t>
      </w:r>
      <w:r w:rsidR="007B0A7B" w:rsidRPr="00BD14B0">
        <w:rPr>
          <w:u w:color="FF0000"/>
        </w:rPr>
        <w:t>study</w:t>
      </w:r>
      <w:r w:rsidR="005D13B0" w:rsidRPr="00BD14B0">
        <w:rPr>
          <w:u w:color="FF0000"/>
        </w:rPr>
        <w:t>,</w:t>
      </w:r>
      <w:r w:rsidR="005D13B0" w:rsidRPr="00BD14B0">
        <w:rPr>
          <w:u w:color="FF0000"/>
        </w:rPr>
        <w:fldChar w:fldCharType="begin" w:fldLock="1"/>
      </w:r>
      <w:r w:rsidR="004D2901" w:rsidRPr="00BD14B0">
        <w:rPr>
          <w:u w:color="FF0000"/>
        </w:rPr>
        <w:instrText>ADDIN CSL_CITATION {"citationItems":[{"id":"ITEM-1","itemData":{"DOI":"10.1038/srep04746","ISSN":"20452322","PMID":"24752250","abstract":"Gaze-following behaviour is considered crucial for social interactions which are influenced by social similarity. We investigated whether the degree of similarity, as indicated by the perceived age of another person, can modulate gaze following. Participants of three different age-groups (18-25; 35-45; over 65) performed an eye movement (a saccade) towards an instructed target while ignoring the gaze-shift of distracters of different age-ranges (6-10; 18-25; 35-45; over 70). The results show that gaze following was modulated by the distracter face age only for young adults. Particularly, the over 70 year-old distracters exerted the least interference effect. The distracters of a similar age-range as the young adults (18-25; 35-45) had the most effect, indicating a blurred own-age bias (OAB) only for the young age group. These findings suggest that face age can modulate gaze following, but this modulation could be due to factors other than just OAB (e.g., familiarity).","author":[{"dropping-particle":"","family":"Ciardo","given":"Francesca","non-dropping-particle":"","parse-names":false,"suffix":""},{"dropping-particle":"","family":"Marino","given":"Barbara F M","non-dropping-particle":"","parse-names":false,"suffix":""},{"dropping-particle":"","family":"Actis-Grosso","given":"Rossana","non-dropping-particle":"","parse-names":false,"suffix":""},{"dropping-particle":"","family":"Rossetti","given":"Angela","non-dropping-particle":"","parse-names":false,"suffix":""},{"dropping-particle":"","family":"Ricciardelli","given":"Paola","non-dropping-particle":"","parse-names":false,"suffix":""}],"container-title":"Scientific Reports","id":"ITEM-1","issue":"1","issued":{"date-parts":[["2014","5","22"]]},"note":"From Duplicate 2 (Face age modulates gaze following in young adults - Ciardo, Francesca; Marino, Barbara F M; Actis-Grosso, Rossana; Rossetti, Angela; Ricciardelli, Paola)\n\nTimes Cited: 1\n1","page":"4746","title":"Face age modulates gaze following in young adults","type":"article-journal","volume":"4"},"uris":["http://www.mendeley.com/documents/?uuid=367b0eac-3631-40b2-b368-ecad7ed0c403"]}],"mendeley":{"formattedCitation":"(Ciardo et al., 2014)","manualFormatting":" Ciardo, Marino, Actis-Grosso, Rossetti, and Ricciardelli (2014)","plainTextFormattedCitation":"(Ciardo et al., 2014)","previouslyFormattedCitation":"(Ciardo et al., 2014)"},"properties":{"noteIndex":0},"schema":"https://github.com/citation-style-language/schema/raw/master/csl-citation.json"}</w:instrText>
      </w:r>
      <w:r w:rsidR="005D13B0" w:rsidRPr="00BD14B0">
        <w:rPr>
          <w:u w:color="FF0000"/>
        </w:rPr>
        <w:fldChar w:fldCharType="separate"/>
      </w:r>
      <w:r w:rsidR="005D13B0" w:rsidRPr="00BD14B0">
        <w:rPr>
          <w:noProof/>
          <w:u w:color="FF0000"/>
        </w:rPr>
        <w:t xml:space="preserve"> Ciardo, Marino, Actis-Grosso, Rossetti, and Ricciardelli (2014)</w:t>
      </w:r>
      <w:r w:rsidR="005D13B0" w:rsidRPr="00BD14B0">
        <w:rPr>
          <w:u w:color="FF0000"/>
        </w:rPr>
        <w:fldChar w:fldCharType="end"/>
      </w:r>
      <w:r w:rsidR="005D13B0" w:rsidRPr="00BD14B0">
        <w:rPr>
          <w:u w:color="FF0000"/>
        </w:rPr>
        <w:t xml:space="preserve"> illustrated that gaze following can be modulated by social similarity based on age categories. This study asked three age groups of participants (18-25, 35-45, over 65) to complete a gaze cueing task in response to four age groups of target face stimuli (6-10, 18-25, 35-45, over 70). Young adults showed reduced gaze following to elderly faces compared to young faces. Additionally, they reported reduced gaze cueing for old adults regardless of face age presented to them.</w:t>
      </w:r>
    </w:p>
    <w:p w14:paraId="7A2969BD" w14:textId="77777777" w:rsidR="00366855" w:rsidRPr="00BD14B0" w:rsidRDefault="00366855" w:rsidP="00553E01"/>
    <w:p w14:paraId="67C1189B" w14:textId="453593D0" w:rsidR="00A07FDA" w:rsidRPr="00BD14B0" w:rsidRDefault="00545E7A" w:rsidP="00553E01">
      <w:pPr>
        <w:pStyle w:val="Heading3"/>
      </w:pPr>
      <w:bookmarkStart w:id="22" w:name="_Toc108310757"/>
      <w:r w:rsidRPr="00BD14B0">
        <w:t>Social factors</w:t>
      </w:r>
      <w:bookmarkEnd w:id="22"/>
    </w:p>
    <w:p w14:paraId="52E40677" w14:textId="1C2E1FEC" w:rsidR="009929C4" w:rsidRPr="00BD14B0" w:rsidRDefault="005953A0" w:rsidP="00553E01">
      <w:pPr>
        <w:rPr>
          <w:shd w:val="clear" w:color="auto" w:fill="FFFFFF"/>
        </w:rPr>
      </w:pPr>
      <w:r w:rsidRPr="00BD14B0">
        <w:rPr>
          <w:shd w:val="clear" w:color="auto" w:fill="FFFFFF"/>
        </w:rPr>
        <w:tab/>
      </w:r>
      <w:r w:rsidR="009929C4" w:rsidRPr="00BD14B0">
        <w:rPr>
          <w:shd w:val="clear" w:color="auto" w:fill="FFFFFF"/>
        </w:rPr>
        <w:t xml:space="preserve">In real life, social </w:t>
      </w:r>
      <w:proofErr w:type="gramStart"/>
      <w:r w:rsidR="009929C4" w:rsidRPr="00BD14B0">
        <w:rPr>
          <w:shd w:val="clear" w:color="auto" w:fill="FFFFFF"/>
        </w:rPr>
        <w:t>interactions</w:t>
      </w:r>
      <w:proofErr w:type="gramEnd"/>
      <w:r w:rsidR="009929C4" w:rsidRPr="00BD14B0">
        <w:rPr>
          <w:shd w:val="clear" w:color="auto" w:fill="FFFFFF"/>
        </w:rPr>
        <w:t xml:space="preserve"> and knowledge one </w:t>
      </w:r>
      <w:proofErr w:type="spellStart"/>
      <w:r w:rsidR="009929C4" w:rsidRPr="00BD14B0">
        <w:rPr>
          <w:shd w:val="clear" w:color="auto" w:fill="FFFFFF"/>
        </w:rPr>
        <w:t>posesses</w:t>
      </w:r>
      <w:proofErr w:type="spellEnd"/>
      <w:r w:rsidR="009929C4" w:rsidRPr="00BD14B0">
        <w:rPr>
          <w:shd w:val="clear" w:color="auto" w:fill="FFFFFF"/>
        </w:rPr>
        <w:t xml:space="preserve"> are not solely based on visual cues. Rather, we often have semantic knowledge about people who we are interacting with. The perceptual analysis of the gazer face has been shown to influenc</w:t>
      </w:r>
      <w:r w:rsidR="007B0A7B" w:rsidRPr="00BD14B0">
        <w:rPr>
          <w:shd w:val="clear" w:color="auto" w:fill="FFFFFF"/>
        </w:rPr>
        <w:t>e</w:t>
      </w:r>
      <w:r w:rsidR="009929C4" w:rsidRPr="00BD14B0">
        <w:rPr>
          <w:shd w:val="clear" w:color="auto" w:fill="FFFFFF"/>
        </w:rPr>
        <w:t xml:space="preserve"> the magnitude of gaze cueing. In addition, social factors that manipulate social attention</w:t>
      </w:r>
      <w:r w:rsidR="007B0A7B" w:rsidRPr="00BD14B0">
        <w:rPr>
          <w:shd w:val="clear" w:color="auto" w:fill="FFFFFF"/>
        </w:rPr>
        <w:t>, such as belonging to a social group or social status,</w:t>
      </w:r>
      <w:r w:rsidR="009929C4" w:rsidRPr="00BD14B0">
        <w:rPr>
          <w:shd w:val="clear" w:color="auto" w:fill="FFFFFF"/>
        </w:rPr>
        <w:t xml:space="preserve"> depend on processing at a higher level</w:t>
      </w:r>
      <w:r w:rsidR="007B0A7B" w:rsidRPr="00BD14B0">
        <w:rPr>
          <w:shd w:val="clear" w:color="auto" w:fill="FFFFFF"/>
        </w:rPr>
        <w:t>.</w:t>
      </w:r>
      <w:r w:rsidR="009929C4" w:rsidRPr="00BD14B0">
        <w:rPr>
          <w:shd w:val="clear" w:color="auto" w:fill="FFFFFF"/>
        </w:rPr>
        <w:t xml:space="preserve"> These factors have also be shown to be effective in influencing the magnitude of gaze cueing. By retrieving previous knowledge about the gazer, the observer can extract social meaning and informativeness of the gaze cues. Both visual features of the gazer, as well as the social features, can create rapid shifts in attention </w:t>
      </w:r>
      <w:r w:rsidR="009929C4" w:rsidRPr="00BD14B0">
        <w:rPr>
          <w:shd w:val="clear" w:color="auto" w:fill="FFFFFF"/>
        </w:rPr>
        <w:fldChar w:fldCharType="begin" w:fldLock="1"/>
      </w:r>
      <w:r w:rsidR="004D2901" w:rsidRPr="00BD14B0">
        <w:rPr>
          <w:shd w:val="clear" w:color="auto" w:fill="FFFFFF"/>
        </w:rPr>
        <w:instrText>ADDIN CSL_CITATION {"citationItems":[{"id":"ITEM-1","itemData":{"DOI":"10.1037/0022-3514.86.3.373","ISBN":"1939-1315(Electronic),0022-3514(Print)","ISSN":"1939-1315","abstract":"The present article focuses on the automatic evaluation of exemplars whose category membership has been learned in the past. Studies 1 and 2 confirmed the hypothesis that once an exemplar has been encoded as a member of a given group, at a later encounter the evaluation associated with the group will be unintentionally retrieved from memory, even when no perceptual cue indicates the exemplar's category membership. Study 3 extended the results to the domain of in-group/out-group differentiation. In addition. Studies 4 and 5 confirmed the hypothesis that stored evaluations can be retrieved and affect responses even when the semantic information on which the evaluations were originally based is no longer available for retrieval. Finally, Study 6 investigated spontaneous approach-avoidance behavior tendencies. Overall, results demonstrate the pervasive effects of person-based representations, and they are discussed in terms of recent models of person perception and out-group discrimination. (PsycINFO Database Record (c) 2016 APA, all rights reserved)","author":[{"dropping-particle":"","family":"Castelli","given":"Luigi","non-dropping-particle":"","parse-names":false,"suffix":""},{"dropping-particle":"","family":"Zogmaister","given":"Cristina","non-dropping-particle":"","parse-names":false,"suffix":""},{"dropping-particle":"","family":"Smith","given":"Eliot R","non-dropping-particle":"","parse-names":false,"suffix":""},{"dropping-particle":"","family":"Arcuri","given":"Luciano","non-dropping-particle":"","parse-names":false,"suffix":""}],"container-title":"Journal of Personality and Social Psychology","id":"ITEM-1","issue":"3","issued":{"date-parts":[["2004"]]},"page":"373-387","publisher":"American Psychological Association","publisher-place":"Castelli, Luigi: Dipartimento di Psicologia dello Sviluppo e della Socializzazione, Universita di Padova, via Venezia 8, Padova, Italy, 35131, castelli.luigi@unipd.it","title":"On the Automatic Evaluation of Social Exemplars.","type":"article-journal","volume":"86"},"uris":["http://www.mendeley.com/documents/?uuid=79b27094-1184-4207-b345-03aec741d2e8"]}],"mendeley":{"formattedCitation":"(Castelli et al., 2004)","plainTextFormattedCitation":"(Castelli et al., 2004)","previouslyFormattedCitation":"(Castelli et al., 2004)"},"properties":{"noteIndex":0},"schema":"https://github.com/citation-style-language/schema/raw/master/csl-citation.json"}</w:instrText>
      </w:r>
      <w:r w:rsidR="009929C4" w:rsidRPr="00BD14B0">
        <w:rPr>
          <w:shd w:val="clear" w:color="auto" w:fill="FFFFFF"/>
        </w:rPr>
        <w:fldChar w:fldCharType="separate"/>
      </w:r>
      <w:r w:rsidR="009929C4" w:rsidRPr="00BD14B0">
        <w:rPr>
          <w:noProof/>
          <w:shd w:val="clear" w:color="auto" w:fill="FFFFFF"/>
        </w:rPr>
        <w:t>(Castelli et al., 2004)</w:t>
      </w:r>
      <w:r w:rsidR="009929C4" w:rsidRPr="00BD14B0">
        <w:rPr>
          <w:shd w:val="clear" w:color="auto" w:fill="FFFFFF"/>
        </w:rPr>
        <w:fldChar w:fldCharType="end"/>
      </w:r>
      <w:r w:rsidR="009929C4" w:rsidRPr="00BD14B0">
        <w:rPr>
          <w:shd w:val="clear" w:color="auto" w:fill="FFFFFF"/>
        </w:rPr>
        <w:t>. Early studies focused on visual features; however, more recent studies have focused more on the social modulators of gaze cueing to increase the ecological validity by creating more realistic interactions between the gazer and the observer</w:t>
      </w:r>
      <w:r w:rsidR="00A07FDA" w:rsidRPr="00BD14B0">
        <w:rPr>
          <w:shd w:val="clear" w:color="auto" w:fill="FFFFFF"/>
        </w:rPr>
        <w:t>.</w:t>
      </w:r>
    </w:p>
    <w:p w14:paraId="33BC69F8" w14:textId="77777777" w:rsidR="001F28C7" w:rsidRPr="00BD14B0" w:rsidRDefault="001F28C7" w:rsidP="00553E01">
      <w:pPr>
        <w:rPr>
          <w:shd w:val="clear" w:color="auto" w:fill="FFFFFF"/>
        </w:rPr>
      </w:pPr>
    </w:p>
    <w:p w14:paraId="30FB7E47" w14:textId="3B282C68" w:rsidR="00545E7A" w:rsidRPr="00BD14B0" w:rsidRDefault="00545E7A" w:rsidP="006E3F84">
      <w:pPr>
        <w:pStyle w:val="Heading4"/>
        <w:numPr>
          <w:ilvl w:val="0"/>
          <w:numId w:val="0"/>
        </w:numPr>
        <w:ind w:left="851"/>
      </w:pPr>
      <w:r w:rsidRPr="00BD14B0">
        <w:t>Social group belonging</w:t>
      </w:r>
    </w:p>
    <w:p w14:paraId="596216A0" w14:textId="3F3AFBD2" w:rsidR="009929C4" w:rsidRPr="00BD14B0" w:rsidRDefault="009929C4" w:rsidP="005953A0">
      <w:pPr>
        <w:pStyle w:val="Body"/>
        <w:spacing w:after="0" w:line="360" w:lineRule="auto"/>
        <w:ind w:firstLine="708"/>
        <w:rPr>
          <w:rFonts w:ascii="Times New Roman" w:hAnsi="Times New Roman" w:cs="Times New Roman"/>
          <w:color w:val="000000" w:themeColor="text1"/>
          <w:sz w:val="24"/>
          <w:szCs w:val="24"/>
        </w:rPr>
      </w:pPr>
      <w:r w:rsidRPr="00BD14B0">
        <w:rPr>
          <w:rFonts w:ascii="Times New Roman" w:hAnsi="Times New Roman" w:cs="Times New Roman"/>
          <w:color w:val="000000" w:themeColor="text1"/>
          <w:sz w:val="24"/>
          <w:szCs w:val="24"/>
        </w:rPr>
        <w:t xml:space="preserve">Despite greater knowledge regarding social categorization and biases based on race </w:t>
      </w:r>
      <w:r w:rsidRPr="00BD14B0">
        <w:rPr>
          <w:rFonts w:ascii="Times New Roman" w:hAnsi="Times New Roman" w:cs="Times New Roman"/>
          <w:color w:val="000000" w:themeColor="text1"/>
          <w:sz w:val="24"/>
          <w:szCs w:val="24"/>
        </w:rPr>
        <w:fldChar w:fldCharType="begin" w:fldLock="1"/>
      </w:r>
      <w:r w:rsidRPr="00BD14B0">
        <w:rPr>
          <w:rFonts w:ascii="Times New Roman" w:hAnsi="Times New Roman" w:cs="Times New Roman"/>
          <w:color w:val="000000" w:themeColor="text1"/>
          <w:sz w:val="24"/>
          <w:szCs w:val="24"/>
        </w:rPr>
        <w:instrText>ADDIN CSL_CITATION {"citationItems":[{"id":"ITEM-1","itemData":{"DOI":"10.1037/a0036838","ISSN":"0022-3514","abstract":"Human faces, and more specifically the eyes, play a crucial role in social and nonverbal communication because they signal valuable information about others. It is therefore surprising that few studies have investigated the impact of intergroup contexts and motivations on attention to the eyes of ingroup and outgroup members. Four experiments investigated differences in eye gaze to racial and novel ingroups using eye tracker technology. Whereas Studies 1 and 3 demonstrated that White participants attended more to the eyes of White compared to Black targets, Study 2 showed a similar pattern of attention to the eyes of novel ingroup and outgroup faces. Studies 3 and 4 also provided new evidence that eye gaze is flexible and can be meaningfully influenced by current motivations. Specifically, instructions to individuate specific social categories increased attention to the eyes of target group members. Furthermore, the latter experiments demonstrated that preferential attention to the eyes of ingroup members predicted important intergroup biases such as recognition of ingroup over outgroup faces (i.e., the own-race bias; Study 3) and willingness to interact with outgroup members (Study 4). The implication of these findings for general theorizing on face perception, individuation processes, and intergroup relations are discussed.","author":[{"dropping-particle":"","family":"Kawakami","given":"Kerry","non-dropping-particle":"","parse-names":false,"suffix":""},{"dropping-particle":"","family":"Williams","given":"Amanda","non-dropping-particle":"","parse-names":false,"suffix":""},{"dropping-particle":"","family":"Sidhu","given":"David","non-dropping-particle":"","parse-names":false,"suffix":""},{"dropping-particle":"","family":"Choma","given":"Becky L","non-dropping-particle":"","parse-names":false,"suffix":""},{"dropping-particle":"","family":"Rodriguez-Bailon","given":"Rosa","non-dropping-particle":"","parse-names":false,"suffix":""},{"dropping-particle":"","family":"Canadas","given":"Elena","non-dropping-particle":"","parse-names":false,"suffix":""},{"dropping-particle":"","family":"Chung","given":"Derek","non-dropping-particle":"","parse-names":false,"suffix":""},{"dropping-particle":"","family":"Hugenberg","given":"Kurt","non-dropping-particle":"","parse-names":false,"suffix":""}],"container-title":"Journal of Personality and Social Psychology","id":"ITEM-1","issue":"1","issued":{"date-parts":[["2014"]]},"note":"Times Cited: 0\n0","page":"1-20","title":"An Eye for the I: Preferential Attention to the Eyes of Ingroup Members","type":"article-journal","volume":"107"},"uris":["http://www.mendeley.com/documents/?uuid=3e1ec57b-ee44-4896-af95-33fa289aafe9"]}],"mendeley":{"formattedCitation":"(Kawakami et al., 2014)","plainTextFormattedCitation":"(Kawakami et al., 2014)","previouslyFormattedCitation":"(Kawakami et al., 2014)"},"properties":{"noteIndex":0},"schema":"https://github.com/citation-style-language/schema/raw/master/csl-citation.json"}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(Kawakami et al., 2014)</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and age </w:t>
      </w:r>
      <w:r w:rsidRPr="00BD14B0">
        <w:rPr>
          <w:rFonts w:ascii="Times New Roman" w:hAnsi="Times New Roman" w:cs="Times New Roman"/>
          <w:color w:val="000000" w:themeColor="text1"/>
          <w:sz w:val="24"/>
          <w:szCs w:val="24"/>
        </w:rPr>
        <w:fldChar w:fldCharType="begin" w:fldLock="1"/>
      </w:r>
      <w:r w:rsidRPr="00BD14B0">
        <w:rPr>
          <w:rFonts w:ascii="Times New Roman" w:hAnsi="Times New Roman" w:cs="Times New Roman"/>
          <w:color w:val="000000" w:themeColor="text1"/>
          <w:sz w:val="24"/>
          <w:szCs w:val="24"/>
        </w:rPr>
        <w:instrText>ADDIN CSL_CITATION {"citationItems":[{"id":"ITEM-1","itemData":{"DOI":"10.1038/srep04746","ISSN":"20452322","PMID":"24752250","abstract":"Gaze-following behaviour is considered crucial for social interactions which are influenced by social similarity. We investigated whether the degree of similarity, as indicated by the perceived age of another person, can modulate gaze following. Participants of three different age-groups (18-25; 35-45; over 65) performed an eye movement (a saccade) towards an instructed target while ignoring the gaze-shift of distracters of different age-ranges (6-10; 18-25; 35-45; over 70). The results show that gaze following was modulated by the distracter face age only for young adults. Particularly, the over 70 year-old distracters exerted the least interference effect. The distracters of a similar age-range as the young adults (18-25; 35-45) had the most effect, indicating a blurred own-age bias (OAB) only for the young age group. These findings suggest that face age can modulate gaze following, but this modulation could be due to factors other than just OAB (e.g., familiarity).","author":[{"dropping-particle":"","family":"Ciardo","given":"Francesca","non-dropping-particle":"","parse-names":false,"suffix":""},{"dropping-particle":"","family":"Marino","given":"Barbara F M","non-dropping-particle":"","parse-names":false,"suffix":""},{"dropping-particle":"","family":"Actis-Grosso","given":"Rossana","non-dropping-particle":"","parse-names":false,"suffix":""},{"dropping-particle":"","family":"Rossetti","given":"Angela","non-dropping-particle":"","parse-names":false,"suffix":""},{"dropping-particle":"","family":"Ricciardelli","given":"Paola","non-dropping-particle":"","parse-names":false,"suffix":""}],"container-title":"Scientific Reports","id":"ITEM-1","issue":"1","issued":{"date-parts":[["2014","5","22"]]},"note":"From Duplicate 2 (Face age modulates gaze following in young adults - Ciardo, Francesca; Marino, Barbara F M; Actis-Grosso, Rossana; Rossetti, Angela; Ricciardelli, Paola)\n\nTimes Cited: 1\n1","page":"4746","title":"Face age modulates gaze following in young adults","type":"article-journal","volume":"4"},"uris":["http://www.mendeley.com/documents/?uuid=367b0eac-3631-40b2-b368-ecad7ed0c403"]}],"mendeley":{"formattedCitation":"(Ciardo et al., 2014)","plainTextFormattedCitation":"(Ciardo et al., 2014)","previouslyFormattedCitation":"(Ciardo et al., 2014)"},"properties":{"noteIndex":0},"schema":"https://github.com/citation-style-language/schema/raw/master/csl-citation.json"}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(Ciardo et al., 2014)</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little is known about the social processes of gaze perception. People who belong to a common outgroup are perceived to have similar goals and motives. Individuals of the same in-group are perceived as sharing social beliefs and values, whereas outgroup members perceived as all alike where in-group </w:t>
      </w:r>
      <w:r w:rsidRPr="00BD14B0">
        <w:rPr>
          <w:rFonts w:ascii="Times New Roman" w:hAnsi="Times New Roman" w:cs="Times New Roman"/>
          <w:color w:val="000000" w:themeColor="text1"/>
          <w:sz w:val="24"/>
          <w:szCs w:val="24"/>
        </w:rPr>
        <w:lastRenderedPageBreak/>
        <w:t xml:space="preserve">members are different individuals. The tendency to think in this way is referred to as in-group bias or </w:t>
      </w:r>
      <w:r w:rsidRPr="00BD14B0">
        <w:rPr>
          <w:rFonts w:ascii="Times New Roman" w:hAnsi="Times New Roman" w:cs="Times New Roman"/>
          <w:noProof/>
          <w:color w:val="000000" w:themeColor="text1"/>
          <w:sz w:val="24"/>
          <w:szCs w:val="24"/>
        </w:rPr>
        <w:t>favouritism</w:t>
      </w:r>
      <w:r w:rsidRPr="00BD14B0">
        <w:rPr>
          <w:rFonts w:ascii="Times New Roman" w:hAnsi="Times New Roman" w:cs="Times New Roman"/>
          <w:color w:val="000000" w:themeColor="text1"/>
          <w:sz w:val="24"/>
          <w:szCs w:val="24"/>
        </w:rPr>
        <w:t xml:space="preserve"> </w:t>
      </w:r>
      <w:r w:rsidRPr="00BD14B0">
        <w:rPr>
          <w:rFonts w:ascii="Times New Roman" w:hAnsi="Times New Roman" w:cs="Times New Roman"/>
          <w:color w:val="000000" w:themeColor="text1"/>
          <w:sz w:val="24"/>
          <w:szCs w:val="24"/>
        </w:rPr>
        <w:fldChar w:fldCharType="begin" w:fldLock="1"/>
      </w:r>
      <w:r w:rsidRPr="00BD14B0">
        <w:rPr>
          <w:rFonts w:ascii="Times New Roman" w:hAnsi="Times New Roman" w:cs="Times New Roman"/>
          <w:color w:val="000000" w:themeColor="text1"/>
          <w:sz w:val="24"/>
          <w:szCs w:val="24"/>
        </w:rPr>
        <w:instrText>ADDIN CSL_CITATION {"citationItems":[{"id":"ITEM-1","itemData":{"author":[{"dropping-particle":"","family":"Hamilton","given":"D","non-dropping-particle":"","parse-names":false,"suffix":""},{"dropping-particle":"","family":"Gifford","given":"R","non-dropping-particle":"","parse-names":false,"suffix":""}],"container-title":"Journal of experimental social psychology","id":"ITEM-1","issue":"4","issued":{"date-parts":[["1976"]]},"page":"392-407","title":"Illusory correlation in interpersonal perception: a cognitive basis of stereotypic judgments","type":"article-journal","volume":"12"},"uris":["http://www.mendeley.com/documents/?uuid=c90058b2-307d-491c-8bae-49bb47765d65"]},{"id":"ITEM-2","itemData":{"ISSN":"00332909","author":[{"dropping-particle":"","family":"Ostrom","given":"Thomas M","non-dropping-particle":"","parse-names":false,"suffix":""},{"dropping-particle":"","family":"Sedikides","given":"Constantine","non-dropping-particle":"","parse-names":false,"suffix":""}],"container-title":"Psychological Bulletin","id":"ITEM-2","issue":"3","issued":{"date-parts":[["1992"]]},"page":"536-552","title":"Out- group homogeneity effects in natural and minimal groups","type":"article-journal","volume":"112"},"uris":["http://www.mendeley.com/documents/?uuid=b660f594-3a50-4398-a0d9-b1c6d434cc8f"]}],"mendeley":{"formattedCitation":"(Hamilton &amp; Gifford, 1976; Ostrom &amp; Sedikides, 1992)","plainTextFormattedCitation":"(Hamilton &amp; Gifford, 1976; Ostrom &amp; Sedikides, 1992)","previouslyFormattedCitation":"(Hamilton &amp; Gifford, 1976; Ostrom &amp; Sedikides, 1992)"},"properties":{"noteIndex":0},"schema":"https://github.com/citation-style-language/schema/raw/master/csl-citation.json"}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(Hamilton &amp; Gifford, 1976; Ostrom &amp; Sedikides, 1992)</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These perceptions are believed to help simplify an individual’s environment by enhancing positive attitudes towards in-group members </w:t>
      </w:r>
      <w:r w:rsidRPr="00BD14B0">
        <w:rPr>
          <w:rFonts w:ascii="Times New Roman" w:hAnsi="Times New Roman" w:cs="Times New Roman"/>
          <w:color w:val="000000" w:themeColor="text1"/>
          <w:sz w:val="24"/>
          <w:szCs w:val="24"/>
        </w:rPr>
        <w:fldChar w:fldCharType="begin" w:fldLock="1"/>
      </w:r>
      <w:r w:rsidRPr="00BD14B0">
        <w:rPr>
          <w:rFonts w:ascii="Times New Roman" w:hAnsi="Times New Roman" w:cs="Times New Roman"/>
          <w:color w:val="000000" w:themeColor="text1"/>
          <w:sz w:val="24"/>
          <w:szCs w:val="24"/>
        </w:rPr>
        <w:instrText>ADDIN CSL_CITATION {"citationItems":[{"id":"ITEM-1","itemData":{"author":[{"dropping-particle":"","family":"Hamilton","given":"D","non-dropping-particle":"","parse-names":false,"suffix":""},{"dropping-particle":"","family":"Gifford","given":"R","non-dropping-particle":"","parse-names":false,"suffix":""}],"container-title":"Journal of experimental social psychology","id":"ITEM-1","issue":"4","issued":{"date-parts":[["1976"]]},"page":"392-407","title":"Illusory correlation in interpersonal perception: a cognitive basis of stereotypic judgments","type":"article-journal","volume":"12"},"uris":["http://www.mendeley.com/documents/?uuid=c90058b2-307d-491c-8bae-49bb47765d65"]}],"mendeley":{"formattedCitation":"(Hamilton &amp; Gifford, 1976)","plainTextFormattedCitation":"(Hamilton &amp; Gifford, 1976)","previouslyFormattedCitation":"(Hamilton &amp; Gifford, 1976)"},"properties":{"noteIndex":0},"schema":"https://github.com/citation-style-language/schema/raw/master/csl-citation.json"}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(Hamilton &amp; Gifford, 1976)</w:t>
      </w:r>
      <w:r w:rsidRPr="00BD14B0">
        <w:rPr>
          <w:rFonts w:ascii="Times New Roman" w:hAnsi="Times New Roman" w:cs="Times New Roman"/>
          <w:color w:val="000000" w:themeColor="text1"/>
          <w:sz w:val="24"/>
          <w:szCs w:val="24"/>
        </w:rPr>
        <w:fldChar w:fldCharType="end"/>
      </w:r>
      <w:r w:rsidRPr="00BD14B0">
        <w:rPr>
          <w:rFonts w:ascii="Times New Roman" w:eastAsia="Times New Roman" w:hAnsi="Times New Roman" w:cs="Times New Roman"/>
          <w:color w:val="000000" w:themeColor="text1"/>
          <w:sz w:val="24"/>
          <w:szCs w:val="24"/>
        </w:rPr>
        <w:t xml:space="preserve">. </w:t>
      </w:r>
      <w:r w:rsidRPr="00BD14B0">
        <w:rPr>
          <w:rFonts w:ascii="Times New Roman" w:hAnsi="Times New Roman" w:cs="Times New Roman"/>
          <w:noProof/>
          <w:color w:val="000000" w:themeColor="text1"/>
          <w:sz w:val="24"/>
          <w:szCs w:val="24"/>
        </w:rPr>
        <w:t>Research has</w:t>
      </w:r>
      <w:r w:rsidRPr="00BD14B0">
        <w:rPr>
          <w:rFonts w:ascii="Times New Roman" w:hAnsi="Times New Roman" w:cs="Times New Roman"/>
          <w:color w:val="000000" w:themeColor="text1"/>
          <w:sz w:val="24"/>
          <w:szCs w:val="24"/>
        </w:rPr>
        <w:t xml:space="preserve"> revealed that how people are viewed as </w:t>
      </w:r>
      <w:r w:rsidRPr="00BD14B0">
        <w:rPr>
          <w:rFonts w:ascii="Times New Roman" w:hAnsi="Times New Roman" w:cs="Times New Roman"/>
          <w:noProof/>
          <w:color w:val="000000" w:themeColor="text1"/>
          <w:sz w:val="24"/>
          <w:szCs w:val="24"/>
        </w:rPr>
        <w:t>ingroup</w:t>
      </w:r>
      <w:r w:rsidRPr="00BD14B0">
        <w:rPr>
          <w:rFonts w:ascii="Times New Roman" w:hAnsi="Times New Roman" w:cs="Times New Roman"/>
          <w:color w:val="000000" w:themeColor="text1"/>
          <w:sz w:val="24"/>
          <w:szCs w:val="24"/>
        </w:rPr>
        <w:t xml:space="preserve"> or outgroup members does not necessarily have to be a </w:t>
      </w:r>
      <w:r w:rsidRPr="00BD14B0">
        <w:rPr>
          <w:rFonts w:ascii="Times New Roman" w:hAnsi="Times New Roman" w:cs="Times New Roman"/>
          <w:noProof/>
          <w:color w:val="000000" w:themeColor="text1"/>
          <w:sz w:val="24"/>
          <w:szCs w:val="24"/>
        </w:rPr>
        <w:t>meaningful</w:t>
      </w:r>
      <w:r w:rsidRPr="00BD14B0">
        <w:rPr>
          <w:rFonts w:ascii="Times New Roman" w:hAnsi="Times New Roman" w:cs="Times New Roman"/>
          <w:color w:val="000000" w:themeColor="text1"/>
          <w:sz w:val="24"/>
          <w:szCs w:val="24"/>
        </w:rPr>
        <w:t xml:space="preserve"> one for in-group bias to occur </w:t>
      </w:r>
      <w:r w:rsidRPr="00BD14B0">
        <w:rPr>
          <w:rFonts w:ascii="Times New Roman" w:hAnsi="Times New Roman" w:cs="Times New Roman"/>
          <w:color w:val="000000" w:themeColor="text1"/>
          <w:sz w:val="24"/>
          <w:szCs w:val="24"/>
        </w:rPr>
        <w:fldChar w:fldCharType="begin" w:fldLock="1"/>
      </w:r>
      <w:r w:rsidR="004D2901" w:rsidRPr="00BD14B0">
        <w:rPr>
          <w:rFonts w:ascii="Times New Roman" w:hAnsi="Times New Roman" w:cs="Times New Roman"/>
          <w:color w:val="000000" w:themeColor="text1"/>
          <w:sz w:val="24"/>
          <w:szCs w:val="24"/>
        </w:rPr>
        <w:instrText>ADDIN CSL_CITATION {"citationItems":[{"id":"ITEM-1","itemData":{"DOI":"10.1002/ejsp.2420010202","ISSN":"0046-2772","abstract":"The aim of the studies was to assess the effefcs of social categorization on intergroup behaviour when, in the intergroup situation, neither calculations of individual interest nor previously existing attitudes of hostility could have been said to have determined discriminative behaviour against an outgroup. These conditions were satisfied in the experimental design. In the first series of experiments, it was found that the subjects favoured their own group in the distribution of real rewards and penalities in a situation in which nothing but the variable of fairly irrelevant classification distinguished between the ingroup and the outgroup. In the second series of experiments it was found that: 1) maximum joint profit independent of group membership did not affect significantly the manner in which the subjects divided real pecuniary rewards; 2) maximum profit for own group did affect the distribution of rewards; 3) the clearest effect on the distribution of rewards was due to the subjects&amp;#039; attempt to achieve a maximum difference between the ingroup and the outgroup even at the price of sacrificing other ‘objective’ advantages. The design and the results of the study are theoretically discussed within the framework of social norms and expectations and particularly in relation to a ‘generic’ norm of outgroup behaviour prevalent in some societies.","author":[{"dropping-particle":"","family":"Tajfel","given":"Henri","non-dropping-particle":"","parse-names":false,"suffix":""},{"dropping-particle":"","family":"Billig","given":"M G","non-dropping-particle":"","parse-names":false,"suffix":""},{"dropping-particle":"","family":"Bundy","given":"R P","non-dropping-particle":"","parse-names":false,"suffix":""},{"dropping-particle":"","family":"Flament","given":"Claude","non-dropping-particle":"","parse-names":false,"suffix":""}],"container-title":"European Journal of Social Psychology","id":"ITEM-1","issue":"2","issued":{"date-parts":[["1971"]]},"page":"149-178","title":"Social categorization and intergroup behaviour","type":"article-journal","volume":"1"},"uris":["http://www.mendeley.com/documents/?uuid=e6797b15-545b-4cfc-a524-c7eda9433a3d"]}],"mendeley":{"formattedCitation":"(Tajfel et al., 1971)","plainTextFormattedCitation":"(Tajfel et al., 1971)","previouslyFormattedCitation":"(Tajfel et al., 1971)"},"properties":{"noteIndex":0},"schema":"https://github.com/citation-style-language/schema/raw/master/csl-citation.json"}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(Tajfel et al., 1971)</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For example, </w:t>
      </w:r>
      <w:r w:rsidRPr="00BD14B0">
        <w:rPr>
          <w:rFonts w:ascii="Times New Roman" w:hAnsi="Times New Roman" w:cs="Times New Roman"/>
          <w:color w:val="000000" w:themeColor="text1"/>
          <w:sz w:val="24"/>
          <w:szCs w:val="24"/>
        </w:rPr>
        <w:fldChar w:fldCharType="begin" w:fldLock="1"/>
      </w:r>
      <w:r w:rsidR="004D2901" w:rsidRPr="00BD14B0">
        <w:rPr>
          <w:rFonts w:ascii="Times New Roman" w:hAnsi="Times New Roman" w:cs="Times New Roman"/>
          <w:color w:val="000000" w:themeColor="text1"/>
          <w:sz w:val="24"/>
          <w:szCs w:val="24"/>
        </w:rPr>
        <w:instrText>ADDIN CSL_CITATION {"citationItems":[{"id":"ITEM-1","itemData":{"DOI":"10.1002/ejsp.2420010202","ISSN":"0046-2772","abstract":"The aim of the studies was to assess the effefcs of social categorization on intergroup behaviour when, in the intergroup situation, neither calculations of individual interest nor previously existing attitudes of hostility could have been said to have determined discriminative behaviour against an outgroup. These conditions were satisfied in the experimental design. In the first series of experiments, it was found that the subjects favoured their own group in the distribution of real rewards and penalities in a situation in which nothing but the variable of fairly irrelevant classification distinguished between the ingroup and the outgroup. In the second series of experiments it was found that: 1) maximum joint profit independent of group membership did not affect significantly the manner in which the subjects divided real pecuniary rewards; 2) maximum profit for own group did affect the distribution of rewards; 3) the clearest effect on the distribution of rewards was due to the subjects&amp;#039; attempt to achieve a maximum difference between the ingroup and the outgroup even at the price of sacrificing other ‘objective’ advantages. The design and the results of the study are theoretically discussed within the framework of social norms and expectations and particularly in relation to a ‘generic’ norm of outgroup behaviour prevalent in some societies.","author":[{"dropping-particle":"","family":"Tajfel","given":"Henri","non-dropping-particle":"","parse-names":false,"suffix":""},{"dropping-particle":"","family":"Billig","given":"M G","non-dropping-particle":"","parse-names":false,"suffix":""},{"dropping-particle":"","family":"Bundy","given":"R P","non-dropping-particle":"","parse-names":false,"suffix":""},{"dropping-particle":"","family":"Flament","given":"Claude","non-dropping-particle":"","parse-names":false,"suffix":""}],"container-title":"European Journal of Social Psychology","id":"ITEM-1","issue":"2","issued":{"date-parts":[["1971"]]},"page":"149-178","title":"Social categorization and intergroup behaviour","type":"article-journal","volume":"1"},"uris":["http://www.mendeley.com/documents/?uuid=e6797b15-545b-4cfc-a524-c7eda9433a3d"]}],"mendeley":{"formattedCitation":"(Tajfel et al., 1971)","manualFormatting":"Tajfel et al. (1971)","plainTextFormattedCitation":"(Tajfel et al., 1971)","previouslyFormattedCitation":"(Tajfel et al., 1971)"},"properties":{"noteIndex":0},"schema":"https://github.com/citation-style-language/schema/raw/master/csl-citation.json"}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Tajfel et al. (1971)</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randomly assigned participants to two groups and they were asked to allocate hypothetical “resources” to their own or the other group. Results showed that people tended to allocate more resources to their own group even when the grouping process was random and grouping criteria </w:t>
      </w:r>
      <w:r w:rsidRPr="00BD14B0">
        <w:rPr>
          <w:rFonts w:ascii="Times New Roman" w:hAnsi="Times New Roman" w:cs="Times New Roman"/>
          <w:noProof/>
          <w:color w:val="000000" w:themeColor="text1"/>
          <w:sz w:val="24"/>
          <w:szCs w:val="24"/>
        </w:rPr>
        <w:t>were</w:t>
      </w:r>
      <w:r w:rsidRPr="00BD14B0">
        <w:rPr>
          <w:rFonts w:ascii="Times New Roman" w:hAnsi="Times New Roman" w:cs="Times New Roman"/>
          <w:color w:val="000000" w:themeColor="text1"/>
          <w:sz w:val="24"/>
          <w:szCs w:val="24"/>
        </w:rPr>
        <w:t xml:space="preserve"> not meaningful. This would suggest that in-group </w:t>
      </w:r>
      <w:r w:rsidRPr="00BD14B0">
        <w:rPr>
          <w:rFonts w:ascii="Times New Roman" w:hAnsi="Times New Roman" w:cs="Times New Roman"/>
          <w:noProof/>
          <w:color w:val="000000" w:themeColor="text1"/>
          <w:sz w:val="24"/>
          <w:szCs w:val="24"/>
        </w:rPr>
        <w:t>favouritism</w:t>
      </w:r>
      <w:r w:rsidRPr="00BD14B0">
        <w:rPr>
          <w:rFonts w:ascii="Times New Roman" w:hAnsi="Times New Roman" w:cs="Times New Roman"/>
          <w:color w:val="000000" w:themeColor="text1"/>
          <w:sz w:val="24"/>
          <w:szCs w:val="24"/>
        </w:rPr>
        <w:t xml:space="preserve"> may be even more pronounced if based on meaningful criteria such as gender or race. For instance,</w:t>
      </w:r>
      <w:r w:rsidRPr="00BD14B0">
        <w:rPr>
          <w:rFonts w:ascii="Times New Roman" w:hAnsi="Times New Roman" w:cs="Times New Roman"/>
          <w:color w:val="000000" w:themeColor="text1"/>
          <w:sz w:val="24"/>
          <w:szCs w:val="24"/>
        </w:rPr>
        <w:fldChar w:fldCharType="begin" w:fldLock="1"/>
      </w:r>
      <w:r w:rsidR="004D2901" w:rsidRPr="00BD14B0">
        <w:rPr>
          <w:rFonts w:ascii="Times New Roman" w:hAnsi="Times New Roman" w:cs="Times New Roman"/>
          <w:color w:val="000000" w:themeColor="text1"/>
          <w:sz w:val="24"/>
          <w:szCs w:val="24"/>
        </w:rPr>
        <w:instrText>ADDIN CSL_CITATION {"citationItems":[{"id":"ITEM-1","itemData":{"DOI":"10.1037/a0036838","ISSN":"0022-3514","abstract":"Human faces, and more specifically the eyes, play a crucial role in social and nonverbal communication because they signal valuable information about others. It is therefore surprising that few studies have investigated the impact of intergroup contexts and motivations on attention to the eyes of ingroup and outgroup members. Four experiments investigated differences in eye gaze to racial and novel ingroups using eye tracker technology. Whereas Studies 1 and 3 demonstrated that White participants attended more to the eyes of White compared to Black targets, Study 2 showed a similar pattern of attention to the eyes of novel ingroup and outgroup faces. Studies 3 and 4 also provided new evidence that eye gaze is flexible and can be meaningfully influenced by current motivations. Specifically, instructions to individuate specific social categories increased attention to the eyes of target group members. Furthermore, the latter experiments demonstrated that preferential attention to the eyes of ingroup members predicted important intergroup biases such as recognition of ingroup over outgroup faces (i.e., the own-race bias; Study 3) and willingness to interact with outgroup members (Study 4). The implication of these findings for general theorizing on face perception, individuation processes, and intergroup relations are discussed.","author":[{"dropping-particle":"","family":"Kawakami","given":"Kerry","non-dropping-particle":"","parse-names":false,"suffix":""},{"dropping-particle":"","family":"Williams","given":"Amanda","non-dropping-particle":"","parse-names":false,"suffix":""},{"dropping-particle":"","family":"Sidhu","given":"David","non-dropping-particle":"","parse-names":false,"suffix":""},{"dropping-particle":"","family":"Choma","given":"Becky L","non-dropping-particle":"","parse-names":false,"suffix":""},{"dropping-particle":"","family":"Rodriguez-Bailon","given":"Rosa","non-dropping-particle":"","parse-names":false,"suffix":""},{"dropping-particle":"","family":"Canadas","given":"Elena","non-dropping-particle":"","parse-names":false,"suffix":""},{"dropping-particle":"","family":"Chung","given":"Derek","non-dropping-particle":"","parse-names":false,"suffix":""},{"dropping-particle":"","family":"Hugenberg","given":"Kurt","non-dropping-particle":"","parse-names":false,"suffix":""}],"container-title":"Journal of Personality and Social Psychology","id":"ITEM-1","issue":"1","issued":{"date-parts":[["2014"]]},"note":"Times Cited: 0\n0","page":"1-20","title":"An Eye for the I: Preferential Attention to the Eyes of Ingroup Members","type":"article-journal","volume":"107"},"uris":["http://www.mendeley.com/documents/?uuid=3e1ec57b-ee44-4896-af95-33fa289aafe9"]}],"mendeley":{"formattedCitation":"(Kawakami et al., 2014)","manualFormatting":" Kawakami et al. (2014)","plainTextFormattedCitation":"(Kawakami et al., 2014)","previouslyFormattedCitation":"(Kawakami et al., 2014)"},"properties":{"noteIndex":0},"schema":"https://github.com/citation-style-language/schema/raw/master/csl-citation.json"}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 xml:space="preserve"> Kawakami et al. (2014)</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have suggested that people show a visual attention bias toward the eyes </w:t>
      </w:r>
      <w:r w:rsidRPr="00BD14B0">
        <w:rPr>
          <w:rFonts w:ascii="Times New Roman" w:hAnsi="Times New Roman" w:cs="Times New Roman"/>
          <w:color w:val="000000" w:themeColor="text1"/>
          <w:sz w:val="24"/>
          <w:szCs w:val="24"/>
          <w:shd w:val="clear" w:color="auto" w:fill="FFFFFF"/>
        </w:rPr>
        <w:t xml:space="preserve">of others who are members of the same social group compared to those who are members of an out-group. </w:t>
      </w:r>
    </w:p>
    <w:p w14:paraId="230ACBBF" w14:textId="1EE9F1C6" w:rsidR="009929C4" w:rsidRPr="00BD14B0" w:rsidRDefault="009929C4" w:rsidP="005953A0">
      <w:pPr>
        <w:pStyle w:val="Body"/>
        <w:spacing w:after="0" w:line="360" w:lineRule="auto"/>
        <w:ind w:firstLine="708"/>
        <w:rPr>
          <w:rFonts w:ascii="Times New Roman" w:hAnsi="Times New Roman" w:cs="Times New Roman"/>
          <w:color w:val="000000" w:themeColor="text1"/>
          <w:sz w:val="24"/>
          <w:szCs w:val="24"/>
        </w:rPr>
      </w:pPr>
      <w:r w:rsidRPr="00BD14B0">
        <w:rPr>
          <w:rFonts w:ascii="Times New Roman" w:hAnsi="Times New Roman" w:cs="Times New Roman"/>
          <w:color w:val="000000" w:themeColor="text1"/>
          <w:sz w:val="24"/>
          <w:szCs w:val="24"/>
        </w:rPr>
        <w:t xml:space="preserve">Faces with self-similar physical features are typically identified as familial or in-group </w:t>
      </w:r>
      <w:r w:rsidRPr="00BD14B0">
        <w:rPr>
          <w:rFonts w:ascii="Times New Roman" w:hAnsi="Times New Roman" w:cs="Times New Roman"/>
          <w:color w:val="000000" w:themeColor="text1"/>
          <w:sz w:val="24"/>
          <w:szCs w:val="24"/>
        </w:rPr>
        <w:fldChar w:fldCharType="begin" w:fldLock="1"/>
      </w:r>
      <w:r w:rsidRPr="00BD14B0">
        <w:rPr>
          <w:rFonts w:ascii="Times New Roman" w:hAnsi="Times New Roman" w:cs="Times New Roman"/>
          <w:color w:val="000000" w:themeColor="text1"/>
          <w:sz w:val="24"/>
          <w:szCs w:val="24"/>
        </w:rPr>
        <w:instrText>ADDIN CSL_CITATION {"citationItems":[{"id":"ITEM-1","itemData":{"DOI":"10.1167/6.10.4","ISSN":"1534-7362","author":[{"dropping-particle":"","family":"Maloney","given":"Lt","non-dropping-particle":"","parse-names":false,"suffix":""},{"dropping-particle":"","family":"Dal Martello","given":"Mf","non-dropping-particle":"","parse-names":false,"suffix":""}],"container-title":"J. Vision","id":"ITEM-1","issue":"10","issued":{"date-parts":[["2006"]]},"page":"1047-1056","title":"Kin recognition and the perceived facial similarity of children","type":"article-journal","volume":"6"},"uris":["http://www.mendeley.com/documents/?uuid=7d1fdf2b-4fdf-4d6d-9036-f406c421d88c"]}],"mendeley":{"formattedCitation":"(Maloney &amp; Dal Martello, 2006)","plainTextFormattedCitation":"(Maloney &amp; Dal Martello, 2006)","previouslyFormattedCitation":"(Maloney &amp; Dal Martello, 2006)"},"properties":{"noteIndex":0},"schema":"https://github.com/citation-style-language/schema/raw/master/csl-citation.json"}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(Maloney &amp; Dal Martello, 2006)</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leading to increased trust </w:t>
      </w:r>
      <w:r w:rsidRPr="00BD14B0">
        <w:rPr>
          <w:rFonts w:ascii="Times New Roman" w:hAnsi="Times New Roman" w:cs="Times New Roman"/>
          <w:color w:val="000000" w:themeColor="text1"/>
          <w:sz w:val="24"/>
          <w:szCs w:val="24"/>
        </w:rPr>
        <w:fldChar w:fldCharType="begin" w:fldLock="1"/>
      </w:r>
      <w:r w:rsidRPr="00BD14B0">
        <w:rPr>
          <w:rFonts w:ascii="Times New Roman" w:hAnsi="Times New Roman" w:cs="Times New Roman"/>
          <w:color w:val="000000" w:themeColor="text1"/>
          <w:sz w:val="24"/>
          <w:szCs w:val="24"/>
        </w:rPr>
        <w:instrText>ADDIN CSL_CITATION {"citationItems":[{"id":"ITEM-1","itemData":{"DOI":"10.1098/rspb.2002.2034","ISSN":"0962-8452","author":[{"dropping-particle":"","family":"Debruine","given":"Lm","non-dropping-particle":"","parse-names":false,"suffix":""}],"container-title":"Proc. R. Soc. Lond. Ser. B-Biol. Sci.","id":"ITEM-1","issue":"1498","issued":{"date-parts":[["2002"]]},"page":"1307-1312","title":"Facial resemblance enhances trust","type":"article-journal","volume":"269"},"uris":["http://www.mendeley.com/documents/?uuid=ead4ec79-2e53-400f-8863-393c871a1c37"]}],"mendeley":{"formattedCitation":"(Debruine, 2002)","plainTextFormattedCitation":"(Debruine, 2002)","previouslyFormattedCitation":"(Debruine, 2002)"},"properties":{"noteIndex":0},"schema":"https://github.com/citation-style-language/schema/raw/master/csl-citation.json"}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(Debruine, 2002)</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and cooperative </w:t>
      </w:r>
      <w:r w:rsidRPr="00BD14B0">
        <w:rPr>
          <w:rFonts w:ascii="Times New Roman" w:hAnsi="Times New Roman" w:cs="Times New Roman"/>
          <w:noProof/>
          <w:color w:val="000000" w:themeColor="text1"/>
          <w:sz w:val="24"/>
          <w:szCs w:val="24"/>
        </w:rPr>
        <w:t>behaviour</w:t>
      </w:r>
      <w:r w:rsidRPr="00BD14B0">
        <w:rPr>
          <w:rFonts w:ascii="Times New Roman" w:hAnsi="Times New Roman" w:cs="Times New Roman"/>
          <w:color w:val="000000" w:themeColor="text1"/>
          <w:sz w:val="24"/>
          <w:szCs w:val="24"/>
        </w:rPr>
        <w:t xml:space="preserve"> </w:t>
      </w:r>
      <w:r w:rsidRPr="00BD14B0">
        <w:rPr>
          <w:rFonts w:ascii="Times New Roman" w:hAnsi="Times New Roman" w:cs="Times New Roman"/>
          <w:color w:val="000000" w:themeColor="text1"/>
          <w:sz w:val="24"/>
          <w:szCs w:val="24"/>
        </w:rPr>
        <w:fldChar w:fldCharType="begin" w:fldLock="1"/>
      </w:r>
      <w:r w:rsidR="004D2901" w:rsidRPr="00BD14B0">
        <w:rPr>
          <w:rFonts w:ascii="Times New Roman" w:hAnsi="Times New Roman" w:cs="Times New Roman"/>
          <w:color w:val="000000" w:themeColor="text1"/>
          <w:sz w:val="24"/>
          <w:szCs w:val="24"/>
        </w:rPr>
        <w:instrText>ADDIN CSL_CITATION {"citationItems":[{"id":"ITEM-1","itemData":{"DOI":"10.1016/j.evolhumbehav.2007.08.002","ISSN":"1090-5138","author":[{"dropping-particle":"","family":"Krupp","given":"Db","non-dropping-particle":"","parse-names":false,"suffix":""},{"dropping-particle":"","family":"Debruine","given":"La","non-dropping-particle":"","parse-names":false,"suffix":""},{"dropping-particle":"","family":"Barclay","given":"P","non-dropping-particle":"","parse-names":false,"suffix":""}],"container-title":"Evol. Hum. Behav.","id":"ITEM-1","issue":"1","issued":{"date-parts":[["2008"]]},"page":"49-55","title":"A cue of kinship promotes cooperation for the public good","type":"article-journal","volume":"29"},"uris":["http://www.mendeley.com/documents/?uuid=63698ae0-8ae7-470f-9e51-3d56e209fcd5"]}],"mendeley":{"formattedCitation":"(Krupp et al., 2008)","plainTextFormattedCitation":"(Krupp et al., 2008)","previouslyFormattedCitation":"(Krupp et al., 2008)"},"properties":{"noteIndex":0},"schema":"https://github.com/citation-style-language/schema/raw/master/csl-citation.json"}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(Krupp et al., 2008)</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Even </w:t>
      </w:r>
      <w:r w:rsidRPr="00BD14B0">
        <w:rPr>
          <w:rFonts w:ascii="Times New Roman" w:hAnsi="Times New Roman" w:cs="Times New Roman"/>
          <w:noProof/>
          <w:color w:val="000000" w:themeColor="text1"/>
          <w:sz w:val="24"/>
          <w:szCs w:val="24"/>
        </w:rPr>
        <w:t xml:space="preserve">though </w:t>
      </w:r>
      <w:r w:rsidRPr="00BD14B0">
        <w:rPr>
          <w:rFonts w:ascii="Times New Roman" w:hAnsi="Times New Roman" w:cs="Times New Roman"/>
          <w:color w:val="000000" w:themeColor="text1"/>
          <w:sz w:val="24"/>
          <w:szCs w:val="24"/>
        </w:rPr>
        <w:t xml:space="preserve">physical indicators are used to categorize individuals into groups and these attributes may also be informative to understand motives, fears, </w:t>
      </w:r>
      <w:r w:rsidRPr="00BD14B0">
        <w:rPr>
          <w:rFonts w:ascii="Times New Roman" w:hAnsi="Times New Roman" w:cs="Times New Roman"/>
          <w:noProof/>
          <w:color w:val="000000" w:themeColor="text1"/>
          <w:sz w:val="24"/>
          <w:szCs w:val="24"/>
        </w:rPr>
        <w:t>goals,</w:t>
      </w:r>
      <w:r w:rsidRPr="00BD14B0">
        <w:rPr>
          <w:rFonts w:ascii="Times New Roman" w:hAnsi="Times New Roman" w:cs="Times New Roman"/>
          <w:color w:val="000000" w:themeColor="text1"/>
          <w:sz w:val="24"/>
          <w:szCs w:val="24"/>
        </w:rPr>
        <w:t xml:space="preserve"> and expectations </w:t>
      </w:r>
      <w:r w:rsidRPr="00BD14B0">
        <w:rPr>
          <w:rFonts w:ascii="Times New Roman" w:hAnsi="Times New Roman" w:cs="Times New Roman"/>
          <w:color w:val="000000" w:themeColor="text1"/>
          <w:sz w:val="24"/>
          <w:szCs w:val="24"/>
        </w:rPr>
        <w:fldChar w:fldCharType="begin" w:fldLock="1"/>
      </w:r>
      <w:r w:rsidR="0028287E" w:rsidRPr="00BD14B0">
        <w:rPr>
          <w:rFonts w:ascii="Times New Roman" w:hAnsi="Times New Roman" w:cs="Times New Roman"/>
          <w:color w:val="000000" w:themeColor="text1"/>
          <w:sz w:val="24"/>
          <w:szCs w:val="24"/>
        </w:rPr>
        <w:instrText>ADDIN CSL_CITATION {"citationItems":[{"id":"ITEM-1","itemData":{"DOI":"10.1037/h0021212","ISSN":"0022-3514","abstract":"3 generalizations seem well established concerning the relationship between subjective religion and ethnic prejudice: (a) On the average churchgoers are more prejudiced than nonchurchgoers; (b) the relationship is curvilinear; (c) people with an extrinsic religious orientation are significantly more prejudiced than people with an intrinsic religious orientation. With the aid of a scale to measure extrinsic and intrinsic orientation this research confirmed previous findings and added a 4th: people who are indiscriminately proreligious are the most prejudiced of all. The interpretations offered are in terms of cognitive style.","author":[{"dropping-particle":"","family":"Allport","given":"Gordon W","non-dropping-particle":"","parse-names":false,"suffix":""},{"dropping-particle":"","family":"Ross","given":"J Michael","non-dropping-particle":"","parse-names":false,"suffix":""}],"container-title":"Journal of Personality and Social Psychology","id":"ITEM-1","issue":"4","issued":{"date-parts":[["1967"]]},"note":"(editor)","page":"432-443","title":"Personal religious orientation and prejudice","type":"article-journal","volume":"5"},"uris":["http://www.mendeley.com/documents/?uuid=a6988db0-dbe8-4261-acd4-d88f2af838d9"]}],"mendeley":{"formattedCitation":"(G. W. Allport &amp; Ross, 1967)","manualFormatting":"(Allport &amp; Ross, 1967)","plainTextFormattedCitation":"(G. W. Allport &amp; Ross, 1967)","previouslyFormattedCitation":"(G. W. Allport &amp; Ross, 1967)"},"properties":{"noteIndex":0},"schema":"https://github.com/citation-style-language/schema/raw/master/csl-citation.json"}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004D2901" w:rsidRPr="00BD14B0">
        <w:rPr>
          <w:rFonts w:ascii="Times New Roman" w:hAnsi="Times New Roman" w:cs="Times New Roman"/>
          <w:noProof/>
          <w:color w:val="000000" w:themeColor="text1"/>
          <w:sz w:val="24"/>
          <w:szCs w:val="24"/>
        </w:rPr>
        <w:t>(Allport &amp; Ross, 1967)</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it is also important to keep in mind that automatic categorisation according to physical features of the faces is generally active during the first interactions. During daily social interaction, it does not necessarily mean that these categorisations occur in a familiar social environment. Research conducted on social attention measured by eye gaze following extends this past work on more general processing of ingroup and outgroup faces. By investigating differential attention to specific facial features as a function of social category membership, they ignore social groups which are multi-race, multi-gender such as sports teams, team members of a corporate environment, </w:t>
      </w:r>
      <w:r w:rsidR="00585157" w:rsidRPr="00BD14B0">
        <w:rPr>
          <w:rFonts w:ascii="Times New Roman" w:hAnsi="Times New Roman" w:cs="Times New Roman"/>
          <w:color w:val="000000" w:themeColor="text1"/>
          <w:sz w:val="24"/>
          <w:szCs w:val="24"/>
        </w:rPr>
        <w:t xml:space="preserve">and </w:t>
      </w:r>
      <w:r w:rsidRPr="00BD14B0">
        <w:rPr>
          <w:rFonts w:ascii="Times New Roman" w:hAnsi="Times New Roman" w:cs="Times New Roman"/>
          <w:color w:val="000000" w:themeColor="text1"/>
          <w:sz w:val="24"/>
          <w:szCs w:val="24"/>
        </w:rPr>
        <w:t xml:space="preserve">members of the same neighbourhood. Therefore, social attention studies which use physical features of the face as an indicator of group belonging lack social context. The results of these studies (although still valuable) may not generalise to real-world interactions. This will be further discussed </w:t>
      </w:r>
      <w:r w:rsidRPr="00BD14B0">
        <w:rPr>
          <w:rFonts w:ascii="Times New Roman" w:hAnsi="Times New Roman" w:cs="Times New Roman"/>
          <w:noProof/>
          <w:color w:val="000000" w:themeColor="text1"/>
          <w:sz w:val="24"/>
          <w:szCs w:val="24"/>
        </w:rPr>
        <w:t>in</w:t>
      </w:r>
      <w:r w:rsidRPr="00BD14B0">
        <w:rPr>
          <w:rFonts w:ascii="Times New Roman" w:hAnsi="Times New Roman" w:cs="Times New Roman"/>
          <w:color w:val="000000" w:themeColor="text1"/>
          <w:sz w:val="24"/>
          <w:szCs w:val="24"/>
        </w:rPr>
        <w:t xml:space="preserve"> Chapter 2.</w:t>
      </w:r>
    </w:p>
    <w:p w14:paraId="087A8EC4" w14:textId="412602C1" w:rsidR="00780000" w:rsidRPr="00BD14B0" w:rsidRDefault="00780000" w:rsidP="00553E01"/>
    <w:p w14:paraId="6A448C9D" w14:textId="62D34F74" w:rsidR="00AB1005" w:rsidRPr="00BD14B0" w:rsidRDefault="00AB1005" w:rsidP="00D21204">
      <w:pPr>
        <w:pStyle w:val="Heading4"/>
        <w:numPr>
          <w:ilvl w:val="0"/>
          <w:numId w:val="0"/>
        </w:numPr>
        <w:ind w:left="851"/>
      </w:pPr>
      <w:r w:rsidRPr="00BD14B0">
        <w:lastRenderedPageBreak/>
        <w:t>Political Temperament</w:t>
      </w:r>
    </w:p>
    <w:p w14:paraId="1F20480A" w14:textId="26B6C27C" w:rsidR="00FF1F67" w:rsidRPr="00BD14B0" w:rsidRDefault="005953A0" w:rsidP="00553E01">
      <w:r w:rsidRPr="00BD14B0">
        <w:tab/>
      </w:r>
      <w:r w:rsidR="00ED34CD" w:rsidRPr="00BD14B0">
        <w:t xml:space="preserve">Gaze perception can also be influenced by political temperament. Political liberals that are considered to be more empathic and open to interactions have demonstrated a tendency to be influenced by social clues. To test this prediction, </w:t>
      </w:r>
      <w:r w:rsidR="00ED34CD" w:rsidRPr="00BD14B0">
        <w:fldChar w:fldCharType="begin" w:fldLock="1"/>
      </w:r>
      <w:r w:rsidR="004D2901" w:rsidRPr="00BD14B0">
        <w:instrText>ADDIN CSL_CITATION {"citationItems":[{"id":"ITEM-1","itemData":{"DOI":"10.3758/s13414-010-0001-x","ISSN":"1943-3921","abstract":"Gaze cues lead to reflexive shifts of attention even when those gaze cues do not predict target location. Although this general effect has been repeatedly demonstrated, not all individuals orient to gaze in an identical manner. For example, the magnitude of gaze-cuing effects have been reduced or eliminated in populations such as those scoring high on the Autism-Spectrum Quotient and in males relative to females (since males exhibit more autism-like traits). In the present study, we examined whether gaze cue effects would be moderated by political temperament, given that those on the political right tend to be more supportive of individualism-and less likely to be influenced by others-than those on the left. We found standard gaze-cuing effects across all subjects but systematic differences in these effects by political temperament. Liberals exhibited a very large gaze-cuing effect, whereas conservatives showed no such effect at various stimulus onset asynchronies.","author":[{"dropping-particle":"","family":"Dodd","given":"Michael D","non-dropping-particle":"","parse-names":false,"suffix":""},{"dropping-particle":"","family":"Hibbing","given":"John R","non-dropping-particle":"","parse-names":false,"suffix":""},{"dropping-particle":"","family":"Smith","given":"Kevin B","non-dropping-particle":"","parse-names":false,"suffix":""}],"container-title":"Attention, Perception, &amp; Psychophysics","id":"ITEM-1","issue":"1","issued":{"date-parts":[["2011","1","4"]]},"note":"Times Cited: 8\n8","page":"24-29","title":"The politics of attention: gaze-cuing effects are moderated by political temperament","type":"article-journal","volume":"73"},"uris":["http://www.mendeley.com/documents/?uuid=600c9d1c-8b7a-4231-93fd-40ec9b24c90d"]}],"mendeley":{"formattedCitation":"(Dodd et al., 2011)","manualFormatting":"Dodd, Hibbing, and Smith, (2011)","plainTextFormattedCitation":"(Dodd et al., 2011)","previouslyFormattedCitation":"(Dodd et al., 2011)"},"properties":{"noteIndex":0},"schema":"https://github.com/citation-style-language/schema/raw/master/csl-citation.json"}</w:instrText>
      </w:r>
      <w:r w:rsidR="00ED34CD" w:rsidRPr="00BD14B0">
        <w:fldChar w:fldCharType="separate"/>
      </w:r>
      <w:r w:rsidR="00ED34CD" w:rsidRPr="00BD14B0">
        <w:rPr>
          <w:noProof/>
        </w:rPr>
        <w:t>Dodd, Hibbing, and Smith, (2011)</w:t>
      </w:r>
      <w:r w:rsidR="00ED34CD" w:rsidRPr="00BD14B0">
        <w:fldChar w:fldCharType="end"/>
      </w:r>
      <w:r w:rsidR="00ED34CD" w:rsidRPr="00BD14B0">
        <w:t xml:space="preserve"> conducted a study that revealed enhanced gaze cueing effects in political liberal</w:t>
      </w:r>
      <w:r w:rsidR="00585157" w:rsidRPr="00BD14B0">
        <w:t xml:space="preserve"> compared </w:t>
      </w:r>
      <w:r w:rsidR="00ED34CD" w:rsidRPr="00BD14B0">
        <w:t>to conservative</w:t>
      </w:r>
      <w:r w:rsidR="00585157" w:rsidRPr="00BD14B0">
        <w:t xml:space="preserve"> participants</w:t>
      </w:r>
      <w:r w:rsidR="00ED34CD" w:rsidRPr="00BD14B0">
        <w:t>. They argue that conservatives give value to personal autonomy that makes them less influenced by others and less responsive to gaze cues. Surprisingly, although there was a gaze cueing effect overall, conservatives alone did not show any gaze cueing effect. This raises the possibility that the influence of additional factors has not yet been considered. The study also implies a potential role of cognitive and attentional bias on political attitude differences.</w:t>
      </w:r>
      <w:r w:rsidR="00A31F1E" w:rsidRPr="00BD14B0">
        <w:t xml:space="preserve"> Although </w:t>
      </w:r>
      <w:r w:rsidR="00BB7E39" w:rsidRPr="00BD14B0">
        <w:fldChar w:fldCharType="begin" w:fldLock="1"/>
      </w:r>
      <w:r w:rsidR="00BB7E39" w:rsidRPr="00BD14B0">
        <w:instrText>ADDIN CSL_CITATION {"citationItems":[{"id":"ITEM-1","itemData":{"DOI":"10.3758/s13414-010-0001-x","ISSN":"1943-3921","abstract":"Gaze cues lead to reflexive shifts of attention even when those gaze cues do not predict target location. Although this general effect has been repeatedly demonstrated, not all individuals orient to gaze in an identical manner. For example, the magnitude of gaze-cuing effects have been reduced or eliminated in populations such as those scoring high on the Autism-Spectrum Quotient and in males relative to females (since males exhibit more autism-like traits). In the present study, we examined whether gaze cue effects would be moderated by political temperament, given that those on the political right tend to be more supportive of individualism-and less likely to be influenced by others-than those on the left. We found standard gaze-cuing effects across all subjects but systematic differences in these effects by political temperament. Liberals exhibited a very large gaze-cuing effect, whereas conservatives showed no such effect at various stimulus onset asynchronies.","author":[{"dropping-particle":"","family":"Dodd","given":"Michael D","non-dropping-particle":"","parse-names":false,"suffix":""},{"dropping-particle":"","family":"Hibbing","given":"John R","non-dropping-particle":"","parse-names":false,"suffix":""},{"dropping-particle":"","family":"Smith","given":"Kevin B","non-dropping-particle":"","parse-names":false,"suffix":""}],"container-title":"Attention, Perception, &amp; Psychophysics","id":"ITEM-1","issue":"1","issued":{"date-parts":[["2011","1","4"]]},"note":"Times Cited: 8\n8","page":"24-29","title":"The politics of attention: gaze-cuing effects are moderated by political temperament","type":"article-journal","volume":"73"},"uris":["http://www.mendeley.com/documents/?uuid=600c9d1c-8b7a-4231-93fd-40ec9b24c90d"]}],"mendeley":{"formattedCitation":"(Dodd et al., 2011)","manualFormatting":"Dodd et al., (2011)","plainTextFormattedCitation":"(Dodd et al., 2011)","previouslyFormattedCitation":"(Dodd et al., 2011)"},"properties":{"noteIndex":0},"schema":"https://github.com/citation-style-language/schema/raw/master/csl-citation.json"}</w:instrText>
      </w:r>
      <w:r w:rsidR="00BB7E39" w:rsidRPr="00BD14B0">
        <w:fldChar w:fldCharType="separate"/>
      </w:r>
      <w:r w:rsidR="00BB7E39" w:rsidRPr="00BD14B0">
        <w:rPr>
          <w:noProof/>
        </w:rPr>
        <w:t>Dodd et al., (2011)</w:t>
      </w:r>
      <w:r w:rsidR="00BB7E39" w:rsidRPr="00BD14B0">
        <w:fldChar w:fldCharType="end"/>
      </w:r>
      <w:r w:rsidR="00BB7E39" w:rsidRPr="00BD14B0">
        <w:t xml:space="preserve"> </w:t>
      </w:r>
      <w:r w:rsidR="00ED34CD" w:rsidRPr="00BD14B0">
        <w:t xml:space="preserve">suggested that conservatives do not tend to follow gaze cues overall, </w:t>
      </w:r>
      <w:r w:rsidR="00BB7E39" w:rsidRPr="00BD14B0">
        <w:fldChar w:fldCharType="begin" w:fldLock="1"/>
      </w:r>
      <w:r w:rsidR="00BB7E39" w:rsidRPr="00BD14B0">
        <w:instrText>ADDIN CSL_CITATION {"citationItems":[{"id":"ITEM-1","itemData":{"DOI":"10.1371/journal.pone.0025117","ISSN":"1932-6203","abstract":"Studies in human and non-human primates indicate that basic socio-cognitive operations are inherently linked to the power of gaze in capturing reflexively the attention of an observer. Although monkey studies indicate that the automatic tendency to follow the gaze of a conspecific is modulated by the leader-follower social status, evidence for such effects in humans is meager. Here, we used a gaze following paradigm where the directional gaze of right-or left-wing Italian political characters could influence the oculomotor behavior of ingroup or outgroup voters. We show that the gaze of Berlusconi, the right-wing leader currently dominating the Italian political landscape, potentiates and inhibits gaze following behavior in ingroup and outgroup voters, respectively. Importantly, the higher the perceived similarity in personality traits between voters and Berlusconi, the stronger the gaze interference effect. Thus, higher-order social variables such as political leadership and affiliation prepotently affect reflexive shifts of attention.","author":[{"dropping-particle":"","family":"Liuzza","given":"Marco Tullio","non-dropping-particle":"","parse-names":false,"suffix":""},{"dropping-particle":"","family":"Cazzato","given":"Valentina","non-dropping-particle":"","parse-names":false,"suffix":""},{"dropping-particle":"","family":"Vecchione","given":"Michele","non-dropping-particle":"","parse-names":false,"suffix":""},{"dropping-particle":"","family":"Crostella","given":"Filippo","non-dropping-particle":"","parse-names":false,"suffix":""},{"dropping-particle":"","family":"Caprara","given":"Gian Vittorio","non-dropping-particle":"","parse-names":false,"suffix":""},{"dropping-particle":"","family":"Aglioti","given":"Salvatore Maria","non-dropping-particle":"","parse-names":false,"suffix":""}],"container-title":"Plos One","id":"ITEM-1","issue":"9","issued":{"date-parts":[["2011"]]},"note":"Times Cited: 12\nLiuzza, Marco Tullio/A-9967-2012\n12","title":"Follow My Eyes: The Gaze of Politicians Reflexively Captures the Gaze of Ingroup Voters","type":"article-journal","volume":"6"},"uris":["http://www.mendeley.com/documents/?uuid=5a49dbe4-b43e-4f79-b2bf-d8ab63cce5d6"]}],"mendeley":{"formattedCitation":"(Liuzza et al., 2011)","manualFormatting":"Liuzza et al., (2011)","plainTextFormattedCitation":"(Liuzza et al., 2011)","previouslyFormattedCitation":"(Liuzza et al., 2011)"},"properties":{"noteIndex":0},"schema":"https://github.com/citation-style-language/schema/raw/master/csl-citation.json"}</w:instrText>
      </w:r>
      <w:r w:rsidR="00BB7E39" w:rsidRPr="00BD14B0">
        <w:fldChar w:fldCharType="separate"/>
      </w:r>
      <w:r w:rsidR="00BB7E39" w:rsidRPr="00BD14B0">
        <w:rPr>
          <w:noProof/>
        </w:rPr>
        <w:t>Liuzza et al., (2011)</w:t>
      </w:r>
      <w:r w:rsidR="00BB7E39" w:rsidRPr="00BD14B0">
        <w:fldChar w:fldCharType="end"/>
      </w:r>
      <w:r w:rsidR="00BB7E39" w:rsidRPr="00BD14B0">
        <w:t xml:space="preserve"> </w:t>
      </w:r>
      <w:r w:rsidR="00A31F1E" w:rsidRPr="00BD14B0">
        <w:t xml:space="preserve">reported that </w:t>
      </w:r>
      <w:r w:rsidR="00ED34CD" w:rsidRPr="00BD14B0">
        <w:t xml:space="preserve">conservatives but not liberals tend to follow the gaze of the in-group leaders compared to out-group leaders. These studies suggest that social status, in addition to the social similarity of </w:t>
      </w:r>
      <w:r w:rsidR="002D2E58" w:rsidRPr="00BD14B0">
        <w:t>a</w:t>
      </w:r>
      <w:r w:rsidR="00ED34CD" w:rsidRPr="00BD14B0">
        <w:t xml:space="preserve"> gazer,</w:t>
      </w:r>
      <w:r w:rsidR="00A31F1E" w:rsidRPr="00BD14B0">
        <w:t xml:space="preserve"> are influential. </w:t>
      </w:r>
      <w:r w:rsidR="00BB7E39" w:rsidRPr="00BD14B0">
        <w:fldChar w:fldCharType="begin" w:fldLock="1"/>
      </w:r>
      <w:r w:rsidR="00BB7E39" w:rsidRPr="00BD14B0">
        <w:instrText>ADDIN CSL_CITATION {"citationItems":[{"id":"ITEM-1","itemData":{"DOI":"10.1080/17470218.2012.754909","ISSN":"1747-0218","abstract":"Although considered a predominantly automatic social behaviour, gaze following (GF) is sensitive to complex social factors like political affiliation and ideology. The present study aimed to determine whether the differential proneness to in-group leaders' gaze is related to attitudes towards politicians as measured by other implicit procedures. A GF paradigm was used to test the extent to which electors were prone to gaze following when attending to two female candidates who competed for the position of governor in an Italian election campaign. Results showed that GF significantly predicts voting intentions. Also, it was found that GF is significantly and positively correlated with the Implicit Association Test (IAT). Hierarchical multiple regression models illustrated that GF and IAT uniquely predict voting intentions, accounting for a substantial proportion of variance. Thus GF and IAT, even though significantly related, seem to account for different aspects of the attitudes towards candidates. A multivariate regression model showed that, while IAT scores are predicted by explicit emotions toward the candidate, GF is predicted by the candidates' perceived influence within their political coalition.","author":[{"dropping-particle":"","family":"Liuzza","given":"Marco Tullio","non-dropping-particle":"","parse-names":false,"suffix":""},{"dropping-particle":"","family":"Vecchione","given":"Michele","non-dropping-particle":"","parse-names":false,"suffix":""},{"dropping-particle":"","family":"Dentale","given":"Francesco","non-dropping-particle":"","parse-names":false,"suffix":""},{"dropping-particle":"","family":"Crostella","given":"Filippo","non-dropping-particle":"","parse-names":false,"suffix":""},{"dropping-particle":"","family":"Barbaranelli","given":"Claudio","non-dropping-particle":"","parse-names":false,"suffix":""},{"dropping-particle":"","family":"Caprara","given":"Gian Vittorio","non-dropping-particle":"","parse-names":false,"suffix":""},{"dropping-particle":"","family":"Aglioti","given":"Salvatore Maria","non-dropping-particle":"","parse-names":false,"suffix":""}],"container-title":"Quarterly Journal of Experimental Psychology","id":"ITEM-1","issue":"2","issued":{"date-parts":[["2013"]]},"note":"Times Cited: 2\n2","page":"209-216","title":"A look into the ballot box: Gaze following conveys information about implicit attitudes toward politicians","type":"article-journal","volume":"66"},"uris":["http://www.mendeley.com/documents/?uuid=67291229-ae4a-4bf9-ac78-c356945f6af2"]}],"mendeley":{"formattedCitation":"(Liuzza et al., 2013)","manualFormatting":"Liuzza et al., (2013)","plainTextFormattedCitation":"(Liuzza et al., 2013)","previouslyFormattedCitation":"(Liuzza et al., 2013)"},"properties":{"noteIndex":0},"schema":"https://github.com/citation-style-language/schema/raw/master/csl-citation.json"}</w:instrText>
      </w:r>
      <w:r w:rsidR="00BB7E39" w:rsidRPr="00BD14B0">
        <w:fldChar w:fldCharType="separate"/>
      </w:r>
      <w:r w:rsidR="00BB7E39" w:rsidRPr="00BD14B0">
        <w:rPr>
          <w:noProof/>
        </w:rPr>
        <w:t>Liuzza et al., (2013)</w:t>
      </w:r>
      <w:r w:rsidR="00BB7E39" w:rsidRPr="00BD14B0">
        <w:fldChar w:fldCharType="end"/>
      </w:r>
      <w:r w:rsidR="00BB7E39" w:rsidRPr="00BD14B0">
        <w:t xml:space="preserve"> </w:t>
      </w:r>
      <w:r w:rsidR="00ED34CD" w:rsidRPr="00BD14B0">
        <w:t>conducted another study examining political candidates as gazer</w:t>
      </w:r>
      <w:r w:rsidR="00585157" w:rsidRPr="00BD14B0">
        <w:t>s</w:t>
      </w:r>
      <w:r w:rsidR="00ED34CD" w:rsidRPr="00BD14B0">
        <w:t xml:space="preserve">. They suggested that gaze-following behaviour is </w:t>
      </w:r>
      <w:r w:rsidR="00585157" w:rsidRPr="00BD14B0">
        <w:t xml:space="preserve">an </w:t>
      </w:r>
      <w:r w:rsidR="00ED34CD" w:rsidRPr="00BD14B0">
        <w:t xml:space="preserve">implicit association task and may ultimately predict voting behaviour. It has been suggested that people’s visual representations of each other are influenced by pre-existing beliefs and attitudes </w:t>
      </w:r>
      <w:r w:rsidR="00ED34CD" w:rsidRPr="00BD14B0">
        <w:fldChar w:fldCharType="begin" w:fldLock="1"/>
      </w:r>
      <w:r w:rsidR="004D2901" w:rsidRPr="00BD14B0">
        <w:instrText>ADDIN CSL_CITATION {"citationItems":[{"id":"ITEM-1","itemData":{"DOI":"10.1073/pnas.0905362106","ISSN":"0027-8424","abstract":"People tend to view members of their own political group more positively than members of a competing political group. In this article, we demonstrate that political partisanship influences people's visual representations of a biracial political candidate's skin tone. In three studies, participants rated the representativeness of photographs of a hypothetical (Study 1) or real (Barack Obama; Studies 2 and 3) biracial political candidate. Unbeknownst to participants, some of the photographs had been altered to make the candidate's skin tone either lighter or darker than it was in the original photograph. Participants whose partisanship matched that of the candidate they were evaluating consistently rated the lightened photographs as more representative of the candidate than the darkened photographs, whereas participants whose partisanship did not match that of the candidate showed the opposite pattern. For evaluations of Barack Obama, the extent to which people rated lightened photographs as representative of him was positively correlated with their stated voting intentions and reported voting behavior in the 2008 Presidential election. This effect persisted when controlling for political ideology and racial attitudes. These results suggest that people's visual representations of others are related to their own preexisting beliefs and to the decisions they make in a consequential context.","author":[{"dropping-particle":"","family":"Caruso","given":"Eugene M","non-dropping-particle":"","parse-names":false,"suffix":""},{"dropping-particle":"","family":"Mead","given":"Nicole L","non-dropping-particle":"","parse-names":false,"suffix":""},{"dropping-particle":"","family":"Balcetis","given":"Emily","non-dropping-particle":"","parse-names":false,"suffix":""}],"container-title":"Proceedings of the National Academy of Sciences of the United States of America","id":"ITEM-1","issue":"48","issued":{"date-parts":[["2009"]]},"note":"Times Cited: 22\n22","page":"20168-20173","title":"Political partisanship influences perception of biracial candidates' skin tone","type":"article-journal","volume":"106"},"uris":["http://www.mendeley.com/documents/?uuid=5b458d5d-7e42-427e-a9ec-98c4d8c38571"]}],"mendeley":{"formattedCitation":"(Caruso et al., 2009)","plainTextFormattedCitation":"(Caruso et al., 2009)","previouslyFormattedCitation":"(Caruso et al., 2009)"},"properties":{"noteIndex":0},"schema":"https://github.com/citation-style-language/schema/raw/master/csl-citation.json"}</w:instrText>
      </w:r>
      <w:r w:rsidR="00ED34CD" w:rsidRPr="00BD14B0">
        <w:fldChar w:fldCharType="separate"/>
      </w:r>
      <w:r w:rsidR="004D2901" w:rsidRPr="00BD14B0">
        <w:rPr>
          <w:noProof/>
        </w:rPr>
        <w:t>(Caruso et al., 2009)</w:t>
      </w:r>
      <w:r w:rsidR="00ED34CD" w:rsidRPr="00BD14B0">
        <w:fldChar w:fldCharType="end"/>
      </w:r>
      <w:r w:rsidR="00ED34CD" w:rsidRPr="00BD14B0">
        <w:t>. These findings lead to the hypothesis that gaze-following behaviour may not only be an automatic attentional behaviour independent from representations of a group or a single person.</w:t>
      </w:r>
    </w:p>
    <w:p w14:paraId="03004037" w14:textId="77777777" w:rsidR="009929C4" w:rsidRPr="00BD14B0" w:rsidRDefault="009929C4" w:rsidP="00553E01"/>
    <w:p w14:paraId="598F12B9" w14:textId="60CE1913" w:rsidR="00FF1F67" w:rsidRPr="00BD14B0" w:rsidRDefault="00FF1F67" w:rsidP="00D21204">
      <w:pPr>
        <w:pStyle w:val="Heading4"/>
        <w:numPr>
          <w:ilvl w:val="0"/>
          <w:numId w:val="0"/>
        </w:numPr>
        <w:ind w:left="851"/>
      </w:pPr>
      <w:r w:rsidRPr="00BD14B0">
        <w:t>Social status</w:t>
      </w:r>
    </w:p>
    <w:p w14:paraId="0F2002BC" w14:textId="7250F760" w:rsidR="00ED34CD" w:rsidRPr="00BD14B0" w:rsidRDefault="00ED34CD" w:rsidP="005953A0">
      <w:pPr>
        <w:pStyle w:val="Body"/>
        <w:spacing w:line="360" w:lineRule="auto"/>
        <w:ind w:firstLine="708"/>
        <w:rPr>
          <w:rFonts w:ascii="Times New Roman" w:hAnsi="Times New Roman" w:cs="Times New Roman"/>
          <w:color w:val="000000" w:themeColor="text1"/>
          <w:sz w:val="24"/>
          <w:szCs w:val="24"/>
        </w:rPr>
      </w:pPr>
      <w:r w:rsidRPr="00BD14B0">
        <w:rPr>
          <w:rFonts w:ascii="Times New Roman" w:hAnsi="Times New Roman" w:cs="Times New Roman"/>
          <w:color w:val="000000" w:themeColor="text1"/>
          <w:sz w:val="24"/>
          <w:szCs w:val="24"/>
        </w:rPr>
        <w:t xml:space="preserve">Social status is one of the key indicators of dominance in the animal kingdom. Animals who live as a group or pack, tend to have social relationships that regulate the roles within the group to survive. This group dynamic helps </w:t>
      </w:r>
      <w:r w:rsidR="00E31686" w:rsidRPr="00BD14B0">
        <w:rPr>
          <w:rFonts w:ascii="Times New Roman" w:hAnsi="Times New Roman" w:cs="Times New Roman"/>
          <w:color w:val="000000" w:themeColor="text1"/>
          <w:sz w:val="24"/>
          <w:szCs w:val="24"/>
        </w:rPr>
        <w:t xml:space="preserve">the </w:t>
      </w:r>
      <w:r w:rsidRPr="00BD14B0">
        <w:rPr>
          <w:rFonts w:ascii="Times New Roman" w:hAnsi="Times New Roman" w:cs="Times New Roman"/>
          <w:color w:val="000000" w:themeColor="text1"/>
          <w:sz w:val="24"/>
          <w:szCs w:val="24"/>
        </w:rPr>
        <w:t xml:space="preserve">group/pack survive by dividing roles within them. Indeed, social attention studies conducted with monkeys have indicated that social status has a significant effect on gaze following. A recent study conducted by </w:t>
      </w:r>
      <w:r w:rsidRPr="00BD14B0">
        <w:rPr>
          <w:rFonts w:ascii="Times New Roman" w:hAnsi="Times New Roman" w:cs="Times New Roman"/>
          <w:color w:val="000000" w:themeColor="text1"/>
          <w:sz w:val="24"/>
          <w:szCs w:val="24"/>
        </w:rPr>
        <w:fldChar w:fldCharType="begin" w:fldLock="1"/>
      </w:r>
      <w:r w:rsidR="004D2901" w:rsidRPr="00BD14B0">
        <w:rPr>
          <w:rFonts w:ascii="Times New Roman" w:hAnsi="Times New Roman" w:cs="Times New Roman"/>
          <w:color w:val="000000" w:themeColor="text1"/>
          <w:sz w:val="24"/>
          <w:szCs w:val="24"/>
        </w:rPr>
        <w:instrText>ADDIN CSL_CITATION {"citationItems":[{"id":"ITEM-1","itemData":{"DOI":"10.1016/j.cub.2006.02.013","ISSN":"0960-9822","author":[{"dropping-particle":"V","family":"Shepherd","given":"S","non-dropping-particle":"","parse-names":false,"suffix":""},{"dropping-particle":"","family":"Deaner","given":"R O","non-dropping-particle":"","parse-names":false,"suffix":""},{"dropping-particle":"","family":"Platt","given":"M L","non-dropping-particle":"","parse-names":false,"suffix":""}],"container-title":"Current Biology","id":"ITEM-1","issue":"4","issued":{"date-parts":[["2006"]]},"note":"Times Cited: 56\n56","page":"R119-R120","title":"Social status gates social attention in monkeys","type":"article-journal","volume":"16"},"uris":["http://www.mendeley.com/documents/?uuid=b072f528-1bec-4ee9-a72f-dc51b8d8f893"]}],"mendeley":{"formattedCitation":"(S V Shepherd et al., 2006)","manualFormatting":"Shepherd et al. (2006)","plainTextFormattedCitation":"(S V Shepherd et al., 2006)","previouslyFormattedCitation":"(S V Shepherd et al., 2006)"},"properties":{"noteIndex":0},"schema":"https://github.com/citation-style-language/schema/raw/master/csl-citation.json"}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Shepherd et al. (2006)</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showed that social status gates attention in monkeys. They manipulated the social status by using visual representations of dominance. The study </w:t>
      </w:r>
      <w:r w:rsidRPr="00BD14B0">
        <w:rPr>
          <w:rFonts w:ascii="Times New Roman" w:hAnsi="Times New Roman" w:cs="Times New Roman"/>
          <w:color w:val="000000" w:themeColor="text1"/>
          <w:sz w:val="24"/>
          <w:szCs w:val="24"/>
        </w:rPr>
        <w:lastRenderedPageBreak/>
        <w:t>found that low-status rhesus macaque monkeys reflexively followed the gaze of all other monkeys whereas high-status ones only followed other high-status members. The result</w:t>
      </w:r>
      <w:r w:rsidR="00E31686" w:rsidRPr="00BD14B0">
        <w:rPr>
          <w:rFonts w:ascii="Times New Roman" w:hAnsi="Times New Roman" w:cs="Times New Roman"/>
          <w:color w:val="000000" w:themeColor="text1"/>
          <w:sz w:val="24"/>
          <w:szCs w:val="24"/>
        </w:rPr>
        <w:t>s</w:t>
      </w:r>
      <w:r w:rsidRPr="00BD14B0">
        <w:rPr>
          <w:rFonts w:ascii="Times New Roman" w:hAnsi="Times New Roman" w:cs="Times New Roman"/>
          <w:color w:val="000000" w:themeColor="text1"/>
          <w:sz w:val="24"/>
          <w:szCs w:val="24"/>
        </w:rPr>
        <w:t xml:space="preserve"> </w:t>
      </w:r>
      <w:r w:rsidR="00E31686" w:rsidRPr="00BD14B0">
        <w:rPr>
          <w:rFonts w:ascii="Times New Roman" w:hAnsi="Times New Roman" w:cs="Times New Roman"/>
          <w:color w:val="000000" w:themeColor="text1"/>
          <w:sz w:val="24"/>
          <w:szCs w:val="24"/>
        </w:rPr>
        <w:t xml:space="preserve">therefore </w:t>
      </w:r>
      <w:r w:rsidRPr="00BD14B0">
        <w:rPr>
          <w:rFonts w:ascii="Times New Roman" w:hAnsi="Times New Roman" w:cs="Times New Roman"/>
          <w:color w:val="000000" w:themeColor="text1"/>
          <w:sz w:val="24"/>
          <w:szCs w:val="24"/>
        </w:rPr>
        <w:t>show that the gaze following in monkeys involves both reflexive and voluntary components, but the strength of these mechanisms varies according to social status.</w:t>
      </w:r>
    </w:p>
    <w:p w14:paraId="6271FEB3" w14:textId="77777777" w:rsidR="00D51886" w:rsidRPr="00BD14B0" w:rsidRDefault="00D51886" w:rsidP="00D51886">
      <w:pPr>
        <w:pStyle w:val="Body"/>
        <w:spacing w:line="360" w:lineRule="auto"/>
        <w:ind w:firstLine="708"/>
        <w:rPr>
          <w:rFonts w:ascii="Times New Roman" w:hAnsi="Times New Roman" w:cs="Times New Roman"/>
          <w:color w:val="000000" w:themeColor="text1"/>
          <w:sz w:val="24"/>
          <w:szCs w:val="24"/>
        </w:rPr>
      </w:pPr>
      <w:r w:rsidRPr="00BD14B0">
        <w:rPr>
          <w:rFonts w:ascii="Times New Roman" w:hAnsi="Times New Roman" w:cs="Times New Roman"/>
          <w:color w:val="000000" w:themeColor="text1"/>
          <w:sz w:val="24"/>
          <w:szCs w:val="24"/>
        </w:rPr>
        <w:t xml:space="preserve">The effect of social status on social attention also seems to exist in humans as well as in monkeys. However, social interactions are much more complicated in humans, and social status cannot be only defined by physical dominance. One study conducted by </w:t>
      </w:r>
      <w:r w:rsidRPr="00BD14B0">
        <w:rPr>
          <w:rFonts w:ascii="Times New Roman" w:hAnsi="Times New Roman" w:cs="Times New Roman"/>
          <w:color w:val="000000" w:themeColor="text1"/>
          <w:sz w:val="24"/>
          <w:szCs w:val="24"/>
        </w:rPr>
        <w:fldChar w:fldCharType="begin" w:fldLock="1"/>
      </w:r>
      <w:r w:rsidRPr="00BD14B0">
        <w:rPr>
          <w:rFonts w:ascii="Times New Roman" w:hAnsi="Times New Roman" w:cs="Times New Roman"/>
          <w:color w:val="000000" w:themeColor="text1"/>
          <w:sz w:val="24"/>
          <w:szCs w:val="24"/>
        </w:rPr>
        <w:instrText>ADDIN CSL_CITATION {"citationItems":[{"id":"ITEM-1","itemData":{"DOI":"10.1098/rspb.2009.1575","ISSN":"0962-8452","abstract":"Responding appropriately to gaze cues is essential for fluent social interaction, playing a crucial role in social learning, collaboration, threat assessment and understanding others' intentions. Previous research has shown that responses to gaze cues can be studied by investigating the gaze-cuing effect (i.e. the tendency for observers to respond more quickly to targets in locations that were cued by others' gaze than to uncued targets). A recent study demonstrating that macaques demonstrate larger gaze-cuing effects when viewing dominant conspecifics than when viewing subordinate conspecifics suggests that cues of dominance modulate the gaze-cuing effect in at least one primate species. Here, we show a similar effect of facial cues associated with dominance on gaze cuing in human observers: at short viewing times, observers demonstrated a greater cuing effect for gaze cues from masculinized (i.e. dominant) faces than from feminized (i.e. subordinate) faces. Moreover, this effect of facial masculinity on gaze cuing decreased as viewing time was increased, suggesting that the effect is driven by involuntary responses. Our findings suggest that the mechanisms that underpin reflexive gaze cuing evolved to be sensitive to facial cues of others' dominance, potentially because such differential gaze cuing promoted desirable outcomes from encounters with dominant individuals.","author":[{"dropping-particle":"","family":"Jones","given":"Benedict C","non-dropping-particle":"","parse-names":false,"suffix":""},{"dropping-particle":"","family":"DeBruine","given":"Lisa M","non-dropping-particle":"","parse-names":false,"suffix":""},{"dropping-particle":"","family":"Main","given":"Julie C","non-dropping-particle":"","parse-names":false,"suffix":""},{"dropping-particle":"","family":"Little","given":"Anthony C","non-dropping-particle":"","parse-names":false,"suffix":""},{"dropping-particle":"","family":"Welling","given":"Lisa L M","non-dropping-particle":"","parse-names":false,"suffix":""},{"dropping-particle":"","family":"Feinberg","given":"David R","non-dropping-particle":"","parse-names":false,"suffix":""},{"dropping-particle":"","family":"Tiddeman","given":"Bernard P","non-dropping-particle":"","parse-names":false,"suffix":""}],"container-title":"Proceedings of the Royal Society B: Biological Sciences","id":"ITEM-1","issue":"1681","issued":{"date-parts":[["2010","2","22"]]},"note":"Times Cited: 54\nJones, Benedict/A-7850-2008; DeBruine, Lisa/A-6990-2008; Little, Anthony/B-8497-2009; Feinberg, David/C-1249-2009\nJones, Benedict/0000-0001-7777-0220; DeBruine, Lisa/0000-0002-7523-5539; Little, Anthony/0000-0001-9100-1903; Feinberg, David/0000-0003-4179-1446\n56","page":"617-624","title":"Facial cues of dominance modulate the short-term gaze-cuing effect in human observers","type":"article-journal","volume":"277"},"uris":["http://www.mendeley.com/documents/?uuid=64bfee74-1a8b-412c-b705-07f9a61342c4"]}],"mendeley":{"formattedCitation":"(B. C. Jones et al., 2010)","manualFormatting":"Jones et al. (2010)","plainTextFormattedCitation":"(B. C. Jones et al., 2010)","previouslyFormattedCitation":"(B. C. Jones et al., 2010)"},"properties":{"noteIndex":0},"schema":"https://github.com/citation-style-language/schema/raw/master/csl-citation.json"}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Jones et al. (2010)</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showed that visual cues of dominance modulated the gaze cueing effect in humans as found with monkeys. However, this effect was only observed in short stimulus-onset asynchrony and the effect of facial dominance on gaze cueing decreased when the viewing time increased, suggesting that the effect of visual dominance was driven by involuntary responses.</w:t>
      </w:r>
    </w:p>
    <w:p w14:paraId="4A450479" w14:textId="77777777" w:rsidR="00D51886" w:rsidRPr="00BD14B0" w:rsidRDefault="00D51886" w:rsidP="00D51886">
      <w:pPr>
        <w:pStyle w:val="Body"/>
        <w:spacing w:line="360" w:lineRule="auto"/>
        <w:ind w:firstLine="708"/>
        <w:rPr>
          <w:rFonts w:ascii="Times New Roman" w:hAnsi="Times New Roman" w:cs="Times New Roman"/>
          <w:color w:val="000000" w:themeColor="text1"/>
          <w:sz w:val="24"/>
          <w:szCs w:val="24"/>
        </w:rPr>
      </w:pPr>
      <w:r w:rsidRPr="00BD14B0">
        <w:rPr>
          <w:rFonts w:ascii="Times New Roman" w:hAnsi="Times New Roman" w:cs="Times New Roman"/>
          <w:color w:val="000000" w:themeColor="text1"/>
          <w:sz w:val="24"/>
          <w:szCs w:val="24"/>
        </w:rPr>
        <w:t xml:space="preserve">Another study showed that perceived social power may influence the strength of gaze cueing. In this study the social status is defined by social power. Unlike physical dominance social power cannot be defined by only visual input. </w:t>
      </w:r>
      <w:r w:rsidRPr="00BD14B0">
        <w:rPr>
          <w:rFonts w:ascii="Times New Roman" w:hAnsi="Times New Roman" w:cs="Times New Roman"/>
          <w:color w:val="000000" w:themeColor="text1"/>
          <w:sz w:val="24"/>
          <w:szCs w:val="24"/>
        </w:rPr>
        <w:fldChar w:fldCharType="begin" w:fldLock="1"/>
      </w:r>
      <w:r w:rsidRPr="00BD14B0">
        <w:rPr>
          <w:rFonts w:ascii="Times New Roman" w:hAnsi="Times New Roman" w:cs="Times New Roman"/>
          <w:color w:val="000000" w:themeColor="text1"/>
          <w:sz w:val="24"/>
          <w:szCs w:val="24"/>
        </w:rPr>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Zhang, and Geng (2014)","plainTextFormattedCitation":"(Cui et al., 2014)","previouslyFormattedCitation":"(Cui et al., 2014)"},"properties":{"noteIndex":0},"schema":"https://github.com/citation-style-language/schema/raw/master/csl-citation.json"}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Cui, Zhang, and Geng (2014)</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examined this question using a pair of experiments. In the first </w:t>
      </w:r>
      <w:r w:rsidRPr="00BD14B0">
        <w:rPr>
          <w:rFonts w:ascii="Times New Roman" w:hAnsi="Times New Roman" w:cs="Times New Roman"/>
          <w:noProof/>
          <w:color w:val="000000" w:themeColor="text1"/>
          <w:sz w:val="24"/>
          <w:szCs w:val="24"/>
        </w:rPr>
        <w:t>experiment,</w:t>
      </w:r>
      <w:r w:rsidRPr="00BD14B0">
        <w:rPr>
          <w:rFonts w:ascii="Times New Roman" w:hAnsi="Times New Roman" w:cs="Times New Roman"/>
          <w:color w:val="000000" w:themeColor="text1"/>
          <w:sz w:val="24"/>
          <w:szCs w:val="24"/>
        </w:rPr>
        <w:t xml:space="preserve"> they asked their participants to complete a 10-</w:t>
      </w:r>
      <w:r w:rsidRPr="00BD14B0">
        <w:rPr>
          <w:rFonts w:ascii="Times New Roman" w:hAnsi="Times New Roman" w:cs="Times New Roman"/>
          <w:noProof/>
          <w:color w:val="000000" w:themeColor="text1"/>
          <w:sz w:val="24"/>
          <w:szCs w:val="24"/>
        </w:rPr>
        <w:t>min</w:t>
      </w:r>
      <w:r w:rsidRPr="00BD14B0">
        <w:rPr>
          <w:rFonts w:ascii="Times New Roman" w:hAnsi="Times New Roman" w:cs="Times New Roman"/>
          <w:color w:val="000000" w:themeColor="text1"/>
          <w:sz w:val="24"/>
          <w:szCs w:val="24"/>
        </w:rPr>
        <w:t xml:space="preserve"> essay addressing a personal memory that involved a time in which they felt controlled, </w:t>
      </w:r>
      <w:proofErr w:type="gramStart"/>
      <w:r w:rsidRPr="00BD14B0">
        <w:rPr>
          <w:rFonts w:ascii="Times New Roman" w:hAnsi="Times New Roman" w:cs="Times New Roman"/>
          <w:color w:val="000000" w:themeColor="text1"/>
          <w:sz w:val="24"/>
          <w:szCs w:val="24"/>
        </w:rPr>
        <w:t>managed</w:t>
      </w:r>
      <w:proofErr w:type="gramEnd"/>
      <w:r w:rsidRPr="00BD14B0">
        <w:rPr>
          <w:rFonts w:ascii="Times New Roman" w:hAnsi="Times New Roman" w:cs="Times New Roman"/>
          <w:color w:val="000000" w:themeColor="text1"/>
          <w:sz w:val="24"/>
          <w:szCs w:val="24"/>
        </w:rPr>
        <w:t xml:space="preserve"> and affected by others (i.e., low social power). Then, they were asked to complete a </w:t>
      </w:r>
      <w:r w:rsidRPr="00BD14B0">
        <w:rPr>
          <w:rFonts w:ascii="Times New Roman" w:hAnsi="Times New Roman" w:cs="Times New Roman"/>
          <w:noProof/>
          <w:color w:val="000000" w:themeColor="text1"/>
          <w:sz w:val="24"/>
          <w:szCs w:val="24"/>
        </w:rPr>
        <w:t>computer-based</w:t>
      </w:r>
      <w:r w:rsidRPr="00BD14B0">
        <w:rPr>
          <w:rFonts w:ascii="Times New Roman" w:hAnsi="Times New Roman" w:cs="Times New Roman"/>
          <w:color w:val="000000" w:themeColor="text1"/>
          <w:sz w:val="24"/>
          <w:szCs w:val="24"/>
        </w:rPr>
        <w:t xml:space="preserve"> gaze cueing task. In the second experiment, participants were asked to imagine that they were either: (1) running away from a high danger situation (high danger) or they were safe in a low danger situation (low danger); and (2) the leader of a team (high social power) or as a member of a team (low social status). The results showed that the effect of social power on gaze cueing was stronger with participants who were primed with low social power versus high social power. Additionally, the results indicated that perceived social power had an interactive effect with danger in the environment on social attention. These results pinpoint the importance of the relationship between individuals’ position and their environment. </w:t>
      </w:r>
    </w:p>
    <w:p w14:paraId="54C981EE" w14:textId="4A75C9B7" w:rsidR="00D51886" w:rsidRPr="00BD14B0" w:rsidRDefault="00D51886" w:rsidP="00930C9A">
      <w:pPr>
        <w:pStyle w:val="Body"/>
        <w:spacing w:line="360" w:lineRule="auto"/>
        <w:ind w:firstLine="708"/>
        <w:rPr>
          <w:rFonts w:ascii="Times New Roman" w:hAnsi="Times New Roman" w:cs="Times New Roman"/>
          <w:color w:val="000000" w:themeColor="text1"/>
          <w:sz w:val="24"/>
          <w:szCs w:val="24"/>
        </w:rPr>
      </w:pPr>
      <w:r w:rsidRPr="00BD14B0">
        <w:rPr>
          <w:rFonts w:ascii="Times New Roman" w:hAnsi="Times New Roman" w:cs="Times New Roman"/>
          <w:color w:val="000000" w:themeColor="text1"/>
          <w:sz w:val="24"/>
          <w:szCs w:val="24"/>
        </w:rPr>
        <w:t>Another study showed similar attentional bias by manipulating social status with socioeconomic status (SES) of the observed face.</w:t>
      </w:r>
      <w:r w:rsidRPr="00BD14B0">
        <w:rPr>
          <w:rFonts w:ascii="Times New Roman" w:hAnsi="Times New Roman" w:cs="Times New Roman"/>
          <w:color w:val="000000" w:themeColor="text1"/>
          <w:sz w:val="24"/>
          <w:szCs w:val="24"/>
        </w:rPr>
        <w:fldChar w:fldCharType="begin" w:fldLock="1"/>
      </w:r>
      <w:r w:rsidR="0028287E" w:rsidRPr="00BD14B0">
        <w:rPr>
          <w:rFonts w:ascii="Times New Roman" w:hAnsi="Times New Roman" w:cs="Times New Roman"/>
          <w:color w:val="000000" w:themeColor="text1"/>
          <w:sz w:val="24"/>
          <w:szCs w:val="24"/>
        </w:rPr>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Letters","id":"ITEM-1","issue":"3","issued":{"date-parts":[["2012","6","23"]]},"page":"450-452","title":"Social status gates social attention in humans","type":"article-journal","volume":"8"},"uris":["http://www.mendeley.com/documents/?uuid=b7f6444c-76cb-4601-8187-f22420080e98"]}],"mendeley":{"formattedCitation":"(Dalmaso et al., 2012a)","manualFormatting":" Dalmaso, Pavan, Castelli, &amp; Galfano (2012)","plainTextFormattedCitation":"(Dalmaso et al., 2012a)","previouslyFormattedCitation":"(Dalmaso et al., 2012a)"},"properties":{"noteIndex":0},"schema":"https://github.com/citation-style-language/schema/raw/master/csl-citation.json"}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 xml:space="preserve"> Dalmaso, Pavan, Castelli, &amp; Galfano (2012)</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showed that faces associated with a fictitious CV significantly manipulated the </w:t>
      </w:r>
      <w:r w:rsidRPr="00BD14B0">
        <w:rPr>
          <w:rFonts w:ascii="Times New Roman" w:hAnsi="Times New Roman" w:cs="Times New Roman"/>
          <w:color w:val="000000" w:themeColor="text1"/>
          <w:sz w:val="24"/>
          <w:szCs w:val="24"/>
        </w:rPr>
        <w:lastRenderedPageBreak/>
        <w:t>strength of gaze cueing. In the study, participants were shown a set of faces associated with fictitious CVs. They associated either young and old faces with good or poor CVs. Hence, they used visual difference (young or old faces) to create categorical difference between conditions</w:t>
      </w:r>
      <w:r w:rsidR="00930C9A" w:rsidRPr="00BD14B0">
        <w:rPr>
          <w:rFonts w:ascii="Times New Roman" w:hAnsi="Times New Roman" w:cs="Times New Roman"/>
          <w:color w:val="000000" w:themeColor="text1"/>
          <w:sz w:val="24"/>
          <w:szCs w:val="24"/>
        </w:rPr>
        <w:t xml:space="preserve">. </w:t>
      </w:r>
      <w:r w:rsidRPr="00BD14B0">
        <w:rPr>
          <w:rFonts w:ascii="Times New Roman" w:hAnsi="Times New Roman" w:cs="Times New Roman"/>
          <w:color w:val="000000" w:themeColor="text1"/>
          <w:sz w:val="24"/>
          <w:szCs w:val="24"/>
        </w:rPr>
        <w:t xml:space="preserve">Results showed that participants tend to follow the eye gaze of individuals with high SES compared to low SES faces </w:t>
      </w:r>
      <w:r w:rsidRPr="00BD14B0">
        <w:rPr>
          <w:rFonts w:ascii="Times New Roman" w:hAnsi="Times New Roman" w:cs="Times New Roman"/>
          <w:color w:val="000000" w:themeColor="text1"/>
          <w:sz w:val="24"/>
          <w:szCs w:val="24"/>
        </w:rPr>
        <w:fldChar w:fldCharType="begin" w:fldLock="1"/>
      </w:r>
      <w:r w:rsidR="0028287E" w:rsidRPr="00BD14B0">
        <w:rPr>
          <w:rFonts w:ascii="Times New Roman" w:hAnsi="Times New Roman" w:cs="Times New Roman"/>
          <w:color w:val="000000" w:themeColor="text1"/>
          <w:sz w:val="24"/>
          <w:szCs w:val="24"/>
        </w:rPr>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Letters","id":"ITEM-1","issue":"3","issued":{"date-parts":[["2012","6","23"]]},"page":"450-452","title":"Social status gates social attention in humans","type":"article-journal","volume":"8"},"uris":["http://www.mendeley.com/documents/?uuid=b7f6444c-76cb-4601-8187-f22420080e98"]}],"mendeley":{"formattedCitation":"(Dalmaso et al., 2012a)","manualFormatting":"(Dalmaso et al., 2012)","plainTextFormattedCitation":"(Dalmaso et al., 2012a)","previouslyFormattedCitation":"(Dalmaso et al., 2012a)"},"properties":{"noteIndex":0},"schema":"https://github.com/citation-style-language/schema/raw/master/csl-citation.json"}</w:instrText>
      </w:r>
      <w:r w:rsidRPr="00BD14B0">
        <w:rPr>
          <w:rFonts w:ascii="Times New Roman" w:hAnsi="Times New Roman" w:cs="Times New Roman"/>
          <w:color w:val="000000" w:themeColor="text1"/>
          <w:sz w:val="24"/>
          <w:szCs w:val="24"/>
        </w:rPr>
        <w:fldChar w:fldCharType="separate"/>
      </w:r>
      <w:r w:rsidRPr="00BD14B0">
        <w:rPr>
          <w:rFonts w:ascii="Times New Roman" w:hAnsi="Times New Roman" w:cs="Times New Roman"/>
          <w:noProof/>
          <w:color w:val="000000" w:themeColor="text1"/>
          <w:sz w:val="24"/>
          <w:szCs w:val="24"/>
        </w:rPr>
        <w:t>(Dalmaso et al., 2012)</w:t>
      </w:r>
      <w:r w:rsidRPr="00BD14B0">
        <w:rPr>
          <w:rFonts w:ascii="Times New Roman" w:hAnsi="Times New Roman" w:cs="Times New Roman"/>
          <w:color w:val="000000" w:themeColor="text1"/>
          <w:sz w:val="24"/>
          <w:szCs w:val="24"/>
        </w:rPr>
        <w:fldChar w:fldCharType="end"/>
      </w:r>
      <w:r w:rsidRPr="00BD14B0">
        <w:rPr>
          <w:rFonts w:ascii="Times New Roman" w:hAnsi="Times New Roman" w:cs="Times New Roman"/>
          <w:color w:val="000000" w:themeColor="text1"/>
          <w:sz w:val="24"/>
          <w:szCs w:val="24"/>
        </w:rPr>
        <w:t xml:space="preserve">. Overall, these results highlight two important outcomes. First, social status seems to have an effect on gaze cueing and that social status is defined is not only by the visual representation of physical creatures like monkeys. Second, the effect of social power diminishes in longer SOAs; therefore, it is reflexive in nature.  The effect of social status and how it can be measured will be further explained </w:t>
      </w:r>
      <w:r w:rsidRPr="00BD14B0">
        <w:rPr>
          <w:rFonts w:ascii="Times New Roman" w:hAnsi="Times New Roman" w:cs="Times New Roman"/>
          <w:noProof/>
          <w:color w:val="000000" w:themeColor="text1"/>
          <w:sz w:val="24"/>
          <w:szCs w:val="24"/>
        </w:rPr>
        <w:t>in</w:t>
      </w:r>
      <w:r w:rsidRPr="00BD14B0">
        <w:rPr>
          <w:rFonts w:ascii="Times New Roman" w:hAnsi="Times New Roman" w:cs="Times New Roman"/>
          <w:color w:val="000000" w:themeColor="text1"/>
          <w:sz w:val="24"/>
          <w:szCs w:val="24"/>
        </w:rPr>
        <w:t xml:space="preserve"> Chapter 3.</w:t>
      </w:r>
    </w:p>
    <w:p w14:paraId="162052EE" w14:textId="77777777" w:rsidR="00726202" w:rsidRPr="00BD14B0" w:rsidRDefault="00726202" w:rsidP="005953A0">
      <w:pPr>
        <w:pStyle w:val="Body"/>
        <w:spacing w:line="360" w:lineRule="auto"/>
        <w:ind w:firstLine="708"/>
        <w:rPr>
          <w:rFonts w:ascii="Times New Roman" w:hAnsi="Times New Roman" w:cs="Times New Roman"/>
          <w:color w:val="000000" w:themeColor="text1"/>
          <w:sz w:val="24"/>
          <w:szCs w:val="24"/>
        </w:rPr>
      </w:pPr>
    </w:p>
    <w:p w14:paraId="559F96D4" w14:textId="75F89C89" w:rsidR="000A1220" w:rsidRPr="00BD14B0" w:rsidRDefault="00A13DE8" w:rsidP="00553E01">
      <w:pPr>
        <w:pStyle w:val="Heading3"/>
      </w:pPr>
      <w:bookmarkStart w:id="23" w:name="_Toc108310758"/>
      <w:r w:rsidRPr="00BD14B0">
        <w:t>Personal differences</w:t>
      </w:r>
      <w:bookmarkEnd w:id="23"/>
    </w:p>
    <w:p w14:paraId="21A69154" w14:textId="77777777" w:rsidR="00433B67" w:rsidRPr="00BD14B0" w:rsidRDefault="00433B67" w:rsidP="005953A0">
      <w:pPr>
        <w:pStyle w:val="Body"/>
        <w:spacing w:line="360" w:lineRule="auto"/>
        <w:ind w:firstLine="432"/>
        <w:rPr>
          <w:rFonts w:ascii="Times New Roman" w:hAnsi="Times New Roman" w:cs="Times New Roman"/>
          <w:color w:val="000000" w:themeColor="text1"/>
          <w:sz w:val="24"/>
          <w:szCs w:val="24"/>
          <w:u w:color="FF0000"/>
        </w:rPr>
      </w:pPr>
      <w:r w:rsidRPr="00BD14B0">
        <w:rPr>
          <w:rFonts w:ascii="Times New Roman" w:hAnsi="Times New Roman" w:cs="Times New Roman"/>
          <w:color w:val="000000" w:themeColor="text1"/>
          <w:sz w:val="24"/>
          <w:szCs w:val="24"/>
          <w:u w:color="FF0000"/>
        </w:rPr>
        <w:t>To understand the mechanism by which the gaze cueing effect is manipulated, several studies have shown that the observer's individual characteristics moderate the gaze cueing effect. Some studies have manipulated various aspects of the face observed while others have focused on the observer who is actively observing. Because of the dual function of the eyes as both a signaller and a perceiver, individual differences of the observers have been shown to have an effect on the strength of the gaze cueing effect.</w:t>
      </w:r>
    </w:p>
    <w:p w14:paraId="16AF5DE6" w14:textId="77777777" w:rsidR="00796704" w:rsidRPr="00BD14B0" w:rsidRDefault="00796704" w:rsidP="005953A0">
      <w:pPr>
        <w:pStyle w:val="Body"/>
        <w:spacing w:line="360" w:lineRule="auto"/>
        <w:ind w:firstLine="432"/>
        <w:rPr>
          <w:rFonts w:ascii="Times New Roman" w:hAnsi="Times New Roman" w:cs="Times New Roman"/>
          <w:color w:val="000000" w:themeColor="text1"/>
          <w:sz w:val="24"/>
          <w:szCs w:val="24"/>
          <w:u w:color="FF0000"/>
        </w:rPr>
      </w:pPr>
    </w:p>
    <w:p w14:paraId="587DF7AB" w14:textId="77777777" w:rsidR="0028377B" w:rsidRPr="00BD14B0" w:rsidRDefault="00A13DE8" w:rsidP="00D21204">
      <w:pPr>
        <w:pStyle w:val="Heading4"/>
        <w:numPr>
          <w:ilvl w:val="0"/>
          <w:numId w:val="0"/>
        </w:numPr>
        <w:ind w:left="851"/>
        <w:rPr>
          <w:rFonts w:eastAsia="Calibri"/>
          <w:u w:color="FF0000"/>
          <w:bdr w:val="nil"/>
          <w:lang w:eastAsia="zh-CN"/>
        </w:rPr>
      </w:pPr>
      <w:r w:rsidRPr="00BD14B0">
        <w:rPr>
          <w:u w:color="FF0000"/>
        </w:rPr>
        <w:t xml:space="preserve">Personal traits </w:t>
      </w:r>
    </w:p>
    <w:p w14:paraId="50CDBB5B" w14:textId="0497B864" w:rsidR="00554A6A" w:rsidRPr="00BD14B0" w:rsidRDefault="0028377B" w:rsidP="00554A6A">
      <w:pPr>
        <w:pStyle w:val="Body"/>
        <w:spacing w:line="360" w:lineRule="auto"/>
        <w:rPr>
          <w:rFonts w:ascii="Times New Roman" w:hAnsi="Times New Roman" w:cs="Times New Roman"/>
          <w:color w:val="000000" w:themeColor="text1"/>
          <w:sz w:val="24"/>
          <w:szCs w:val="24"/>
          <w:u w:color="FF0000"/>
        </w:rPr>
      </w:pPr>
      <w:r w:rsidRPr="00BD14B0">
        <w:rPr>
          <w:rFonts w:ascii="Times New Roman" w:hAnsi="Times New Roman" w:cs="Times New Roman"/>
          <w:i/>
          <w:color w:val="000000" w:themeColor="text1"/>
          <w:sz w:val="24"/>
          <w:szCs w:val="24"/>
          <w:u w:color="FF0000"/>
        </w:rPr>
        <w:tab/>
      </w:r>
      <w:r w:rsidR="00576044" w:rsidRPr="00BD14B0">
        <w:rPr>
          <w:rFonts w:ascii="Times New Roman" w:hAnsi="Times New Roman" w:cs="Times New Roman"/>
          <w:noProof/>
          <w:color w:val="000000" w:themeColor="text1"/>
          <w:sz w:val="24"/>
          <w:szCs w:val="24"/>
        </w:rPr>
        <w:t>Research</w:t>
      </w:r>
      <w:r w:rsidR="00576044" w:rsidRPr="00BD14B0">
        <w:rPr>
          <w:rFonts w:ascii="Times New Roman" w:hAnsi="Times New Roman" w:cs="Times New Roman"/>
          <w:color w:val="000000" w:themeColor="text1"/>
          <w:sz w:val="24"/>
          <w:szCs w:val="24"/>
          <w:u w:color="FF0000"/>
        </w:rPr>
        <w:t xml:space="preserve"> also indicates that personal traits such as self-esteem </w:t>
      </w:r>
      <w:r w:rsidR="00576044" w:rsidRPr="00BD14B0">
        <w:rPr>
          <w:rFonts w:ascii="Times New Roman" w:hAnsi="Times New Roman" w:cs="Times New Roman"/>
          <w:color w:val="000000" w:themeColor="text1"/>
          <w:sz w:val="24"/>
          <w:szCs w:val="24"/>
          <w:u w:color="FF0000"/>
        </w:rPr>
        <w:fldChar w:fldCharType="begin" w:fldLock="1"/>
      </w:r>
      <w:r w:rsidR="00576044" w:rsidRPr="00BD14B0">
        <w:rPr>
          <w:rFonts w:ascii="Times New Roman" w:hAnsi="Times New Roman" w:cs="Times New Roman"/>
          <w:color w:val="000000" w:themeColor="text1"/>
          <w:sz w:val="24"/>
          <w:szCs w:val="24"/>
          <w:u w:color="FF0000"/>
        </w:rPr>
        <w:instrText>ADDIN CSL_CITATION {"citationItems":[{"id":"ITEM-1","itemData":{"DOI":"10.1111/j.1467-9280.2009.02321.x","ISSN":"0956-7976","abstract":"Social-psychological theories of belongingness self-regulation suggest that when one's need for interpersonal relationships is not being met, one begins to monitor the social environment more closely. Presumably, this serves to increase awareness of the likelihood of social acceptance versus rejection and to inform later social decision-making processes. The current investigation tested whether low belongingness increases a particular form of social monitoring that has recently been documented in the cognitive literature: gaze-triggered orienting. Low belongingness was operationalized either in terms of low trait self-esteem (Studies 1a and 1b) or in terms of the priming of rejection-related thoughts (Study 2). Across the studies, the normal tendency to orient attention in accordance with another individual's eye gaze was augmented under conditions of low belongingness. However, belongingness had no influence on a nonsocial form of orienting. The results are discussed in terms of their implications for theories of belongingness self-regulation and social attention.","author":[{"dropping-particle":"","family":"Wilkowski","given":"Benjamin M","non-dropping-particle":"","parse-names":false,"suffix":""},{"dropping-particle":"","family":"Robinson","given":"Michael D","non-dropping-particle":"","parse-names":false,"suffix":""},{"dropping-particle":"","family":"Friesen","given":"Chris Kelland","non-dropping-particle":"","parse-names":false,"suffix":""}],"container-title":"Psychological Science","id":"ITEM-1","issue":"4","issued":{"date-parts":[["2009"]]},"note":"Times Cited: 14\n14","page":"495-501","title":"Gaze-Triggered Orienting as a Tool of the Belongingness Self-Regulation System","type":"article-journal","volume":"20"},"uris":["http://www.mendeley.com/documents/?uuid=47aca31c-4210-416f-a2e0-d5e5414c87cb"]}],"mendeley":{"formattedCitation":"(Wilkowski et al., 2009)","plainTextFormattedCitation":"(Wilkowski et al., 2009)","previouslyFormattedCitation":"(Wilkowski et al., 2009)"},"properties":{"noteIndex":0},"schema":"https://github.com/citation-style-language/schema/raw/master/csl-citation.json"}</w:instrText>
      </w:r>
      <w:r w:rsidR="00576044" w:rsidRPr="00BD14B0">
        <w:rPr>
          <w:rFonts w:ascii="Times New Roman" w:hAnsi="Times New Roman" w:cs="Times New Roman"/>
          <w:color w:val="000000" w:themeColor="text1"/>
          <w:sz w:val="24"/>
          <w:szCs w:val="24"/>
          <w:u w:color="FF0000"/>
        </w:rPr>
        <w:fldChar w:fldCharType="separate"/>
      </w:r>
      <w:r w:rsidR="00576044" w:rsidRPr="00BD14B0">
        <w:rPr>
          <w:rFonts w:ascii="Times New Roman" w:hAnsi="Times New Roman" w:cs="Times New Roman"/>
          <w:noProof/>
          <w:color w:val="000000" w:themeColor="text1"/>
          <w:sz w:val="24"/>
          <w:szCs w:val="24"/>
          <w:u w:color="FF0000"/>
        </w:rPr>
        <w:t>(Wilkowski et al., 2009)</w:t>
      </w:r>
      <w:r w:rsidR="00576044" w:rsidRPr="00BD14B0">
        <w:rPr>
          <w:rFonts w:ascii="Times New Roman" w:hAnsi="Times New Roman" w:cs="Times New Roman"/>
          <w:color w:val="000000" w:themeColor="text1"/>
          <w:sz w:val="24"/>
          <w:szCs w:val="24"/>
          <w:u w:color="FF0000"/>
        </w:rPr>
        <w:fldChar w:fldCharType="end"/>
      </w:r>
      <w:r w:rsidR="00576044" w:rsidRPr="00BD14B0">
        <w:rPr>
          <w:rFonts w:ascii="Times New Roman" w:hAnsi="Times New Roman" w:cs="Times New Roman"/>
          <w:color w:val="000000" w:themeColor="text1"/>
          <w:sz w:val="24"/>
          <w:szCs w:val="24"/>
          <w:u w:color="FF0000"/>
        </w:rPr>
        <w:t xml:space="preserve">, empathy abilities </w:t>
      </w:r>
      <w:r w:rsidR="00576044" w:rsidRPr="00BD14B0">
        <w:rPr>
          <w:rFonts w:ascii="Times New Roman" w:hAnsi="Times New Roman" w:cs="Times New Roman"/>
          <w:color w:val="000000" w:themeColor="text1"/>
          <w:sz w:val="24"/>
          <w:szCs w:val="24"/>
          <w:u w:color="FF0000"/>
        </w:rPr>
        <w:fldChar w:fldCharType="begin" w:fldLock="1"/>
      </w:r>
      <w:r w:rsidR="00576044" w:rsidRPr="00BD14B0">
        <w:rPr>
          <w:rFonts w:ascii="Times New Roman" w:hAnsi="Times New Roman" w:cs="Times New Roman"/>
          <w:color w:val="000000" w:themeColor="text1"/>
          <w:sz w:val="24"/>
          <w:szCs w:val="24"/>
          <w:u w:color="FF0000"/>
        </w:rPr>
        <w:instrText>ADDIN CSL_CITATION {"citationItems":[{"id":"ITEM-1","itemData":{"DOI":"10.1016/j.paid.2010.06.016","ISSN":"0191-8869","abstract":"The gaze-cueing effect refers to the phenomenon that another person's gaze direction transiently moves an observer's attention in the corresponding direction. It has been reported that women show a stronger gaze-cueing effect than men (Bayliss, di Pellegrino, &amp; Tipper, 2005). The present study confirmed this gender difference, females showing a larger cueing effect (i.e. a shortening of reaction times) than males, particularly at 300 ms viewing times. A multivariate procedure identified items from the Empathy- and Systemizing Quotient self-reports (Baron-Cohen, 2003) which together related significantly to the gaze-cueing effect, such that an enhanced tendency to empathize was associated with a larger gaze-cueing effect. This result is in line with the finding (Bayliss et al., 2005) of diminished gaze-cueing in people reporting many autistic-like traits such as reduced empathizing. (C) 2010 Elsevier Ltd. All rights reserved.","author":[{"dropping-particle":"","family":"Alwall","given":"N","non-dropping-particle":"","parse-names":false,"suffix":""},{"dropping-particle":"","family":"Johansson","given":"D","non-dropping-particle":"","parse-names":false,"suffix":""},{"dropping-particle":"","family":"Hansen","given":"S","non-dropping-particle":"","parse-names":false,"suffix":""}],"container-title":"Personality and Individual Differences","id":"ITEM-1","issue":"7","issued":{"date-parts":[["2010"]]},"note":"Times Cited: 6\n6","page":"729-732","title":"The gender difference in gaze-cueing: Associations with empathizing and systemizing","type":"article-journal","volume":"49"},"uris":["http://www.mendeley.com/documents/?uuid=6f3eb893-e446-460b-93a7-9009d5a7cb5b"]}],"mendeley":{"formattedCitation":"(Alwall et al., 2010)","plainTextFormattedCitation":"(Alwall et al., 2010)","previouslyFormattedCitation":"(Alwall et al., 2010)"},"properties":{"noteIndex":0},"schema":"https://github.com/citation-style-language/schema/raw/master/csl-citation.json"}</w:instrText>
      </w:r>
      <w:r w:rsidR="00576044" w:rsidRPr="00BD14B0">
        <w:rPr>
          <w:rFonts w:ascii="Times New Roman" w:hAnsi="Times New Roman" w:cs="Times New Roman"/>
          <w:color w:val="000000" w:themeColor="text1"/>
          <w:sz w:val="24"/>
          <w:szCs w:val="24"/>
          <w:u w:color="FF0000"/>
        </w:rPr>
        <w:fldChar w:fldCharType="separate"/>
      </w:r>
      <w:r w:rsidR="00576044" w:rsidRPr="00BD14B0">
        <w:rPr>
          <w:rFonts w:ascii="Times New Roman" w:hAnsi="Times New Roman" w:cs="Times New Roman"/>
          <w:noProof/>
          <w:color w:val="000000" w:themeColor="text1"/>
          <w:sz w:val="24"/>
          <w:szCs w:val="24"/>
          <w:u w:color="FF0000"/>
        </w:rPr>
        <w:t>(Alwall et al., 2010)</w:t>
      </w:r>
      <w:r w:rsidR="00576044" w:rsidRPr="00BD14B0">
        <w:rPr>
          <w:rFonts w:ascii="Times New Roman" w:hAnsi="Times New Roman" w:cs="Times New Roman"/>
          <w:color w:val="000000" w:themeColor="text1"/>
          <w:sz w:val="24"/>
          <w:szCs w:val="24"/>
          <w:u w:color="FF0000"/>
        </w:rPr>
        <w:fldChar w:fldCharType="end"/>
      </w:r>
      <w:r w:rsidR="00576044" w:rsidRPr="00BD14B0">
        <w:rPr>
          <w:rFonts w:ascii="Times New Roman" w:eastAsia="Times New Roman" w:hAnsi="Times New Roman" w:cs="Times New Roman"/>
          <w:color w:val="000000" w:themeColor="text1"/>
          <w:sz w:val="24"/>
          <w:szCs w:val="24"/>
          <w:u w:color="FF0000"/>
        </w:rPr>
        <w:t>, and</w:t>
      </w:r>
      <w:r w:rsidR="00576044" w:rsidRPr="00BD14B0">
        <w:rPr>
          <w:rFonts w:ascii="Times New Roman" w:hAnsi="Times New Roman" w:cs="Times New Roman"/>
          <w:color w:val="000000" w:themeColor="text1"/>
          <w:sz w:val="24"/>
          <w:szCs w:val="24"/>
          <w:u w:color="FF0000"/>
        </w:rPr>
        <w:t xml:space="preserve"> extra-/introversion personality attributes </w:t>
      </w:r>
      <w:r w:rsidR="00576044" w:rsidRPr="00BD14B0">
        <w:rPr>
          <w:rFonts w:ascii="Times New Roman" w:hAnsi="Times New Roman" w:cs="Times New Roman"/>
          <w:color w:val="000000" w:themeColor="text1"/>
          <w:sz w:val="24"/>
          <w:szCs w:val="24"/>
          <w:u w:color="FF0000"/>
        </w:rPr>
        <w:fldChar w:fldCharType="begin" w:fldLock="1"/>
      </w:r>
      <w:r w:rsidR="00576044" w:rsidRPr="00BD14B0">
        <w:rPr>
          <w:rFonts w:ascii="Times New Roman" w:hAnsi="Times New Roman" w:cs="Times New Roman"/>
          <w:color w:val="000000" w:themeColor="text1"/>
          <w:sz w:val="24"/>
          <w:szCs w:val="24"/>
          <w:u w:color="FF0000"/>
        </w:rPr>
        <w:instrText>ADDIN CSL_CITATION {"citationItems":[{"id":"ITEM-1","itemData":{"DOI":"10.1007/s10339-013-0559-z","ISSN":"1612-4782","abstract":"We investigated whether the extra-/introversion personality dimension can influence processing of others’ eye gaze direction and emotional facial expression during a target detection task. On the basis of previous evidence showing that self-reported trait anxiety can affect gaze-cueing with emotional faces, we also verified whether trait anxiety can modulate the influence of intro-/extraversion on behavioral performance. Fearful, happy, angry or neutral faces, with either direct or averted gaze, were presented before the target appeared in spatial locations congruent or incongruent with stimuli’s eye gaze direction. Results showed a significant influence of intra-/extraversion dimension on gaze-cueing effect for angry, happy, and neutral faces with averted gaze. Introverts did not show the gaze congruency effect when viewing angry expressions, but did so with happy and neutral faces; extraverts showed the opposite pattern. Importantly, the influence of intro-/extraversion on gaze-cueing was not mediated by trait anxiety. These findings demonstrated that personality differences can shape processing of interactions between relevant social signals.","author":[{"dropping-particle":"","family":"Ponari","given":"Marta","non-dropping-particle":"","parse-names":false,"suffix":""},{"dropping-particle":"","family":"Trojano","given":"Luigi","non-dropping-particle":"","parse-names":false,"suffix":""},{"dropping-particle":"","family":"Grossi","given":"Dario","non-dropping-particle":"","parse-names":false,"suffix":""},{"dropping-particle":"","family":"Conson","given":"Massimiliano","non-dropping-particle":"","parse-names":false,"suffix":""}],"container-title":"Cogn Process","id":"ITEM-1","issue":"3","issued":{"date-parts":[["2013"]]},"page":"293-299","title":"“Avoiding or approaching eyes”? Introversion/extraversion affects the gaze- cueing effect","type":"article-journal","volume":"14"},"uris":["http://www.mendeley.com/documents/?uuid=a47bc360-749d-474f-bf5e-e98764d35cc8"]}],"mendeley":{"formattedCitation":"(Ponari et al., 2013)","plainTextFormattedCitation":"(Ponari et al., 2013)","previouslyFormattedCitation":"(Ponari et al., 2013)"},"properties":{"noteIndex":0},"schema":"https://github.com/citation-style-language/schema/raw/master/csl-citation.json"}</w:instrText>
      </w:r>
      <w:r w:rsidR="00576044" w:rsidRPr="00BD14B0">
        <w:rPr>
          <w:rFonts w:ascii="Times New Roman" w:hAnsi="Times New Roman" w:cs="Times New Roman"/>
          <w:color w:val="000000" w:themeColor="text1"/>
          <w:sz w:val="24"/>
          <w:szCs w:val="24"/>
          <w:u w:color="FF0000"/>
        </w:rPr>
        <w:fldChar w:fldCharType="separate"/>
      </w:r>
      <w:r w:rsidR="00576044" w:rsidRPr="00BD14B0">
        <w:rPr>
          <w:rFonts w:ascii="Times New Roman" w:hAnsi="Times New Roman" w:cs="Times New Roman"/>
          <w:noProof/>
          <w:color w:val="000000" w:themeColor="text1"/>
          <w:sz w:val="24"/>
          <w:szCs w:val="24"/>
          <w:u w:color="FF0000"/>
        </w:rPr>
        <w:t>(Ponari et al., 2013)</w:t>
      </w:r>
      <w:r w:rsidR="00576044" w:rsidRPr="00BD14B0">
        <w:rPr>
          <w:rFonts w:ascii="Times New Roman" w:hAnsi="Times New Roman" w:cs="Times New Roman"/>
          <w:color w:val="000000" w:themeColor="text1"/>
          <w:sz w:val="24"/>
          <w:szCs w:val="24"/>
          <w:u w:color="FF0000"/>
        </w:rPr>
        <w:fldChar w:fldCharType="end"/>
      </w:r>
      <w:r w:rsidR="00576044" w:rsidRPr="00BD14B0">
        <w:rPr>
          <w:rFonts w:ascii="Times New Roman" w:hAnsi="Times New Roman" w:cs="Times New Roman"/>
          <w:color w:val="000000" w:themeColor="text1"/>
          <w:sz w:val="24"/>
          <w:szCs w:val="24"/>
          <w:u w:color="FF0000"/>
        </w:rPr>
        <w:t xml:space="preserve"> affect </w:t>
      </w:r>
      <w:r w:rsidR="00576044" w:rsidRPr="00BD14B0">
        <w:rPr>
          <w:rFonts w:ascii="Times New Roman" w:hAnsi="Times New Roman" w:cs="Times New Roman"/>
          <w:noProof/>
          <w:color w:val="000000" w:themeColor="text1"/>
          <w:sz w:val="24"/>
          <w:szCs w:val="24"/>
        </w:rPr>
        <w:t>gaze-following</w:t>
      </w:r>
      <w:r w:rsidR="00576044" w:rsidRPr="00BD14B0">
        <w:rPr>
          <w:rFonts w:ascii="Times New Roman" w:hAnsi="Times New Roman" w:cs="Times New Roman"/>
          <w:color w:val="000000" w:themeColor="text1"/>
          <w:sz w:val="24"/>
          <w:szCs w:val="24"/>
          <w:u w:color="FF0000"/>
        </w:rPr>
        <w:t xml:space="preserve"> </w:t>
      </w:r>
      <w:r w:rsidR="00576044" w:rsidRPr="00BD14B0">
        <w:rPr>
          <w:rFonts w:ascii="Times New Roman" w:hAnsi="Times New Roman" w:cs="Times New Roman"/>
          <w:noProof/>
          <w:color w:val="000000" w:themeColor="text1"/>
          <w:sz w:val="24"/>
          <w:szCs w:val="24"/>
        </w:rPr>
        <w:t>behaviour</w:t>
      </w:r>
      <w:r w:rsidR="00576044" w:rsidRPr="00BD14B0">
        <w:rPr>
          <w:rFonts w:ascii="Times New Roman" w:hAnsi="Times New Roman" w:cs="Times New Roman"/>
          <w:color w:val="000000" w:themeColor="text1"/>
          <w:sz w:val="24"/>
          <w:szCs w:val="24"/>
          <w:u w:color="FF0000"/>
        </w:rPr>
        <w:t xml:space="preserve">. People with low self-esteem seem to be more influenced by the </w:t>
      </w:r>
      <w:r w:rsidR="00576044" w:rsidRPr="00BD14B0">
        <w:rPr>
          <w:rFonts w:ascii="Times New Roman" w:hAnsi="Times New Roman" w:cs="Times New Roman"/>
          <w:noProof/>
          <w:color w:val="000000" w:themeColor="text1"/>
          <w:sz w:val="24"/>
          <w:szCs w:val="24"/>
        </w:rPr>
        <w:t>direction</w:t>
      </w:r>
      <w:r w:rsidR="00576044" w:rsidRPr="00BD14B0">
        <w:rPr>
          <w:rFonts w:ascii="Times New Roman" w:hAnsi="Times New Roman" w:cs="Times New Roman"/>
          <w:color w:val="000000" w:themeColor="text1"/>
          <w:sz w:val="24"/>
          <w:szCs w:val="24"/>
          <w:u w:color="FF0000"/>
        </w:rPr>
        <w:t xml:space="preserve"> of the eyes compared to people with medium or high self-esteem. Several studies have reported gender effects on the strength of gaze cueing. Women generally show stronger gaze-cueing effect than men </w:t>
      </w:r>
      <w:r w:rsidR="00576044" w:rsidRPr="00BD14B0">
        <w:rPr>
          <w:rFonts w:ascii="Times New Roman" w:hAnsi="Times New Roman" w:cs="Times New Roman"/>
          <w:color w:val="000000" w:themeColor="text1"/>
          <w:sz w:val="24"/>
          <w:szCs w:val="24"/>
          <w:u w:color="FF0000"/>
        </w:rPr>
        <w:fldChar w:fldCharType="begin" w:fldLock="1"/>
      </w:r>
      <w:r w:rsidR="0028287E" w:rsidRPr="00BD14B0">
        <w:rPr>
          <w:rFonts w:ascii="Times New Roman" w:hAnsi="Times New Roman" w:cs="Times New Roman"/>
          <w:color w:val="000000" w:themeColor="text1"/>
          <w:sz w:val="24"/>
          <w:szCs w:val="24"/>
          <w:u w:color="FF0000"/>
        </w:rPr>
        <w:instrText>ADDIN CSL_CITATION {"citationItems":[{"id":"ITEM-1","itemData":{"DOI":"10.1080/02724980443000124","ISSN":"0272-4987","author":[{"dropping-particle":"","family":"Bayliss","given":"A P","non-dropping-particle":"","parse-names":false,"suffix":""},{"dropping-particle":"","family":"Pellegrino","given":"G","non-dropping-particle":"Di","parse-names":false,"suffix":""},{"dropping-particle":"","family":"Tipper","given":"Sr.","non-dropping-particle":"","parse-names":false,"suffix":""}],"container-title":"Q. J. Exp. Psychol. Sect A-Hum. Exp. Psychol.","id":"ITEM-1","issue":"4","issued":{"date-parts":[["2005"]]},"page":"631-650","title":"Sex differences in eye gaze and symbolic cueing of attention","type":"article-journal","volume":"58"},"uris":["http://www.mendeley.com/documents/?uuid=7b881ecf-5260-4917-87e0-0a239da8d4e2"]}],"mendeley":{"formattedCitation":"(A P Bayliss et al., 2005)","manualFormatting":"(Bayliss et al., 2005)","plainTextFormattedCitation":"(A P Bayliss et al., 2005)","previouslyFormattedCitation":"(A P Bayliss et al., 2005)"},"properties":{"noteIndex":0},"schema":"https://github.com/citation-style-language/schema/raw/master/csl-citation.json"}</w:instrText>
      </w:r>
      <w:r w:rsidR="00576044" w:rsidRPr="00BD14B0">
        <w:rPr>
          <w:rFonts w:ascii="Times New Roman" w:hAnsi="Times New Roman" w:cs="Times New Roman"/>
          <w:color w:val="000000" w:themeColor="text1"/>
          <w:sz w:val="24"/>
          <w:szCs w:val="24"/>
          <w:u w:color="FF0000"/>
        </w:rPr>
        <w:fldChar w:fldCharType="separate"/>
      </w:r>
      <w:r w:rsidR="004D2901" w:rsidRPr="00BD14B0">
        <w:rPr>
          <w:rFonts w:ascii="Times New Roman" w:hAnsi="Times New Roman" w:cs="Times New Roman"/>
          <w:noProof/>
          <w:color w:val="000000" w:themeColor="text1"/>
          <w:sz w:val="24"/>
          <w:szCs w:val="24"/>
          <w:u w:color="FF0000"/>
        </w:rPr>
        <w:t>(Bayliss et al., 2005)</w:t>
      </w:r>
      <w:r w:rsidR="00576044" w:rsidRPr="00BD14B0">
        <w:rPr>
          <w:rFonts w:ascii="Times New Roman" w:hAnsi="Times New Roman" w:cs="Times New Roman"/>
          <w:color w:val="000000" w:themeColor="text1"/>
          <w:sz w:val="24"/>
          <w:szCs w:val="24"/>
          <w:u w:color="FF0000"/>
        </w:rPr>
        <w:fldChar w:fldCharType="end"/>
      </w:r>
      <w:r w:rsidR="00576044" w:rsidRPr="00BD14B0">
        <w:rPr>
          <w:rFonts w:ascii="Times New Roman" w:hAnsi="Times New Roman" w:cs="Times New Roman"/>
          <w:color w:val="000000" w:themeColor="text1"/>
          <w:sz w:val="24"/>
          <w:szCs w:val="24"/>
          <w:u w:color="FF0000"/>
        </w:rPr>
        <w:t xml:space="preserve">. </w:t>
      </w:r>
      <w:r w:rsidR="00576044" w:rsidRPr="00BD14B0">
        <w:rPr>
          <w:rFonts w:ascii="Times New Roman" w:hAnsi="Times New Roman" w:cs="Times New Roman"/>
          <w:color w:val="000000" w:themeColor="text1"/>
          <w:sz w:val="24"/>
          <w:szCs w:val="24"/>
          <w:u w:color="FF0000"/>
        </w:rPr>
        <w:fldChar w:fldCharType="begin" w:fldLock="1"/>
      </w:r>
      <w:r w:rsidR="004D2901" w:rsidRPr="00BD14B0">
        <w:rPr>
          <w:rFonts w:ascii="Times New Roman" w:hAnsi="Times New Roman" w:cs="Times New Roman"/>
          <w:color w:val="000000" w:themeColor="text1"/>
          <w:sz w:val="24"/>
          <w:szCs w:val="24"/>
          <w:u w:color="FF0000"/>
        </w:rPr>
        <w:instrText>ADDIN CSL_CITATION {"citationItems":[{"id":"ITEM-1","itemData":{"DOI":"10.1016/j.paid.2010.06.016","ISSN":"0191-8869","abstract":"The gaze-cueing effect refers to the phenomenon that another person's gaze direction transiently moves an observer's attention in the corresponding direction. It has been reported that women show a stronger gaze-cueing effect than men (Bayliss, di Pellegrino, &amp; Tipper, 2005). The present study confirmed this gender difference, females showing a larger cueing effect (i.e. a shortening of reaction times) than males, particularly at 300 ms viewing times. A multivariate procedure identified items from the Empathy- and Systemizing Quotient self-reports (Baron-Cohen, 2003) which together related significantly to the gaze-cueing effect, such that an enhanced tendency to empathize was associated with a larger gaze-cueing effect. This result is in line with the finding (Bayliss et al., 2005) of diminished gaze-cueing in people reporting many autistic-like traits such as reduced empathizing. (C) 2010 Elsevier Ltd. All rights reserved.","author":[{"dropping-particle":"","family":"Alwall","given":"N","non-dropping-particle":"","parse-names":false,"suffix":""},{"dropping-particle":"","family":"Johansson","given":"D","non-dropping-particle":"","parse-names":false,"suffix":""},{"dropping-particle":"","family":"Hansen","given":"S","non-dropping-particle":"","parse-names":false,"suffix":""}],"container-title":"Personality and Individual Differences","id":"ITEM-1","issue":"7","issued":{"date-parts":[["2010"]]},"note":"Times Cited: 6\n6","page":"729-732","title":"The gender difference in gaze-cueing: Associations with empathizing and systemizing","type":"article-journal","volume":"49"},"uris":["http://www.mendeley.com/documents/?uuid=6f3eb893-e446-460b-93a7-9009d5a7cb5b"]}],"mendeley":{"formattedCitation":"(Alwall et al., 2010)","manualFormatting":"Alwall et al. (2010)","plainTextFormattedCitation":"(Alwall et al., 2010)","previouslyFormattedCitation":"(Alwall et al., 2010)"},"properties":{"noteIndex":0},"schema":"https://github.com/citation-style-language/schema/raw/master/csl-citation.json"}</w:instrText>
      </w:r>
      <w:r w:rsidR="00576044" w:rsidRPr="00BD14B0">
        <w:rPr>
          <w:rFonts w:ascii="Times New Roman" w:hAnsi="Times New Roman" w:cs="Times New Roman"/>
          <w:color w:val="000000" w:themeColor="text1"/>
          <w:sz w:val="24"/>
          <w:szCs w:val="24"/>
          <w:u w:color="FF0000"/>
        </w:rPr>
        <w:fldChar w:fldCharType="separate"/>
      </w:r>
      <w:r w:rsidR="00576044" w:rsidRPr="00BD14B0">
        <w:rPr>
          <w:rFonts w:ascii="Times New Roman" w:hAnsi="Times New Roman" w:cs="Times New Roman"/>
          <w:noProof/>
          <w:color w:val="000000" w:themeColor="text1"/>
          <w:sz w:val="24"/>
          <w:szCs w:val="24"/>
          <w:u w:color="FF0000"/>
        </w:rPr>
        <w:t>Alwall et al. (2010)</w:t>
      </w:r>
      <w:r w:rsidR="00576044" w:rsidRPr="00BD14B0">
        <w:rPr>
          <w:rFonts w:ascii="Times New Roman" w:hAnsi="Times New Roman" w:cs="Times New Roman"/>
          <w:color w:val="000000" w:themeColor="text1"/>
          <w:sz w:val="24"/>
          <w:szCs w:val="24"/>
          <w:u w:color="FF0000"/>
        </w:rPr>
        <w:fldChar w:fldCharType="end"/>
      </w:r>
      <w:r w:rsidR="00576044" w:rsidRPr="00BD14B0">
        <w:rPr>
          <w:rFonts w:ascii="Times New Roman" w:hAnsi="Times New Roman" w:cs="Times New Roman"/>
          <w:color w:val="000000" w:themeColor="text1"/>
          <w:sz w:val="24"/>
          <w:szCs w:val="24"/>
          <w:u w:color="FF0000"/>
        </w:rPr>
        <w:t xml:space="preserve"> indicated that gaze cueing is predominantly influenced by empathy abilities, which are stronger in females. A recent study by </w:t>
      </w:r>
      <w:r w:rsidR="00576044" w:rsidRPr="00BD14B0">
        <w:rPr>
          <w:rFonts w:ascii="Times New Roman" w:hAnsi="Times New Roman" w:cs="Times New Roman"/>
          <w:color w:val="000000" w:themeColor="text1"/>
          <w:sz w:val="24"/>
          <w:szCs w:val="24"/>
          <w:u w:color="FF0000"/>
        </w:rPr>
        <w:fldChar w:fldCharType="begin" w:fldLock="1"/>
      </w:r>
      <w:r w:rsidR="004D2901" w:rsidRPr="00BD14B0">
        <w:rPr>
          <w:rFonts w:ascii="Times New Roman" w:hAnsi="Times New Roman" w:cs="Times New Roman"/>
          <w:color w:val="000000" w:themeColor="text1"/>
          <w:sz w:val="24"/>
          <w:szCs w:val="24"/>
          <w:u w:color="FF0000"/>
        </w:rPr>
        <w:instrText>ADDIN CSL_CITATION {"citationItems":[{"id":"ITEM-1","itemData":{"DOI":"10.1007/s10339-013-0559-z","ISSN":"1612-4782","abstract":"We investigated whether the extra-/introversion personality dimension can influence processing of others’ eye gaze direction and emotional facial expression during a target detection task. On the basis of previous evidence showing that self-reported trait anxiety can affect gaze-cueing with emotional faces, we also verified whether trait anxiety can modulate the influence of intro-/extraversion on behavioral performance. Fearful, happy, angry or neutral faces, with either direct or averted gaze, were presented before the target appeared in spatial locations congruent or incongruent with stimuli’s eye gaze direction. Results showed a significant influence of intra-/extraversion dimension on gaze-cueing effect for angry, happy, and neutral faces with averted gaze. Introverts did not show the gaze congruency effect when viewing angry expressions, but did so with happy and neutral faces; extraverts showed the opposite pattern. Importantly, the influence of intro-/extraversion on gaze-cueing was not mediated by trait anxiety. These findings demonstrated that personality differences can shape processing of interactions between relevant social signals.","author":[{"dropping-particle":"","family":"Ponari","given":"Marta","non-dropping-particle":"","parse-names":false,"suffix":""},{"dropping-particle":"","family":"Trojano","given":"Luigi","non-dropping-particle":"","parse-names":false,"suffix":""},{"dropping-particle":"","family":"Grossi","given":"Dario","non-dropping-particle":"","parse-names":false,"suffix":""},{"dropping-particle":"","family":"Conson","given":"Massimiliano","non-dropping-particle":"","parse-names":false,"suffix":""}],"container-title":"Cogn Process","id":"ITEM-1","issue":"3","issued":{"date-parts":[["2013"]]},"page":"293-299","title":"“Avoiding or approaching eyes”? Introversion/extraversion affects the gaze- cueing effect","type":"article-journal","volume":"14"},"uris":["http://www.mendeley.com/documents/?uuid=a47bc360-749d-474f-bf5e-e98764d35cc8"]}],"mendeley":{"formattedCitation":"(Ponari et al., 2013)","manualFormatting":"Ponari et al. (2013)","plainTextFormattedCitation":"(Ponari et al., 2013)","previouslyFormattedCitation":"(Ponari et al., 2013)"},"properties":{"noteIndex":0},"schema":"https://github.com/citation-style-language/schema/raw/master/csl-citation.json"}</w:instrText>
      </w:r>
      <w:r w:rsidR="00576044" w:rsidRPr="00BD14B0">
        <w:rPr>
          <w:rFonts w:ascii="Times New Roman" w:hAnsi="Times New Roman" w:cs="Times New Roman"/>
          <w:color w:val="000000" w:themeColor="text1"/>
          <w:sz w:val="24"/>
          <w:szCs w:val="24"/>
          <w:u w:color="FF0000"/>
        </w:rPr>
        <w:fldChar w:fldCharType="separate"/>
      </w:r>
      <w:r w:rsidR="00576044" w:rsidRPr="00BD14B0">
        <w:rPr>
          <w:rFonts w:ascii="Times New Roman" w:hAnsi="Times New Roman" w:cs="Times New Roman"/>
          <w:noProof/>
          <w:color w:val="000000" w:themeColor="text1"/>
          <w:sz w:val="24"/>
          <w:szCs w:val="24"/>
          <w:u w:color="FF0000"/>
        </w:rPr>
        <w:t>Ponari et al. (2013)</w:t>
      </w:r>
      <w:r w:rsidR="00576044" w:rsidRPr="00BD14B0">
        <w:rPr>
          <w:rFonts w:ascii="Times New Roman" w:hAnsi="Times New Roman" w:cs="Times New Roman"/>
          <w:color w:val="000000" w:themeColor="text1"/>
          <w:sz w:val="24"/>
          <w:szCs w:val="24"/>
          <w:u w:color="FF0000"/>
        </w:rPr>
        <w:fldChar w:fldCharType="end"/>
      </w:r>
      <w:r w:rsidR="00576044" w:rsidRPr="00BD14B0">
        <w:rPr>
          <w:rFonts w:ascii="Times New Roman" w:hAnsi="Times New Roman" w:cs="Times New Roman"/>
          <w:color w:val="000000" w:themeColor="text1"/>
          <w:sz w:val="24"/>
          <w:szCs w:val="24"/>
          <w:u w:color="FF0000"/>
        </w:rPr>
        <w:t xml:space="preserve"> investigated whether the extra/introversion personality dimension influences gaze </w:t>
      </w:r>
      <w:r w:rsidR="00576044" w:rsidRPr="00BD14B0">
        <w:rPr>
          <w:rFonts w:ascii="Times New Roman" w:hAnsi="Times New Roman" w:cs="Times New Roman"/>
          <w:noProof/>
          <w:color w:val="000000" w:themeColor="text1"/>
          <w:sz w:val="24"/>
          <w:szCs w:val="24"/>
        </w:rPr>
        <w:t>cueing</w:t>
      </w:r>
      <w:r w:rsidR="00576044" w:rsidRPr="00BD14B0">
        <w:rPr>
          <w:rFonts w:ascii="Times New Roman" w:hAnsi="Times New Roman" w:cs="Times New Roman"/>
          <w:color w:val="000000" w:themeColor="text1"/>
          <w:sz w:val="24"/>
          <w:szCs w:val="24"/>
          <w:u w:color="FF0000"/>
        </w:rPr>
        <w:t xml:space="preserve">. They presented fearful, happy, </w:t>
      </w:r>
      <w:r w:rsidR="002D2E58" w:rsidRPr="00BD14B0">
        <w:rPr>
          <w:rFonts w:ascii="Times New Roman" w:hAnsi="Times New Roman" w:cs="Times New Roman"/>
          <w:color w:val="000000" w:themeColor="text1"/>
          <w:sz w:val="24"/>
          <w:szCs w:val="24"/>
          <w:u w:color="FF0000"/>
        </w:rPr>
        <w:t>angry,</w:t>
      </w:r>
      <w:r w:rsidR="00576044" w:rsidRPr="00BD14B0">
        <w:rPr>
          <w:rFonts w:ascii="Times New Roman" w:hAnsi="Times New Roman" w:cs="Times New Roman"/>
          <w:color w:val="000000" w:themeColor="text1"/>
          <w:sz w:val="24"/>
          <w:szCs w:val="24"/>
          <w:u w:color="FF0000"/>
        </w:rPr>
        <w:t xml:space="preserve"> or neutral faces, with either direct or averted gaze as uninformative </w:t>
      </w:r>
      <w:r w:rsidR="00576044" w:rsidRPr="00BD14B0">
        <w:rPr>
          <w:rFonts w:ascii="Times New Roman" w:hAnsi="Times New Roman" w:cs="Times New Roman"/>
          <w:color w:val="000000" w:themeColor="text1"/>
          <w:sz w:val="24"/>
          <w:szCs w:val="24"/>
          <w:u w:color="FF0000"/>
        </w:rPr>
        <w:lastRenderedPageBreak/>
        <w:t xml:space="preserve">gaze cues. A significant difference was found according to extra/introversion personality dimension with fearful, happy, </w:t>
      </w:r>
      <w:proofErr w:type="gramStart"/>
      <w:r w:rsidR="002D2E58" w:rsidRPr="00BD14B0">
        <w:rPr>
          <w:rFonts w:ascii="Times New Roman" w:hAnsi="Times New Roman" w:cs="Times New Roman"/>
          <w:color w:val="000000" w:themeColor="text1"/>
          <w:sz w:val="24"/>
          <w:szCs w:val="24"/>
          <w:u w:color="FF0000"/>
        </w:rPr>
        <w:t>angry</w:t>
      </w:r>
      <w:proofErr w:type="gramEnd"/>
      <w:r w:rsidR="00576044" w:rsidRPr="00BD14B0">
        <w:rPr>
          <w:rFonts w:ascii="Times New Roman" w:hAnsi="Times New Roman" w:cs="Times New Roman"/>
          <w:color w:val="000000" w:themeColor="text1"/>
          <w:sz w:val="24"/>
          <w:szCs w:val="24"/>
          <w:u w:color="FF0000"/>
        </w:rPr>
        <w:t xml:space="preserve"> or neutral faces. Introvert participants showed a greater response to gaze cues of happy and neutral faces whereas extravert participants showed a greater response to faces with angry facial expressions. They also measured the anxiety traits of participants, but they did not find any effect of anxiety on gaze</w:t>
      </w:r>
      <w:r w:rsidR="00576044" w:rsidRPr="00BD14B0" w:rsidDel="004B5FE4">
        <w:rPr>
          <w:rFonts w:ascii="Times New Roman" w:hAnsi="Times New Roman" w:cs="Times New Roman"/>
          <w:color w:val="000000" w:themeColor="text1"/>
          <w:sz w:val="24"/>
          <w:szCs w:val="24"/>
          <w:u w:color="FF0000"/>
        </w:rPr>
        <w:t xml:space="preserve"> </w:t>
      </w:r>
      <w:r w:rsidR="00576044" w:rsidRPr="00BD14B0">
        <w:rPr>
          <w:rFonts w:ascii="Times New Roman" w:hAnsi="Times New Roman" w:cs="Times New Roman"/>
          <w:color w:val="000000" w:themeColor="text1"/>
          <w:sz w:val="24"/>
          <w:szCs w:val="24"/>
          <w:u w:color="FF0000"/>
        </w:rPr>
        <w:t xml:space="preserve">cueing. This indicates that the difference of extra/introversion personality dimension of the personality </w:t>
      </w:r>
      <w:r w:rsidR="00250CA0" w:rsidRPr="00BD14B0">
        <w:rPr>
          <w:rFonts w:ascii="Times New Roman" w:hAnsi="Times New Roman" w:cs="Times New Roman"/>
          <w:color w:val="000000" w:themeColor="text1"/>
          <w:sz w:val="24"/>
          <w:szCs w:val="24"/>
          <w:u w:color="FF0000"/>
        </w:rPr>
        <w:t xml:space="preserve">has a </w:t>
      </w:r>
      <w:r w:rsidR="00576044" w:rsidRPr="00BD14B0">
        <w:rPr>
          <w:rFonts w:ascii="Times New Roman" w:hAnsi="Times New Roman" w:cs="Times New Roman"/>
          <w:color w:val="000000" w:themeColor="text1"/>
          <w:sz w:val="24"/>
          <w:szCs w:val="24"/>
          <w:u w:color="FF0000"/>
        </w:rPr>
        <w:t>significant effect on social attention and this effect was not related to the emotional response of anxiety of that individual.</w:t>
      </w:r>
    </w:p>
    <w:p w14:paraId="4BBB75A2" w14:textId="7670A793" w:rsidR="00576044" w:rsidRPr="00BD14B0" w:rsidRDefault="00554A6A" w:rsidP="00554A6A">
      <w:pPr>
        <w:pStyle w:val="Body"/>
        <w:spacing w:line="360" w:lineRule="auto"/>
        <w:rPr>
          <w:rFonts w:ascii="Times New Roman" w:hAnsi="Times New Roman" w:cs="Times New Roman"/>
          <w:color w:val="000000" w:themeColor="text1"/>
          <w:sz w:val="24"/>
          <w:szCs w:val="24"/>
          <w:u w:color="FF0000"/>
        </w:rPr>
      </w:pPr>
      <w:r w:rsidRPr="00BD14B0">
        <w:rPr>
          <w:rFonts w:ascii="Times New Roman" w:hAnsi="Times New Roman" w:cs="Times New Roman"/>
          <w:i/>
          <w:color w:val="000000" w:themeColor="text1"/>
          <w:sz w:val="24"/>
          <w:szCs w:val="24"/>
          <w:u w:color="FF0000"/>
        </w:rPr>
        <w:tab/>
      </w:r>
      <w:r w:rsidR="00576044" w:rsidRPr="00BD14B0">
        <w:rPr>
          <w:rFonts w:ascii="Times New Roman" w:eastAsia="Times New Roman" w:hAnsi="Times New Roman" w:cs="Times New Roman"/>
          <w:noProof/>
          <w:color w:val="000000" w:themeColor="text1"/>
          <w:sz w:val="24"/>
          <w:szCs w:val="24"/>
          <w:lang w:eastAsia="en-GB"/>
        </w:rPr>
        <w:t>However, other studies have linked anxiety</w:t>
      </w:r>
      <w:r w:rsidR="00576044" w:rsidRPr="00BD14B0">
        <w:rPr>
          <w:rFonts w:ascii="Times New Roman" w:eastAsia="Times New Roman" w:hAnsi="Times New Roman" w:cs="Times New Roman"/>
          <w:color w:val="000000" w:themeColor="text1"/>
          <w:sz w:val="24"/>
          <w:szCs w:val="24"/>
          <w:lang w:eastAsia="en-GB"/>
        </w:rPr>
        <w:t xml:space="preserve"> to gaze cueing. Previous studies have shown that the congruency effect is larger for fearful faces compared to neutral faces, but not happy faces compared to neutral faces </w:t>
      </w:r>
      <w:r w:rsidR="00576044" w:rsidRPr="00BD14B0">
        <w:rPr>
          <w:rFonts w:ascii="Times New Roman" w:eastAsia="Times New Roman" w:hAnsi="Times New Roman" w:cs="Times New Roman"/>
          <w:color w:val="000000" w:themeColor="text1"/>
          <w:sz w:val="24"/>
          <w:szCs w:val="24"/>
          <w:lang w:eastAsia="en-GB"/>
        </w:rPr>
        <w:fldChar w:fldCharType="begin" w:fldLock="1"/>
      </w:r>
      <w:r w:rsidR="00576044" w:rsidRPr="00BD14B0">
        <w:rPr>
          <w:rFonts w:ascii="Times New Roman" w:eastAsia="Times New Roman" w:hAnsi="Times New Roman" w:cs="Times New Roman"/>
          <w:color w:val="000000" w:themeColor="text1"/>
          <w:sz w:val="24"/>
          <w:szCs w:val="24"/>
          <w:lang w:eastAsia="en-GB"/>
        </w:rPr>
        <w:instrText>ADDIN CSL_CITATION {"citationItems":[{"id":"ITEM-1","itemData":{"DOI":"10.1037/1528-3542.7.3.478","ISSN":"1528-3542","abstract":"This study investigated the role of neutral, happy, fearful, and angry facial expressions in enhancing orienting to the direction of eye gaze. Photographs of faces with either direct or averted gaze were presented. A target letter ( T or L ) appeared unpredictably to the left or the right of the face, either 300 ms or 700 ms after gaze direction changed. Response times were faster in congruent conditions (i.e., when the eyes gazed toward the target) relative to incongruent conditions (when the eyes gazed away from the target letter). Facial expression did influence reaction times, but these effects were qualified by individual differences in self-reported anxiety. High trait-anxious participants showed an enhanced orienting to the eye gaze of faces with fearful expressions relative to all other expressions. In contrast, when the eyes stared straight ahead, trait anxiety was associated with slower responding when the facial expressions depicted anger. Thus, in anxiety-prone people attention is more likely to be held by an expression of anger, whereas attention is guided more potently by fearful facial expressions.","author":[{"dropping-particle":"","family":"Fox","given":"Elaine","non-dropping-particle":"","parse-names":false,"suffix":""},{"dropping-particle":"","family":"Mathews","given":"Andrew","non-dropping-particle":"","parse-names":false,"suffix":""},{"dropping-particle":"","family":"Calder","given":"Andrew J","non-dropping-particle":"","parse-names":false,"suffix":""},{"dropping-particle":"","family":"Yiend","given":"Jenny","non-dropping-particle":"","parse-names":false,"suffix":""}],"container-title":"Emotion","id":"ITEM-1","issue":"3","issued":{"date-parts":[["2007"]]},"note":"(editor)","page":"478-486","title":"Anxiety and Sensitivity to Gaze Direction in Emotionally Expressive Faces","type":"article-journal","volume":"7"},"uris":["http://www.mendeley.com/documents/?uuid=bac5fe94-cd6e-496e-99ea-b54316e5b836"]},{"id":"ITEM-2","itemData":{"DOI":"10.1080/02699930500405550","ISSN":"0269-9931","abstract":"This study examines whether fearful and happy expressions enhance orienting to eye gaze, and the contribution of individual differences in trait fearfulness. Participants carried out a spatial orienting task in which they were presented with neutral, happy, and fearful expressions with eyes gazing either toward or away from a target letter (T or L). The expressions appeared either 300 ms or 700 ms before the onset of the target letter. After both time intervals there was a gaze congruency effect: Response times were faster when the eyes based toward (congruent condition) rather than away (incongruent condition) from the location of the target. The congruency effect was larger for fearful faces compared to neutral faces, but not happy faces compared to neutral faces. Furthermore, at a short stimulus onset asynchrony (SOA) between cue and target, the magnitude of the effect of fear on orienting increased with trait fearfulness. The results are discussed in relationship to findings of attentional bias for threat-related stimuli.","author":[{"dropping-particle":"","family":"Tipples","given":"J","non-dropping-particle":"","parse-names":false,"suffix":""}],"container-title":"Cognition &amp; Emotion","id":"ITEM-2","issue":"2","issued":{"date-parts":[["2006"]]},"note":"Times Cited: 68\n70","page":"309-320","title":"Fear and fearfulness potentiate automatic orienting to eye gaze","type":"article-journal","volume":"20"},"uris":["http://www.mendeley.com/documents/?uuid=93e20cd7-428f-4add-a40e-f1acb11037d0"]}],"mendeley":{"formattedCitation":"(Fox et al., 2007; Tipples, 2006)","plainTextFormattedCitation":"(Fox et al., 2007; Tipples, 2006)","previouslyFormattedCitation":"(Fox et al., 2007; Tipples, 2006)"},"properties":{"noteIndex":0},"schema":"https://github.com/citation-style-language/schema/raw/master/csl-citation.json"}</w:instrText>
      </w:r>
      <w:r w:rsidR="00576044" w:rsidRPr="00BD14B0">
        <w:rPr>
          <w:rFonts w:ascii="Times New Roman" w:eastAsia="Times New Roman" w:hAnsi="Times New Roman" w:cs="Times New Roman"/>
          <w:color w:val="000000" w:themeColor="text1"/>
          <w:sz w:val="24"/>
          <w:szCs w:val="24"/>
          <w:lang w:eastAsia="en-GB"/>
        </w:rPr>
        <w:fldChar w:fldCharType="separate"/>
      </w:r>
      <w:r w:rsidR="00576044" w:rsidRPr="00BD14B0">
        <w:rPr>
          <w:rFonts w:ascii="Times New Roman" w:eastAsia="Times New Roman" w:hAnsi="Times New Roman" w:cs="Times New Roman"/>
          <w:noProof/>
          <w:color w:val="000000" w:themeColor="text1"/>
          <w:sz w:val="24"/>
          <w:szCs w:val="24"/>
          <w:lang w:eastAsia="en-GB"/>
        </w:rPr>
        <w:t>(Fox et al., 2007; Tipples, 2006)</w:t>
      </w:r>
      <w:r w:rsidR="00576044" w:rsidRPr="00BD14B0">
        <w:rPr>
          <w:rFonts w:ascii="Times New Roman" w:eastAsia="Times New Roman" w:hAnsi="Times New Roman" w:cs="Times New Roman"/>
          <w:color w:val="000000" w:themeColor="text1"/>
          <w:sz w:val="24"/>
          <w:szCs w:val="24"/>
          <w:lang w:eastAsia="en-GB"/>
        </w:rPr>
        <w:fldChar w:fldCharType="end"/>
      </w:r>
      <w:r w:rsidR="00576044" w:rsidRPr="00BD14B0">
        <w:rPr>
          <w:rFonts w:ascii="Times New Roman" w:hAnsi="Times New Roman" w:cs="Times New Roman"/>
          <w:color w:val="000000" w:themeColor="text1"/>
          <w:sz w:val="24"/>
          <w:szCs w:val="24"/>
        </w:rPr>
        <w:t>.</w:t>
      </w:r>
      <w:r w:rsidR="00576044" w:rsidRPr="00BD14B0">
        <w:rPr>
          <w:rFonts w:ascii="Times New Roman" w:hAnsi="Times New Roman" w:cs="Times New Roman"/>
          <w:noProof/>
          <w:color w:val="000000" w:themeColor="text1"/>
          <w:sz w:val="24"/>
          <w:szCs w:val="24"/>
        </w:rPr>
        <w:t xml:space="preserve"> Süßenbach and Schönbrodt (2014)</w:t>
      </w:r>
      <w:r w:rsidR="00576044" w:rsidRPr="00BD14B0">
        <w:rPr>
          <w:rFonts w:ascii="Times New Roman" w:hAnsi="Times New Roman" w:cs="Times New Roman"/>
          <w:color w:val="000000" w:themeColor="text1"/>
          <w:sz w:val="24"/>
          <w:szCs w:val="24"/>
        </w:rPr>
        <w:t xml:space="preserve"> conducted a study where female participants were shown faces with short descriptions describing the faces as trustworthy or not and then were asked to complete a gaze cueing task with the faces. They also measured anxiety levels with the “</w:t>
      </w:r>
      <w:r w:rsidR="00576044" w:rsidRPr="00BD14B0">
        <w:rPr>
          <w:rFonts w:ascii="Times New Roman" w:hAnsi="Times New Roman" w:cs="Times New Roman"/>
          <w:noProof/>
          <w:color w:val="000000" w:themeColor="text1"/>
          <w:sz w:val="24"/>
          <w:szCs w:val="24"/>
        </w:rPr>
        <w:t>state-trait</w:t>
      </w:r>
      <w:r w:rsidR="00576044" w:rsidRPr="00BD14B0">
        <w:rPr>
          <w:rFonts w:ascii="Times New Roman" w:hAnsi="Times New Roman" w:cs="Times New Roman"/>
          <w:color w:val="000000" w:themeColor="text1"/>
          <w:sz w:val="24"/>
          <w:szCs w:val="24"/>
        </w:rPr>
        <w:t xml:space="preserve"> anxiety inventory” (a self-report test) and divided participants into low, moderate</w:t>
      </w:r>
      <w:r w:rsidR="00576044" w:rsidRPr="00BD14B0">
        <w:rPr>
          <w:rFonts w:ascii="Times New Roman" w:hAnsi="Times New Roman" w:cs="Times New Roman"/>
          <w:noProof/>
          <w:color w:val="000000" w:themeColor="text1"/>
          <w:sz w:val="24"/>
          <w:szCs w:val="24"/>
        </w:rPr>
        <w:t>,</w:t>
      </w:r>
      <w:r w:rsidR="00576044" w:rsidRPr="00BD14B0">
        <w:rPr>
          <w:rFonts w:ascii="Times New Roman" w:hAnsi="Times New Roman" w:cs="Times New Roman"/>
          <w:color w:val="000000" w:themeColor="text1"/>
          <w:sz w:val="24"/>
          <w:szCs w:val="24"/>
        </w:rPr>
        <w:t xml:space="preserve"> and high anxiety groups. The authors reported that people with low or moderate levels of anxiety followed the gaze of trustworthy faces, but they rarely followed untrustworthy faces. Participants with </w:t>
      </w:r>
      <w:r w:rsidR="00576044" w:rsidRPr="00BD14B0">
        <w:rPr>
          <w:rFonts w:ascii="Times New Roman" w:hAnsi="Times New Roman" w:cs="Times New Roman"/>
          <w:noProof/>
          <w:color w:val="000000" w:themeColor="text1"/>
          <w:sz w:val="24"/>
          <w:szCs w:val="24"/>
        </w:rPr>
        <w:t>high</w:t>
      </w:r>
      <w:r w:rsidR="00576044" w:rsidRPr="00BD14B0">
        <w:rPr>
          <w:rFonts w:ascii="Times New Roman" w:hAnsi="Times New Roman" w:cs="Times New Roman"/>
          <w:color w:val="000000" w:themeColor="text1"/>
          <w:sz w:val="24"/>
          <w:szCs w:val="24"/>
        </w:rPr>
        <w:t xml:space="preserve"> anxiety levels showed no difference in patterns of gazing when presented trustworthy and untrustworthy faces. In summary, </w:t>
      </w:r>
      <w:r w:rsidR="00576044" w:rsidRPr="00BD14B0">
        <w:rPr>
          <w:rFonts w:ascii="Times New Roman" w:eastAsia="Times New Roman" w:hAnsi="Times New Roman" w:cs="Times New Roman"/>
          <w:noProof/>
          <w:color w:val="000000" w:themeColor="text1"/>
          <w:sz w:val="24"/>
          <w:szCs w:val="24"/>
          <w:lang w:eastAsia="en-GB"/>
        </w:rPr>
        <w:t>anxiety</w:t>
      </w:r>
      <w:r w:rsidR="00576044" w:rsidRPr="00BD14B0">
        <w:rPr>
          <w:rFonts w:ascii="Times New Roman" w:eastAsia="Times New Roman" w:hAnsi="Times New Roman" w:cs="Times New Roman"/>
          <w:color w:val="000000" w:themeColor="text1"/>
          <w:sz w:val="24"/>
          <w:szCs w:val="24"/>
          <w:lang w:eastAsia="en-GB"/>
        </w:rPr>
        <w:t xml:space="preserve"> levels appear to affect how the attributes of faces moderate gazing responses. </w:t>
      </w:r>
    </w:p>
    <w:p w14:paraId="719C96E6" w14:textId="5AD99B13" w:rsidR="00576044" w:rsidRPr="00BD14B0" w:rsidRDefault="00554A6A" w:rsidP="00554A6A">
      <w:pPr>
        <w:pStyle w:val="Body"/>
        <w:spacing w:line="360" w:lineRule="auto"/>
        <w:rPr>
          <w:rFonts w:ascii="Times New Roman" w:hAnsi="Times New Roman" w:cs="Times New Roman"/>
          <w:color w:val="000000" w:themeColor="text1"/>
          <w:sz w:val="24"/>
          <w:szCs w:val="24"/>
        </w:rPr>
      </w:pPr>
      <w:r w:rsidRPr="00BD14B0">
        <w:rPr>
          <w:rFonts w:ascii="Times New Roman" w:hAnsi="Times New Roman" w:cs="Times New Roman"/>
          <w:i/>
          <w:color w:val="000000" w:themeColor="text1"/>
          <w:sz w:val="24"/>
          <w:szCs w:val="24"/>
          <w:u w:color="FF0000"/>
        </w:rPr>
        <w:tab/>
      </w:r>
      <w:r w:rsidR="00576044" w:rsidRPr="00BD14B0">
        <w:rPr>
          <w:rFonts w:ascii="Times New Roman" w:hAnsi="Times New Roman" w:cs="Times New Roman"/>
          <w:color w:val="000000" w:themeColor="text1"/>
          <w:sz w:val="24"/>
          <w:szCs w:val="24"/>
        </w:rPr>
        <w:t xml:space="preserve">In a recent study, </w:t>
      </w:r>
      <w:r w:rsidR="00576044" w:rsidRPr="00BD14B0">
        <w:rPr>
          <w:rFonts w:ascii="Times New Roman" w:hAnsi="Times New Roman" w:cs="Times New Roman"/>
          <w:color w:val="000000" w:themeColor="text1"/>
          <w:sz w:val="24"/>
          <w:szCs w:val="24"/>
        </w:rPr>
        <w:fldChar w:fldCharType="begin" w:fldLock="1"/>
      </w:r>
      <w:r w:rsidR="004D2901" w:rsidRPr="00BD14B0">
        <w:rPr>
          <w:rFonts w:ascii="Times New Roman" w:hAnsi="Times New Roman" w:cs="Times New Roman"/>
          <w:color w:val="000000" w:themeColor="text1"/>
          <w:sz w:val="24"/>
          <w:szCs w:val="24"/>
        </w:rPr>
        <w:instrText>ADDIN CSL_CITATION {"citationItems":[{"id":"ITEM-1","itemData":{"DOI":"10.3389/fpsyg.2015.00454","ISSN":"1664-1078","author":[{"dropping-particle":"","family":"Pletti","given":"C","non-dropping-particle":"","parse-names":false,"suffix":""},{"dropping-particle":"","family":"Dalmaso","given":"M","non-dropping-particle":"","parse-names":false,"suffix":""},{"dropping-particle":"","family":"Sarlo","given":"M","non-dropping-particle":"","parse-names":false,"suffix":""},{"dropping-particle":"","family":"Galfano","given":"G","non-dropping-particle":"","parse-names":false,"suffix":""}],"container-title":"Frontiers In Psychology","id":"ITEM-1","issued":{"date-parts":[["2015"]]},"title":"Gaze cuing of attention in snake phobic women: the influence of facial expression","type":"article-journal","volume":"6"},"uris":["http://www.mendeley.com/documents/?uuid=edfdfb2a-8602-4cb8-a22e-568bf5736b15"]}],"mendeley":{"formattedCitation":"(Pletti et al., 2015)","manualFormatting":"Pletti et al. (2015)","plainTextFormattedCitation":"(Pletti et al., 2015)","previouslyFormattedCitation":"(Pletti et al., 2015)"},"properties":{"noteIndex":0},"schema":"https://github.com/citation-style-language/schema/raw/master/csl-citation.json"}</w:instrText>
      </w:r>
      <w:r w:rsidR="00576044" w:rsidRPr="00BD14B0">
        <w:rPr>
          <w:rFonts w:ascii="Times New Roman" w:hAnsi="Times New Roman" w:cs="Times New Roman"/>
          <w:color w:val="000000" w:themeColor="text1"/>
          <w:sz w:val="24"/>
          <w:szCs w:val="24"/>
        </w:rPr>
        <w:fldChar w:fldCharType="separate"/>
      </w:r>
      <w:r w:rsidR="00576044" w:rsidRPr="00BD14B0">
        <w:rPr>
          <w:rFonts w:ascii="Times New Roman" w:hAnsi="Times New Roman" w:cs="Times New Roman"/>
          <w:noProof/>
          <w:color w:val="000000" w:themeColor="text1"/>
          <w:sz w:val="24"/>
          <w:szCs w:val="24"/>
        </w:rPr>
        <w:t>Pletti et al. (2015)</w:t>
      </w:r>
      <w:r w:rsidR="00576044" w:rsidRPr="00BD14B0">
        <w:rPr>
          <w:rFonts w:ascii="Times New Roman" w:hAnsi="Times New Roman" w:cs="Times New Roman"/>
          <w:color w:val="000000" w:themeColor="text1"/>
          <w:sz w:val="24"/>
          <w:szCs w:val="24"/>
        </w:rPr>
        <w:fldChar w:fldCharType="end"/>
      </w:r>
      <w:r w:rsidR="00576044" w:rsidRPr="00BD14B0">
        <w:rPr>
          <w:rFonts w:ascii="Times New Roman" w:hAnsi="Times New Roman" w:cs="Times New Roman"/>
          <w:color w:val="000000" w:themeColor="text1"/>
          <w:sz w:val="24"/>
          <w:szCs w:val="24"/>
        </w:rPr>
        <w:t xml:space="preserve"> investigated the attentional biases </w:t>
      </w:r>
      <w:r w:rsidR="00576044" w:rsidRPr="00BD14B0">
        <w:rPr>
          <w:rFonts w:ascii="Times New Roman" w:hAnsi="Times New Roman" w:cs="Times New Roman"/>
          <w:noProof/>
          <w:color w:val="000000" w:themeColor="text1"/>
          <w:sz w:val="24"/>
          <w:szCs w:val="24"/>
        </w:rPr>
        <w:t>of animal</w:t>
      </w:r>
      <w:r w:rsidR="00576044" w:rsidRPr="00BD14B0">
        <w:rPr>
          <w:rFonts w:ascii="Times New Roman" w:hAnsi="Times New Roman" w:cs="Times New Roman"/>
          <w:color w:val="000000" w:themeColor="text1"/>
          <w:sz w:val="24"/>
          <w:szCs w:val="24"/>
        </w:rPr>
        <w:t xml:space="preserve"> phobic female participants and found that emotional faces (disgust, fear, anger, and neutral) served as uninformative gaze cues. They deployed the Snake Questionnaire (SNAQ) which is a self-report questionnaire that assesses the severity of snake fear and avoidance. They choose individuals scoring ≥18 (corresponding to the 85th percentile calculated on a sample of 496 female students) as the experiment group, whereas individuals scoring ≤10 (the 50th percentile) were selected to be the </w:t>
      </w:r>
      <w:r w:rsidR="00576044" w:rsidRPr="00BD14B0">
        <w:rPr>
          <w:rFonts w:ascii="Times New Roman" w:hAnsi="Times New Roman" w:cs="Times New Roman"/>
          <w:noProof/>
          <w:color w:val="000000" w:themeColor="text1"/>
          <w:sz w:val="24"/>
          <w:szCs w:val="24"/>
        </w:rPr>
        <w:t>control</w:t>
      </w:r>
      <w:r w:rsidR="00576044" w:rsidRPr="00BD14B0">
        <w:rPr>
          <w:rFonts w:ascii="Times New Roman" w:hAnsi="Times New Roman" w:cs="Times New Roman"/>
          <w:color w:val="000000" w:themeColor="text1"/>
          <w:sz w:val="24"/>
          <w:szCs w:val="24"/>
        </w:rPr>
        <w:t xml:space="preserve"> group. Participants were </w:t>
      </w:r>
      <w:r w:rsidR="00576044" w:rsidRPr="00BD14B0">
        <w:rPr>
          <w:rFonts w:ascii="Times New Roman" w:hAnsi="Times New Roman" w:cs="Times New Roman"/>
          <w:noProof/>
          <w:color w:val="000000" w:themeColor="text1"/>
          <w:sz w:val="24"/>
          <w:szCs w:val="24"/>
        </w:rPr>
        <w:t>shown</w:t>
      </w:r>
      <w:r w:rsidR="00576044" w:rsidRPr="00BD14B0">
        <w:rPr>
          <w:rFonts w:ascii="Times New Roman" w:hAnsi="Times New Roman" w:cs="Times New Roman"/>
          <w:color w:val="000000" w:themeColor="text1"/>
          <w:sz w:val="24"/>
          <w:szCs w:val="24"/>
        </w:rPr>
        <w:t xml:space="preserve"> </w:t>
      </w:r>
      <w:r w:rsidR="00576044" w:rsidRPr="00BD14B0">
        <w:rPr>
          <w:rFonts w:ascii="Times New Roman" w:hAnsi="Times New Roman" w:cs="Times New Roman"/>
          <w:noProof/>
          <w:color w:val="000000" w:themeColor="text1"/>
          <w:sz w:val="24"/>
          <w:szCs w:val="24"/>
        </w:rPr>
        <w:t>coloured</w:t>
      </w:r>
      <w:r w:rsidR="00576044" w:rsidRPr="00BD14B0">
        <w:rPr>
          <w:rFonts w:ascii="Times New Roman" w:hAnsi="Times New Roman" w:cs="Times New Roman"/>
          <w:color w:val="000000" w:themeColor="text1"/>
          <w:sz w:val="24"/>
          <w:szCs w:val="24"/>
        </w:rPr>
        <w:t xml:space="preserve"> pictures of six individuals (three males and three females) with facial expressions of disgust, fear, anger, and neutral. Those faces were used as uninformative cues in gaze </w:t>
      </w:r>
      <w:r w:rsidR="00576044" w:rsidRPr="00BD14B0">
        <w:rPr>
          <w:rFonts w:ascii="Times New Roman" w:hAnsi="Times New Roman" w:cs="Times New Roman"/>
          <w:noProof/>
          <w:color w:val="000000" w:themeColor="text1"/>
          <w:sz w:val="24"/>
          <w:szCs w:val="24"/>
        </w:rPr>
        <w:t>cueing</w:t>
      </w:r>
      <w:r w:rsidR="00576044" w:rsidRPr="00BD14B0">
        <w:rPr>
          <w:rFonts w:ascii="Times New Roman" w:hAnsi="Times New Roman" w:cs="Times New Roman"/>
          <w:color w:val="000000" w:themeColor="text1"/>
          <w:sz w:val="24"/>
          <w:szCs w:val="24"/>
        </w:rPr>
        <w:t xml:space="preserve"> paradigm. The authors reported that snake phobic participants were significantly more anxious than </w:t>
      </w:r>
      <w:r w:rsidR="00576044" w:rsidRPr="00BD14B0">
        <w:rPr>
          <w:rFonts w:ascii="Times New Roman" w:hAnsi="Times New Roman" w:cs="Times New Roman"/>
          <w:color w:val="000000" w:themeColor="text1"/>
          <w:sz w:val="24"/>
          <w:szCs w:val="24"/>
        </w:rPr>
        <w:lastRenderedPageBreak/>
        <w:t xml:space="preserve">the </w:t>
      </w:r>
      <w:r w:rsidR="00576044" w:rsidRPr="00BD14B0">
        <w:rPr>
          <w:rFonts w:ascii="Times New Roman" w:hAnsi="Times New Roman" w:cs="Times New Roman"/>
          <w:noProof/>
          <w:color w:val="000000" w:themeColor="text1"/>
          <w:sz w:val="24"/>
          <w:szCs w:val="24"/>
        </w:rPr>
        <w:t>control</w:t>
      </w:r>
      <w:r w:rsidR="00576044" w:rsidRPr="00BD14B0">
        <w:rPr>
          <w:rFonts w:ascii="Times New Roman" w:hAnsi="Times New Roman" w:cs="Times New Roman"/>
          <w:color w:val="000000" w:themeColor="text1"/>
          <w:sz w:val="24"/>
          <w:szCs w:val="24"/>
        </w:rPr>
        <w:t xml:space="preserve"> group and were more affected by gaze cues compared to the control group, regardless of the facial expression. Although anxiety was statistically controlled in the analysis, snake phobic participants were still found to be affected by gaze cues, suggesting that the overarching influence of specific phobias may be substantial.</w:t>
      </w:r>
    </w:p>
    <w:p w14:paraId="0063698F" w14:textId="77777777" w:rsidR="00E91D8D" w:rsidRPr="00BD14B0" w:rsidRDefault="00E91D8D" w:rsidP="005953A0">
      <w:pPr>
        <w:pStyle w:val="Body"/>
        <w:spacing w:line="360" w:lineRule="auto"/>
        <w:ind w:firstLine="360"/>
        <w:rPr>
          <w:rFonts w:ascii="Times New Roman" w:hAnsi="Times New Roman" w:cs="Times New Roman"/>
          <w:color w:val="000000" w:themeColor="text1"/>
          <w:sz w:val="24"/>
          <w:szCs w:val="24"/>
        </w:rPr>
      </w:pPr>
    </w:p>
    <w:p w14:paraId="1D655F87" w14:textId="77777777" w:rsidR="00E91D8D" w:rsidRPr="00BD14B0" w:rsidRDefault="00E91D8D" w:rsidP="00D21204">
      <w:pPr>
        <w:pStyle w:val="Heading4"/>
        <w:numPr>
          <w:ilvl w:val="0"/>
          <w:numId w:val="0"/>
        </w:numPr>
        <w:ind w:left="851"/>
      </w:pPr>
      <w:r w:rsidRPr="00BD14B0">
        <w:t>Gender</w:t>
      </w:r>
    </w:p>
    <w:p w14:paraId="5633D453" w14:textId="76A3A845" w:rsidR="00E91D8D" w:rsidRPr="00BD14B0" w:rsidRDefault="00554A6A" w:rsidP="00554A6A">
      <w:pPr>
        <w:pStyle w:val="Body"/>
        <w:spacing w:line="360" w:lineRule="auto"/>
        <w:rPr>
          <w:rFonts w:ascii="Times New Roman" w:hAnsi="Times New Roman" w:cs="Times New Roman"/>
          <w:color w:val="000000" w:themeColor="text1"/>
          <w:sz w:val="24"/>
          <w:szCs w:val="24"/>
        </w:rPr>
      </w:pPr>
      <w:r w:rsidRPr="00BD14B0">
        <w:rPr>
          <w:rFonts w:ascii="Times New Roman" w:hAnsi="Times New Roman" w:cs="Times New Roman"/>
          <w:i/>
          <w:color w:val="000000" w:themeColor="text1"/>
          <w:sz w:val="24"/>
          <w:szCs w:val="24"/>
          <w:u w:color="FF0000"/>
        </w:rPr>
        <w:tab/>
      </w:r>
      <w:r w:rsidR="00E91D8D" w:rsidRPr="00BD14B0">
        <w:rPr>
          <w:rFonts w:ascii="Times New Roman" w:hAnsi="Times New Roman" w:cs="Times New Roman"/>
          <w:color w:val="000000" w:themeColor="text1"/>
          <w:sz w:val="24"/>
          <w:szCs w:val="24"/>
        </w:rPr>
        <w:t xml:space="preserve">Developmental and social psychology studies have repeatedly shown that there are some differences between males and females on performing cognitive tasks. For example, male participants perform better on spatial cognition tasks </w:t>
      </w:r>
      <w:r w:rsidR="00E91D8D" w:rsidRPr="00BD14B0">
        <w:rPr>
          <w:rFonts w:ascii="Times New Roman" w:hAnsi="Times New Roman" w:cs="Times New Roman"/>
          <w:color w:val="000000" w:themeColor="text1"/>
          <w:sz w:val="24"/>
          <w:szCs w:val="24"/>
        </w:rPr>
        <w:fldChar w:fldCharType="begin" w:fldLock="1"/>
      </w:r>
      <w:r w:rsidR="00E91D8D" w:rsidRPr="00BD14B0">
        <w:rPr>
          <w:rFonts w:ascii="Times New Roman" w:hAnsi="Times New Roman" w:cs="Times New Roman"/>
          <w:color w:val="000000" w:themeColor="text1"/>
          <w:sz w:val="24"/>
          <w:szCs w:val="24"/>
        </w:rPr>
        <w:instrText>ADDIN CSL_CITATION {"citationItems":[{"id":"ITEM-1","itemData":{"DOI":"10.1016/j.cognition.2003.09.007","ISSN":"0010-0277 (Print)","PMID":"15168896","abstract":"Drawing on the theoretical and empirical foundations of two evolutionary models,  we argue that, among humans and other mammals, a twofold selection process would parsimoniously account for sex-linked advantages in spatial contexts. In males, a superiority for both solving navigation-related spatial problems and understanding physical principles that apply to the behavior of projectiles could have been inherited from mating-oriented male competition involving extensive ranging and agonistic displays. In females, a form of superior spatial memory may have been shaped in relation to a costly reproduction system compelling them to safeguard their survival and that of their offspring by fostering low-risk strategies consisting of restricted navigation as well as concentration on nearby spatial cues. Based on the combined action of competition and survival pressures, we submit new predictions as to spatial sex differences in several species including humans.","author":[{"dropping-particle":"","family":"Ecuyer-Dab","given":"Isabelle","non-dropping-particle":"","parse-names":false,"suffix":""},{"dropping-particle":"","family":"Robert","given":"Michele","non-dropping-particle":"","parse-names":false,"suffix":""}],"container-title":"Cognition","id":"ITEM-1","issue":"3","issued":{"date-parts":[["2004","4"]]},"language":"eng","page":"221-257","publisher-place":"Netherlands","title":"Have sex differences in spatial ability evolved from male competition for mating  and female concern for survival?","type":"article-journal","volume":"91"},"uris":["http://www.mendeley.com/documents/?uuid=4ec1c00d-c9a8-4073-87c2-3eadd586135c","http://www.mendeley.com/documents/?uuid=ea138bf3-bec5-4021-9d2d-12154a911e43"]}],"mendeley":{"formattedCitation":"(Ecuyer-Dab &amp; Robert, 2004)","plainTextFormattedCitation":"(Ecuyer-Dab &amp; Robert, 2004)","previouslyFormattedCitation":"(Ecuyer-Dab &amp; Robert, 2004)"},"properties":{"noteIndex":0},"schema":"https://github.com/citation-style-language/schema/raw/master/csl-citation.json"}</w:instrText>
      </w:r>
      <w:r w:rsidR="00E91D8D" w:rsidRPr="00BD14B0">
        <w:rPr>
          <w:rFonts w:ascii="Times New Roman" w:hAnsi="Times New Roman" w:cs="Times New Roman"/>
          <w:color w:val="000000" w:themeColor="text1"/>
          <w:sz w:val="24"/>
          <w:szCs w:val="24"/>
        </w:rPr>
        <w:fldChar w:fldCharType="separate"/>
      </w:r>
      <w:r w:rsidR="00E91D8D" w:rsidRPr="00BD14B0">
        <w:rPr>
          <w:rFonts w:ascii="Times New Roman" w:hAnsi="Times New Roman" w:cs="Times New Roman"/>
          <w:noProof/>
          <w:color w:val="000000" w:themeColor="text1"/>
          <w:sz w:val="24"/>
          <w:szCs w:val="24"/>
        </w:rPr>
        <w:t>(Ecuyer-Dab &amp; Robert, 2004)</w:t>
      </w:r>
      <w:r w:rsidR="00E91D8D" w:rsidRPr="00BD14B0">
        <w:rPr>
          <w:rFonts w:ascii="Times New Roman" w:hAnsi="Times New Roman" w:cs="Times New Roman"/>
          <w:color w:val="000000" w:themeColor="text1"/>
          <w:sz w:val="24"/>
          <w:szCs w:val="24"/>
        </w:rPr>
        <w:fldChar w:fldCharType="end"/>
      </w:r>
      <w:r w:rsidR="00E91D8D" w:rsidRPr="00BD14B0">
        <w:rPr>
          <w:rFonts w:ascii="Times New Roman" w:hAnsi="Times New Roman" w:cs="Times New Roman"/>
          <w:color w:val="000000" w:themeColor="text1"/>
          <w:sz w:val="24"/>
          <w:szCs w:val="24"/>
        </w:rPr>
        <w:t xml:space="preserve"> but female participants are better at decoding nonverbal behaviour </w:t>
      </w:r>
      <w:r w:rsidR="00E91D8D" w:rsidRPr="00BD14B0">
        <w:rPr>
          <w:rFonts w:ascii="Times New Roman" w:hAnsi="Times New Roman" w:cs="Times New Roman"/>
          <w:color w:val="000000" w:themeColor="text1"/>
          <w:sz w:val="24"/>
          <w:szCs w:val="24"/>
        </w:rPr>
        <w:fldChar w:fldCharType="begin" w:fldLock="1"/>
      </w:r>
      <w:r w:rsidR="00E91D8D" w:rsidRPr="00BD14B0">
        <w:rPr>
          <w:rFonts w:ascii="Times New Roman" w:hAnsi="Times New Roman" w:cs="Times New Roman"/>
          <w:color w:val="000000" w:themeColor="text1"/>
          <w:sz w:val="24"/>
          <w:szCs w:val="24"/>
        </w:rPr>
        <w:instrText>ADDIN CSL_CITATION {"citationItems":[{"id":"ITEM-1","itemData":{"DOI":"10.1037/0033-2909.85.4.845","ISBN":"1939-1455\\n0033-2909","ISSN":"00332909","PMID":"127","abstract":"This article summarizes results of 7S studies that reported accuracy for males and females at decoding nonverbal communication. The following attributes of the studies were coded: year, sample size, age of judges, sex of stimulus person(s), age of stimulus person(s), and the medium and channel of communication (e.g., photos of facial expressions, filtered speech). These attributes were examined in relation to three outcome indices: direction of effect, effect size (in SD units), and significance level. Results showed that more studies showed female advan- tage than would occur by chance, the average effect was of moderate magnitude and was significantly larger than zero, and more studies reached a conventional level of significance than would be expected by chance. The gender effect for visual-plus-auditory studies was significantly larger than for visual-only and auditory-only studies. The magnitude of the gender effect did not vary reliably with sample size, age of judges, sex of stimulus person(s), or age of stimulus person(s).","author":[{"dropping-particle":"","family":"Hall","given":"Judith A.","non-dropping-particle":"","parse-names":false,"suffix":""}],"container-title":"Psychological Bulletin","id":"ITEM-1","issue":"4","issued":{"date-parts":[["1978"]]},"page":"845-857","title":"Gender effects in decoding nonverbal cues","type":"article-journal","volume":"85"},"uris":["http://www.mendeley.com/documents/?uuid=42875657-cb31-4b9a-8cc7-73cd4278dd65","http://www.mendeley.com/documents/?uuid=a7862ea1-6af9-4398-a958-18695b577f4b"]}],"mendeley":{"formattedCitation":"(Hall, 1978)","plainTextFormattedCitation":"(Hall, 1978)","previouslyFormattedCitation":"(Hall, 1978)"},"properties":{"noteIndex":0},"schema":"https://github.com/citation-style-language/schema/raw/master/csl-citation.json"}</w:instrText>
      </w:r>
      <w:r w:rsidR="00E91D8D" w:rsidRPr="00BD14B0">
        <w:rPr>
          <w:rFonts w:ascii="Times New Roman" w:hAnsi="Times New Roman" w:cs="Times New Roman"/>
          <w:color w:val="000000" w:themeColor="text1"/>
          <w:sz w:val="24"/>
          <w:szCs w:val="24"/>
        </w:rPr>
        <w:fldChar w:fldCharType="separate"/>
      </w:r>
      <w:r w:rsidR="00E91D8D" w:rsidRPr="00BD14B0">
        <w:rPr>
          <w:rFonts w:ascii="Times New Roman" w:hAnsi="Times New Roman" w:cs="Times New Roman"/>
          <w:noProof/>
          <w:color w:val="000000" w:themeColor="text1"/>
          <w:sz w:val="24"/>
          <w:szCs w:val="24"/>
        </w:rPr>
        <w:t>(Hall, 1978)</w:t>
      </w:r>
      <w:r w:rsidR="00E91D8D" w:rsidRPr="00BD14B0">
        <w:rPr>
          <w:rFonts w:ascii="Times New Roman" w:hAnsi="Times New Roman" w:cs="Times New Roman"/>
          <w:color w:val="000000" w:themeColor="text1"/>
          <w:sz w:val="24"/>
          <w:szCs w:val="24"/>
        </w:rPr>
        <w:fldChar w:fldCharType="end"/>
      </w:r>
      <w:r w:rsidR="00E91D8D" w:rsidRPr="00BD14B0">
        <w:rPr>
          <w:rFonts w:ascii="Times New Roman" w:hAnsi="Times New Roman" w:cs="Times New Roman"/>
          <w:color w:val="000000" w:themeColor="text1"/>
          <w:sz w:val="24"/>
          <w:szCs w:val="24"/>
        </w:rPr>
        <w:t xml:space="preserve">. There are some subtle developmental differences between males and females. For example, a study showed that there is stronger joint attention in female infants than male infants at 12 months </w:t>
      </w:r>
      <w:r w:rsidR="00E91D8D" w:rsidRPr="00BD14B0">
        <w:rPr>
          <w:rFonts w:ascii="Times New Roman" w:hAnsi="Times New Roman" w:cs="Times New Roman"/>
          <w:color w:val="000000" w:themeColor="text1"/>
          <w:sz w:val="24"/>
          <w:szCs w:val="24"/>
        </w:rPr>
        <w:fldChar w:fldCharType="begin" w:fldLock="1"/>
      </w:r>
      <w:r w:rsidR="00E91D8D" w:rsidRPr="00BD14B0">
        <w:rPr>
          <w:rFonts w:ascii="Times New Roman" w:hAnsi="Times New Roman" w:cs="Times New Roman"/>
          <w:color w:val="000000" w:themeColor="text1"/>
          <w:sz w:val="24"/>
          <w:szCs w:val="24"/>
        </w:rPr>
        <w:instrText>ADDIN CSL_CITATION {"citationItems":[{"id":"ITEM-1","itemData":{"DOI":"10.1016/j.infbeh.2006.07.004","ISSN":"1934-8800 (Electronic)","PMID":"17138308","abstract":"This study tested the effects of optimized neonatal mother-infant transactions on joint attention performance at 12 months. Surviving infants &lt;2000g from a geographically defined area were randomly assigned to a preterm intervention (n=71) or preterm control group (n=69). Comparisons were made between preterm groups, secondary with a term group (n=75). Joint attention was measured using the Early Social Communication Scales. Preterm intervention infants scored significantly higher than preterm control infants on elements Initiating Joint Attention (p&lt;0.05), Initiating Object Requests (p&lt;0.05), and Responding to Social Interaction (p&lt;0.0005). Intervention was not associated with performance on elements Responding to Joint Attention, or on Responding to Requests. ELBW infants scored significantly lower than VLBW and LBW infants on imperative functions. Girls outperformed boys on all communication elements. An intervention implemented during the neonatal period can be of advantage for certain aspects of joint attention performance in preterm infants.","author":[{"dropping-particle":"","family":"Olafsen","given":"Kare S","non-dropping-particle":"","parse-names":false,"suffix":""},{"dropping-particle":"","family":"Ronning","given":"John A","non-dropping-particle":"","parse-names":false,"suffix":""},{"dropping-particle":"","family":"Kaaresen","given":"Per Ivar","non-dropping-particle":"","parse-names":false,"suffix":""},{"dropping-particle":"","family":"Ulvund","given":"Stein Erik","non-dropping-particle":"","parse-names":false,"suffix":""},{"dropping-particle":"","family":"Handegard","given":"Bjorn Helge","non-dropping-particle":"","parse-names":false,"suffix":""},{"dropping-particle":"","family":"Dahl","given":"Lauritz Bredrup","non-dropping-particle":"","parse-names":false,"suffix":""}],"container-title":"Infant behavior &amp; development","id":"ITEM-1","issue":"4","issued":{"date-parts":[["2006","12"]]},"language":"eng","page":"554-563","publisher-place":"United States","title":"Joint attention in term and preterm infants at 12 months corrected age: the significance of gender and intervention based on a randomized controlled trial.","type":"article-journal","volume":"29"},"uris":["http://www.mendeley.com/documents/?uuid=0fc54c7e-8c30-442c-85e5-a3dad03defca","http://www.mendeley.com/documents/?uuid=fa81899c-1ea7-49e6-9f18-910850810a18"]}],"mendeley":{"formattedCitation":"(Olafsen et al., 2006)","plainTextFormattedCitation":"(Olafsen et al., 2006)","previouslyFormattedCitation":"(Olafsen et al., 2006)"},"properties":{"noteIndex":0},"schema":"https://github.com/citation-style-language/schema/raw/master/csl-citation.json"}</w:instrText>
      </w:r>
      <w:r w:rsidR="00E91D8D" w:rsidRPr="00BD14B0">
        <w:rPr>
          <w:rFonts w:ascii="Times New Roman" w:hAnsi="Times New Roman" w:cs="Times New Roman"/>
          <w:color w:val="000000" w:themeColor="text1"/>
          <w:sz w:val="24"/>
          <w:szCs w:val="24"/>
        </w:rPr>
        <w:fldChar w:fldCharType="separate"/>
      </w:r>
      <w:r w:rsidR="00E91D8D" w:rsidRPr="00BD14B0">
        <w:rPr>
          <w:rFonts w:ascii="Times New Roman" w:hAnsi="Times New Roman" w:cs="Times New Roman"/>
          <w:noProof/>
          <w:color w:val="000000" w:themeColor="text1"/>
          <w:sz w:val="24"/>
          <w:szCs w:val="24"/>
        </w:rPr>
        <w:t>(Olafsen et al., 2006)</w:t>
      </w:r>
      <w:r w:rsidR="00E91D8D" w:rsidRPr="00BD14B0">
        <w:rPr>
          <w:rFonts w:ascii="Times New Roman" w:hAnsi="Times New Roman" w:cs="Times New Roman"/>
          <w:color w:val="000000" w:themeColor="text1"/>
          <w:sz w:val="24"/>
          <w:szCs w:val="24"/>
        </w:rPr>
        <w:fldChar w:fldCharType="end"/>
      </w:r>
      <w:r w:rsidR="00E91D8D" w:rsidRPr="00BD14B0">
        <w:rPr>
          <w:rFonts w:ascii="Times New Roman" w:hAnsi="Times New Roman" w:cs="Times New Roman"/>
          <w:color w:val="000000" w:themeColor="text1"/>
          <w:sz w:val="24"/>
          <w:szCs w:val="24"/>
        </w:rPr>
        <w:t xml:space="preserve">. Overall, studies have shown that there are some differences between males and females when performing different cognitive tasks. Additionally, social attention studies have repeatedly shown that females tend to be more sensitive to social cues compared to males. It is surprising that such a reflexive shift of attention to the gazed at location differs between half of the population. To investigate if this difference is only related to social cues on attentional shifts, </w:t>
      </w:r>
      <w:r w:rsidR="00BB7E39" w:rsidRPr="00BD14B0">
        <w:rPr>
          <w:rFonts w:ascii="Times New Roman" w:hAnsi="Times New Roman" w:cs="Times New Roman"/>
          <w:color w:val="000000" w:themeColor="text1"/>
          <w:sz w:val="24"/>
          <w:szCs w:val="24"/>
        </w:rPr>
        <w:fldChar w:fldCharType="begin" w:fldLock="1"/>
      </w:r>
      <w:r w:rsidR="00BB7E39" w:rsidRPr="00BD14B0">
        <w:rPr>
          <w:rFonts w:ascii="Times New Roman" w:hAnsi="Times New Roman" w:cs="Times New Roman"/>
          <w:color w:val="000000" w:themeColor="text1"/>
          <w:sz w:val="24"/>
          <w:szCs w:val="24"/>
        </w:rPr>
        <w:instrText>ADDIN CSL_CITATION {"citationItems":[{"id":"ITEM-1","itemData":{"DOI":"10.1348/000712604X15626","ISSN":"20448295","author":[{"dropping-particle":"","family":"Bayliss","given":"Andrew P","non-dropping-particle":"","parse-names":false,"suffix":""},{"dropping-particle":"","family":"Tipper","given":"Steven P","non-dropping-particle":"","parse-names":false,"suffix":""}],"container-title":"British Journal of Psychology","id":"ITEM-1","issue":"1","issued":{"date-parts":[["2005"]]},"page":"95-114","title":"Gaze and arrow cueing of attention reveals individual differences along the autism spectrum as a function of target context","type":"article-journal","volume":"96"},"uris":["http://www.mendeley.com/documents/?uuid=187ec140-a032-41d0-9a0e-8f582d48051c"]}],"mendeley":{"formattedCitation":"(Andrew P Bayliss &amp; Tipper, 2005)","manualFormatting":"Bayliss &amp; Tipper, (2005)","plainTextFormattedCitation":"(Andrew P Bayliss &amp; Tipper, 2005)","previouslyFormattedCitation":"(Andrew P Bayliss &amp; Tipper, 2005)"},"properties":{"noteIndex":0},"schema":"https://github.com/citation-style-language/schema/raw/master/csl-citation.json"}</w:instrText>
      </w:r>
      <w:r w:rsidR="00BB7E39" w:rsidRPr="00BD14B0">
        <w:rPr>
          <w:rFonts w:ascii="Times New Roman" w:hAnsi="Times New Roman" w:cs="Times New Roman"/>
          <w:color w:val="000000" w:themeColor="text1"/>
          <w:sz w:val="24"/>
          <w:szCs w:val="24"/>
        </w:rPr>
        <w:fldChar w:fldCharType="separate"/>
      </w:r>
      <w:r w:rsidR="00BB7E39" w:rsidRPr="00BD14B0">
        <w:rPr>
          <w:rFonts w:ascii="Times New Roman" w:hAnsi="Times New Roman" w:cs="Times New Roman"/>
          <w:noProof/>
          <w:color w:val="000000" w:themeColor="text1"/>
          <w:sz w:val="24"/>
          <w:szCs w:val="24"/>
        </w:rPr>
        <w:t>Bayliss &amp; Tipper, (2005)</w:t>
      </w:r>
      <w:r w:rsidR="00BB7E39" w:rsidRPr="00BD14B0">
        <w:rPr>
          <w:rFonts w:ascii="Times New Roman" w:hAnsi="Times New Roman" w:cs="Times New Roman"/>
          <w:color w:val="000000" w:themeColor="text1"/>
          <w:sz w:val="24"/>
          <w:szCs w:val="24"/>
        </w:rPr>
        <w:fldChar w:fldCharType="end"/>
      </w:r>
      <w:r w:rsidR="00BB7E39" w:rsidRPr="00BD14B0">
        <w:rPr>
          <w:rFonts w:ascii="Times New Roman" w:hAnsi="Times New Roman" w:cs="Times New Roman"/>
          <w:color w:val="000000" w:themeColor="text1"/>
          <w:sz w:val="24"/>
          <w:szCs w:val="24"/>
        </w:rPr>
        <w:t xml:space="preserve"> </w:t>
      </w:r>
      <w:r w:rsidR="00E91D8D" w:rsidRPr="00BD14B0">
        <w:rPr>
          <w:rFonts w:ascii="Times New Roman" w:hAnsi="Times New Roman" w:cs="Times New Roman"/>
          <w:color w:val="000000" w:themeColor="text1"/>
          <w:sz w:val="24"/>
          <w:szCs w:val="24"/>
        </w:rPr>
        <w:t xml:space="preserve">conducted a study using central arrow cues and peripheral sudden-onset cues. The results showed that there was no difference for peripheral cueing but there was a gender difference on central arrow cues. Female participants responded faster to cued location compared to </w:t>
      </w:r>
      <w:proofErr w:type="spellStart"/>
      <w:r w:rsidR="00E91D8D" w:rsidRPr="00BD14B0">
        <w:rPr>
          <w:rFonts w:ascii="Times New Roman" w:hAnsi="Times New Roman" w:cs="Times New Roman"/>
          <w:color w:val="000000" w:themeColor="text1"/>
          <w:sz w:val="24"/>
          <w:szCs w:val="24"/>
        </w:rPr>
        <w:t>uncued</w:t>
      </w:r>
      <w:proofErr w:type="spellEnd"/>
      <w:r w:rsidR="00E91D8D" w:rsidRPr="00BD14B0">
        <w:rPr>
          <w:rFonts w:ascii="Times New Roman" w:hAnsi="Times New Roman" w:cs="Times New Roman"/>
          <w:color w:val="000000" w:themeColor="text1"/>
          <w:sz w:val="24"/>
          <w:szCs w:val="24"/>
        </w:rPr>
        <w:t xml:space="preserve"> location but this difference in performance was not observed for male participants. Interestingly, other contextual factors might affect males and females differently when observing eye gaze interaction. A recent study showed that familiarity creates a stronger gaze cueing in females but not males </w:t>
      </w:r>
      <w:r w:rsidR="00E91D8D" w:rsidRPr="00BD14B0">
        <w:rPr>
          <w:rFonts w:ascii="Times New Roman" w:hAnsi="Times New Roman" w:cs="Times New Roman"/>
          <w:color w:val="000000" w:themeColor="text1"/>
          <w:sz w:val="24"/>
          <w:szCs w:val="24"/>
        </w:rPr>
        <w:fldChar w:fldCharType="begin" w:fldLock="1"/>
      </w:r>
      <w:r w:rsidR="0028287E" w:rsidRPr="00BD14B0">
        <w:rPr>
          <w:rFonts w:ascii="Times New Roman" w:hAnsi="Times New Roman" w:cs="Times New Roman"/>
          <w:color w:val="000000" w:themeColor="text1"/>
          <w:sz w:val="24"/>
          <w:szCs w:val="24"/>
        </w:rPr>
        <w:instrText>ADDIN CSL_CITATION {"citationItems":[{"id":"ITEM-1","itemData":{"DOI":"10.1098/rsbl.2006.0564","ISSN":"1744-9561","abstract":"Gaze cuing, the tendency to shift attention in the direction other individuals are looking, is hypothesized to depend on a distinct neural module. One expectation of such a module is that information processing should be encapsulated within it. Here, we tested whether familiarity, a type of social knowledge, penetrates the neural circuits governing gaze cuing. Male and female subjects viewed the face of an adult male looking left or right and then pressed a keypad to indicate the location of a target appearing randomly left or right. Responses were faster for targets congruent with gaze direction. Moreover, gaze cuing was stronger in females than males. Contrary to the modularity hypothesis, familiarity enhanced gaze cuing, but only in females. Sex differences in the effects of familiarity on gaze cuing may reflect greater adaptive significance of social information for females than males.","author":[{"dropping-particle":"","family":"Deaner","given":"Robert O","non-dropping-particle":"","parse-names":false,"suffix":""},{"dropping-particle":"V","family":"Shepherd","given":"Stephen","non-dropping-particle":"","parse-names":false,"suffix":""},{"dropping-particle":"","family":"Platt","given":"Michael L","non-dropping-particle":"","parse-names":false,"suffix":""}],"container-title":"Biology Letters","id":"ITEM-1","issue":"1","issued":{"date-parts":[["2007","2","22"]]},"note":"Times Cited: 31\n32","page":"65-68","title":"Familiarity accentuates gaze cuing in women but not men","type":"article-journal","volume":"3"},"uris":["http://www.mendeley.com/documents/?uuid=c40566fa-2045-42e8-8818-c7b3fd74af89"]}],"mendeley":{"formattedCitation":"(R. O. Deaner et al., 2007)","manualFormatting":"(Deaner et al., 2007)","plainTextFormattedCitation":"(R. O. Deaner et al., 2007)","previouslyFormattedCitation":"(R. O. Deaner et al., 2007)"},"properties":{"noteIndex":0},"schema":"https://github.com/citation-style-language/schema/raw/master/csl-citation.json"}</w:instrText>
      </w:r>
      <w:r w:rsidR="00E91D8D" w:rsidRPr="00BD14B0">
        <w:rPr>
          <w:rFonts w:ascii="Times New Roman" w:hAnsi="Times New Roman" w:cs="Times New Roman"/>
          <w:color w:val="000000" w:themeColor="text1"/>
          <w:sz w:val="24"/>
          <w:szCs w:val="24"/>
        </w:rPr>
        <w:fldChar w:fldCharType="separate"/>
      </w:r>
      <w:r w:rsidR="004D2901" w:rsidRPr="00BD14B0">
        <w:rPr>
          <w:rFonts w:ascii="Times New Roman" w:hAnsi="Times New Roman" w:cs="Times New Roman"/>
          <w:noProof/>
          <w:color w:val="000000" w:themeColor="text1"/>
          <w:sz w:val="24"/>
          <w:szCs w:val="24"/>
        </w:rPr>
        <w:t>(Deaner et al., 2007)</w:t>
      </w:r>
      <w:r w:rsidR="00E91D8D" w:rsidRPr="00BD14B0">
        <w:rPr>
          <w:rFonts w:ascii="Times New Roman" w:hAnsi="Times New Roman" w:cs="Times New Roman"/>
          <w:color w:val="000000" w:themeColor="text1"/>
          <w:sz w:val="24"/>
          <w:szCs w:val="24"/>
        </w:rPr>
        <w:fldChar w:fldCharType="end"/>
      </w:r>
      <w:r w:rsidR="00E91D8D" w:rsidRPr="00BD14B0">
        <w:rPr>
          <w:rFonts w:ascii="Times New Roman" w:hAnsi="Times New Roman" w:cs="Times New Roman"/>
          <w:color w:val="000000" w:themeColor="text1"/>
          <w:sz w:val="24"/>
          <w:szCs w:val="24"/>
        </w:rPr>
        <w:t xml:space="preserve">. A recent study also showed that compared to males, females tend to be faster on viewing times leading them to be more reflexive on gaze cueing </w:t>
      </w:r>
      <w:r w:rsidR="00E91D8D" w:rsidRPr="00BD14B0">
        <w:rPr>
          <w:rFonts w:ascii="Times New Roman" w:hAnsi="Times New Roman" w:cs="Times New Roman"/>
          <w:color w:val="000000" w:themeColor="text1"/>
          <w:sz w:val="24"/>
          <w:szCs w:val="24"/>
        </w:rPr>
        <w:fldChar w:fldCharType="begin" w:fldLock="1"/>
      </w:r>
      <w:r w:rsidR="004D2901" w:rsidRPr="00BD14B0">
        <w:rPr>
          <w:rFonts w:ascii="Times New Roman" w:hAnsi="Times New Roman" w:cs="Times New Roman"/>
          <w:color w:val="000000" w:themeColor="text1"/>
          <w:sz w:val="24"/>
          <w:szCs w:val="24"/>
        </w:rPr>
        <w:instrText>ADDIN CSL_CITATION {"citationItems":[{"id":"ITEM-1","itemData":{"DOI":"10.1016/j.paid.2010.06.016","ISSN":"0191-8869","abstract":"The gaze-cueing effect refers to the phenomenon that another person's gaze direction transiently moves an observer's attention in the corresponding direction. It has been reported that women show a stronger gaze-cueing effect than men (Bayliss, di Pellegrino, &amp; Tipper, 2005). The present study confirmed this gender difference, females showing a larger cueing effect (i.e. a shortening of reaction times) than males, particularly at 300 ms viewing times. A multivariate procedure identified items from the Empathy- and Systemizing Quotient self-reports (Baron-Cohen, 2003) which together related significantly to the gaze-cueing effect, such that an enhanced tendency to empathize was associated with a larger gaze-cueing effect. This result is in line with the finding (Bayliss et al., 2005) of diminished gaze-cueing in people reporting many autistic-like traits such as reduced empathizing. (C) 2010 Elsevier Ltd. All rights reserved.","author":[{"dropping-particle":"","family":"Alwall","given":"N","non-dropping-particle":"","parse-names":false,"suffix":""},{"dropping-particle":"","family":"Johansson","given":"D","non-dropping-particle":"","parse-names":false,"suffix":""},{"dropping-particle":"","family":"Hansen","given":"S","non-dropping-particle":"","parse-names":false,"suffix":""}],"container-title":"Personality and Individual Differences","id":"ITEM-1","issue":"7","issued":{"date-parts":[["2010"]]},"note":"Times Cited: 6\n6","page":"729-732","title":"The gender difference in gaze-cueing: Associations with empathizing and systemizing","type":"article-journal","volume":"49"},"uris":["http://www.mendeley.com/documents/?uuid=6f3eb893-e446-460b-93a7-9009d5a7cb5b"]}],"mendeley":{"formattedCitation":"(Alwall et al., 2010)","plainTextFormattedCitation":"(Alwall et al., 2010)","previouslyFormattedCitation":"(Alwall et al., 2010)"},"properties":{"noteIndex":0},"schema":"https://github.com/citation-style-language/schema/raw/master/csl-citation.json"}</w:instrText>
      </w:r>
      <w:r w:rsidR="00E91D8D" w:rsidRPr="00BD14B0">
        <w:rPr>
          <w:rFonts w:ascii="Times New Roman" w:hAnsi="Times New Roman" w:cs="Times New Roman"/>
          <w:color w:val="000000" w:themeColor="text1"/>
          <w:sz w:val="24"/>
          <w:szCs w:val="24"/>
        </w:rPr>
        <w:fldChar w:fldCharType="separate"/>
      </w:r>
      <w:r w:rsidR="00E91D8D" w:rsidRPr="00BD14B0">
        <w:rPr>
          <w:rFonts w:ascii="Times New Roman" w:hAnsi="Times New Roman" w:cs="Times New Roman"/>
          <w:noProof/>
          <w:color w:val="000000" w:themeColor="text1"/>
          <w:sz w:val="24"/>
          <w:szCs w:val="24"/>
        </w:rPr>
        <w:t>(Alwall et al., 2010)</w:t>
      </w:r>
      <w:r w:rsidR="00E91D8D" w:rsidRPr="00BD14B0">
        <w:rPr>
          <w:rFonts w:ascii="Times New Roman" w:hAnsi="Times New Roman" w:cs="Times New Roman"/>
          <w:color w:val="000000" w:themeColor="text1"/>
          <w:sz w:val="24"/>
          <w:szCs w:val="24"/>
        </w:rPr>
        <w:fldChar w:fldCharType="end"/>
      </w:r>
      <w:r w:rsidR="00E91D8D" w:rsidRPr="00BD14B0">
        <w:rPr>
          <w:rFonts w:ascii="Times New Roman" w:hAnsi="Times New Roman" w:cs="Times New Roman"/>
          <w:color w:val="000000" w:themeColor="text1"/>
          <w:sz w:val="24"/>
          <w:szCs w:val="24"/>
        </w:rPr>
        <w:t xml:space="preserve">. Research suggests that women generally show stronger gaze cueing in low social status conditions compared to men. Women also demonstrate stronger gaze cueing among low social power conditions compared to high social power conditions. Additionally, individuals who have been primed with a low social power </w:t>
      </w:r>
      <w:r w:rsidR="00E91D8D" w:rsidRPr="00BD14B0">
        <w:rPr>
          <w:rFonts w:ascii="Times New Roman" w:hAnsi="Times New Roman" w:cs="Times New Roman"/>
          <w:color w:val="000000" w:themeColor="text1"/>
          <w:sz w:val="24"/>
          <w:szCs w:val="24"/>
        </w:rPr>
        <w:lastRenderedPageBreak/>
        <w:t>condition in experiments have been found to be more easily influenced by gaze direction; likely because people having low social power tend to be less independent and more reliant on others (</w:t>
      </w:r>
      <w:r w:rsidR="00E91D8D" w:rsidRPr="00BD14B0">
        <w:rPr>
          <w:rFonts w:ascii="Times New Roman" w:hAnsi="Times New Roman" w:cs="Times New Roman"/>
          <w:color w:val="000000" w:themeColor="text1"/>
          <w:sz w:val="24"/>
          <w:szCs w:val="24"/>
        </w:rPr>
        <w:fldChar w:fldCharType="begin" w:fldLock="1"/>
      </w:r>
      <w:r w:rsidR="00E91D8D" w:rsidRPr="00BD14B0">
        <w:rPr>
          <w:rFonts w:ascii="Times New Roman" w:hAnsi="Times New Roman" w:cs="Times New Roman"/>
          <w:color w:val="000000" w:themeColor="text1"/>
          <w:sz w:val="24"/>
          <w:szCs w:val="24"/>
        </w:rPr>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Zhang, &amp; Geng, 2014)","plainTextFormattedCitation":"(Cui et al., 2014)","previouslyFormattedCitation":"(Cui et al., 2014)"},"properties":{"noteIndex":0},"schema":"https://github.com/citation-style-language/schema/raw/master/csl-citation.json"}</w:instrText>
      </w:r>
      <w:r w:rsidR="00E91D8D" w:rsidRPr="00BD14B0">
        <w:rPr>
          <w:rFonts w:ascii="Times New Roman" w:hAnsi="Times New Roman" w:cs="Times New Roman"/>
          <w:color w:val="000000" w:themeColor="text1"/>
          <w:sz w:val="24"/>
          <w:szCs w:val="24"/>
        </w:rPr>
        <w:fldChar w:fldCharType="separate"/>
      </w:r>
      <w:r w:rsidR="00E91D8D" w:rsidRPr="00BD14B0">
        <w:rPr>
          <w:rFonts w:ascii="Times New Roman" w:hAnsi="Times New Roman" w:cs="Times New Roman"/>
          <w:noProof/>
          <w:color w:val="000000" w:themeColor="text1"/>
          <w:sz w:val="24"/>
          <w:szCs w:val="24"/>
        </w:rPr>
        <w:t>Cui, Zhang, &amp; Geng, 2014)</w:t>
      </w:r>
      <w:r w:rsidR="00E91D8D" w:rsidRPr="00BD14B0">
        <w:rPr>
          <w:rFonts w:ascii="Times New Roman" w:hAnsi="Times New Roman" w:cs="Times New Roman"/>
          <w:color w:val="000000" w:themeColor="text1"/>
          <w:sz w:val="24"/>
          <w:szCs w:val="24"/>
        </w:rPr>
        <w:fldChar w:fldCharType="end"/>
      </w:r>
      <w:r w:rsidR="00E91D8D" w:rsidRPr="00BD14B0">
        <w:rPr>
          <w:rFonts w:ascii="Times New Roman" w:hAnsi="Times New Roman" w:cs="Times New Roman"/>
          <w:color w:val="000000" w:themeColor="text1"/>
          <w:sz w:val="24"/>
          <w:szCs w:val="24"/>
        </w:rPr>
        <w:t xml:space="preserve">. Overall, studies have shown that there are some sex differences in gaze cueing, specifically the automaticity of gaze cueing seems to be greater in females compared to males. Additionally, other social factors might affect males and females differently, creating secondary differences on gaze following behaviour. This issue will be discussed further </w:t>
      </w:r>
      <w:r w:rsidR="00E91D8D" w:rsidRPr="00BD14B0">
        <w:rPr>
          <w:rFonts w:ascii="Times New Roman" w:hAnsi="Times New Roman" w:cs="Times New Roman"/>
          <w:noProof/>
          <w:color w:val="000000" w:themeColor="text1"/>
          <w:sz w:val="24"/>
          <w:szCs w:val="24"/>
        </w:rPr>
        <w:t>in</w:t>
      </w:r>
      <w:r w:rsidR="00E91D8D" w:rsidRPr="00BD14B0">
        <w:rPr>
          <w:rFonts w:ascii="Times New Roman" w:hAnsi="Times New Roman" w:cs="Times New Roman"/>
          <w:color w:val="000000" w:themeColor="text1"/>
          <w:sz w:val="24"/>
          <w:szCs w:val="24"/>
        </w:rPr>
        <w:t xml:space="preserve"> Chapter 4.</w:t>
      </w:r>
    </w:p>
    <w:p w14:paraId="0EF509BF" w14:textId="1F55E799" w:rsidR="003C49DC" w:rsidRPr="00BD14B0" w:rsidRDefault="003C49DC" w:rsidP="005953A0">
      <w:pPr>
        <w:pStyle w:val="Body"/>
        <w:spacing w:line="360" w:lineRule="auto"/>
        <w:rPr>
          <w:rFonts w:ascii="Times New Roman" w:hAnsi="Times New Roman" w:cs="Times New Roman"/>
          <w:color w:val="000000" w:themeColor="text1"/>
          <w:sz w:val="24"/>
          <w:szCs w:val="24"/>
        </w:rPr>
      </w:pPr>
    </w:p>
    <w:p w14:paraId="592E2A91" w14:textId="3D6ED300" w:rsidR="0028377B" w:rsidRPr="00BD14B0" w:rsidRDefault="003C49DC" w:rsidP="00D21204">
      <w:pPr>
        <w:pStyle w:val="Heading4"/>
        <w:numPr>
          <w:ilvl w:val="0"/>
          <w:numId w:val="0"/>
        </w:numPr>
        <w:ind w:left="851"/>
        <w:rPr>
          <w:rFonts w:eastAsia="Times New Roman"/>
        </w:rPr>
      </w:pPr>
      <w:r w:rsidRPr="00BD14B0">
        <w:t>Autistic</w:t>
      </w:r>
      <w:r w:rsidR="00250CA0" w:rsidRPr="00BD14B0">
        <w:t>-</w:t>
      </w:r>
      <w:r w:rsidRPr="00BD14B0">
        <w:t>like traits</w:t>
      </w:r>
    </w:p>
    <w:p w14:paraId="6C804D57" w14:textId="7C018B47" w:rsidR="00927D05" w:rsidRPr="00BD14B0" w:rsidRDefault="00927D05" w:rsidP="00927D05">
      <w:r w:rsidRPr="00BD14B0">
        <w:t xml:space="preserve">This section focuses on the relationship between autistic-like traits and gaze cueing of attention. However, it is important to stress that this section does not cover </w:t>
      </w:r>
      <w:r w:rsidR="00BB7E39" w:rsidRPr="00BD14B0">
        <w:t>“</w:t>
      </w:r>
      <w:proofErr w:type="gramStart"/>
      <w:r w:rsidRPr="00BD14B0">
        <w:t>Autism Spectrum Disorder</w:t>
      </w:r>
      <w:proofErr w:type="gramEnd"/>
      <w:r w:rsidR="00BB7E39" w:rsidRPr="00BD14B0">
        <w:t>”</w:t>
      </w:r>
      <w:r w:rsidRPr="00BD14B0">
        <w:t xml:space="preserve"> which is a diagnosis given by trained professionals. The autistic-like trait is a hypothesis suggesting that autism-like traits exist in the non-clinical population as a continuum spectrum </w:t>
      </w:r>
      <w:r w:rsidRPr="00BD14B0">
        <w:fldChar w:fldCharType="begin" w:fldLock="1"/>
      </w:r>
      <w:r w:rsidRPr="00BD14B0">
        <w:instrText>ADDIN CSL_CITATION {"citationItems":[{"id":"ITEM-1","itemData":{"DOI":"10.1023/A:1005653411471","ISBN":"0162-3257","ISSN":"0162-3257,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Disorders","id":"ITEM-1","issue":"1","issued":{"date-parts":[["2001"]]},"page":"5-17","title":"The Autism Spectrum Quotient : Evidence from Asperger syndrome/high functioning autism, males and females, scientists and mathematicians","type":"article-journal","volume":"31"},"uris":["http://www.mendeley.com/documents/?uuid=11e2804f-d120-4a68-b02a-5d1d609712da"]}],"mendeley":{"formattedCitation":"(Baron-Cohen et al., 2001)","plainTextFormattedCitation":"(Baron-Cohen et al., 2001)","previouslyFormattedCitation":"(Baron-Cohen et al., 2001)"},"properties":{"noteIndex":0},"schema":"https://github.com/citation-style-language/schema/raw/master/csl-citation.json"}</w:instrText>
      </w:r>
      <w:r w:rsidRPr="00BD14B0">
        <w:fldChar w:fldCharType="separate"/>
      </w:r>
      <w:r w:rsidRPr="00BD14B0">
        <w:rPr>
          <w:noProof/>
        </w:rPr>
        <w:t>(Baron-Cohen et al., 2001)</w:t>
      </w:r>
      <w:r w:rsidRPr="00BD14B0">
        <w:fldChar w:fldCharType="end"/>
      </w:r>
      <w:r w:rsidRPr="00BD14B0">
        <w:t xml:space="preserve">. A recent study conducted by </w:t>
      </w:r>
      <w:r w:rsidRPr="00BD14B0">
        <w:fldChar w:fldCharType="begin" w:fldLock="1"/>
      </w:r>
      <w:r w:rsidRPr="00BD14B0">
        <w:instrText>ADDIN CSL_CITATION {"citationItems":[{"id":"ITEM-1","itemData":{"DOI":"10.1186/2040-2392-6-2","ISSN":"2040-2392","abstract":"The Autism-Spectrum Quotient (AQ) is a self-report measure of autistic traits. It is frequently cited in diverse fields and has been administered to adults of at least average intelligence with autism and to nonclinical controls, as well as to clinical control groups such as those with schizophrenia, prosopagnosia, anorexia, and depression. However, there has been no empirical systematic review of the AQ since its inception in 2001. The present study reports a comprehensive systematic review of the literature to estimate a reliable mean AQ score in individuals without a diagnosis of an autism spectrum condition (ASC), in order to establish a reference norm for future studies.","author":[{"dropping-particle":"","family":"Ruzich","given":"Emily","non-dropping-particle":"","parse-names":false,"suffix":""},{"dropping-particle":"","family":"Allison","given":"Carrie","non-dropping-particle":"","parse-names":false,"suffix":""},{"dropping-particle":"","family":"Smith","given":"Paula","non-dropping-particle":"","parse-names":false,"suffix":""},{"dropping-particle":"","family":"Watson","given":"Peter","non-dropping-particle":"","parse-names":false,"suffix":""},{"dropping-particle":"","family":"Auyeung","given":"Bonnie","non-dropping-particle":"","parse-names":false,"suffix":""},{"dropping-particle":"","family":"Ring","given":"Howard","non-dropping-particle":"","parse-names":false,"suffix":""},{"dropping-particle":"","family":"Baron-Cohen","given":"Simon","non-dropping-particle":"","parse-names":false,"suffix":""}],"container-title":"Molecular Autism","id":"ITEM-1","issue":"1","issued":{"date-parts":[["2015"]]},"page":"2","title":"Measuring autistic traits in the general population: a systematic review of the Autism-Spectrum Quotient (AQ) in a nonclinical population sample of 6,900 typical adult males and females","type":"article-journal","volume":"6"},"uris":["http://www.mendeley.com/documents/?uuid=f4f8c90c-62ac-42ad-9c66-82b9a71aadec","http://www.mendeley.com/documents/?uuid=da7bdf58-b6bf-4298-97b9-8de59bfe28d0"]}],"mendeley":{"formattedCitation":"(Ruzich et al., 2015)","manualFormatting":"Ruzich et al. (2015)","plainTextFormattedCitation":"(Ruzich et al., 2015)","previouslyFormattedCitation":"(Ruzich et al., 2015)"},"properties":{"noteIndex":0},"schema":"https://github.com/citation-style-language/schema/raw/master/csl-citation.json"}</w:instrText>
      </w:r>
      <w:r w:rsidRPr="00BD14B0">
        <w:fldChar w:fldCharType="separate"/>
      </w:r>
      <w:r w:rsidRPr="00BD14B0">
        <w:rPr>
          <w:noProof/>
        </w:rPr>
        <w:t>Ruzich et al. (2015)</w:t>
      </w:r>
      <w:r w:rsidRPr="00BD14B0">
        <w:fldChar w:fldCharType="end"/>
      </w:r>
      <w:r w:rsidRPr="00BD14B0">
        <w:t xml:space="preserve"> investigated the autistic-like traits in the general population by using Autism Quotient (AQ). Autism Quotient is a self-administered questionnaire (see Chapter 4 for details) to measure autistic like traits in the non-clinical population. In the </w:t>
      </w:r>
      <w:r w:rsidRPr="00BD14B0">
        <w:fldChar w:fldCharType="begin" w:fldLock="1"/>
      </w:r>
      <w:r w:rsidRPr="00BD14B0">
        <w:instrText>ADDIN CSL_CITATION {"citationItems":[{"id":"ITEM-1","itemData":{"DOI":"10.1186/2040-2392-6-2","ISSN":"2040-2392","abstract":"The Autism-Spectrum Quotient (AQ) is a self-report measure of autistic traits. It is frequently cited in diverse fields and has been administered to adults of at least average intelligence with autism and to nonclinical controls, as well as to clinical control groups such as those with schizophrenia, prosopagnosia, anorexia, and depression. However, there has been no empirical systematic review of the AQ since its inception in 2001. The present study reports a comprehensive systematic review of the literature to estimate a reliable mean AQ score in individuals without a diagnosis of an autism spectrum condition (ASC), in order to establish a reference norm for future studies.","author":[{"dropping-particle":"","family":"Ruzich","given":"Emily","non-dropping-particle":"","parse-names":false,"suffix":""},{"dropping-particle":"","family":"Allison","given":"Carrie","non-dropping-particle":"","parse-names":false,"suffix":""},{"dropping-particle":"","family":"Smith","given":"Paula","non-dropping-particle":"","parse-names":false,"suffix":""},{"dropping-particle":"","family":"Watson","given":"Peter","non-dropping-particle":"","parse-names":false,"suffix":""},{"dropping-particle":"","family":"Auyeung","given":"Bonnie","non-dropping-particle":"","parse-names":false,"suffix":""},{"dropping-particle":"","family":"Ring","given":"Howard","non-dropping-particle":"","parse-names":false,"suffix":""},{"dropping-particle":"","family":"Baron-Cohen","given":"Simon","non-dropping-particle":"","parse-names":false,"suffix":""}],"container-title":"Molecular Autism","id":"ITEM-1","issue":"1","issued":{"date-parts":[["2015"]]},"page":"2","title":"Measuring autistic traits in the general population: a systematic review of the Autism-Spectrum Quotient (AQ) in a nonclinical population sample of 6,900 typical adult males and females","type":"article-journal","volume":"6"},"uris":["http://www.mendeley.com/documents/?uuid=da7bdf58-b6bf-4298-97b9-8de59bfe28d0","http://www.mendeley.com/documents/?uuid=f4f8c90c-62ac-42ad-9c66-82b9a71aadec"]}],"mendeley":{"formattedCitation":"(Ruzich et al., 2015)","manualFormatting":"Ruzich et al. (2015)","plainTextFormattedCitation":"(Ruzich et al., 2015)","previouslyFormattedCitation":"(Ruzich et al., 2015)"},"properties":{"noteIndex":0},"schema":"https://github.com/citation-style-language/schema/raw/master/csl-citation.json"}</w:instrText>
      </w:r>
      <w:r w:rsidRPr="00BD14B0">
        <w:fldChar w:fldCharType="separate"/>
      </w:r>
      <w:r w:rsidRPr="00BD14B0">
        <w:rPr>
          <w:noProof/>
        </w:rPr>
        <w:t>Ruzich et al. (2015)</w:t>
      </w:r>
      <w:r w:rsidRPr="00BD14B0">
        <w:fldChar w:fldCharType="end"/>
      </w:r>
      <w:r w:rsidRPr="00BD14B0">
        <w:t xml:space="preserve"> study, data were gathered from 6,900 typical adult males and females. The results showed that there was a gender difference in the non-clinical population in autistic-like traits although, there was no gender difference found in AQ scores for the clinical population </w:t>
      </w:r>
      <w:r w:rsidRPr="00BD14B0">
        <w:fldChar w:fldCharType="begin" w:fldLock="1"/>
      </w:r>
      <w:r w:rsidRPr="00BD14B0">
        <w:instrText>ADDIN CSL_CITATION {"citationItems":[{"id":"ITEM-1","itemData":{"DOI":"10.1186/2040-2392-6-2","ISSN":"2040-2392","abstract":"The Autism-Spectrum Quotient (AQ) is a self-report measure of autistic traits. It is frequently cited in diverse fields and has been administered to adults of at least average intelligence with autism and to nonclinical controls, as well as to clinical control groups such as those with schizophrenia, prosopagnosia, anorexia, and depression. However, there has been no empirical systematic review of the AQ since its inception in 2001. The present study reports a comprehensive systematic review of the literature to estimate a reliable mean AQ score in individuals without a diagnosis of an autism spectrum condition (ASC), in order to establish a reference norm for future studies.","author":[{"dropping-particle":"","family":"Ruzich","given":"Emily","non-dropping-particle":"","parse-names":false,"suffix":""},{"dropping-particle":"","family":"Allison","given":"Carrie","non-dropping-particle":"","parse-names":false,"suffix":""},{"dropping-particle":"","family":"Smith","given":"Paula","non-dropping-particle":"","parse-names":false,"suffix":""},{"dropping-particle":"","family":"Watson","given":"Peter","non-dropping-particle":"","parse-names":false,"suffix":""},{"dropping-particle":"","family":"Auyeung","given":"Bonnie","non-dropping-particle":"","parse-names":false,"suffix":""},{"dropping-particle":"","family":"Ring","given":"Howard","non-dropping-particle":"","parse-names":false,"suffix":""},{"dropping-particle":"","family":"Baron-Cohen","given":"Simon","non-dropping-particle":"","parse-names":false,"suffix":""}],"container-title":"Molecular Autism","id":"ITEM-1","issue":"1","issued":{"date-parts":[["2015"]]},"page":"2","title":"Measuring autistic traits in the general population: a systematic review of the Autism-Spectrum Quotient (AQ) in a nonclinical population sample of 6,900 typical adult males and females","type":"article-journal","volume":"6"},"uris":["http://www.mendeley.com/documents/?uuid=da7bdf58-b6bf-4298-97b9-8de59bfe28d0","http://www.mendeley.com/documents/?uuid=f4f8c90c-62ac-42ad-9c66-82b9a71aadec"]}],"mendeley":{"formattedCitation":"(Ruzich et al., 2015)","plainTextFormattedCitation":"(Ruzich et al., 2015)","previouslyFormattedCitation":"(Ruzich et al., 2015)"},"properties":{"noteIndex":0},"schema":"https://github.com/citation-style-language/schema/raw/master/csl-citation.json"}</w:instrText>
      </w:r>
      <w:r w:rsidRPr="00BD14B0">
        <w:fldChar w:fldCharType="separate"/>
      </w:r>
      <w:r w:rsidRPr="00BD14B0">
        <w:rPr>
          <w:noProof/>
        </w:rPr>
        <w:t>(Ruzich et al., 2015)</w:t>
      </w:r>
      <w:r w:rsidRPr="00BD14B0">
        <w:fldChar w:fldCharType="end"/>
      </w:r>
      <w:r w:rsidRPr="00BD14B0">
        <w:t xml:space="preserve">. </w:t>
      </w:r>
    </w:p>
    <w:p w14:paraId="1123FCD1" w14:textId="5643E23A" w:rsidR="00927D05" w:rsidRPr="00BD14B0" w:rsidRDefault="00927D05" w:rsidP="00927D05">
      <w:r w:rsidRPr="00BD14B0">
        <w:tab/>
        <w:t xml:space="preserve">These results have important implications for social attention research in the general population. The </w:t>
      </w:r>
      <w:r w:rsidRPr="00BD14B0">
        <w:fldChar w:fldCharType="begin" w:fldLock="1"/>
      </w:r>
      <w:r w:rsidR="00930C9A" w:rsidRPr="00BD14B0">
        <w:instrText>ADDIN CSL_CITATION {"citationItems":[{"id":"ITEM-1","itemData":{"DOI":"10.1080/02724980443000124","ISSN":"0272-4987","author":[{"dropping-particle":"","family":"Bayliss","given":"A P","non-dropping-particle":"","parse-names":false,"suffix":""},{"dropping-particle":"","family":"Pellegrino","given":"G","non-dropping-particle":"Di","parse-names":false,"suffix":""},{"dropping-particle":"","family":"Tipper","given":"Sr.","non-dropping-particle":"","parse-names":false,"suffix":""}],"container-title":"Q. J. Exp. Psychol. Sect A-Hum. Exp. Psychol.","id":"ITEM-1","issue":"4","issued":{"date-parts":[["2005"]]},"page":"631-650","title":"Sex differences in eye gaze and symbolic cueing of attention","type":"article-journal","volume":"58"},"uris":["http://www.mendeley.com/documents/?uuid=7b881ecf-5260-4917-87e0-0a239da8d4e2"]}],"mendeley":{"formattedCitation":"(A P Bayliss et al., 2005)","manualFormatting":"Bayliss, Di Pellegrino, &amp; Tipper (2005)","plainTextFormattedCitation":"(A P Bayliss et al., 2005)","previouslyFormattedCitation":"(A P Bayliss et al., 2005)"},"properties":{"noteIndex":0},"schema":"https://github.com/citation-style-language/schema/raw/master/csl-citation.json"}</w:instrText>
      </w:r>
      <w:r w:rsidRPr="00BD14B0">
        <w:fldChar w:fldCharType="separate"/>
      </w:r>
      <w:r w:rsidRPr="00BD14B0">
        <w:rPr>
          <w:noProof/>
        </w:rPr>
        <w:t>Bayliss, Di Pellegrino, &amp; Tipper (2005)</w:t>
      </w:r>
      <w:r w:rsidRPr="00BD14B0">
        <w:fldChar w:fldCharType="end"/>
      </w:r>
      <w:r w:rsidRPr="00BD14B0">
        <w:t xml:space="preserve"> study found a negative correlation between the strength of gaze cueing and AQ scores as well as a gender difference. They demonstrated that higher AQ scores are associated with a weaker gaze-cueing effect. They suggested that the gender difference in the strength of gaze cueing could be potentially related to gender differences on AQ </w:t>
      </w:r>
      <w:r w:rsidRPr="00BD14B0">
        <w:fldChar w:fldCharType="begin" w:fldLock="1"/>
      </w:r>
      <w:r w:rsidR="00930C9A" w:rsidRPr="00BD14B0">
        <w:instrText>ADDIN CSL_CITATION {"citationItems":[{"id":"ITEM-1","itemData":{"DOI":"10.1080/02724980443000124","ISSN":"0272-4987","author":[{"dropping-particle":"","family":"Bayliss","given":"A P","non-dropping-particle":"","parse-names":false,"suffix":""},{"dropping-particle":"","family":"Pellegrino","given":"G","non-dropping-particle":"Di","parse-names":false,"suffix":""},{"dropping-particle":"","family":"Tipper","given":"Sr.","non-dropping-particle":"","parse-names":false,"suffix":""}],"container-title":"Q. J. Exp. Psychol. Sect A-Hum. Exp. Psychol.","id":"ITEM-1","issue":"4","issued":{"date-parts":[["2005"]]},"page":"631-650","title":"Sex differences in eye gaze and symbolic cueing of attention","type":"article-journal","volume":"58"},"uris":["http://www.mendeley.com/documents/?uuid=7b881ecf-5260-4917-87e0-0a239da8d4e2"]}],"mendeley":{"formattedCitation":"(A P Bayliss et al., 2005)","manualFormatting":"(Bayliss, Di Pellegrino, &amp; Tipper, 2005)","plainTextFormattedCitation":"(A P Bayliss et al., 2005)","previouslyFormattedCitation":"(A P Bayliss et al., 2005)"},"properties":{"noteIndex":0},"schema":"https://github.com/citation-style-language/schema/raw/master/csl-citation.json"}</w:instrText>
      </w:r>
      <w:r w:rsidRPr="00BD14B0">
        <w:fldChar w:fldCharType="separate"/>
      </w:r>
      <w:r w:rsidRPr="00BD14B0">
        <w:rPr>
          <w:noProof/>
        </w:rPr>
        <w:t>(Bayliss, Di Pellegrino, &amp; Tipper, 2005)</w:t>
      </w:r>
      <w:r w:rsidRPr="00BD14B0">
        <w:fldChar w:fldCharType="end"/>
      </w:r>
      <w:r w:rsidRPr="00BD14B0">
        <w:t xml:space="preserve">. They also suggested that it is difficult to determine if there is an actual gender difference on gaze cueing given that males on average show higher scores on AQ. A more recent study </w:t>
      </w:r>
      <w:r w:rsidR="00BB7E39" w:rsidRPr="00BD14B0">
        <w:fldChar w:fldCharType="begin" w:fldLock="1"/>
      </w:r>
      <w:r w:rsidR="00981CF4" w:rsidRPr="00BD14B0">
        <w:instrText>ADDIN CSL_CITATION {"citationItems":[{"id":"ITEM-1","itemData":{"DOI":"10.3389/fpsyg.2020.00794","ISSN":"1664-1078","abstract":"Autism spectrum disorder (ASD) is a complex neurodevelopmental disorder characterized by wide ranging and heterogeneous changes in social and cognitive abilities, including deficits in orienting attention during early processing of stimuli. Investigators have found that there is a continuum of autism-like traits in the general population, suggesting that these autistic traits may be examined in the absence of clinically diagnosed autism. To provide evidence for the continuum of autistic traits in terms of social attention and to provide insights into social attention deficits in people with autism, the current study was conducted to examine the effect of autistic traits of typically developing individuals on social orienting using a spatial cueing paradigm. The typically developing individuals who participated in this study were divided into high autistic traits (HA) and low autistic traits groups using the Autism Quotient scale. All participants completed a spatial cueing task in which social cues (gaze) and non-social cues (arrow) were presented under different cue predictability conditions (predictive vs. non-predictive) with different SOAs (100 ms vs. 400 ms). The results showed that compared to low autistic individuals, high autistic individuals had less benefit from non-predictive social cues but greater benefit from non-social ones, providing evidence that such spatial attention impairment in high autistic individuals is specific to the social domain. Interestingly, the smaller benefit from non-predictive social cues in high autistic individuals was shown only in the 400 ms condition, not in the 100 ms condition, suggesting that their difficulties in orienting to non-predictive social cues may be caused by a deficiency in spontaneously effortful control processing.","author":[{"dropping-particle":"","family":"Lin","given":"Guoyao","non-dropping-particle":"","parse-names":false,"suffix":""},{"dropping-particle":"","family":"Cui","given":"Yanling","non-dropping-particle":"","parse-names":false,"suffix":""},{"dropping-particle":"","family":"Zeng","given":"Jiajing","non-dropping-particle":"","parse-names":false,"suffix":""},{"dropping-particle":"","family":"Huang","given":"Liang","non-dropping-particle":"","parse-names":false,"suffix":""}],"container-title":"Frontiers in Psychology","id":"ITEM-1","issue":"April","issued":{"date-parts":[["2020","4","23"]]},"page":"1-8","title":"The Effect of Autistic Traits on Social Orienting in Typically Developing Individuals","type":"article-journal","volume":"11"},"uris":["http://www.mendeley.com/documents/?uuid=6e87931a-62dc-443f-87f5-41e54bc23218"]}],"mendeley":{"formattedCitation":"(Lin et al., 2020)","manualFormatting":"Lin et al., (2020)","plainTextFormattedCitation":"(Lin et al., 2020)","previouslyFormattedCitation":"(Lin et al., 2020)"},"properties":{"noteIndex":0},"schema":"https://github.com/citation-style-language/schema/raw/master/csl-citation.json"}</w:instrText>
      </w:r>
      <w:r w:rsidR="00BB7E39" w:rsidRPr="00BD14B0">
        <w:fldChar w:fldCharType="separate"/>
      </w:r>
      <w:r w:rsidR="00BB7E39" w:rsidRPr="00BD14B0">
        <w:rPr>
          <w:noProof/>
        </w:rPr>
        <w:t>Lin et al., (2020)</w:t>
      </w:r>
      <w:r w:rsidR="00BB7E39" w:rsidRPr="00BD14B0">
        <w:fldChar w:fldCharType="end"/>
      </w:r>
      <w:r w:rsidR="00BB7E39" w:rsidRPr="00BD14B0">
        <w:t xml:space="preserve"> </w:t>
      </w:r>
      <w:r w:rsidRPr="00BD14B0">
        <w:t xml:space="preserve">found a difference in attention between participants with high </w:t>
      </w:r>
      <w:r w:rsidRPr="00BD14B0">
        <w:lastRenderedPageBreak/>
        <w:t xml:space="preserve">autistic traits and low autistic traits. They showed that participants with high autistic traits benefitted less from non-predictive social cue but benefited greater from non-social cues compared to low autistic traits participants (Lin et al.,2020). They argued that for participants with high autistic traits, the attention orienting defect was present only in the processing of social cues, but not in the processing of non- social cues, which is social domain specific </w:t>
      </w:r>
      <w:r w:rsidRPr="00BD14B0">
        <w:fldChar w:fldCharType="begin" w:fldLock="1"/>
      </w:r>
      <w:r w:rsidR="009E4CF3" w:rsidRPr="00BD14B0">
        <w:instrText>ADDIN CSL_CITATION {"citationItems":[{"id":"ITEM-1","itemData":{"DOI":"10.3389/fpsyg.2020.00794","ISSN":"1664-1078","abstract":"Autism spectrum disorder (ASD) is a complex neurodevelopmental disorder characterized by wide ranging and heterogeneous changes in social and cognitive abilities, including deficits in orienting attention during early processing of stimuli. Investigators have found that there is a continuum of autism-like traits in the general population, suggesting that these autistic traits may be examined in the absence of clinically diagnosed autism. To provide evidence for the continuum of autistic traits in terms of social attention and to provide insights into social attention deficits in people with autism, the current study was conducted to examine the effect of autistic traits of typically developing individuals on social orienting using a spatial cueing paradigm. The typically developing individuals who participated in this study were divided into high autistic traits (HA) and low autistic traits groups using the Autism Quotient scale. All participants completed a spatial cueing task in which social cues (gaze) and non-social cues (arrow) were presented under different cue predictability conditions (predictive vs. non-predictive) with different SOAs (100 ms vs. 400 ms). The results showed that compared to low autistic individuals, high autistic individuals had less benefit from non-predictive social cues but greater benefit from non-social ones, providing evidence that such spatial attention impairment in high autistic individuals is specific to the social domain. Interestingly, the smaller benefit from non-predictive social cues in high autistic individuals was shown only in the 400 ms condition, not in the 100 ms condition, suggesting that their difficulties in orienting to non-predictive social cues may be caused by a deficiency in spontaneously effortful control processing.","author":[{"dropping-particle":"","family":"Lin","given":"Guoyao","non-dropping-particle":"","parse-names":false,"suffix":""},{"dropping-particle":"","family":"Cui","given":"Yanling","non-dropping-particle":"","parse-names":false,"suffix":""},{"dropping-particle":"","family":"Zeng","given":"Jiajing","non-dropping-particle":"","parse-names":false,"suffix":""},{"dropping-particle":"","family":"Huang","given":"Liang","non-dropping-particle":"","parse-names":false,"suffix":""}],"container-title":"Frontiers in Psychology","id":"ITEM-1","issue":"April","issued":{"date-parts":[["2020","4","23"]]},"page":"1-8","title":"The Effect of Autistic Traits on Social Orienting in Typically Developing Individuals","type":"article-journal","volume":"11"},"uris":["http://www.mendeley.com/documents/?uuid=6e87931a-62dc-443f-87f5-41e54bc23218"]}],"mendeley":{"formattedCitation":"(Lin et al., 2020)","plainTextFormattedCitation":"(Lin et al., 2020)","previouslyFormattedCitation":"(Lin et al., 2020)"},"properties":{"noteIndex":0},"schema":"https://github.com/citation-style-language/schema/raw/master/csl-citation.json"}</w:instrText>
      </w:r>
      <w:r w:rsidRPr="00BD14B0">
        <w:fldChar w:fldCharType="separate"/>
      </w:r>
      <w:r w:rsidRPr="00BD14B0">
        <w:rPr>
          <w:noProof/>
        </w:rPr>
        <w:t>(Lin et al., 2020)</w:t>
      </w:r>
      <w:r w:rsidRPr="00BD14B0">
        <w:fldChar w:fldCharType="end"/>
      </w:r>
      <w:r w:rsidRPr="00BD14B0">
        <w:t>. Importantly, this study shows that autistic traits had modulatory effects on attention responses. As a result, it can be argued that creating a study design with categorical differences (such as gender) may affect the results.</w:t>
      </w:r>
    </w:p>
    <w:p w14:paraId="2CA69B4B" w14:textId="1C040378" w:rsidR="00927D05" w:rsidRPr="00BD14B0" w:rsidRDefault="00927D05" w:rsidP="00927D05">
      <w:r w:rsidRPr="00BD14B0">
        <w:tab/>
        <w:t xml:space="preserve">Importantly, autism traits may have a modulatory effect on higher mental processing via the gaze cueing effect. For example, recent research suggests that autistic traits have an impact on automatic shifts of attention GCE, which includes emotional processing. According to </w:t>
      </w:r>
      <w:r w:rsidR="00981CF4" w:rsidRPr="00BD14B0">
        <w:fldChar w:fldCharType="begin" w:fldLock="1"/>
      </w:r>
      <w:r w:rsidR="00660488" w:rsidRPr="00BD14B0">
        <w:instrText>ADDIN CSL_CITATION {"citationItems":[{"id":"ITEM-1","itemData":{"DOI":"10.1080/17470919.2014.958616","ISBN":"1747-0919","ISSN":"1747-0927","PMID":"25222883","abstract":"The relationship between autistic traits and gaze-oriented attention to fearful and happy faces was investigated at the behavioral and neuronal levels. Upright and inverted dynamic face stimuli were used in a gaze-cueing paradigm while event related potentials (ERPs) were recorded. Participants responded faster to gazed-at than to non-gazed-at targets, and this gaze orienting effect (GOE) diminished with inversion, suggesting it relies on facial configuration. It was also larger for fearful than happy faces but only in participants with high autism-spectrum quotient (AQ) scores. While the GOE to fearful faces was of similar magnitude regardless of AQ scores, a diminished GOE to happy faces was found in participants with high AQ scores. At the ERP level, a congruency effect on target-elicited P1 component reflected enhanced visual processing of gazed-at targets. In addition, cue-triggered early directing attention negativity and anterior directing attention negativity reflected, respectively, attention orienting and attention holding at gazed-at locations. These neural markers of spatial attention orienting were not modulated by emotion and were not found in participants with high AQ scores. Together, these findings suggest that autistic traits influence attention orienting to gaze and its modulation by social emotions such as happiness.","author":[{"dropping-particle":"","family":"Lassalle","given":"Amandine","non-dropping-particle":"","parse-names":false,"suffix":""},{"dropping-particle":"","family":"Itier","given":"Roxane J","non-dropping-particle":"","parse-names":false,"suffix":""}],"container-title":"Social neuroscience","id":"ITEM-1","issue":"1","issued":{"date-parts":[["2015"]]},"page":"70-88","publisher":"Routledge","title":"Autistic traits influence gaze-oriented attention to happy but not fearful faces.","type":"article-journal","volume":"10"},"uris":["http://www.mendeley.com/documents/?uuid=ec95e5f9-9504-4bfe-9995-6e6bf83cb7f6"]}],"mendeley":{"formattedCitation":"(Lassalle &amp; Itier, 2015)","manualFormatting":"Lassalle &amp; Itier, (2015)","plainTextFormattedCitation":"(Lassalle &amp; Itier, 2015)","previouslyFormattedCitation":"(Lassalle &amp; Itier, 2015)"},"properties":{"noteIndex":0},"schema":"https://github.com/citation-style-language/schema/raw/master/csl-citation.json"}</w:instrText>
      </w:r>
      <w:r w:rsidR="00981CF4" w:rsidRPr="00BD14B0">
        <w:fldChar w:fldCharType="separate"/>
      </w:r>
      <w:r w:rsidR="00981CF4" w:rsidRPr="00BD14B0">
        <w:rPr>
          <w:noProof/>
        </w:rPr>
        <w:t>Lassalle &amp; Itier, (2015)</w:t>
      </w:r>
      <w:r w:rsidR="00981CF4" w:rsidRPr="00BD14B0">
        <w:fldChar w:fldCharType="end"/>
      </w:r>
      <w:r w:rsidR="00981CF4" w:rsidRPr="00BD14B0">
        <w:t xml:space="preserve"> </w:t>
      </w:r>
      <w:r w:rsidRPr="00BD14B0">
        <w:t xml:space="preserve">autistic traits influence gaze-oriented attention to happy but not fearful faces. Also more recently, </w:t>
      </w:r>
      <w:r w:rsidRPr="00BD14B0">
        <w:fldChar w:fldCharType="begin" w:fldLock="1"/>
      </w:r>
      <w:r w:rsidRPr="00BD14B0">
        <w:instrText>ADDIN CSL_CITATION {"citationItems":[{"id":"ITEM-1","itemData":{"DOI":"10.3934/Neuroscience.2021007","ISSN":"2373-7972","abstract":"Individuals with autism spectrum disorder (ASD) show impairments in processing social cues such as facial expressions and gaze direction. Several researchers have proposed that autistic traits form a continuum that may be distributed within the general, typically developed, population. Accordingly, several studies have indicated that typically developed individuals with high levels of self-reported autistic traits have autistic-like performance in a variety of paradigms. Here, we designed a gaze-cueing task to examine whether gaze-triggered orienting is related to the extent of typically developed (TD) individuals' autistic traits (determined by their AQ test scores) and whether it is modulated by previous eye contact and different facial expressions. At each trial, TD subjects observed faces with or without eye contact. This facial stimulus then gazed toward the left or right side. Finally, a target appeared on the left or right side of the display and reaction time (RT) to the target was measured. RTs were modulated by congruency between gazing directions and target locations, and by prior eye contact in the congruent trials. In addition, individuals with higher AQ scores were slower at detecting the target when the cue was a happy face. Furthermore, faster RTs in congruent trials were associated with one specific autistic trait (attention switching deficits). Together, these results indicate that autistic traits may influence performance in a gaze cueing task.","author":[{"dropping-particle":"","family":"FP de Araújo","given":"Mariana","non-dropping-particle":"","parse-names":false,"suffix":""},{"dropping-particle":"","family":"A de Castro","given":"Wagner","non-dropping-particle":"","parse-names":false,"suffix":""},{"dropping-particle":"","family":"Nishimaru","given":"Hiroshi","non-dropping-particle":"","parse-names":false,"suffix":""},{"dropping-particle":"","family":"Urakawa","given":"Susumu","non-dropping-particle":"","parse-names":false,"suffix":""},{"dropping-particle":"","family":"Ono","given":"Taketoshi","non-dropping-particle":"","parse-names":false,"suffix":""},{"dropping-particle":"","family":"Nishijo","given":"Hisao","non-dropping-particle":"","parse-names":false,"suffix":""}],"container-title":"AIMS Neuroscience","id":"ITEM-1","issue":"1","issued":{"date-parts":[["2021"]]},"page":"148-160","title":"Performance in a gaze-cueing task is associated with autistic traits","type":"article-journal","volume":"8"},"uris":["http://www.mendeley.com/documents/?uuid=bcf53caa-bd9c-4123-8881-a42cae0c8257"]}],"mendeley":{"formattedCitation":"(FP de Araújo et al., 2021)","manualFormatting":"FP de Araújo et al., (2021)","plainTextFormattedCitation":"(FP de Araújo et al., 2021)","previouslyFormattedCitation":"(FP de Araújo et al., 2021)"},"properties":{"noteIndex":0},"schema":"https://github.com/citation-style-language/schema/raw/master/csl-citation.json"}</w:instrText>
      </w:r>
      <w:r w:rsidRPr="00BD14B0">
        <w:fldChar w:fldCharType="separate"/>
      </w:r>
      <w:r w:rsidRPr="00BD14B0">
        <w:rPr>
          <w:noProof/>
        </w:rPr>
        <w:t>FP de Araújo et al., (2021)</w:t>
      </w:r>
      <w:r w:rsidRPr="00BD14B0">
        <w:fldChar w:fldCharType="end"/>
      </w:r>
      <w:r w:rsidRPr="00BD14B0">
        <w:t xml:space="preserve"> showed that individuals with higher AQ scores were slower at locating the target when the gazer cue was a happy face. Furthermore, autism traits may have a modulatory effect on gaze cueing effect with mental state. </w:t>
      </w:r>
      <w:r w:rsidRPr="00BD14B0">
        <w:fldChar w:fldCharType="begin" w:fldLock="1"/>
      </w:r>
      <w:r w:rsidRPr="00BD14B0">
        <w:instrText>ADDIN CSL_CITATION {"citationItems":[{"id":"ITEM-1","itemData":{"DOI":"10.3390/vision2010011","ISSN":"2411-5150","abstract":"Understanding the mental states of our social partners allows us to successfully interact with the world around us. Mental state attributions are argued to underpin social attention, and have been shown to modulate attentional orienting to social cues. However, recent research has disputed this claim, arguing that this effect may arise as an unintentional side effect of study design, rather than through the involvement of mentalising processes. This study therefore aimed to establish whether the mediation of gaze cueing by mental state attributions generalises beyond the specific experimental paradigm used in previous research. The current study used a gaze cueing paradigm within a change detection task, and the gaze cue was manipulated such that participants were aware that the cue-agent was only able to ‘see’ in one condition. The results revealed that participants were influenced by the mental state of the cue-agent, and were significantly better at identifying if a change had occurred on valid trials when they believed the cue-agent could ‘see’. The computation of the cue-agent’s mental state therefore mediated the gaze cueing effect, demonstrating that the modulation of gaze cueing by mental state attributions generalises to other experimental paradigms.","author":[{"dropping-particle":"","family":"Morgan","given":"Emma J.","non-dropping-particle":"","parse-names":false,"suffix":""},{"dropping-particle":"","family":"Freeth","given":"Megan","non-dropping-particle":"","parse-names":false,"suffix":""},{"dropping-particle":"","family":"Smith","given":"Daniel T.","non-dropping-particle":"","parse-names":false,"suffix":""}],"container-title":"Vision","id":"ITEM-1","issue":"1","issued":{"date-parts":[["2018","2","19"]]},"page":"11","title":"Mental State Attributions Mediate the Gaze Cueing Effect","type":"article-journal","volume":"2"},"uris":["http://www.mendeley.com/documents/?uuid=80add128-0d22-4178-8405-4dec3fa4aedd"]}],"mendeley":{"formattedCitation":"(Morgan et al., 2018)","manualFormatting":"Morgan et al., (2018)","plainTextFormattedCitation":"(Morgan et al., 2018)","previouslyFormattedCitation":"(Morgan et al., 2018)"},"properties":{"noteIndex":0},"schema":"https://github.com/citation-style-language/schema/raw/master/csl-citation.json"}</w:instrText>
      </w:r>
      <w:r w:rsidRPr="00BD14B0">
        <w:fldChar w:fldCharType="separate"/>
      </w:r>
      <w:r w:rsidRPr="00BD14B0">
        <w:rPr>
          <w:noProof/>
        </w:rPr>
        <w:t>Morgan et al., (2018)</w:t>
      </w:r>
      <w:r w:rsidRPr="00BD14B0">
        <w:fldChar w:fldCharType="end"/>
      </w:r>
      <w:r w:rsidRPr="00BD14B0">
        <w:t xml:space="preserve"> showed that when participants believe the gazer is unable to physically see the target, the magnitude of gaze cueing effect decreases. Hence, </w:t>
      </w:r>
      <w:proofErr w:type="spellStart"/>
      <w:r w:rsidRPr="00BD14B0">
        <w:t>ToM</w:t>
      </w:r>
      <w:proofErr w:type="spellEnd"/>
      <w:r w:rsidRPr="00BD14B0">
        <w:t xml:space="preserve"> processes may have a modulatory effect on the gaze cueing effect. </w:t>
      </w:r>
      <w:r w:rsidRPr="00BD14B0">
        <w:fldChar w:fldCharType="begin" w:fldLock="1"/>
      </w:r>
      <w:r w:rsidRPr="00BD14B0">
        <w:instrText>ADDIN CSL_CITATION {"citationItems":[{"id":"ITEM-1","itemData":{"DOI":"10.3390/vision2010011","ISSN":"2411-5150","abstract":"Understanding the mental states of our social partners allows us to successfully interact with the world around us. Mental state attributions are argued to underpin social attention, and have been shown to modulate attentional orienting to social cues. However, recent research has disputed this claim, arguing that this effect may arise as an unintentional side effect of study design, rather than through the involvement of mentalising processes. This study therefore aimed to establish whether the mediation of gaze cueing by mental state attributions generalises beyond the specific experimental paradigm used in previous research. The current study used a gaze cueing paradigm within a change detection task, and the gaze cue was manipulated such that participants were aware that the cue-agent was only able to ‘see’ in one condition. The results revealed that participants were influenced by the mental state of the cue-agent, and were significantly better at identifying if a change had occurred on valid trials when they believed the cue-agent could ‘see’. The computation of the cue-agent’s mental state therefore mediated the gaze cueing effect, demonstrating that the modulation of gaze cueing by mental state attributions generalises to other experimental paradigms.","author":[{"dropping-particle":"","family":"Morgan","given":"Emma J.","non-dropping-particle":"","parse-names":false,"suffix":""},{"dropping-particle":"","family":"Freeth","given":"Megan","non-dropping-particle":"","parse-names":false,"suffix":""},{"dropping-particle":"","family":"Smith","given":"Daniel T.","non-dropping-particle":"","parse-names":false,"suffix":""}],"container-title":"Vision","id":"ITEM-1","issue":"1","issued":{"date-parts":[["2018","2","19"]]},"page":"11","title":"Mental State Attributions Mediate the Gaze Cueing Effect","type":"article-journal","volume":"2"},"uris":["http://www.mendeley.com/documents/?uuid=80add128-0d22-4178-8405-4dec3fa4aedd"]}],"mendeley":{"formattedCitation":"(Morgan et al., 2018)","manualFormatting":"Morgan et al., (2018)","plainTextFormattedCitation":"(Morgan et al., 2018)","previouslyFormattedCitation":"(Morgan et al., 2018)"},"properties":{"noteIndex":0},"schema":"https://github.com/citation-style-language/schema/raw/master/csl-citation.json"}</w:instrText>
      </w:r>
      <w:r w:rsidRPr="00BD14B0">
        <w:fldChar w:fldCharType="separate"/>
      </w:r>
      <w:r w:rsidRPr="00BD14B0">
        <w:rPr>
          <w:noProof/>
        </w:rPr>
        <w:t>Morgan et al., (2018)</w:t>
      </w:r>
      <w:r w:rsidRPr="00BD14B0">
        <w:fldChar w:fldCharType="end"/>
      </w:r>
      <w:r w:rsidRPr="00BD14B0">
        <w:t xml:space="preserve"> also discovered that participants with high autism traits had higher gaze cueing effect in the non-seeing condition, implying that those individuals could not infer the significance of the seeing/non-seeing difference. This means that participants were less influenced by the gazer's mental state. Importantly, in a more recent study </w:t>
      </w:r>
      <w:r w:rsidRPr="00BD14B0">
        <w:fldChar w:fldCharType="begin" w:fldLock="1"/>
      </w:r>
      <w:r w:rsidRPr="00BD14B0">
        <w:instrText>ADDIN CSL_CITATION {"citationItems":[{"id":"ITEM-1","itemData":{"DOI":"10.3758/s13414-021-02368-0","ISSN":"1943-3921","abstract":"The ability to interpret and follow the gaze of our social partners is an integral skill in human communication. Recent research has demonstrated that gaze following behaviour is influenced by theory of mind (ToM) processes. However, it has yet to be determined whether the modulation of gaze cueing by ToM is affected by individual differences, such as autistic traits. The aim of this experiment was to establish whether autistic traits in neurotypical populations affect the mediation of gaze cueing by ToM processes. This study used a gaze cueing paradigm within a change detection task. Participants’ perception of a gaze cue was manipulated such that they only believed the cue to be able to ‘see’ in one condition. The results revealed that participants in the Low Autistic Traits group were significantly influenced by the mental state of the gaze cue and were more accurate on valid trials when they believed the cue could ‘see’. By contrast, participants in the High Autistic Traits group were also more accurate on valid trials, but this was not influenced by the mental state of the gaze cue. This study therefore provides evidence that autistic traits influence the extent to which mental state attributions modulate social attention in neurotypical adults.","author":[{"dropping-particle":"","family":"Morgan","given":"Emma J.","non-dropping-particle":"","parse-names":false,"suffix":""},{"dropping-particle":"","family":"Smith","given":"Daniel T.","non-dropping-particle":"","parse-names":false,"suffix":""},{"dropping-particle":"","family":"Freeth","given":"Megan","non-dropping-particle":"","parse-names":false,"suffix":""}],"container-title":"Attention, Perception, &amp; Psychophysics","id":"ITEM-1","issue":"August","issued":{"date-parts":[["2021","9","14"]]},"publisher":"Attention, Perception, &amp; Psychophysics","title":"Gaze cueing, mental States, and the effect of autistic traits","type":"article-journal"},"uris":["http://www.mendeley.com/documents/?uuid=0a186e56-87f6-43a6-8162-ff7859b7a373"]}],"mendeley":{"formattedCitation":"(Morgan et al., 2021)","manualFormatting":"Morgan et al., (2021)","plainTextFormattedCitation":"(Morgan et al., 2021)","previouslyFormattedCitation":"(Morgan et al., 2021)"},"properties":{"noteIndex":0},"schema":"https://github.com/citation-style-language/schema/raw/master/csl-citation.json"}</w:instrText>
      </w:r>
      <w:r w:rsidRPr="00BD14B0">
        <w:fldChar w:fldCharType="separate"/>
      </w:r>
      <w:r w:rsidRPr="00BD14B0">
        <w:rPr>
          <w:noProof/>
        </w:rPr>
        <w:t>Morgan et al., (2021)</w:t>
      </w:r>
      <w:r w:rsidRPr="00BD14B0">
        <w:fldChar w:fldCharType="end"/>
      </w:r>
      <w:r w:rsidRPr="00BD14B0">
        <w:t xml:space="preserve"> stated that autistic traits influence the extent to which mental state attribution modulates social attention. </w:t>
      </w:r>
      <w:r w:rsidRPr="00BD14B0">
        <w:fldChar w:fldCharType="begin" w:fldLock="1"/>
      </w:r>
      <w:r w:rsidRPr="00BD14B0">
        <w:instrText>ADDIN CSL_CITATION {"citationItems":[{"id":"ITEM-1","itemData":{"DOI":"10.3758/s13414-021-02368-0","ISSN":"1943-3921","abstract":"The ability to interpret and follow the gaze of our social partners is an integral skill in human communication. Recent research has demonstrated that gaze following behaviour is influenced by theory of mind (ToM) processes. However, it has yet to be determined whether the modulation of gaze cueing by ToM is affected by individual differences, such as autistic traits. The aim of this experiment was to establish whether autistic traits in neurotypical populations affect the mediation of gaze cueing by ToM processes. This study used a gaze cueing paradigm within a change detection task. Participants’ perception of a gaze cue was manipulated such that they only believed the cue to be able to ‘see’ in one condition. The results revealed that participants in the Low Autistic Traits group were significantly influenced by the mental state of the gaze cue and were more accurate on valid trials when they believed the cue could ‘see’. By contrast, participants in the High Autistic Traits group were also more accurate on valid trials, but this was not influenced by the mental state of the gaze cue. This study therefore provides evidence that autistic traits influence the extent to which mental state attributions modulate social attention in neurotypical adults.","author":[{"dropping-particle":"","family":"Morgan","given":"Emma J.","non-dropping-particle":"","parse-names":false,"suffix":""},{"dropping-particle":"","family":"Smith","given":"Daniel T.","non-dropping-particle":"","parse-names":false,"suffix":""},{"dropping-particle":"","family":"Freeth","given":"Megan","non-dropping-particle":"","parse-names":false,"suffix":""}],"container-title":"Attention, Perception, &amp; Psychophysics","id":"ITEM-1","issue":"August","issued":{"date-parts":[["2021","9","14"]]},"publisher":"Attention, Perception, &amp; Psychophysics","title":"Gaze cueing, mental States, and the effect of autistic traits","type":"article-journal"},"uris":["http://www.mendeley.com/documents/?uuid=0a186e56-87f6-43a6-8162-ff7859b7a373"]}],"mendeley":{"formattedCitation":"(Morgan et al., 2021)","manualFormatting":"Morgan et al., (2021)","plainTextFormattedCitation":"(Morgan et al., 2021)","previouslyFormattedCitation":"(Morgan et al., 2021)"},"properties":{"noteIndex":0},"schema":"https://github.com/citation-style-language/schema/raw/master/csl-citation.json"}</w:instrText>
      </w:r>
      <w:r w:rsidRPr="00BD14B0">
        <w:fldChar w:fldCharType="separate"/>
      </w:r>
      <w:r w:rsidRPr="00BD14B0">
        <w:rPr>
          <w:noProof/>
        </w:rPr>
        <w:t>Morgan et al., (2021)</w:t>
      </w:r>
      <w:r w:rsidRPr="00BD14B0">
        <w:fldChar w:fldCharType="end"/>
      </w:r>
      <w:r w:rsidRPr="00BD14B0">
        <w:t xml:space="preserve"> demonstrated that individuals with high autism traits were less influenced by the cue agent's mental state and demonstrated a gaze cueing effect whether the cue agent could see the target or not. Altogether, autistic traits have been shown to have a modulatory effect with gaze cueing on higher mental processing. </w:t>
      </w:r>
    </w:p>
    <w:p w14:paraId="0EA05D06" w14:textId="77777777" w:rsidR="00927D05" w:rsidRPr="00BD14B0" w:rsidRDefault="00927D05" w:rsidP="00927D05">
      <w:r w:rsidRPr="00BD14B0">
        <w:tab/>
        <w:t xml:space="preserve">This raises an important question for social attention research. Most social attention studies tend to recruit female participants more than male participants due to the </w:t>
      </w:r>
      <w:r w:rsidRPr="00BD14B0">
        <w:lastRenderedPageBreak/>
        <w:t>convenience of finding participants. The difference in social attention between males and females might be about their gender or their position on the autism spectrum. However, having a skewed sample can create problems in generalising the results to the whole population. Hence, disentangling the effects of autistic-like traits and gender on the strength of gaze cueing is an important question for research to address in order to speak to the generalization of social attention findings. This issue will be further discussed in Chapter 4.</w:t>
      </w:r>
    </w:p>
    <w:p w14:paraId="3955F44C" w14:textId="77777777" w:rsidR="00AF2D92" w:rsidRPr="00BD14B0" w:rsidRDefault="00AF2D92" w:rsidP="00553E01"/>
    <w:p w14:paraId="4A238BF3" w14:textId="7538A1A5" w:rsidR="003C49DC" w:rsidRPr="00BD14B0" w:rsidRDefault="00AF2D92" w:rsidP="00553E01">
      <w:pPr>
        <w:pStyle w:val="Heading2"/>
        <w:rPr>
          <w:u w:color="FF0000"/>
          <w:bdr w:val="nil"/>
          <w:lang w:eastAsia="zh-CN"/>
        </w:rPr>
      </w:pPr>
      <w:bookmarkStart w:id="24" w:name="_Toc108310759"/>
      <w:r w:rsidRPr="00BD14B0">
        <w:rPr>
          <w:u w:color="FF0000"/>
          <w:bdr w:val="nil"/>
          <w:lang w:eastAsia="zh-CN"/>
        </w:rPr>
        <w:t>Overall Aim</w:t>
      </w:r>
      <w:r w:rsidR="00250CA0" w:rsidRPr="00BD14B0">
        <w:rPr>
          <w:u w:color="FF0000"/>
          <w:bdr w:val="nil"/>
          <w:lang w:eastAsia="zh-CN"/>
        </w:rPr>
        <w:t>s</w:t>
      </w:r>
      <w:r w:rsidRPr="00BD14B0">
        <w:rPr>
          <w:u w:color="FF0000"/>
          <w:bdr w:val="nil"/>
          <w:lang w:eastAsia="zh-CN"/>
        </w:rPr>
        <w:t xml:space="preserve"> of the Thesis</w:t>
      </w:r>
      <w:r w:rsidR="00250CA0" w:rsidRPr="00BD14B0">
        <w:rPr>
          <w:u w:color="FF0000"/>
          <w:bdr w:val="nil"/>
          <w:lang w:eastAsia="zh-CN"/>
        </w:rPr>
        <w:t>.</w:t>
      </w:r>
      <w:bookmarkEnd w:id="24"/>
      <w:r w:rsidRPr="00BD14B0">
        <w:rPr>
          <w:u w:color="FF0000"/>
          <w:bdr w:val="nil"/>
          <w:lang w:eastAsia="zh-CN"/>
        </w:rPr>
        <w:t xml:space="preserve">  </w:t>
      </w:r>
    </w:p>
    <w:p w14:paraId="6815D6DB" w14:textId="4A870AAA" w:rsidR="00A31124" w:rsidRPr="00BD14B0" w:rsidRDefault="005953A0" w:rsidP="00553E01">
      <w:pPr>
        <w:rPr>
          <w:rFonts w:eastAsia="Calibri"/>
          <w:lang w:eastAsia="zh-CN"/>
        </w:rPr>
      </w:pPr>
      <w:r w:rsidRPr="00BD14B0">
        <w:tab/>
      </w:r>
      <w:r w:rsidR="00A31124" w:rsidRPr="00BD14B0">
        <w:t>This chapter has identified the socio-cognitive variables which have been found to be related to the</w:t>
      </w:r>
      <w:r w:rsidR="007A04DD" w:rsidRPr="00BD14B0">
        <w:t xml:space="preserve"> strength </w:t>
      </w:r>
      <w:r w:rsidR="00A31124" w:rsidRPr="00BD14B0">
        <w:t>of gaze cueing. Gaze cueing behaviour is an automatic shift of attention triggered by social stimuli. This behaviour is a small component of a larger attentional system, related to social cognition yet seems to be an important and sensitive part of it. It is detected in infants as early as 6 months and it is an important part of language learning. Gaze cueing creates association between sounds and objects. Through this association infants receive the visual cues of objects given by the caregiver that can be used to associate visual stimuli with sound. This behaviour has been observed with monkeys as well as humans, emphasising its instinctive nature. Although it is out of conscious awareness, studies suggest that some socio-cognitive variables significantly affect its strength. By studying automatic shifts of attention measured with gaze cuing, researchers can conclude important aspects of human’s social nature.</w:t>
      </w:r>
    </w:p>
    <w:p w14:paraId="4D02200E" w14:textId="2A1FA465" w:rsidR="007838CB" w:rsidRPr="00BD14B0" w:rsidRDefault="00A31124" w:rsidP="007838CB">
      <w:r w:rsidRPr="00BD14B0">
        <w:tab/>
      </w:r>
      <w:r w:rsidR="007838CB" w:rsidRPr="00BD14B0">
        <w:t xml:space="preserve">This thesis will investigate how a person's social background influences information perception and, as a result, the socio-cognitive variables. An examination of the impact of social influence will help to determine the extent to which a person’s background influence the participant’s attention of the eye gazer. This provides a new perspective on how socio-cognitive </w:t>
      </w:r>
      <w:r w:rsidR="0016260B" w:rsidRPr="00BD14B0">
        <w:t>behaviour</w:t>
      </w:r>
      <w:r w:rsidR="007838CB" w:rsidRPr="00BD14B0">
        <w:t xml:space="preserve"> is influenced not only by automatic responses but also by the participant's past experiences and situational </w:t>
      </w:r>
      <w:r w:rsidR="0016260B" w:rsidRPr="00BD14B0">
        <w:t>relevance. These</w:t>
      </w:r>
      <w:r w:rsidR="007838CB" w:rsidRPr="00BD14B0">
        <w:t xml:space="preserve"> effects are also investigated in relation to the social validity of the outcome, as the participant's perception of the gazer has an implicit effect on their attention to the eye gazer. The effect of social group membership without visual cues of group membership (such as race, gender, etc.) retrieved from memory but not perceived from visual stimuli </w:t>
      </w:r>
      <w:r w:rsidR="007838CB" w:rsidRPr="00BD14B0">
        <w:lastRenderedPageBreak/>
        <w:t xml:space="preserve">will be investigated in Chapter 2. Most previous studies only considered visual representations of group belonging, such as skin </w:t>
      </w:r>
      <w:r w:rsidR="0016260B" w:rsidRPr="00BD14B0">
        <w:t>colour</w:t>
      </w:r>
      <w:r w:rsidR="007838CB" w:rsidRPr="00BD14B0">
        <w:t xml:space="preserve">, and did not assess the impact of social indicators of group belonging. By including social indicators this will allow us to provide a realistic </w:t>
      </w:r>
      <w:r w:rsidR="0016260B" w:rsidRPr="00BD14B0">
        <w:t>interpretation</w:t>
      </w:r>
      <w:r w:rsidR="007838CB" w:rsidRPr="00BD14B0">
        <w:t xml:space="preserve"> of social relations in real world scenario and provide us with representative </w:t>
      </w:r>
      <w:r w:rsidR="0016260B" w:rsidRPr="00BD14B0">
        <w:t>interpretation</w:t>
      </w:r>
      <w:r w:rsidR="007838CB" w:rsidRPr="00BD14B0">
        <w:t xml:space="preserve">. </w:t>
      </w:r>
      <w:r w:rsidR="00A87CAC" w:rsidRPr="00BD14B0">
        <w:t>Previous research has investigated the social status in a one-dimensional manner by manipulating the social power of the gazer, or it has only been studied in Eastern-based cultures. Previous research did not include the social status of the gazer into account in Western-based cultures</w:t>
      </w:r>
      <w:r w:rsidR="007838CB" w:rsidRPr="00BD14B0">
        <w:t xml:space="preserve">. This study will advance the field by investigating the effect of perceived social status on </w:t>
      </w:r>
      <w:r w:rsidR="0016260B" w:rsidRPr="00BD14B0">
        <w:t>gaze</w:t>
      </w:r>
      <w:r w:rsidR="007838CB" w:rsidRPr="00BD14B0">
        <w:t xml:space="preserve"> cuing in a Western culture, as well as by including the participant's social status to see if it had an effect on their attentional system using RT measurements. The perceived social attention will be measured in a context-dependent way without visual indication of the social power difference between the gazer and the observer.  Chapter 4 will examine the effect of observing a previous social interaction between group members and the </w:t>
      </w:r>
      <w:r w:rsidR="0016260B" w:rsidRPr="00BD14B0">
        <w:t>effect</w:t>
      </w:r>
      <w:r w:rsidR="007838CB" w:rsidRPr="00BD14B0">
        <w:t xml:space="preserve"> of this on later social encounters. This thesis will develop methods of understanding how realistic representation of social interactions results in a </w:t>
      </w:r>
      <w:r w:rsidR="0016260B" w:rsidRPr="00BD14B0">
        <w:t>laboratory-based</w:t>
      </w:r>
      <w:r w:rsidR="007838CB" w:rsidRPr="00BD14B0">
        <w:t xml:space="preserve"> setting and help create more realistic interpretations for gaze following.</w:t>
      </w:r>
    </w:p>
    <w:p w14:paraId="1A66E7E2" w14:textId="6594897B" w:rsidR="003C49DC" w:rsidRPr="00BD14B0" w:rsidRDefault="003C49DC" w:rsidP="00553E01">
      <w:pPr>
        <w:rPr>
          <w:rFonts w:eastAsia="Calibri"/>
          <w:u w:color="FF0000"/>
          <w:bdr w:val="nil"/>
          <w:lang w:eastAsia="zh-CN"/>
        </w:rPr>
      </w:pPr>
    </w:p>
    <w:p w14:paraId="73962CA8" w14:textId="1066F680" w:rsidR="003C49DC" w:rsidRPr="00BD14B0" w:rsidRDefault="003C49DC" w:rsidP="00553E01">
      <w:pPr>
        <w:rPr>
          <w:rFonts w:eastAsia="Calibri"/>
          <w:u w:color="FF0000"/>
          <w:bdr w:val="nil"/>
          <w:lang w:eastAsia="zh-CN"/>
        </w:rPr>
      </w:pPr>
    </w:p>
    <w:p w14:paraId="590B46F2" w14:textId="20AD8AF8" w:rsidR="005953A0" w:rsidRPr="00BD14B0" w:rsidRDefault="005953A0" w:rsidP="00553E01">
      <w:pPr>
        <w:rPr>
          <w:rFonts w:eastAsia="Calibri"/>
          <w:u w:color="FF0000"/>
          <w:bdr w:val="nil"/>
          <w:lang w:eastAsia="zh-CN"/>
        </w:rPr>
      </w:pPr>
    </w:p>
    <w:p w14:paraId="3CB90E2E" w14:textId="2261DC7F" w:rsidR="005953A0" w:rsidRPr="00BD14B0" w:rsidRDefault="005953A0" w:rsidP="00553E01">
      <w:pPr>
        <w:rPr>
          <w:rFonts w:eastAsia="Calibri"/>
          <w:u w:color="FF0000"/>
          <w:bdr w:val="nil"/>
          <w:lang w:eastAsia="zh-CN"/>
        </w:rPr>
      </w:pPr>
    </w:p>
    <w:p w14:paraId="1F54A930" w14:textId="3FFA2FF5" w:rsidR="005953A0" w:rsidRPr="00BD14B0" w:rsidRDefault="005953A0" w:rsidP="00553E01">
      <w:pPr>
        <w:rPr>
          <w:rFonts w:eastAsia="Calibri"/>
          <w:u w:color="FF0000"/>
          <w:bdr w:val="nil"/>
          <w:lang w:eastAsia="zh-CN"/>
        </w:rPr>
      </w:pPr>
    </w:p>
    <w:p w14:paraId="7C0E97C7" w14:textId="56E1AA59" w:rsidR="002C3C2D" w:rsidRPr="00BD14B0" w:rsidRDefault="002C3C2D" w:rsidP="00553E01">
      <w:pPr>
        <w:rPr>
          <w:rFonts w:eastAsia="Calibri"/>
          <w:u w:color="FF0000"/>
          <w:bdr w:val="nil"/>
          <w:lang w:eastAsia="zh-CN"/>
        </w:rPr>
      </w:pPr>
    </w:p>
    <w:p w14:paraId="2A50F851" w14:textId="7F53090C" w:rsidR="002C3C2D" w:rsidRPr="00BD14B0" w:rsidRDefault="002C3C2D" w:rsidP="00553E01">
      <w:pPr>
        <w:rPr>
          <w:rFonts w:eastAsia="Calibri"/>
          <w:u w:color="FF0000"/>
          <w:bdr w:val="nil"/>
          <w:lang w:eastAsia="zh-CN"/>
        </w:rPr>
      </w:pPr>
    </w:p>
    <w:p w14:paraId="773518AA" w14:textId="7B3142F9" w:rsidR="00A13DE8" w:rsidRPr="00BD14B0" w:rsidRDefault="00FE79E5" w:rsidP="00FE79E5">
      <w:pPr>
        <w:tabs>
          <w:tab w:val="clear" w:pos="851"/>
        </w:tabs>
        <w:spacing w:before="0" w:after="0" w:line="240" w:lineRule="auto"/>
        <w:rPr>
          <w:rFonts w:eastAsia="Calibri"/>
          <w:u w:color="FF0000"/>
          <w:bdr w:val="nil"/>
          <w:lang w:eastAsia="zh-CN"/>
        </w:rPr>
      </w:pPr>
      <w:r w:rsidRPr="00BD14B0">
        <w:rPr>
          <w:rFonts w:eastAsia="Calibri"/>
          <w:u w:color="FF0000"/>
          <w:bdr w:val="nil"/>
          <w:lang w:eastAsia="zh-CN"/>
        </w:rPr>
        <w:br w:type="page"/>
      </w:r>
    </w:p>
    <w:p w14:paraId="20F49F08" w14:textId="77777777" w:rsidR="00C63B2A" w:rsidRPr="00BD14B0" w:rsidRDefault="00C63B2A" w:rsidP="00553E01">
      <w:pPr>
        <w:rPr>
          <w:rFonts w:eastAsia="Calibri"/>
          <w:u w:color="FF0000"/>
          <w:bdr w:val="nil"/>
          <w:lang w:eastAsia="zh-CN"/>
        </w:rPr>
      </w:pPr>
    </w:p>
    <w:p w14:paraId="65FA0761" w14:textId="60466B29" w:rsidR="000A1220" w:rsidRPr="00BD14B0" w:rsidRDefault="001B6377" w:rsidP="00553E01">
      <w:pPr>
        <w:pStyle w:val="Heading1"/>
      </w:pPr>
      <w:bookmarkStart w:id="25" w:name="_Toc108310760"/>
      <w:r w:rsidRPr="00BD14B0">
        <w:t>Social Attention and Social Group Belonging</w:t>
      </w:r>
      <w:bookmarkEnd w:id="25"/>
      <w:r w:rsidRPr="00BD14B0">
        <w:t xml:space="preserve"> </w:t>
      </w:r>
    </w:p>
    <w:p w14:paraId="39394ADE" w14:textId="049B94E7" w:rsidR="000A1220" w:rsidRPr="00BD14B0" w:rsidRDefault="00D24FEE" w:rsidP="00553E01">
      <w:r w:rsidRPr="00BD14B0">
        <w:rPr>
          <w:noProof/>
          <w:lang w:eastAsia="en-US"/>
        </w:rPr>
        <mc:AlternateContent>
          <mc:Choice Requires="wps">
            <w:drawing>
              <wp:anchor distT="0" distB="0" distL="114300" distR="114300" simplePos="0" relativeHeight="251663360" behindDoc="0" locked="0" layoutInCell="1" allowOverlap="1" wp14:anchorId="6E88037D" wp14:editId="72FABED4">
                <wp:simplePos x="0" y="0"/>
                <wp:positionH relativeFrom="column">
                  <wp:posOffset>0</wp:posOffset>
                </wp:positionH>
                <wp:positionV relativeFrom="paragraph">
                  <wp:posOffset>12065</wp:posOffset>
                </wp:positionV>
                <wp:extent cx="5762846" cy="0"/>
                <wp:effectExtent l="0" t="12700" r="15875" b="12700"/>
                <wp:wrapNone/>
                <wp:docPr id="13" name="Straight Connector 13"/>
                <wp:cNvGraphicFramePr/>
                <a:graphic xmlns:a="http://schemas.openxmlformats.org/drawingml/2006/main">
                  <a:graphicData uri="http://schemas.microsoft.com/office/word/2010/wordprocessingShape">
                    <wps:wsp>
                      <wps:cNvCnPr/>
                      <wps:spPr>
                        <a:xfrm>
                          <a:off x="0" y="0"/>
                          <a:ext cx="576284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8E425AB" id="Straight Connector 13"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0,.95pt" to="453.75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" strokecolor="black [3200]" strokeweight="1.5pt">
                <v:stroke joinstyle="miter"/>
              </v:line>
            </w:pict>
          </mc:Fallback>
        </mc:AlternateContent>
      </w:r>
    </w:p>
    <w:p w14:paraId="387E6388" w14:textId="314410C8" w:rsidR="001B6377" w:rsidRPr="00BD14B0" w:rsidRDefault="001B6377" w:rsidP="00553E01">
      <w:pPr>
        <w:pStyle w:val="Heading2"/>
      </w:pPr>
      <w:bookmarkStart w:id="26" w:name="_Toc108310761"/>
      <w:r w:rsidRPr="00BD14B0">
        <w:t>Overall Introduction</w:t>
      </w:r>
      <w:bookmarkEnd w:id="26"/>
    </w:p>
    <w:p w14:paraId="4F2CA610" w14:textId="6B5ADCFF" w:rsidR="00784D6C" w:rsidRPr="00BD14B0" w:rsidRDefault="001B6377" w:rsidP="00553E01">
      <w:r w:rsidRPr="00BD14B0">
        <w:tab/>
      </w:r>
      <w:r w:rsidR="00784D6C" w:rsidRPr="00BD14B0">
        <w:t xml:space="preserve">Gaze cueing – referring to the following of someone’s gaze – is considered a fundamental component of the social attention system </w:t>
      </w:r>
      <w:r w:rsidR="00784D6C" w:rsidRPr="00BD14B0">
        <w:fldChar w:fldCharType="begin" w:fldLock="1"/>
      </w:r>
      <w:r w:rsidR="004D2901" w:rsidRPr="00BD14B0">
        <w:instrText>ADDIN CSL_CITATION {"citationItems":[{"id":"ITEM-1","itemData":{"DOI":"10.1037/0033-2909.133.4.694","ISSN":"0033-2909","abstract":"During social interactions, people's eyes convey a wealth of information about their direction of attention and their emotional and mental states. This review aims to provide a comprehensive overview of past and current research into the perception of gaze behavior and its effect on the observer. This encompasses the perception of gaze direction and its influence on perception of the other person, as well as gaze-following behavior such as joint attention, in infant, adult, and clinical populations. Particular focus is given to the gaze-cueing paradigm that has been used to investigate the mechanisms of joint attention. The contribution of this paradigm has been significant and will likely continue to advance knowledge across diverse fields within psychology and neuroscience.","author":[{"dropping-particle":"","family":"Frischen","given":"Alexandra","non-dropping-particle":"","parse-names":false,"suffix":""},{"dropping-particle":"","family":"Bayliss","given":"Andrew P","non-dropping-particle":"","parse-names":false,"suffix":""},{"dropping-particle":"","family":"Tipper","given":"Steven P","non-dropping-particle":"","parse-names":false,"suffix":""}],"container-title":"Psychological Bulletin","id":"ITEM-1","issue":"4","issued":{"date-parts":[["2007"]]},"note":"Times Cited: 256\nTipper, Steven/I-6884-2012\nTipper, Steven/0000-0002-1554-0531\n263","page":"694-724","title":"Gaze cueing of attention: Visual attention, social cognition, and individual differences","type":"article-journal","volume":"133"},"uris":["http://www.mendeley.com/documents/?uuid=e2eb9afa-c516-4618-87bf-fe33cf7905fe"]}],"mendeley":{"formattedCitation":"(Frischen, Bayliss, et al., 2007)","plainTextFormattedCitation":"(Frischen, Bayliss, et al., 2007)","previouslyFormattedCitation":"(Frischen, Bayliss, et al., 2007)"},"properties":{"noteIndex":0},"schema":"https://github.com/citation-style-language/schema/raw/master/csl-citation.json"}</w:instrText>
      </w:r>
      <w:r w:rsidR="00784D6C" w:rsidRPr="00BD14B0">
        <w:fldChar w:fldCharType="separate"/>
      </w:r>
      <w:r w:rsidR="004D2901" w:rsidRPr="00BD14B0">
        <w:rPr>
          <w:noProof/>
        </w:rPr>
        <w:t>(Frischen, Bayliss, et al., 2007)</w:t>
      </w:r>
      <w:r w:rsidR="00784D6C" w:rsidRPr="00BD14B0">
        <w:fldChar w:fldCharType="end"/>
      </w:r>
      <w:r w:rsidR="00784D6C" w:rsidRPr="00BD14B0">
        <w:t xml:space="preserve">. Gaze-triggered orienting represents a special form of attention, leading some cognitive researchers to suggest that this behaviour is a unique dimension of visual attention </w:t>
      </w:r>
      <w:r w:rsidR="00C37334" w:rsidRPr="00BD14B0">
        <w:t>(</w:t>
      </w:r>
      <w:proofErr w:type="spellStart"/>
      <w:r w:rsidR="00784D6C" w:rsidRPr="00BD14B0">
        <w:t>Frischen</w:t>
      </w:r>
      <w:proofErr w:type="spellEnd"/>
      <w:r w:rsidR="00784D6C" w:rsidRPr="00BD14B0">
        <w:t>, Bayliss, &amp; Tipper, 2007</w:t>
      </w:r>
      <w:r w:rsidR="00C37334" w:rsidRPr="00BD14B0">
        <w:t>)</w:t>
      </w:r>
      <w:r w:rsidR="00784D6C" w:rsidRPr="00BD14B0">
        <w:t xml:space="preserve">. </w:t>
      </w:r>
      <w:proofErr w:type="spellStart"/>
      <w:r w:rsidR="00784D6C" w:rsidRPr="00BD14B0">
        <w:t>Frischen</w:t>
      </w:r>
      <w:proofErr w:type="spellEnd"/>
      <w:r w:rsidR="00784D6C" w:rsidRPr="00BD14B0">
        <w:t xml:space="preserve"> et al. (2007) concluded that gaze cueing appears not to be affected by facial cues other than gaze direction, although recent studies suggest that individual difference</w:t>
      </w:r>
      <w:r w:rsidR="005240D3" w:rsidRPr="00BD14B0">
        <w:t>s</w:t>
      </w:r>
      <w:r w:rsidR="00784D6C" w:rsidRPr="00BD14B0">
        <w:t xml:space="preserve"> </w:t>
      </w:r>
      <w:r w:rsidR="00784D6C" w:rsidRPr="00BD14B0">
        <w:fldChar w:fldCharType="begin" w:fldLock="1"/>
      </w:r>
      <w:r w:rsidR="004D2901" w:rsidRPr="00BD14B0">
        <w:instrText>ADDIN CSL_CITATION {"citationItems":[{"id":"ITEM-1","itemData":{"DOI":"10.1037/0033-2909.133.4.694","ISSN":"0033-2909","abstract":"During social interactions, people's eyes convey a wealth of information about their direction of attention and their emotional and mental states. This review aims to provide a comprehensive overview of past and current research into the perception of gaze behavior and its effect on the observer. This encompasses the perception of gaze direction and its influence on perception of the other person, as well as gaze-following behavior such as joint attention, in infant, adult, and clinical populations. Particular focus is given to the gaze-cueing paradigm that has been used to investigate the mechanisms of joint attention. The contribution of this paradigm has been significant and will likely continue to advance knowledge across diverse fields within psychology and neuroscience.","author":[{"dropping-particle":"","family":"Frischen","given":"Alexandra","non-dropping-particle":"","parse-names":false,"suffix":""},{"dropping-particle":"","family":"Bayliss","given":"Andrew P","non-dropping-particle":"","parse-names":false,"suffix":""},{"dropping-particle":"","family":"Tipper","given":"Steven P","non-dropping-particle":"","parse-names":false,"suffix":""}],"container-title":"Psychological Bulletin","id":"ITEM-1","issue":"4","issued":{"date-parts":[["2007"]]},"note":"Times Cited: 256\nTipper, Steven/I-6884-2012\nTipper, Steven/0000-0002-1554-0531\n263","page":"694-724","title":"Gaze cueing of attention: Visual attention, social cognition, and individual differences","type":"article-journal","volume":"133"},"uris":["http://www.mendeley.com/documents/?uuid=e2eb9afa-c516-4618-87bf-fe33cf7905fe"]}],"mendeley":{"formattedCitation":"(Frischen, Bayliss, et al., 2007)","plainTextFormattedCitation":"(Frischen, Bayliss, et al., 2007)","previouslyFormattedCitation":"(Frischen, Bayliss, et al., 2007)"},"properties":{"noteIndex":0},"schema":"https://github.com/citation-style-language/schema/raw/master/csl-citation.json"}</w:instrText>
      </w:r>
      <w:r w:rsidR="00784D6C" w:rsidRPr="00BD14B0">
        <w:fldChar w:fldCharType="separate"/>
      </w:r>
      <w:r w:rsidR="004D2901" w:rsidRPr="00BD14B0">
        <w:rPr>
          <w:noProof/>
        </w:rPr>
        <w:t>(Frischen, Bayliss, et al., 2007)</w:t>
      </w:r>
      <w:r w:rsidR="00784D6C" w:rsidRPr="00BD14B0">
        <w:fldChar w:fldCharType="end"/>
      </w:r>
      <w:r w:rsidR="00784D6C" w:rsidRPr="00BD14B0">
        <w:t xml:space="preserve">, personality traits </w:t>
      </w:r>
      <w:r w:rsidR="00784D6C" w:rsidRPr="00BD14B0">
        <w:fldChar w:fldCharType="begin" w:fldLock="1"/>
      </w:r>
      <w:r w:rsidR="004D2901" w:rsidRPr="00BD14B0">
        <w:instrText>ADDIN CSL_CITATION {"citationItems":[{"id":"ITEM-1","itemData":{"DOI":"10.1007/s10339-013-0559-z","ISSN":"1612-4782","abstract":"We investigated whether the extra-/introversion personality dimension can influence processing of others’ eye gaze direction and emotional facial expression during a target detection task. On the basis of previous evidence showing that self-reported trait anxiety can affect gaze-cueing with emotional faces, we also verified whether trait anxiety can modulate the influence of intro-/extraversion on behavioral performance. Fearful, happy, angry or neutral faces, with either direct or averted gaze, were presented before the target appeared in spatial locations congruent or incongruent with stimuli’s eye gaze direction. Results showed a significant influence of intra-/extraversion dimension on gaze-cueing effect for angry, happy, and neutral faces with averted gaze. Introverts did not show the gaze congruency effect when viewing angry expressions, but did so with happy and neutral faces; extraverts showed the opposite pattern. Importantly, the influence of intro-/extraversion on gaze-cueing was not mediated by trait anxiety. These findings demonstrated that personality differences can shape processing of interactions between relevant social signals.","author":[{"dropping-particle":"","family":"Ponari","given":"Marta","non-dropping-particle":"","parse-names":false,"suffix":""},{"dropping-particle":"","family":"Trojano","given":"Luigi","non-dropping-particle":"","parse-names":false,"suffix":""},{"dropping-particle":"","family":"Grossi","given":"Dario","non-dropping-particle":"","parse-names":false,"suffix":""},{"dropping-particle":"","family":"Conson","given":"Massimiliano","non-dropping-particle":"","parse-names":false,"suffix":""}],"container-title":"Cogn Process","id":"ITEM-1","issue":"3","issued":{"date-parts":[["2013"]]},"page":"293-299","title":"“Avoiding or approaching eyes”? Introversion/extraversion affects the gaze- cueing effect","type":"article-journal","volume":"14"},"uris":["http://www.mendeley.com/documents/?uuid=a47bc360-749d-474f-bf5e-e98764d35cc8"]}],"mendeley":{"formattedCitation":"(Ponari et al., 2013)","plainTextFormattedCitation":"(Ponari et al., 2013)","previouslyFormattedCitation":"(Ponari et al., 2013)"},"properties":{"noteIndex":0},"schema":"https://github.com/citation-style-language/schema/raw/master/csl-citation.json"}</w:instrText>
      </w:r>
      <w:r w:rsidR="00784D6C" w:rsidRPr="00BD14B0">
        <w:fldChar w:fldCharType="separate"/>
      </w:r>
      <w:r w:rsidR="004D2901" w:rsidRPr="00BD14B0">
        <w:rPr>
          <w:noProof/>
        </w:rPr>
        <w:t>(Ponari et al., 2013)</w:t>
      </w:r>
      <w:r w:rsidR="00784D6C" w:rsidRPr="00BD14B0">
        <w:fldChar w:fldCharType="end"/>
      </w:r>
      <w:r w:rsidR="00784D6C" w:rsidRPr="00BD14B0">
        <w:t>, and social relation</w:t>
      </w:r>
      <w:r w:rsidR="005240D3" w:rsidRPr="00BD14B0">
        <w:t>s</w:t>
      </w:r>
      <w:r w:rsidR="00784D6C" w:rsidRPr="00BD14B0">
        <w:t xml:space="preserve"> </w:t>
      </w:r>
      <w:r w:rsidR="00784D6C" w:rsidRPr="00BD14B0">
        <w:fldChar w:fldCharType="begin" w:fldLock="1"/>
      </w:r>
      <w:r w:rsidR="0028287E" w:rsidRPr="00BD14B0">
        <w:instrText>ADDIN CSL_CITATION {"citationItems":[{"id":"ITEM-1","itemData":{"DOI":"10.1098/rsbl.2006.0564","ISSN":"1744-9561","abstract":"Gaze cuing, the tendency to shift attention in the direction other individuals are looking, is hypothesized to depend on a distinct neural module. One expectation of such a module is that information processing should be encapsulated within it. Here, we tested whether familiarity, a type of social knowledge, penetrates the neural circuits governing gaze cuing. Male and female subjects viewed the face of an adult male looking left or right and then pressed a keypad to indicate the location of a target appearing randomly left or right. Responses were faster for targets congruent with gaze direction. Moreover, gaze cuing was stronger in females than males. Contrary to the modularity hypothesis, familiarity enhanced gaze cuing, but only in females. Sex differences in the effects of familiarity on gaze cuing may reflect greater adaptive significance of social information for females than males.","author":[{"dropping-particle":"","family":"Deaner","given":"Robert O","non-dropping-particle":"","parse-names":false,"suffix":""},{"dropping-particle":"V","family":"Shepherd","given":"Stephen","non-dropping-particle":"","parse-names":false,"suffix":""},{"dropping-particle":"","family":"Platt","given":"Michael L","non-dropping-particle":"","parse-names":false,"suffix":""}],"container-title":"Biology Letters","id":"ITEM-1","issue":"1","issued":{"date-parts":[["2007","2","22"]]},"note":"Times Cited: 31\n32","page":"65-68","title":"Familiarity accentuates gaze cuing in women but not men","type":"article-journal","volume":"3"},"uris":["http://www.mendeley.com/documents/?uuid=c40566fa-2045-42e8-8818-c7b3fd74af89"]}],"mendeley":{"formattedCitation":"(R. O. Deaner et al., 2007)","manualFormatting":"(Deaner et al., 2007)","plainTextFormattedCitation":"(R. O. Deaner et al., 2007)","previouslyFormattedCitation":"(R. O. Deaner et al., 2007)"},"properties":{"noteIndex":0},"schema":"https://github.com/citation-style-language/schema/raw/master/csl-citation.json"}</w:instrText>
      </w:r>
      <w:r w:rsidR="00784D6C" w:rsidRPr="00BD14B0">
        <w:fldChar w:fldCharType="separate"/>
      </w:r>
      <w:r w:rsidR="004D2901" w:rsidRPr="00BD14B0">
        <w:rPr>
          <w:noProof/>
        </w:rPr>
        <w:t>(Deaner et al., 2007)</w:t>
      </w:r>
      <w:r w:rsidR="00784D6C" w:rsidRPr="00BD14B0">
        <w:fldChar w:fldCharType="end"/>
      </w:r>
      <w:r w:rsidR="00784D6C" w:rsidRPr="00BD14B0">
        <w:t xml:space="preserve"> influence the strength of gaze cueing. Gaze cueing studies are hard to generalize to real-world interactions, because of </w:t>
      </w:r>
      <w:r w:rsidR="00076C9F" w:rsidRPr="00BD14B0">
        <w:t>lack of</w:t>
      </w:r>
      <w:r w:rsidR="005240D3" w:rsidRPr="00BD14B0">
        <w:t xml:space="preserve"> </w:t>
      </w:r>
      <w:r w:rsidR="00784D6C" w:rsidRPr="00BD14B0">
        <w:t>the social context in the lab environment. Additionally, studies that have focused on the relationship between the gazer and the observer have only considered visual similarity and neglected the importance of social context. The current study will address social context while defining the relationship between the gazer and the observer.</w:t>
      </w:r>
    </w:p>
    <w:p w14:paraId="161FEB10" w14:textId="296F415F" w:rsidR="00980EFC" w:rsidRPr="00BD14B0" w:rsidRDefault="00784D6C" w:rsidP="00553E01">
      <w:r w:rsidRPr="00BD14B0">
        <w:tab/>
        <w:t xml:space="preserve">Indeed, gaze cueing studies </w:t>
      </w:r>
      <w:r w:rsidR="005240D3" w:rsidRPr="00BD14B0">
        <w:t xml:space="preserve">have </w:t>
      </w:r>
      <w:r w:rsidRPr="00BD14B0">
        <w:t>show</w:t>
      </w:r>
      <w:r w:rsidR="005240D3" w:rsidRPr="00BD14B0">
        <w:t>n</w:t>
      </w:r>
      <w:r w:rsidRPr="00BD14B0">
        <w:t xml:space="preserve"> that social attention is sensitive to the visual similarity of shared group membership </w:t>
      </w:r>
      <w:r w:rsidRPr="00BD14B0">
        <w:fldChar w:fldCharType="begin" w:fldLock="1"/>
      </w:r>
      <w:r w:rsidR="004D2901" w:rsidRPr="00BD14B0">
        <w:instrText>ADDIN CSL_CITATION {"citationItems":[{"id":"ITEM-1","itemData":{"DOI":"10.1111/ejn.13038","ISSN":"0953-816X","abstract":"Observing someone rapidly moving their eyes induces reflexive shifts of overt and covert attention in the onlooker. Previous studies have shown that this process can be modulated by the onlooker&amp;#039;s personality, as well as by the social features of the person depicted in the cued face. Here, we investigated whether an individual&amp;#039;s preference for social dominance orientation, in‐group perceived similarity (), and political affiliation of the cued‐face modulated neural activity within specific nodes of the social attention network. During functional magnetic resonance imaging, participants were requested to perform a gaze‐following task to investigate whether the directional gaze of various Italian political personages might influence the oculomotor behaviour of in‐group or out‐group voters. After scanning, we acquired measures of in personality traits with each political personage and preference for social dominance orientation. Behavioural data showed that higher gaze interference for in‐group than out‐group political personages was predicted by a higher preference for social hierarchy. Higher blood oxygenation level‐dependent activity in incongruent vs. congruent conditions was found in areas associated with orienting to socially salient events and monitoring response conflict, namely the left frontal eye field, right supramarginal gyrus, mid‐cingulate cortex and left anterior insula. Interestingly, higher ratings of with the in‐group and less preference for social hierarchy predicted increased activity in the left frontal eye field during distracting gaze movements of in‐group as compared with out‐group political personages. Our results suggest that neural activity in the social orienting circuit is modulated by higher‐order social dimensions, such as in‐group and individual differences in ideological attitudes. During fMRI, participants were requested to perform a GF task to investigate whether the directional gaze of various Italian political personages may influence the oculomotor behaviour of in‐group or out‐group voters. Measures of perceived similarity (PS) and social dominance orientation were also acquired. Higher ratings of PS with the in‐group and less preference for social hierarchy predicted increased activity in the FEF during distracting gaze movements of in‐group as compared to out‐group political personages.","author":[{"dropping-particle":"","family":"Cazzato","given":"Valentina","non-dropping-particle":"","parse-names":false,"suffix":""},{"dropping-particle":"","family":"Liuzza","given":"Marco Tullio","non-dropping-particle":"","parse-names":false,"suffix":""},{"dropping-particle":"","family":"Caprara","given":"Gian Vittorio","non-dropping-particle":"","parse-names":false,"suffix":""},{"dropping-particle":"","family":"Macaluso","given":"Emiliano","non-dropping-particle":"","parse-names":false,"suffix":""},{"dropping-particle":"","family":"Aglioti","given":"Salvatore Maria","non-dropping-particle":"","parse-names":false,"suffix":""}],"container-title":"European Journal of Neuroscience","id":"ITEM-1","issue":"8","issued":{"date-parts":[["2015"]]},"page":"2534-2545","title":"The attracting power of the gaze of politicians is modulated by the personality and ideological attitude of their voters: a functional magnetic resonance imaging study","type":"article-journal","volume":"42"},"uris":["http://www.mendeley.com/documents/?uuid=b47f6788-d290-4c1e-a230-13b05c49e1aa"]},{"id":"ITEM-2","itemData":{"DOI":"10.1037/xlm0000159","ISSN":"1939-1285","PMID":"26237618","abstract":"We assessed the extent to which previous experience of joint gaze with people (i.e., looking toward the same object) modulates later gaze cueing of attention elicited by those individuals. Participants in Experiments 1 and 2a/b first completed a saccade/antisaccade task while a to-be-ignored face either looked at, or away from, the participants&amp;#039; eye movement target. Two faces always engaged in joint gaze with the participant, whereas 2 other faces never engaged in joint gaze. Then, we assessed standard gaze cueing in response to these faces to ascertain the effect of these prior interactions on subsequent social attention episodes. In Experiment 1, the face&amp;#039;s eyes moved before the participant&amp;#039;s target appeared, meaning that the participant always gaze-followed 2 faces and never gaze-followed 2 other faces. We found that this prior experience modulated the timecourse of subsequent gaze cueing. In Experiments 2a/b, the participant looked at the target first, then was either followed (i.e., the participant initiated joint gaze), or was not followed. These participants then showed an overall decrement of gaze cueing with individuals who had previously followed participants&amp;#039; eyes (Experiment 2a), an effect that was associated with autism spectrum quotient scores and modulated perceived trustworthiness of the faces (Experiment 2b). Experiment 3 demonstrated that these modulations are unlikely to be because of the association of different levels of task difficulty with particular faces. These findings suggest that establishing joint gaze with others influences subsequent social attention processes that are generally thought to be relatively insensitive to learning from prior episodes.","author":[{"dropping-particle":"","family":"Dalmaso","given":"Mario","non-dropping-particle":"","parse-names":false,"suffix":""},{"dropping-particle":"","family":"Edwards","given":"S. Gareth","non-dropping-particle":"","parse-names":false,"suffix":""},{"dropping-particle":"","family":"Bayliss","given":"Andrew P.","non-dropping-particle":"","parse-names":false,"suffix":""}],"container-title":"Journal of Experimental Psychology: Learning, Memory, and Cognition","id":"ITEM-2","issue":"2","issued":{"date-parts":[["2016"]]},"page":"271-284","title":"Re-encountering individuals who previously engaged in joint gaze modulates subsequent gaze cueing.","type":"article-journal","volume":"42"},"uris":["http://www.mendeley.com/documents/?uuid=a7f36e5d-a347-40e8-9ba4-63ed8145ceab"]},{"id":"ITEM-3","itemData":{"DOI":"10.1371/journal.pone.0025608","ISSN":"1932-6203","abstract":"Viewing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One","id":"ITEM-3","issue":"10","issued":{"date-parts":[["2011"]]},"note":"Times Cited: 14\nGalfano, Giovanni/B-7582-2008\n14","title":"Racial Group Membership Is Associated to Gaze-Mediated Orienting in Italy","type":"article-journal","volume":"6"},"uris":["http://www.mendeley.com/documents/?uuid=c3ea2b1c-0d14-4450-a7ae-afb548fda639"]}],"mendeley":{"formattedCitation":"(Cazzato et al., 2015; Dalmaso et al., 2016; Pavan et al., 2011)","plainTextFormattedCitation":"(Cazzato et al., 2015; Dalmaso et al., 2016; Pavan et al., 2011)","previouslyFormattedCitation":"(Cazzato et al., 2015; Dalmaso et al., 2016; Pavan et al., 2011)"},"properties":{"noteIndex":0},"schema":"https://github.com/citation-style-language/schema/raw/master/csl-citation.json"}</w:instrText>
      </w:r>
      <w:r w:rsidRPr="00BD14B0">
        <w:fldChar w:fldCharType="separate"/>
      </w:r>
      <w:r w:rsidR="004D2901" w:rsidRPr="00BD14B0">
        <w:rPr>
          <w:noProof/>
        </w:rPr>
        <w:t>(Cazzato et al., 2015; Dalmaso et al., 2016; Pavan et al., 2011)</w:t>
      </w:r>
      <w:r w:rsidRPr="00BD14B0">
        <w:fldChar w:fldCharType="end"/>
      </w:r>
      <w:r w:rsidRPr="00BD14B0">
        <w:t xml:space="preserve">, dominance </w:t>
      </w:r>
      <w:r w:rsidR="00660488" w:rsidRPr="00BD14B0">
        <w:fldChar w:fldCharType="begin" w:fldLock="1"/>
      </w:r>
      <w:r w:rsidR="00980EFC" w:rsidRPr="00BD14B0">
        <w:instrText>ADDIN CSL_CITATION {"citationItems":[{"id":"ITEM-1","itemData":{"DOI":"10.1098/rspb.2009.1575","ISSN":"0962-8452","abstract":"Responding appropriately to gaze cues is essential for fluent social interaction, playing a crucial role in social learning, collaboration, threat assessment and understanding others' intentions. Previous research has shown that responses to gaze cues can be studied by investigating the gaze-cuing effect (i.e. the tendency for observers to respond more quickly to targets in locations that were cued by others' gaze than to uncued targets). A recent study demonstrating that macaques demonstrate larger gaze-cuing effects when viewing dominant conspecifics than when viewing subordinate conspecifics suggests that cues of dominance modulate the gaze-cuing effect in at least one primate species. Here, we show a similar effect of facial cues associated with dominance on gaze cuing in human observers: at short viewing times, observers demonstrated a greater cuing effect for gaze cues from masculinized (i.e. dominant) faces than from feminized (i.e. subordinate) faces. Moreover, this effect of facial masculinity on gaze cuing decreased as viewing time was increased, suggesting that the effect is driven by involuntary responses. Our findings suggest that the mechanisms that underpin reflexive gaze cuing evolved to be sensitive to facial cues of others' dominance, potentially because such differential gaze cuing promoted desirable outcomes from encounters with dominant individuals.","author":[{"dropping-particle":"","family":"Jones","given":"Benedict C","non-dropping-particle":"","parse-names":false,"suffix":""},{"dropping-particle":"","family":"DeBruine","given":"Lisa M","non-dropping-particle":"","parse-names":false,"suffix":""},{"dropping-particle":"","family":"Main","given":"Julie C","non-dropping-particle":"","parse-names":false,"suffix":""},{"dropping-particle":"","family":"Little","given":"Anthony C","non-dropping-particle":"","parse-names":false,"suffix":""},{"dropping-particle":"","family":"Welling","given":"Lisa L M","non-dropping-particle":"","parse-names":false,"suffix":""},{"dropping-particle":"","family":"Feinberg","given":"David R","non-dropping-particle":"","parse-names":false,"suffix":""},{"dropping-particle":"","family":"Tiddeman","given":"Bernard P","non-dropping-particle":"","parse-names":false,"suffix":""}],"container-title":"Proceedings of the Royal Society B: Biological Sciences","id":"ITEM-1","issue":"1681","issued":{"date-parts":[["2010","2","22"]]},"note":"Times Cited: 54\nJones, Benedict/A-7850-2008; DeBruine, Lisa/A-6990-2008; Little, Anthony/B-8497-2009; Feinberg, David/C-1249-2009\nJones, Benedict/0000-0001-7777-0220; DeBruine, Lisa/0000-0002-7523-5539; Little, Anthony/0000-0001-9100-1903; Feinberg, David/0000-0003-4179-1446\n56","page":"617-624","title":"Facial cues of dominance modulate the short-term gaze-cuing effect in human observers","type":"article-journal","volume":"277"},"uris":["http://www.mendeley.com/documents/?uuid=64bfee74-1a8b-412c-b705-07f9a61342c4"]},{"id":"ITEM-2","itemData":{"DOI":"10.1024/1421-0185/a000056","ISSN":"1421-0185","abstract":"Many studies have demonstrated a gaze-cuing effect in humans, whereby observers are quicker to respond to targets in locations cued by others' gaze direction than they are to respond to uncued targets. Although researchers have generally suggested that this gaze-cuing effect is unaffected by facial cues other than gaze direction, recent work has challenged this view: Both human and macaque observers demonstrate greater gaze cuing when viewing conspecifics' faces that possess physical cues associated with high dominance than when viewing those that possess physical cues associated with low dominance. In the current study, we tested for further evidence of dominance-contingent gaze cuing in women. We conducted a gaze-cuing experiment in which different individual female faces were used as cues and calculated the strength of the gaze-cuing effect for each face. Composite (i.e., average) faces manufactured from images of women who elicited particularly large gaze-cuing effects were perceived as more dominant than composites manufactured from images of women who elicited particularly small gaze-cuing effects. This result supports (1) the existence of dominance-contingent gaze-cuing in human observers and (2) the proposal that the gaze-cuing system is sensitive to facial cues other than gaze direction.","author":[{"dropping-particle":"","family":"Jones","given":"Benedict C","non-dropping-particle":"","parse-names":false,"suffix":""},{"dropping-particle":"","family":"Main","given":"Julie C","non-dropping-particle":"","parse-names":false,"suffix":""},{"dropping-particle":"","family":"Little","given":"Anthony C","non-dropping-particle":"","parse-names":false,"suffix":""},{"dropping-particle":"","family":"DeBruine","given":"Lisa M","non-dropping-particle":"","parse-names":false,"suffix":""}],"container-title":"Swiss Journal of Psychology","id":"ITEM-2","issue":"4","issued":{"date-parts":[["2011","12"]]},"note":"Times Cited: 1\nLittle, Anthony/B-8497-2009; Jones, Benedict/A-7850-2008; DeBruine, Lisa/A-6990-2008\nLittle, Anthony/0000-0001-9100-1903; Jones, Benedict/0000-0001-7777-0220; DeBruine, Lisa/0000-0002-7523-5539\n1","page":"193-197","title":"Further Evidence That Facial Cues of Dominance Modulate Gaze Cuing in Human Observers","type":"article-journal","volume":"70"},"uris":["http://www.mendeley.com/documents/?uuid=c67516f8-8952-439d-87c5-c87786ba3c82"]},{"id":"ITEM-3","itemData":{"DOI":"10.1371/journal.pone.0059471","ISSN":"1932-6203","abstract":"Gaze following is a socio-cognitive process that provides adaptive information about potential threats and opportunities in the individual's environment. The aim of the present study was to investigate the potential interaction between emotional context and facial dominance in gaze following. We used the gaze cue task to induce attention to or away from the location of a target stimulus. In the experiment, the gaze cue either belonged to a (dominant looking) male face or a (non-dominant looking) female face. Critically, prior to the task, individuals were primed with pictures of threat or no threat to induce either a dangerous or safe environment. Findings revealed that the primed emotional context critically influenced the gaze cuing effect. While a gaze cue of the dominant male face influenced performance in both the threat and no-threat conditions, the gaze cue of the non-dominant female face only influenced performance in the no-threat condition. This research suggests an implicit, context-dependent follower bias, which carries implications for research on visual attention, social cognition, and leadership.","author":[{"dropping-particle":"","family":"Ohlsen","given":"Garian","non-dropping-particle":"","parse-names":false,"suffix":""},{"dropping-particle":"","family":"Zoest","given":"Wieske","non-dropping-particle":"van","parse-names":false,"suffix":""},{"dropping-particle":"","family":"Vugt","given":"Mark","non-dropping-particle":"van","parse-names":false,"suffix":""}],"container-title":"PLoS ONE","editor":[{"dropping-particle":"","family":"Avenanti","given":"Alessio","non-dropping-particle":"","parse-names":false,"suffix":""}],"id":"ITEM-3","issue":"4","issued":{"date-parts":[["2013","4","3"]]},"note":"Times Cited: 7\n7","page":"e59471","title":"Gender and Facial Dominance in Gaze Cuing: Emotional Context Matters in the Eyes That We Follow","type":"article-journal","volume":"8"},"uris":["http://www.mendeley.com/documents/?uuid=7d99e529-16ff-4ecc-9ded-0ca936d93c3c"]}],"mendeley":{"formattedCitation":"(B. C. Jones et al., 2010, 2011; Ohlsen et al., 2013)","manualFormatting":"(Jones et al., 2010, 2011; Ohlsen et al., 2013)","plainTextFormattedCitation":"(B. C. Jones et al., 2010, 2011; Ohlsen et al., 2013)","previouslyFormattedCitation":"(B. C. Jones et al., 2010, 2011; Ohlsen et al., 2013)"},"properties":{"noteIndex":0},"schema":"https://github.com/citation-style-language/schema/raw/master/csl-citation.json"}</w:instrText>
      </w:r>
      <w:r w:rsidR="00660488" w:rsidRPr="00BD14B0">
        <w:fldChar w:fldCharType="separate"/>
      </w:r>
      <w:r w:rsidR="00660488" w:rsidRPr="00BD14B0">
        <w:rPr>
          <w:noProof/>
        </w:rPr>
        <w:t>(Jones et al., 2010, 2011; Ohlsen et al., 2013)</w:t>
      </w:r>
      <w:r w:rsidR="00660488" w:rsidRPr="00BD14B0">
        <w:fldChar w:fldCharType="end"/>
      </w:r>
      <w:r w:rsidR="00980EFC" w:rsidRPr="00BD14B0">
        <w:t xml:space="preserve">, </w:t>
      </w:r>
      <w:r w:rsidRPr="00BD14B0">
        <w:t>familiarity</w:t>
      </w:r>
      <w:r w:rsidR="00A31F1E" w:rsidRPr="00BD14B0">
        <w:t xml:space="preserve"> </w:t>
      </w:r>
      <w:r w:rsidR="00980EFC" w:rsidRPr="00BD14B0">
        <w:fldChar w:fldCharType="begin" w:fldLock="1"/>
      </w:r>
      <w:r w:rsidR="00980EFC" w:rsidRPr="00BD14B0">
        <w:instrText>ADDIN CSL_CITATION {"citationItems":[{"id":"ITEM-1","itemData":{"DOI":"10.1098/rsbl.2006.0564","ISSN":"1744-9561","abstract":"Gaze cuing, the tendency to shift attention in the direction other individuals are looking, is hypothesized to depend on a distinct neural module. One expectation of such a module is that information processing should be encapsulated within it. Here, we tested whether familiarity, a type of social knowledge, penetrates the neural circuits governing gaze cuing. Male and female subjects viewed the face of an adult male looking left or right and then pressed a keypad to indicate the location of a target appearing randomly left or right. Responses were faster for targets congruent with gaze direction. Moreover, gaze cuing was stronger in females than males. Contrary to the modularity hypothesis, familiarity enhanced gaze cuing, but only in females. Sex differences in the effects of familiarity on gaze cuing may reflect greater adaptive significance of social information for females than males.","author":[{"dropping-particle":"","family":"Deaner","given":"Robert O","non-dropping-particle":"","parse-names":false,"suffix":""},{"dropping-particle":"V","family":"Shepherd","given":"Stephen","non-dropping-particle":"","parse-names":false,"suffix":""},{"dropping-particle":"","family":"Platt","given":"Michael L","non-dropping-particle":"","parse-names":false,"suffix":""}],"container-title":"Biology Letters","id":"ITEM-1","issue":"1","issued":{"date-parts":[["2007","2","22"]]},"note":"Times Cited: 31\n32","page":"65-68","title":"Familiarity accentuates gaze cuing in women but not men","type":"article-journal","volume":"3"},"uris":["http://www.mendeley.com/documents/?uuid=c40566fa-2045-42e8-8818-c7b3fd74af89"]},{"id":"ITEM-2","itemData":{"DOI":"10.1080/17470218.2012.690769","ISSN":"1747-0218","abstract":"Important social information can be gathered from the direction of another person's gaze, such as their intentions and aspects of the environment that are relevant to those intentions. Previous work has examined the effect of gaze on attention through the gaze-cueing effect: an enhancement of performance in detecting targets that appear where another person is looking. The present study investigated whether the physical self-similarity of a face could increase its impact on attention. Self-similarity was manipulated by morphing participants' faces with those of strangers. The effect of gaze direction on target detection was strongest for faces morphed with the participant's face. The results support previous work suggesting that self-similar faces are processed differently from dissimilar faces. The data also demonstrate that a face's similarity to one's own face influences the degree to which that face guides our attention in the environment.","author":[{"dropping-particle":"","family":"Hungr","given":"Clara J","non-dropping-particle":"","parse-names":false,"suffix":""},{"dropping-particle":"","family":"Hunt","given":"Amelia R","non-dropping-particle":"","parse-names":false,"suffix":""}],"container-title":"Quarterly Journal of Experimental Psychology","id":"ITEM-2","issue":"7","issued":{"date-parts":[["2012"]]},"note":"Times Cited: 3\n3","page":"1250-1259","title":"Physical self-similarity enhances the gaze-cueing effect","type":"article-journal","volume":"65"},"uris":["http://www.mendeley.com/documents/?uuid=2b3772d6-afbd-40b1-b6d0-f788c0bdaeb6"]}],"mendeley":{"formattedCitation":"(R. O. Deaner et al., 2007; Hungr &amp; Hunt, 2012)","manualFormatting":"(Deaner et al., 2007; Hungr &amp; Hunt, 2012)","plainTextFormattedCitation":"(R. O. Deaner et al., 2007; Hungr &amp; Hunt, 2012)","previouslyFormattedCitation":"(R. O. Deaner et al., 2007; Hungr &amp; Hunt, 2012)"},"properties":{"noteIndex":0},"schema":"https://github.com/citation-style-language/schema/raw/master/csl-citation.json"}</w:instrText>
      </w:r>
      <w:r w:rsidR="00980EFC" w:rsidRPr="00BD14B0">
        <w:fldChar w:fldCharType="separate"/>
      </w:r>
      <w:r w:rsidR="00980EFC" w:rsidRPr="00BD14B0">
        <w:rPr>
          <w:noProof/>
        </w:rPr>
        <w:t>(Deaner et al., 2007; Hungr &amp; Hunt, 2012)</w:t>
      </w:r>
      <w:r w:rsidR="00980EFC" w:rsidRPr="00BD14B0">
        <w:fldChar w:fldCharType="end"/>
      </w:r>
      <w:r w:rsidR="00980EFC" w:rsidRPr="00BD14B0">
        <w:t xml:space="preserve"> </w:t>
      </w:r>
      <w:r w:rsidR="00A31F1E" w:rsidRPr="00BD14B0">
        <w:t xml:space="preserve">and age </w:t>
      </w:r>
      <w:r w:rsidR="00980EFC" w:rsidRPr="00BD14B0">
        <w:fldChar w:fldCharType="begin" w:fldLock="1"/>
      </w:r>
      <w:r w:rsidR="00980EFC" w:rsidRPr="00BD14B0">
        <w:instrText>ADDIN CSL_CITATION {"citationItems":[{"id":"ITEM-1","itemData":{"DOI":"10.1038/srep04746","ISSN":"20452322","PMID":"24752250","abstract":"Gaze-following behaviour is considered crucial for social interactions which are influenced by social similarity. We investigated whether the degree of similarity, as indicated by the perceived age of another person, can modulate gaze following. Participants of three different age-groups (18-25; 35-45; over 65) performed an eye movement (a saccade) towards an instructed target while ignoring the gaze-shift of distracters of different age-ranges (6-10; 18-25; 35-45; over 70). The results show that gaze following was modulated by the distracter face age only for young adults. Particularly, the over 70 year-old distracters exerted the least interference effect. The distracters of a similar age-range as the young adults (18-25; 35-45) had the most effect, indicating a blurred own-age bias (OAB) only for the young age group. These findings suggest that face age can modulate gaze following, but this modulation could be due to factors other than just OAB (e.g., familiarity).","author":[{"dropping-particle":"","family":"Ciardo","given":"Francesca","non-dropping-particle":"","parse-names":false,"suffix":""},{"dropping-particle":"","family":"Marino","given":"Barbara F M","non-dropping-particle":"","parse-names":false,"suffix":""},{"dropping-particle":"","family":"Actis-Grosso","given":"Rossana","non-dropping-particle":"","parse-names":false,"suffix":""},{"dropping-particle":"","family":"Rossetti","given":"Angela","non-dropping-particle":"","parse-names":false,"suffix":""},{"dropping-particle":"","family":"Ricciardelli","given":"Paola","non-dropping-particle":"","parse-names":false,"suffix":""}],"container-title":"Scientific Reports","id":"ITEM-1","issue":"1","issued":{"date-parts":[["2014","5","22"]]},"note":"From Duplicate 2 (Face age modulates gaze following in young adults - Ciardo, Francesca; Marino, Barbara F M; Actis-Grosso, Rossana; Rossetti, Angela; Ricciardelli, Paola)\n\nTimes Cited: 1\n1","page":"4746","title":"Face age modulates gaze following in young adults","type":"article-journal","volume":"4"},"uris":["http://www.mendeley.com/documents/?uuid=367b0eac-3631-40b2-b368-ecad7ed0c403"]}],"mendeley":{"formattedCitation":"(Ciardo et al., 2014)","plainTextFormattedCitation":"(Ciardo et al., 2014)","previouslyFormattedCitation":"(Ciardo et al., 2014)"},"properties":{"noteIndex":0},"schema":"https://github.com/citation-style-language/schema/raw/master/csl-citation.json"}</w:instrText>
      </w:r>
      <w:r w:rsidR="00980EFC" w:rsidRPr="00BD14B0">
        <w:fldChar w:fldCharType="separate"/>
      </w:r>
      <w:r w:rsidR="00980EFC" w:rsidRPr="00BD14B0">
        <w:rPr>
          <w:noProof/>
        </w:rPr>
        <w:t>(Ciardo et al., 2014)</w:t>
      </w:r>
      <w:r w:rsidR="00980EFC" w:rsidRPr="00BD14B0">
        <w:fldChar w:fldCharType="end"/>
      </w:r>
      <w:r w:rsidRPr="00BD14B0">
        <w:t xml:space="preserve">. Research shows that facial cues associated with high dominance </w:t>
      </w:r>
      <w:r w:rsidR="000734C6" w:rsidRPr="00BD14B0">
        <w:t>produce</w:t>
      </w:r>
      <w:r w:rsidRPr="00BD14B0">
        <w:t xml:space="preserve"> more rapid attentional shifts compared </w:t>
      </w:r>
      <w:r w:rsidR="00A31F1E" w:rsidRPr="00BD14B0">
        <w:t xml:space="preserve">to low dominance faces (Jones et al., 2010). </w:t>
      </w:r>
      <w:r w:rsidRPr="00BD14B0">
        <w:t xml:space="preserve">Greater gaze-cuing effects also have been observed for familiar individuals compared to unfamiliar individuals, although this effect </w:t>
      </w:r>
      <w:r w:rsidR="000734C6" w:rsidRPr="00BD14B0">
        <w:t xml:space="preserve">may only occur </w:t>
      </w:r>
      <w:r w:rsidRPr="00BD14B0">
        <w:t>for female participants</w:t>
      </w:r>
      <w:r w:rsidR="00A31F1E" w:rsidRPr="00BD14B0">
        <w:t xml:space="preserve"> (</w:t>
      </w:r>
      <w:proofErr w:type="spellStart"/>
      <w:r w:rsidR="00A31F1E" w:rsidRPr="00BD14B0">
        <w:t>Deaner</w:t>
      </w:r>
      <w:proofErr w:type="spellEnd"/>
      <w:r w:rsidR="00A31F1E" w:rsidRPr="00BD14B0">
        <w:t xml:space="preserve"> et al., 2007). In another </w:t>
      </w:r>
      <w:r w:rsidRPr="00BD14B0">
        <w:t xml:space="preserve">study, self-similarity was found to influence </w:t>
      </w:r>
      <w:r w:rsidR="000734C6" w:rsidRPr="00BD14B0">
        <w:t xml:space="preserve">the </w:t>
      </w:r>
      <w:r w:rsidRPr="00BD14B0">
        <w:t>gaze cueing effect (</w:t>
      </w:r>
      <w:r w:rsidRPr="00BD14B0">
        <w:fldChar w:fldCharType="begin" w:fldLock="1"/>
      </w:r>
      <w:r w:rsidRPr="00BD14B0">
        <w:instrText>ADDIN CSL_CITATION {"citationItems":[{"id":"ITEM-1","itemData":{"DOI":"10.1080/17470218.2012.690769","ISSN":"1747-0218","abstract":"Important social information can be gathered from the direction of another person's gaze, such as their intentions and aspects of the environment that are relevant to those intentions. Previous work has examined the effect of gaze on attention through the gaze-cueing effect: an enhancement of performance in detecting targets that appear where another person is looking. The present study investigated whether the physical self-similarity of a face could increase its impact on attention. Self-similarity was manipulated by morphing participants' faces with those of strangers. The effect of gaze direction on target detection was strongest for faces morphed with the participant's face. The results support previous work suggesting that self-similar faces are processed differently from dissimilar faces. The data also demonstrate that a face's similarity to one's own face influences the degree to which that face guides our attention in the environment.","author":[{"dropping-particle":"","family":"Hungr","given":"Clara J","non-dropping-particle":"","parse-names":false,"suffix":""},{"dropping-particle":"","family":"Hunt","given":"Amelia R","non-dropping-particle":"","parse-names":false,"suffix":""}],"container-title":"Quarterly Journal of Experimental Psychology","id":"ITEM-1","issue":"7","issued":{"date-parts":[["2012"]]},"note":"Times Cited: 3\n3","page":"1250-1259","title":"Physical self-similarity enhances the gaze-cueing effect","type":"article-journal","volume":"65"},"uris":["http://www.mendeley.com/documents/?uuid=2b3772d6-afbd-40b1-b6d0-f788c0bdaeb6"]}],"mendeley":{"formattedCitation":"(Hungr &amp; Hunt, 2012)","manualFormatting":"Hungr &amp; Hunt, 2012)","plainTextFormattedCitation":"(Hungr &amp; Hunt, 2012)","previouslyFormattedCitation":"(Hungr &amp; Hunt, 2012)"},"properties":{"noteIndex":0},"schema":"https://github.com/citation-style-language/schema/raw/master/csl-citation.json"}</w:instrText>
      </w:r>
      <w:r w:rsidRPr="00BD14B0">
        <w:fldChar w:fldCharType="separate"/>
      </w:r>
      <w:r w:rsidRPr="00BD14B0">
        <w:rPr>
          <w:noProof/>
        </w:rPr>
        <w:t>Hungr &amp; Hunt, 2012)</w:t>
      </w:r>
      <w:r w:rsidRPr="00BD14B0">
        <w:fldChar w:fldCharType="end"/>
      </w:r>
      <w:r w:rsidRPr="00BD14B0">
        <w:t xml:space="preserve">. This study suggested that the physical self-similarity of a face could increase the impact of gaze cueing. The self-similarity of the face was manipulated on the screen by combining the photos of participants with the faces of strangers. The gaze cueing effect on locating the </w:t>
      </w:r>
      <w:r w:rsidRPr="00BD14B0">
        <w:lastRenderedPageBreak/>
        <w:t xml:space="preserve">target was stronger when the presented faces looked more similar to the participant's own face. These results were consistent with previous studies and demonstrated that the similarity of the faces influence social attention. It can be </w:t>
      </w:r>
      <w:r w:rsidR="000734C6" w:rsidRPr="00BD14B0">
        <w:t xml:space="preserve">argued </w:t>
      </w:r>
      <w:r w:rsidRPr="00BD14B0">
        <w:t>that faces with similar physical features are perceived as an in-group, which leads to increased trust and cooperative behaviour</w:t>
      </w:r>
      <w:r w:rsidR="00A31F1E" w:rsidRPr="00BD14B0">
        <w:t xml:space="preserve"> </w:t>
      </w:r>
      <w:r w:rsidR="00980EFC" w:rsidRPr="00BD14B0">
        <w:fldChar w:fldCharType="begin" w:fldLock="1"/>
      </w:r>
      <w:r w:rsidR="005860FB" w:rsidRPr="00BD14B0">
        <w:instrText>ADDIN CSL_CITATION {"citationItems":[{"id":"ITEM-1","itemData":{"DOI":"10.1098/rspb.2002.2034","ISSN":"0962-8452","author":[{"dropping-particle":"","family":"Debruine","given":"Lm","non-dropping-particle":"","parse-names":false,"suffix":""}],"container-title":"Proc. R. Soc. Lond. Ser. B-Biol. Sci.","id":"ITEM-1","issue":"1498","issued":{"date-parts":[["2002"]]},"page":"1307-1312","title":"Facial resemblance enhances trust","type":"article-journal","volume":"269"},"uris":["http://www.mendeley.com/documents/?uuid=ead4ec79-2e53-400f-8863-393c871a1c37"]},{"id":"ITEM-2","itemData":{"DOI":"10.1016/j.evolhumbehav.2007.08.002","ISSN":"1090-5138","author":[{"dropping-particle":"","family":"Krupp","given":"Db","non-dropping-particle":"","parse-names":false,"suffix":""},{"dropping-particle":"","family":"Debruine","given":"La","non-dropping-particle":"","parse-names":false,"suffix":""},{"dropping-particle":"","family":"Barclay","given":"P","non-dropping-particle":"","parse-names":false,"suffix":""}],"container-title":"Evol. Hum. Behav.","id":"ITEM-2","issue":"1","issued":{"date-parts":[["2008"]]},"page":"49-55","title":"A cue of kinship promotes cooperation for the public good","type":"article-journal","volume":"29"},"uris":["http://www.mendeley.com/documents/?uuid=63698ae0-8ae7-470f-9e51-3d56e209fcd5"]}],"mendeley":{"formattedCitation":"(Debruine, 2002; Krupp et al., 2008)","plainTextFormattedCitation":"(Debruine, 2002; Krupp et al., 2008)","previouslyFormattedCitation":"(Debruine, 2002; Krupp et al., 2008)"},"properties":{"noteIndex":0},"schema":"https://github.com/citation-style-language/schema/raw/master/csl-citation.json"}</w:instrText>
      </w:r>
      <w:r w:rsidR="00980EFC" w:rsidRPr="00BD14B0">
        <w:fldChar w:fldCharType="separate"/>
      </w:r>
      <w:r w:rsidR="00980EFC" w:rsidRPr="00BD14B0">
        <w:rPr>
          <w:noProof/>
        </w:rPr>
        <w:t>(Debruine, 2002; Krupp et al., 2008)</w:t>
      </w:r>
      <w:r w:rsidR="00980EFC" w:rsidRPr="00BD14B0">
        <w:fldChar w:fldCharType="end"/>
      </w:r>
      <w:r w:rsidR="00980EFC" w:rsidRPr="00BD14B0">
        <w:t>.</w:t>
      </w:r>
    </w:p>
    <w:p w14:paraId="2DA6D85C" w14:textId="1FC5EB23" w:rsidR="00A31F1E" w:rsidRPr="00BD14B0" w:rsidRDefault="00784D6C" w:rsidP="00553E01">
      <w:r w:rsidRPr="00BD14B0">
        <w:tab/>
        <w:t xml:space="preserve">Similarity in age is another factor that impacts on gaze cueing. Young people have been found to be more likely to follow </w:t>
      </w:r>
      <w:r w:rsidR="00076C9F" w:rsidRPr="00BD14B0">
        <w:t>the gaze</w:t>
      </w:r>
      <w:r w:rsidRPr="00BD14B0">
        <w:t xml:space="preserve"> cues of young people than of middle-aged and older people, whereas this difference was not evident for middle</w:t>
      </w:r>
      <w:r w:rsidR="000734C6" w:rsidRPr="00BD14B0">
        <w:t>-</w:t>
      </w:r>
      <w:r w:rsidRPr="00BD14B0">
        <w:t>age</w:t>
      </w:r>
      <w:r w:rsidR="000734C6" w:rsidRPr="00BD14B0">
        <w:t>d</w:t>
      </w:r>
      <w:r w:rsidRPr="00BD14B0">
        <w:t xml:space="preserve"> and</w:t>
      </w:r>
      <w:r w:rsidR="00A31F1E" w:rsidRPr="00BD14B0">
        <w:t xml:space="preserve"> older adults (</w:t>
      </w:r>
      <w:proofErr w:type="spellStart"/>
      <w:r w:rsidR="00A31F1E" w:rsidRPr="00BD14B0">
        <w:t>Ciardo</w:t>
      </w:r>
      <w:proofErr w:type="spellEnd"/>
      <w:r w:rsidR="00A31F1E" w:rsidRPr="00BD14B0">
        <w:t xml:space="preserve"> et al., 2014)</w:t>
      </w:r>
      <w:r w:rsidRPr="00BD14B0">
        <w:t xml:space="preserve">. </w:t>
      </w:r>
      <w:r w:rsidR="00A31F1E" w:rsidRPr="00BD14B0">
        <w:t xml:space="preserve">Age leads to automatic and spontaneous social in-group categorization which is influenced by social similarity </w:t>
      </w:r>
      <w:r w:rsidR="005860FB" w:rsidRPr="00BD14B0">
        <w:fldChar w:fldCharType="begin" w:fldLock="1"/>
      </w:r>
      <w:r w:rsidR="005860FB" w:rsidRPr="00BD14B0">
        <w:instrText>ADDIN CSL_CITATION {"citationItems":[{"id":"ITEM-1","itemData":{"ISSN":"00664308","author":[{"dropping-particle":"","family":"Macrae","given":"C Neil","non-dropping-particle":"","parse-names":false,"suffix":""},{"dropping-particle":"V","family":"Bodenhausen","given":"Galen","non-dropping-particle":"","parse-names":false,"suffix":""}],"container-title":"Annual Review of Psychology","id":"ITEM-1","issued":{"date-parts":[["2000"]]},"page":"93-120","title":"Social cognition: Thinking categorically about others","type":"article-journal","volume":"51"},"uris":["http://www.mendeley.com/documents/?uuid=84be848c-027d-4964-ab34-b669b10b4493"]}],"mendeley":{"formattedCitation":"(Macrae &amp; Bodenhausen, 2000)","plainTextFormattedCitation":"(Macrae &amp; Bodenhausen, 2000)","previouslyFormattedCitation":"(Macrae &amp; Bodenhausen, 2000)"},"properties":{"noteIndex":0},"schema":"https://github.com/citation-style-language/schema/raw/master/csl-citation.json"}</w:instrText>
      </w:r>
      <w:r w:rsidR="005860FB" w:rsidRPr="00BD14B0">
        <w:fldChar w:fldCharType="separate"/>
      </w:r>
      <w:r w:rsidR="005860FB" w:rsidRPr="00BD14B0">
        <w:rPr>
          <w:noProof/>
        </w:rPr>
        <w:t>(Macrae &amp; Bodenhausen, 2000)</w:t>
      </w:r>
      <w:r w:rsidR="005860FB" w:rsidRPr="00BD14B0">
        <w:fldChar w:fldCharType="end"/>
      </w:r>
      <w:r w:rsidR="005860FB" w:rsidRPr="00BD14B0">
        <w:t xml:space="preserve">. </w:t>
      </w:r>
      <w:r w:rsidR="00A31F1E" w:rsidRPr="00BD14B0">
        <w:t xml:space="preserve">Indeed, </w:t>
      </w:r>
      <w:r w:rsidR="005860FB" w:rsidRPr="00BD14B0">
        <w:fldChar w:fldCharType="begin" w:fldLock="1"/>
      </w:r>
      <w:r w:rsidR="005860FB" w:rsidRPr="00BD14B0">
        <w:instrText>ADDIN CSL_CITATION {"citationItems":[{"id":"ITEM-1","itemData":{"DOI":"10.3389/fpsyg.2017.00738","ISBN":"1664-1078","ISSN":"1664-1078","abstract":"Eye gaze is a powerful cue that indicates where another person's attention is directed in the environment. Seeing another person's eye gaze shift spontaneously and reflexively elicits a shift of one's own attention to the same region in space. Here, we investigated whether reallocation of attention in the direction of eye gaze is modulated by personal familiarity with faces. On the one hand, the eye gaze of a close friend should be more effective in redirecting our attention as compared to the eye gaze of a stranger. On the other hand, the social relevance of a familiar face might itself hold attention and, thereby, slow lateral shifts of attention. To distinguish between these possibilities, we measured the efficacy of the eye gaze of personally familiar and unfamiliar faces as directional attention cues using adapted versions of the Posner paradigm with saccadic and manual responses. We found that attention shifts were slower when elicited by a perceived change in the eye gaze of a familiar individual as compared to attention shifts elicited by unfamiliar faces at short latencies (100 ms). We also measured simple detection of change in direction of gaze in personally familiar and unfamiliar faces to test whether slower attention shifts were due to slower detection. Participants detected changes in eye gaze faster for familiar faces than for unfamiliar faces. Our results suggest that personally familiar faces briefly hold attention due to their social relevance, thereby slowing shifts of attention, even though the direction of eye movements are detected faster in familiar faces.","author":[{"dropping-particle":"","family":"Chauhan","given":"Vassiki","non-dropping-particle":"","parse-names":false,"suffix":""},{"dropping-particle":"","family":"Visconti di Oleggio Castello","given":"Matteo","non-dropping-particle":"","parse-names":false,"suffix":""},{"dropping-particle":"","family":"Soltani","given":"Alireza","non-dropping-particle":"","parse-names":false,"suffix":""},{"dropping-particle":"","family":"Gobbini","given":"Maria Ida","non-dropping-particle":"","parse-names":false,"suffix":""}],"container-title":"Frontiers in Psychology","id":"ITEM-1","issue":"MAY","issued":{"date-parts":[["2017","5","15"]]},"page":"1-11","title":"Social Saliency of the Cue Slows Attention Shifts","type":"article-journal","volume":"8"},"uris":["http://www.mendeley.com/documents/?uuid=3f9a7e43-afc0-4e79-ac34-4a0b5eb7ad6e"]}],"mendeley":{"formattedCitation":"(Chauhan et al., 2017)","manualFormatting":"Chauhan et al., (2017)","plainTextFormattedCitation":"(Chauhan et al., 2017)","previouslyFormattedCitation":"(Chauhan et al., 2017)"},"properties":{"noteIndex":0},"schema":"https://github.com/citation-style-language/schema/raw/master/csl-citation.json"}</w:instrText>
      </w:r>
      <w:r w:rsidR="005860FB" w:rsidRPr="00BD14B0">
        <w:fldChar w:fldCharType="separate"/>
      </w:r>
      <w:r w:rsidR="005860FB" w:rsidRPr="00BD14B0">
        <w:rPr>
          <w:noProof/>
        </w:rPr>
        <w:t>Chauhan et al., (2017)</w:t>
      </w:r>
      <w:r w:rsidR="005860FB" w:rsidRPr="00BD14B0">
        <w:fldChar w:fldCharType="end"/>
      </w:r>
      <w:r w:rsidR="00A31F1E" w:rsidRPr="00BD14B0">
        <w:t xml:space="preserve"> experiment to investigate the relocation of attention guided by personally familiar faces showed that there is a slower response to familiar faces compared to non-familiar faces due to familiar faces holding attention longer. Moreover, the slowed disengagement of attention caused by familiarity has been shown to override the advantage of faster detection of eye gaze shifts in familiar faces compared to non-familiar faces (Chauhan et al., 2017). Social categorization is one of the processes that occurs during social interaction </w:t>
      </w:r>
      <w:r w:rsidR="005860FB" w:rsidRPr="00BD14B0">
        <w:fldChar w:fldCharType="begin" w:fldLock="1"/>
      </w:r>
      <w:r w:rsidR="005860FB" w:rsidRPr="00BD14B0">
        <w:instrText>ADDIN CSL_CITATION {"citationItems":[{"id":"ITEM-1","itemData":{"author":[{"dropping-particle":"","family":"Fiske","given":"Susan","non-dropping-particle":"","parse-names":false,"suffix":""}],"container-title":"European journal of social psychology","id":"ITEM-1","issue":"3","issued":{"date-parts":[["2000"]]},"page":"299-322","title":"AGENDA 2000 - stereotyping, prejudice, and discrimination at the seam between the centuries: evolution, culture, mind and brain","type":"article-journal","volume":"30"},"uris":["http://www.mendeley.com/documents/?uuid=a2c3c9d9-8484-40c2-adec-471fc4f69d1f"]}],"mendeley":{"formattedCitation":"(Fiske, 2000)","plainTextFormattedCitation":"(Fiske, 2000)","previouslyFormattedCitation":"(Fiske, 2000)"},"properties":{"noteIndex":0},"schema":"https://github.com/citation-style-language/schema/raw/master/csl-citation.json"}</w:instrText>
      </w:r>
      <w:r w:rsidR="005860FB" w:rsidRPr="00BD14B0">
        <w:fldChar w:fldCharType="separate"/>
      </w:r>
      <w:r w:rsidR="005860FB" w:rsidRPr="00BD14B0">
        <w:rPr>
          <w:noProof/>
        </w:rPr>
        <w:t>(Fiske, 2000)</w:t>
      </w:r>
      <w:r w:rsidR="005860FB" w:rsidRPr="00BD14B0">
        <w:fldChar w:fldCharType="end"/>
      </w:r>
      <w:r w:rsidR="005860FB" w:rsidRPr="00BD14B0">
        <w:t xml:space="preserve">. </w:t>
      </w:r>
      <w:r w:rsidR="00A31F1E" w:rsidRPr="00BD14B0">
        <w:t>This general form of categorization is suggested to be a cognitive bias, a by-product of a more general system evolved for the fast detection of alliances</w:t>
      </w:r>
      <w:r w:rsidR="005860FB" w:rsidRPr="00BD14B0">
        <w:t xml:space="preserve"> </w:t>
      </w:r>
      <w:r w:rsidR="005860FB" w:rsidRPr="00BD14B0">
        <w:fldChar w:fldCharType="begin" w:fldLock="1"/>
      </w:r>
      <w:r w:rsidR="005860FB" w:rsidRPr="00BD14B0">
        <w:instrText>ADDIN CSL_CITATION {"citationItems":[{"id":"ITEM-1","itemData":{"DOI":"10.1073/pnas.251541498","ISBN":"00278424","ISSN":"0027-8424","PMID":"11742078","abstract":"Previous studies have established that people encode the race of each individual they encounter, and do so via computational processes that appear to be both automatic and mandatory. If true, this conclusion would be important, because categorizing others by their race is a precondition for treating them differently according to race. Here we report experiments, using unobtrusive measures, showing that categorizing individuals by race is not inevitable, and supporting an alternative hypothesis: that encoding by race is instead a reversible byproduct of cognitive machinery that evolved to detect coalitional alliances. The results show that subjects encode coalitional affiliations as a normal part of person representation. More importantly, when cues of coalitional affiliation no longer track or correspond to race, subjects markedly reduce the extent to which they categorize others by race, and indeed may cease doing so entirely. Despite a lifetime's experience of race as a predictor of social alliance, less than 4 min of exposure to an alternate social world was enough to deflate the tendency to categorize by race. These results suggest that racism may be a volatile and eradicable construct that persists only so long as it is actively maintained through being linked to parallel systems of social alliance.","author":[{"dropping-particle":"","family":"Kurzban","given":"R.","non-dropping-particle":"","parse-names":false,"suffix":""},{"dropping-particle":"","family":"Tooby","given":"J.","non-dropping-particle":"","parse-names":false,"suffix":""},{"dropping-particle":"","family":"Cosmides","given":"L.","non-dropping-particle":"","parse-names":false,"suffix":""}],"container-title":"Proceedings of the National Academy of Sciences","id":"ITEM-1","issue":"26","issued":{"date-parts":[["2001"]]},"page":"15387-15392","title":"Can race be erased? Coalitional computation and social categorization","type":"article-journal","volume":"98"},"uris":["http://www.mendeley.com/documents/?uuid=551060df-46e7-4c80-8991-a84ee61935de"]}],"mendeley":{"formattedCitation":"(Kurzban et al., 2001)","manualFormatting":"( see also, Kurzban et al., 2001)","plainTextFormattedCitation":"(Kurzban et al., 2001)","previouslyFormattedCitation":"(Kurzban et al., 2001)"},"properties":{"noteIndex":0},"schema":"https://github.com/citation-style-language/schema/raw/master/csl-citation.json"}</w:instrText>
      </w:r>
      <w:r w:rsidR="005860FB" w:rsidRPr="00BD14B0">
        <w:fldChar w:fldCharType="separate"/>
      </w:r>
      <w:r w:rsidR="005860FB" w:rsidRPr="00BD14B0">
        <w:rPr>
          <w:noProof/>
        </w:rPr>
        <w:t>( see also, Kurzban et al., 2001)</w:t>
      </w:r>
      <w:r w:rsidR="005860FB" w:rsidRPr="00BD14B0">
        <w:fldChar w:fldCharType="end"/>
      </w:r>
      <w:r w:rsidR="005860FB" w:rsidRPr="00BD14B0">
        <w:t xml:space="preserve">. </w:t>
      </w:r>
      <w:r w:rsidR="00A31F1E" w:rsidRPr="00BD14B0">
        <w:t>In summary, visual similarity helps people to evaluate other people’s faces quickly and, ultimately, these cues affect the strength of gaze cueing</w:t>
      </w:r>
      <w:r w:rsidR="00A31F1E" w:rsidRPr="00BD14B0">
        <w:rPr>
          <w:b/>
          <w:bCs/>
        </w:rPr>
        <w:t>.</w:t>
      </w:r>
    </w:p>
    <w:p w14:paraId="7427F057" w14:textId="2EABB7D6" w:rsidR="003D7E1F" w:rsidRPr="00BD14B0" w:rsidRDefault="00784D6C" w:rsidP="00553E01">
      <w:r w:rsidRPr="00BD14B0">
        <w:tab/>
        <w:t xml:space="preserve">In real-world interactions, the determination of the social context is not always only guided by visual similarity. Social context can also be learned episodically and stored in memory. Human beings as social animals interact with each other on a daily basis and these interactions are much more complicated and informative than purely visual cues. Indeed, studies demonstrate that manipulating the semantic knowledge about the person that we are interacting </w:t>
      </w:r>
      <w:r w:rsidR="000734C6" w:rsidRPr="00BD14B0">
        <w:t xml:space="preserve">with </w:t>
      </w:r>
      <w:r w:rsidRPr="00BD14B0">
        <w:t xml:space="preserve">can be as significant as available visual clues. For example, in gaze cueing studies conducted with monkeys, social status information is gathered from psychical dominance; in contrast, with humans this information is obtained from personal information such as educational qualifications and </w:t>
      </w:r>
      <w:r w:rsidR="003D7E1F" w:rsidRPr="00BD14B0">
        <w:t xml:space="preserve">wealth </w:t>
      </w:r>
      <w:r w:rsidR="005860FB" w:rsidRPr="00BD14B0">
        <w:fldChar w:fldCharType="begin" w:fldLock="1"/>
      </w:r>
      <w:r w:rsidR="005860FB" w:rsidRPr="00BD14B0">
        <w:instrText>ADDIN CSL_CITATION {"citationItems":[{"id":"ITEM-1","itemData":{"DOI":"10.1371/journal.pone.0093139","ISSN":"1932-6203","abstract":"Fixating someone suddenly moving the eyes is known to trigger a corresponding shift of attention in the observer. This phenomenon, known as gaze-cueing effect, can be modulated as a function of the social status of the individual depicted in the cueing face. Here, in two experiments, we investigated the temporal dynamics underlying this modulation. To this end, a gaze-cueing paradigm was implemented in which centrally-placed faces depicting high-and low-status individuals suddenly shifted the eyes towards a location either spatially congruent or incongruent with that occupied by a subsequent target stimulus. Social status was manipulated by presenting fictive Curriculum Vitae before the experimental phase. In Experiment 1, in which two temporal intervals (50 ms vs. 900 ms) occurred between the direct-gaze face and the averted-gaze face onsets, a stronger gaze-cueing effect in response to high-status faces than low-status faces was observed, irrespective of the time participants were allowed for extracting social information. In Experiment 2, in which two temporal intervals (200 ms vs. 1000 ms) occurred between the averted-gaze face and target onset, a stronger gaze cueing for high-status faces was observed at the shorter interval only. Taken together, these results suggest that information regarding social status is extracted from faces rapidly (Experiment 1), and that the tendency to selectively attend to the locations gazed by high-status individuals may decay with time (Experiment 2).","author":[{"dropping-particle":"","family":"Dalmaso","given":"Mario","non-dropping-particle":"","parse-names":false,"suffix":""},{"dropping-particle":"","family":"Galfano","given":"Giovanni","non-dropping-particle":"","parse-names":false,"suffix":""},{"dropping-particle":"","family":"Coricelli","given":"Carol","non-dropping-particle":"","parse-names":false,"suffix":""},{"dropping-particle":"","family":"Castelli","given":"Luigi","non-dropping-particle":"","parse-names":false,"suffix":""}],"container-title":"PLoS ONE","editor":[{"dropping-particle":"","family":"Senju","given":"Atsushi","non-dropping-particle":"","parse-names":false,"suffix":""}],"id":"ITEM-1","issue":"3","issued":{"date-parts":[["2014","3","25"]]},"note":"Times Cited: 1\n1","page":"e93139","title":"Temporal Dynamics Underlying the Modulation of Social Status on Social Attention","type":"article-journal","volume":"9"},"uris":["http://www.mendeley.com/documents/?uuid=a8c97fd0-ac78-49e7-9a2a-c01e19f02d94"]}],"mendeley":{"formattedCitation":"(Dalmaso et al., 2014)","plainTextFormattedCitation":"(Dalmaso et al., 2014)","previouslyFormattedCitation":"(Dalmaso et al., 2014)"},"properties":{"noteIndex":0},"schema":"https://github.com/citation-style-language/schema/raw/master/csl-citation.json"}</w:instrText>
      </w:r>
      <w:r w:rsidR="005860FB" w:rsidRPr="00BD14B0">
        <w:fldChar w:fldCharType="separate"/>
      </w:r>
      <w:r w:rsidR="005860FB" w:rsidRPr="00BD14B0">
        <w:rPr>
          <w:noProof/>
        </w:rPr>
        <w:t>(Dalmaso et al., 2014)</w:t>
      </w:r>
      <w:r w:rsidR="005860FB" w:rsidRPr="00BD14B0">
        <w:fldChar w:fldCharType="end"/>
      </w:r>
      <w:r w:rsidR="005860FB" w:rsidRPr="00BD14B0">
        <w:t xml:space="preserve"> </w:t>
      </w:r>
      <w:r w:rsidR="003D7E1F" w:rsidRPr="00BD14B0">
        <w:t xml:space="preserve">as well as </w:t>
      </w:r>
      <w:r w:rsidR="003D7E1F" w:rsidRPr="00BD14B0">
        <w:lastRenderedPageBreak/>
        <w:t xml:space="preserve">visual representations of social similarity like age </w:t>
      </w:r>
      <w:r w:rsidR="005860FB" w:rsidRPr="00BD14B0">
        <w:fldChar w:fldCharType="begin" w:fldLock="1"/>
      </w:r>
      <w:r w:rsidR="005860FB" w:rsidRPr="00BD14B0">
        <w:instrText>ADDIN CSL_CITATION {"citationItems":[{"id":"ITEM-1","itemData":{"DOI":"10.1038/srep04746","ISSN":"20452322","PMID":"24752250","abstract":"Gaze-following behaviour is considered crucial for social interactions which are influenced by social similarity. We investigated whether the degree of similarity, as indicated by the perceived age of another person, can modulate gaze following. Participants of three different age-groups (18-25; 35-45; over 65) performed an eye movement (a saccade) towards an instructed target while ignoring the gaze-shift of distracters of different age-ranges (6-10; 18-25; 35-45; over 70). The results show that gaze following was modulated by the distracter face age only for young adults. Particularly, the over 70 year-old distracters exerted the least interference effect. The distracters of a similar age-range as the young adults (18-25; 35-45) had the most effect, indicating a blurred own-age bias (OAB) only for the young age group. These findings suggest that face age can modulate gaze following, but this modulation could be due to factors other than just OAB (e.g., familiarity).","author":[{"dropping-particle":"","family":"Ciardo","given":"Francesca","non-dropping-particle":"","parse-names":false,"suffix":""},{"dropping-particle":"","family":"Marino","given":"Barbara F M","non-dropping-particle":"","parse-names":false,"suffix":""},{"dropping-particle":"","family":"Actis-Grosso","given":"Rossana","non-dropping-particle":"","parse-names":false,"suffix":""},{"dropping-particle":"","family":"Rossetti","given":"Angela","non-dropping-particle":"","parse-names":false,"suffix":""},{"dropping-particle":"","family":"Ricciardelli","given":"Paola","non-dropping-particle":"","parse-names":false,"suffix":""}],"container-title":"Scientific Reports","id":"ITEM-1","issue":"1","issued":{"date-parts":[["2014","5","22"]]},"note":"From Duplicate 2 (Face age modulates gaze following in young adults - Ciardo, Francesca; Marino, Barbara F M; Actis-Grosso, Rossana; Rossetti, Angela; Ricciardelli, Paola)\n\nTimes Cited: 1\n1","page":"4746","title":"Face age modulates gaze following in young adults","type":"article-journal","volume":"4"},"uris":["http://www.mendeley.com/documents/?uuid=367b0eac-3631-40b2-b368-ecad7ed0c403"]}],"mendeley":{"formattedCitation":"(Ciardo et al., 2014)","plainTextFormattedCitation":"(Ciardo et al., 2014)","previouslyFormattedCitation":"(Ciardo et al., 2014)"},"properties":{"noteIndex":0},"schema":"https://github.com/citation-style-language/schema/raw/master/csl-citation.json"}</w:instrText>
      </w:r>
      <w:r w:rsidR="005860FB" w:rsidRPr="00BD14B0">
        <w:fldChar w:fldCharType="separate"/>
      </w:r>
      <w:r w:rsidR="005860FB" w:rsidRPr="00BD14B0">
        <w:rPr>
          <w:noProof/>
        </w:rPr>
        <w:t>(Ciardo et al., 2014)</w:t>
      </w:r>
      <w:r w:rsidR="005860FB" w:rsidRPr="00BD14B0">
        <w:fldChar w:fldCharType="end"/>
      </w:r>
      <w:r w:rsidR="005860FB" w:rsidRPr="00BD14B0">
        <w:t xml:space="preserve">. </w:t>
      </w:r>
      <w:r w:rsidR="003D7E1F" w:rsidRPr="00BD14B0">
        <w:t xml:space="preserve">Gaze cueing studies, including those with human participants, have altered the level of social status with visual cues as of the observed face in addition to semantic knowledge about the gazer </w:t>
      </w:r>
      <w:r w:rsidR="005860FB" w:rsidRPr="00BD14B0">
        <w:fldChar w:fldCharType="begin" w:fldLock="1"/>
      </w:r>
      <w:r w:rsidR="005860FB" w:rsidRPr="00BD14B0">
        <w:instrText>ADDIN CSL_CITATION {"citationItems":[{"id":"ITEM-1","itemData":{"DOI":"10.1371/journal.pone.0093139","ISSN":"1932-6203","abstract":"Fixating someone suddenly moving the eyes is known to trigger a corresponding shift of attention in the observer. This phenomenon, known as gaze-cueing effect, can be modulated as a function of the social status of the individual depicted in the cueing face. Here, in two experiments, we investigated the temporal dynamics underlying this modulation. To this end, a gaze-cueing paradigm was implemented in which centrally-placed faces depicting high-and low-status individuals suddenly shifted the eyes towards a location either spatially congruent or incongruent with that occupied by a subsequent target stimulus. Social status was manipulated by presenting fictive Curriculum Vitae before the experimental phase. In Experiment 1, in which two temporal intervals (50 ms vs. 900 ms) occurred between the direct-gaze face and the averted-gaze face onsets, a stronger gaze-cueing effect in response to high-status faces than low-status faces was observed, irrespective of the time participants were allowed for extracting social information. In Experiment 2, in which two temporal intervals (200 ms vs. 1000 ms) occurred between the averted-gaze face and target onset, a stronger gaze cueing for high-status faces was observed at the shorter interval only. Taken together, these results suggest that information regarding social status is extracted from faces rapidly (Experiment 1), and that the tendency to selectively attend to the locations gazed by high-status individuals may decay with time (Experiment 2).","author":[{"dropping-particle":"","family":"Dalmaso","given":"Mario","non-dropping-particle":"","parse-names":false,"suffix":""},{"dropping-particle":"","family":"Galfano","given":"Giovanni","non-dropping-particle":"","parse-names":false,"suffix":""},{"dropping-particle":"","family":"Coricelli","given":"Carol","non-dropping-particle":"","parse-names":false,"suffix":""},{"dropping-particle":"","family":"Castelli","given":"Luigi","non-dropping-particle":"","parse-names":false,"suffix":""}],"container-title":"PLoS ONE","editor":[{"dropping-particle":"","family":"Senju","given":"Atsushi","non-dropping-particle":"","parse-names":false,"suffix":""}],"id":"ITEM-1","issue":"3","issued":{"date-parts":[["2014","3","25"]]},"note":"Times Cited: 1\n1","page":"e93139","title":"Temporal Dynamics Underlying the Modulation of Social Status on Social Attention","type":"article-journal","volume":"9"},"uris":["http://www.mendeley.com/documents/?uuid=a8c97fd0-ac78-49e7-9a2a-c01e19f02d94"]},{"id":"ITEM-2","itemData":{"DOI":"10.1098/rsbl.2011.0881","ISBN":"0960-9822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Letters","id":"ITEM-2","issue":"3","issued":{"date-parts":[["2012","6","23"]]},"page":"450-452","title":"Social status gates social attention in humans","type":"article-journal","volume":"8"},"uris":["http://www.mendeley.com/documents/?uuid=b7f6444c-76cb-4601-8187-f22420080e98"]}],"mendeley":{"formattedCitation":"(Dalmaso et al., 2012a, 2014)","plainTextFormattedCitation":"(Dalmaso et al., 2012a, 2014)","previouslyFormattedCitation":"(Dalmaso et al., 2012a, 2014)"},"properties":{"noteIndex":0},"schema":"https://github.com/citation-style-language/schema/raw/master/csl-citation.json"}</w:instrText>
      </w:r>
      <w:r w:rsidR="005860FB" w:rsidRPr="00BD14B0">
        <w:fldChar w:fldCharType="separate"/>
      </w:r>
      <w:r w:rsidR="005860FB" w:rsidRPr="00BD14B0">
        <w:rPr>
          <w:noProof/>
        </w:rPr>
        <w:t>(Dalmaso et al., 2012a, 2014)</w:t>
      </w:r>
      <w:r w:rsidR="005860FB" w:rsidRPr="00BD14B0">
        <w:fldChar w:fldCharType="end"/>
      </w:r>
      <w:r w:rsidR="005860FB" w:rsidRPr="00BD14B0">
        <w:t>.</w:t>
      </w:r>
    </w:p>
    <w:p w14:paraId="6C9A8B56" w14:textId="5ECC590D" w:rsidR="00784D6C" w:rsidRPr="00BD14B0" w:rsidRDefault="003D7E1F" w:rsidP="00553E01">
      <w:r w:rsidRPr="00BD14B0">
        <w:tab/>
      </w:r>
      <w:r w:rsidR="000734C6" w:rsidRPr="00BD14B0">
        <w:t>Using v</w:t>
      </w:r>
      <w:r w:rsidR="00784D6C" w:rsidRPr="00BD14B0">
        <w:t xml:space="preserve">isual cues about the gazer is beneficial </w:t>
      </w:r>
      <w:r w:rsidR="000734C6" w:rsidRPr="00BD14B0">
        <w:t xml:space="preserve">in </w:t>
      </w:r>
      <w:r w:rsidR="00784D6C" w:rsidRPr="00BD14B0">
        <w:t xml:space="preserve">research because it is easily observable. This makes it possible to study reactions to in-group and out-group members in the context of social attention. Experimental research paradigms which are frequently used in social attention studies require large numbers of trials with different stimulus-response combinations for trustworthy measurement. Therefore, visual cues are suitable for the methodology for social attention studies. </w:t>
      </w:r>
      <w:r w:rsidR="000734C6" w:rsidRPr="00BD14B0">
        <w:t xml:space="preserve">However, a </w:t>
      </w:r>
      <w:r w:rsidR="00784D6C" w:rsidRPr="00BD14B0">
        <w:t>disadvantage of this approach is that the dependence on current group memberships makes it difficult to eliminate alternative explanations for differential responses, such as genetic overlap, ethnic or cultural similarity, familiarity, or liking</w:t>
      </w:r>
      <w:r w:rsidRPr="00BD14B0">
        <w:t xml:space="preserve"> </w:t>
      </w:r>
      <w:r w:rsidR="005860FB" w:rsidRPr="00BD14B0">
        <w:fldChar w:fldCharType="begin" w:fldLock="1"/>
      </w:r>
      <w:r w:rsidR="003E4FE5" w:rsidRPr="00BD14B0">
        <w:instrText>ADDIN CSL_CITATION {"citationItems":[{"id":"ITEM-1","itemData":{"DOI":"10.1093/scan/nss118","ISSN":"1749-5016","author":[{"dropping-particle":"","family":"Nunspeet","given":"F","non-dropping-particle":"van","parse-names":false,"suffix":""},{"dropping-particle":"","family":"Ellemers","given":"N","non-dropping-particle":"","parse-names":false,"suffix":""},{"dropping-particle":"","family":"Derks","given":"B","non-dropping-particle":"","parse-names":false,"suffix":""},{"dropping-particle":"","family":"Nieuwenhuis","given":"S","non-dropping-particle":"","parse-names":false,"suffix":""}],"container-title":"Soc. Cogn. Affect. Neurosci.","id":"ITEM-1","issue":"2","issued":{"date-parts":[["2014"]]},"page":"141-149","title":"Moral concerns increase attention and response monitoring during IAT performance: ERP evidence","type":"article-journal","volume":"9"},"uris":["http://www.mendeley.com/documents/?uuid=a0289262-08c9-4ba5-b3c6-4915beda0253"]}],"mendeley":{"formattedCitation":"(van Nunspeet et al., 2014)","plainTextFormattedCitation":"(van Nunspeet et al., 2014)","previouslyFormattedCitation":"(van Nunspeet et al., 2014)"},"properties":{"noteIndex":0},"schema":"https://github.com/citation-style-language/schema/raw/master/csl-citation.json"}</w:instrText>
      </w:r>
      <w:r w:rsidR="005860FB" w:rsidRPr="00BD14B0">
        <w:fldChar w:fldCharType="separate"/>
      </w:r>
      <w:r w:rsidR="005860FB" w:rsidRPr="00BD14B0">
        <w:rPr>
          <w:noProof/>
        </w:rPr>
        <w:t>(van Nunspeet et al., 2014)</w:t>
      </w:r>
      <w:r w:rsidR="005860FB" w:rsidRPr="00BD14B0">
        <w:fldChar w:fldCharType="end"/>
      </w:r>
      <w:r w:rsidR="005860FB" w:rsidRPr="00BD14B0">
        <w:t xml:space="preserve">. </w:t>
      </w:r>
      <w:r w:rsidR="00784D6C" w:rsidRPr="00BD14B0">
        <w:t xml:space="preserve">Additionally, categorisation based on visual cues does not accurately represent the group formation dynamics when it is not combined with </w:t>
      </w:r>
      <w:r w:rsidR="000734C6" w:rsidRPr="00BD14B0">
        <w:t xml:space="preserve">contextual </w:t>
      </w:r>
      <w:r w:rsidR="00784D6C" w:rsidRPr="00BD14B0">
        <w:t xml:space="preserve">social cues. Hence it is essential to examine the effect of social cues on group membership to increase the generalisability of social attention research on this topic. </w:t>
      </w:r>
    </w:p>
    <w:p w14:paraId="02FC1A32" w14:textId="34889003" w:rsidR="00636037" w:rsidRPr="00BD14B0" w:rsidRDefault="00784D6C" w:rsidP="00636037">
      <w:r w:rsidRPr="00BD14B0">
        <w:tab/>
        <w:t xml:space="preserve">Social group belonging does not depend on visual information. In real life interactions, people belong to groups in different social contexts such as their jobs, the sports team they support, etc. For example, group membership of a particular school, sports </w:t>
      </w:r>
      <w:proofErr w:type="gramStart"/>
      <w:r w:rsidRPr="00BD14B0">
        <w:t>teams</w:t>
      </w:r>
      <w:proofErr w:type="gramEnd"/>
      <w:r w:rsidRPr="00BD14B0">
        <w:t xml:space="preserve"> or a company with people from different age</w:t>
      </w:r>
      <w:r w:rsidR="000734C6" w:rsidRPr="00BD14B0">
        <w:t>s</w:t>
      </w:r>
      <w:r w:rsidRPr="00BD14B0">
        <w:t>, sex or race can also affect attentional orienting. Immediate judgments about a face can lead to an in-group or out-group assignment that ultimately defines the perceiver's processing strategy</w:t>
      </w:r>
      <w:r w:rsidR="003D7E1F" w:rsidRPr="00BD14B0">
        <w:t xml:space="preserve"> </w:t>
      </w:r>
      <w:r w:rsidR="003D7E1F" w:rsidRPr="00BD14B0">
        <w:fldChar w:fldCharType="begin" w:fldLock="1"/>
      </w:r>
      <w:r w:rsidR="004D2901" w:rsidRPr="00BD14B0">
        <w:instrText>ADDIN CSL_CITATION {"citationItems":[{"id":"ITEM-1","itemData":{"DOI":"10.1038//1076-8971.7.1.36","ISSN":"1076-8971","abstract":"Studies of the recognition of faces of an ethnic group different from one's own reveal a robust recognition deficit for faces of the respective out-group (cross-race effect or own-race bias) and a tendency to respond less cautiously with respect to out-group faces. Cross-national comparisons reveal that the cross-race effect appears to be larger among low-contact groups. Although exemplar-based models postulating a multidimensional face space are currently in vogue, some of the more traditional accounts (e.g., the contact hypothesis) should not be dismissed prematurely. An extended exemplar-based model that relates the out-group recognition deficit to the out-group homogeneity effect in social perception and judgment appears promising. An in-group/out-group model (IOM) of face processing is proposed that includes aspects of previous theories and derives new predictions (e.g., a cross-sex or cross-age effect). The IOM attempts to account for the out-group recognition deficit and the more lax response criterion with respect to out-group faces.","author":[{"dropping-particle":"","family":"Sporer","given":"S L","non-dropping-particle":"","parse-names":false,"suffix":""}],"container-title":"Psychology Public Policy and Law","id":"ITEM-1","issue":"1","issued":{"date-parts":[["2001"]]},"note":"Times Cited: 200\n204","page":"36-97","title":"Recognizing faces of other ethnic groups - An integration of theories","type":"article-journal","volume":"7"},"uris":["http://www.mendeley.com/documents/?uuid=21dd78fa-9fcc-4944-862a-d84640b94525"]}],"mendeley":{"formattedCitation":"(Sporer, 2001)","plainTextFormattedCitation":"(Sporer, 2001)","previouslyFormattedCitation":"(Sporer, 2001)"},"properties":{"noteIndex":0},"schema":"https://github.com/citation-style-language/schema/raw/master/csl-citation.json"}</w:instrText>
      </w:r>
      <w:r w:rsidR="003D7E1F" w:rsidRPr="00BD14B0">
        <w:fldChar w:fldCharType="separate"/>
      </w:r>
      <w:r w:rsidR="003D7E1F" w:rsidRPr="00BD14B0">
        <w:rPr>
          <w:noProof/>
        </w:rPr>
        <w:t>(Sporer, 2001)</w:t>
      </w:r>
      <w:r w:rsidR="003D7E1F" w:rsidRPr="00BD14B0">
        <w:fldChar w:fldCharType="end"/>
      </w:r>
      <w:r w:rsidR="00C42D9E" w:rsidRPr="00BD14B0">
        <w:t xml:space="preserve">. </w:t>
      </w:r>
      <w:r w:rsidRPr="00BD14B0">
        <w:t xml:space="preserve">In </w:t>
      </w:r>
      <w:r w:rsidR="00C42D9E" w:rsidRPr="00BD14B0">
        <w:fldChar w:fldCharType="begin" w:fldLock="1"/>
      </w:r>
      <w:r w:rsidR="004D2901" w:rsidRPr="00BD14B0">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2011)","manualFormatting":"Pavan et al., (2011)","plainTextFormattedCitation":"(Pavan et al., 2011)","previouslyFormattedCitation":"(Pavan et al., 2011)"},"properties":{"noteIndex":0},"schema":"https://github.com/citation-style-language/schema/raw/master/csl-citation.json"}</w:instrText>
      </w:r>
      <w:r w:rsidR="00C42D9E" w:rsidRPr="00BD14B0">
        <w:fldChar w:fldCharType="separate"/>
      </w:r>
      <w:r w:rsidR="00C42D9E" w:rsidRPr="00BD14B0">
        <w:rPr>
          <w:noProof/>
        </w:rPr>
        <w:t>Pavan et al., (2011)</w:t>
      </w:r>
      <w:r w:rsidR="00C42D9E" w:rsidRPr="00BD14B0">
        <w:fldChar w:fldCharType="end"/>
      </w:r>
      <w:r w:rsidR="00C42D9E" w:rsidRPr="00BD14B0">
        <w:t xml:space="preserve"> </w:t>
      </w:r>
      <w:r w:rsidRPr="00BD14B0">
        <w:t>gaze cueing study on the effect of group membership on attentional shifts, participants were presented with both black and white faces either cueing right or left side of the screen. Participants were students with typically liberal attitudes and representing both races. White participants showed enhanced gaze cueing effect to white faces compared to black faces</w:t>
      </w:r>
      <w:r w:rsidR="000734C6" w:rsidRPr="00BD14B0">
        <w:t>;</w:t>
      </w:r>
      <w:r w:rsidRPr="00BD14B0">
        <w:t xml:space="preserve"> however</w:t>
      </w:r>
      <w:r w:rsidR="000734C6" w:rsidRPr="00BD14B0">
        <w:t>,</w:t>
      </w:r>
      <w:r w:rsidRPr="00BD14B0">
        <w:t xml:space="preserve"> this </w:t>
      </w:r>
      <w:r w:rsidR="00076C9F" w:rsidRPr="00BD14B0">
        <w:t>effect</w:t>
      </w:r>
      <w:r w:rsidRPr="00BD14B0">
        <w:t xml:space="preserve"> was not present for the black participants. Enhanced gaze cueing effect for in-group faces emerged only for participants who belonged to the majority group (white participants). In daily life, social group </w:t>
      </w:r>
      <w:r w:rsidRPr="00BD14B0">
        <w:lastRenderedPageBreak/>
        <w:t xml:space="preserve">membership is not only determined by visual cues, but also a variety of perceptual </w:t>
      </w:r>
      <w:r w:rsidR="00076C9F" w:rsidRPr="00BD14B0">
        <w:t>cues (</w:t>
      </w:r>
      <w:proofErr w:type="spellStart"/>
      <w:r w:rsidR="00C42D9E" w:rsidRPr="00BD14B0">
        <w:t>Dalmaso</w:t>
      </w:r>
      <w:proofErr w:type="spellEnd"/>
      <w:r w:rsidR="00C42D9E" w:rsidRPr="00BD14B0">
        <w:t xml:space="preserve"> et al., 2014)</w:t>
      </w:r>
      <w:r w:rsidRPr="00BD14B0">
        <w:t xml:space="preserve">. Indeed, social categorization theories aiming to explain elicit performance differences for in-group and out-group face recognition have shown that even </w:t>
      </w:r>
      <w:r w:rsidR="00933A52" w:rsidRPr="00BD14B0">
        <w:t xml:space="preserve">a </w:t>
      </w:r>
      <w:r w:rsidRPr="00BD14B0">
        <w:t xml:space="preserve">group paradigm </w:t>
      </w:r>
      <w:r w:rsidR="00933A52" w:rsidRPr="00BD14B0">
        <w:t xml:space="preserve">can </w:t>
      </w:r>
      <w:r w:rsidRPr="00BD14B0">
        <w:t xml:space="preserve">create a difference. Research conducted on the minimal group paradigm </w:t>
      </w:r>
      <w:r w:rsidR="00933A52" w:rsidRPr="00BD14B0">
        <w:t xml:space="preserve">seeks to identify </w:t>
      </w:r>
      <w:r w:rsidRPr="00BD14B0">
        <w:t>the minimal conditions required for discrimination to occur between groups</w:t>
      </w:r>
      <w:r w:rsidR="00933A52" w:rsidRPr="00BD14B0">
        <w:t>. Previous research has</w:t>
      </w:r>
      <w:r w:rsidRPr="00BD14B0">
        <w:t xml:space="preserve"> show</w:t>
      </w:r>
      <w:r w:rsidR="00933A52" w:rsidRPr="00BD14B0">
        <w:t>n</w:t>
      </w:r>
      <w:r w:rsidRPr="00BD14B0">
        <w:t xml:space="preserve"> that visual similarity is not sufficient to differentiate face recognition since it happens when there is no visual representation of group belonging. </w:t>
      </w:r>
      <w:r w:rsidR="00636037" w:rsidRPr="00BD14B0">
        <w:t xml:space="preserve">For example, </w:t>
      </w:r>
      <w:r w:rsidR="00636037" w:rsidRPr="00BD14B0">
        <w:fldChar w:fldCharType="begin" w:fldLock="1"/>
      </w:r>
      <w:r w:rsidR="00636037" w:rsidRPr="00BD14B0">
        <w:instrText>ADDIN CSL_CITATION {"citationItems":[{"id":"ITEM-1","itemData":{"DOI":"10.1007/s10339-016-0785-2","ISSN":"1612-4782","PMID":"27837290","abstract":"Humans typically exhibit a tendency to follow the gaze of conspecifics, a social attention behaviour known as gaze cueing. Here, we addressed whether episodically learned social knowledge about the behaviours performed by the individual bearing the gaze can influence this phenomenon. In a learning phase, different faces were systematically associated with either positive or negative behaviours. The same faces were then used as stimuli in a gaze-cueing task. The results showed that faces associated with antisocial norm-violating behaviours triggered stronger gaze-cueing effects as compared to faces associated with sociable behaviours. Importantly, this was especially evident for participants who perceived the presented norm-violating behaviours as far more negative as compared to positive behaviours. These findings suggest that reflexive attentional responses can be affected by our appraisal of the valence of the behaviours of individuals around us.","author":[{"dropping-particle":"","family":"Carraro","given":"Luciana","non-dropping-particle":"","parse-names":false,"suffix":""},{"dropping-particle":"","family":"Dalmaso","given":"Mario","non-dropping-particle":"","parse-names":false,"suffix":""},{"dropping-particle":"","family":"Castelli","given":"Luigi","non-dropping-particle":"","parse-names":false,"suffix":""},{"dropping-particle":"","family":"Galfano","given":"Giovanni","non-dropping-particle":"","parse-names":false,"suffix":""},{"dropping-particle":"","family":"Bobbio","given":"Andrea","non-dropping-particle":"","parse-names":false,"suffix":""},{"dropping-particle":"","family":"Mantovani","given":"Gabriele","non-dropping-particle":"","parse-names":false,"suffix":""}],"container-title":"Cognitive Processing","id":"ITEM-1","issue":"1","issued":{"date-parts":[["2017","2","11"]]},"page":"97-103","publisher":"Springer Berlin Heidelberg","title":"The appeal of the devil’s eye: social evaluation affects social attention","type":"article-journal","volume":"18"},"uris":["http://www.mendeley.com/documents/?uuid=e984c176-0ffd-4640-b7a7-63b2bb2a7e78"]}],"mendeley":{"formattedCitation":"(Carraro et al., 2017)","manualFormatting":"Carraro et al. (2017)","plainTextFormattedCitation":"(Carraro et al., 2017)","previouslyFormattedCitation":"(Carraro et al., 2017)"},"properties":{"noteIndex":0},"schema":"https://github.com/citation-style-language/schema/raw/master/csl-citation.json"}</w:instrText>
      </w:r>
      <w:r w:rsidR="00636037" w:rsidRPr="00BD14B0">
        <w:fldChar w:fldCharType="separate"/>
      </w:r>
      <w:r w:rsidR="00636037" w:rsidRPr="00BD14B0">
        <w:rPr>
          <w:noProof/>
        </w:rPr>
        <w:t>Carraro et al. (2017)</w:t>
      </w:r>
      <w:r w:rsidR="00636037" w:rsidRPr="00BD14B0">
        <w:fldChar w:fldCharType="end"/>
      </w:r>
      <w:r w:rsidR="00636037" w:rsidRPr="00BD14B0">
        <w:t xml:space="preserve"> suggested that reflexive attentional responses were affected by whether the observed face was associated with norm-violating behaviour or sociable behaviour. In their study, they first associated some face pictures with either negative or positive behaviour to see if episodically learned observation of a previous behaviour would affect the gaze cueing task. Later, those faces were used in a classic gaze cueing paradigm. Results indicated that faces associated with negative behaviour triggered a stronger gaze cueing effect compared to the faces associated with positive behaviour </w:t>
      </w:r>
      <w:r w:rsidR="00636037" w:rsidRPr="00BD14B0">
        <w:fldChar w:fldCharType="begin" w:fldLock="1"/>
      </w:r>
      <w:r w:rsidR="004D2901" w:rsidRPr="00BD14B0">
        <w:instrText>ADDIN CSL_CITATION {"citationItems":[{"id":"ITEM-1","itemData":{"DOI":"10.1007/s10339-016-0785-2","ISSN":"1612-4782","PMID":"27837290","abstract":"Humans typically exhibit a tendency to follow the gaze of conspecifics, a social attention behaviour known as gaze cueing. Here, we addressed whether episodically learned social knowledge about the behaviours performed by the individual bearing the gaze can influence this phenomenon. In a learning phase, different faces were systematically associated with either positive or negative behaviours. The same faces were then used as stimuli in a gaze-cueing task. The results showed that faces associated with antisocial norm-violating behaviours triggered stronger gaze-cueing effects as compared to faces associated with sociable behaviours. Importantly, this was especially evident for participants who perceived the presented norm-violating behaviours as far more negative as compared to positive behaviours. These findings suggest that reflexive attentional responses can be affected by our appraisal of the valence of the behaviours of individuals around us.","author":[{"dropping-particle":"","family":"Carraro","given":"Luciana","non-dropping-particle":"","parse-names":false,"suffix":""},{"dropping-particle":"","family":"Dalmaso","given":"Mario","non-dropping-particle":"","parse-names":false,"suffix":""},{"dropping-particle":"","family":"Castelli","given":"Luigi","non-dropping-particle":"","parse-names":false,"suffix":""},{"dropping-particle":"","family":"Galfano","given":"Giovanni","non-dropping-particle":"","parse-names":false,"suffix":""},{"dropping-particle":"","family":"Bobbio","given":"Andrea","non-dropping-particle":"","parse-names":false,"suffix":""},{"dropping-particle":"","family":"Mantovani","given":"Gabriele","non-dropping-particle":"","parse-names":false,"suffix":""}],"container-title":"Cognitive Processing","id":"ITEM-1","issue":"1","issued":{"date-parts":[["2017","2","11"]]},"page":"97-103","publisher":"Springer Berlin Heidelberg","title":"The appeal of the devil’s eye: social evaluation affects social attention","type":"article-journal","volume":"18"},"uris":["http://www.mendeley.com/documents/?uuid=e984c176-0ffd-4640-b7a7-63b2bb2a7e78"]}],"mendeley":{"formattedCitation":"(Carraro et al., 2017)","plainTextFormattedCitation":"(Carraro et al., 2017)","previouslyFormattedCitation":"(Carraro et al., 2017)"},"properties":{"noteIndex":0},"schema":"https://github.com/citation-style-language/schema/raw/master/csl-citation.json"}</w:instrText>
      </w:r>
      <w:r w:rsidR="00636037" w:rsidRPr="00BD14B0">
        <w:fldChar w:fldCharType="separate"/>
      </w:r>
      <w:r w:rsidR="00636037" w:rsidRPr="00BD14B0">
        <w:rPr>
          <w:noProof/>
        </w:rPr>
        <w:t>(Carraro et al., 2017)</w:t>
      </w:r>
      <w:r w:rsidR="00636037" w:rsidRPr="00BD14B0">
        <w:fldChar w:fldCharType="end"/>
      </w:r>
      <w:r w:rsidR="00636037" w:rsidRPr="00BD14B0">
        <w:t xml:space="preserve">. Similar to previous research, social factors were found to moderate attentional processes and increase the tendency to follow the gaze direction of the perceived person. Evolutionarily, it is feasible to be more influenced by ingroup members or trustworthy and powerful individuals since it increases the likelihood of detecting relevant stimuli and increases the likelihood of adaptability to the environment. </w:t>
      </w:r>
    </w:p>
    <w:p w14:paraId="5CC63166" w14:textId="1C85A12B" w:rsidR="00784D6C" w:rsidRPr="00BD14B0" w:rsidRDefault="00784D6C" w:rsidP="00553E01">
      <w:r w:rsidRPr="00BD14B0">
        <w:tab/>
        <w:t xml:space="preserve">The previous studies from the literature have focused on facial features to indicate the grouping variable or they have totally ignored the social factor of groups. This has resulted in a lack of knowledge on the effect of social context for the explanation or modelling of gaze-following behaviour. However, social behaviours are considered complex and the social categorization systems are not always based on visual representations. In the literature, there is little research that seeks to explain social group belonging (belonging to a particular group that cannot be defined by how the members of it look like). Although it has been shown that visual similarity is effective to assign a person to a particular group, social psychology literature suggests that </w:t>
      </w:r>
      <w:proofErr w:type="spellStart"/>
      <w:r w:rsidRPr="00BD14B0">
        <w:t>perceptional</w:t>
      </w:r>
      <w:proofErr w:type="spellEnd"/>
      <w:r w:rsidRPr="00BD14B0">
        <w:t xml:space="preserve"> knowledge about the person is another indicator to assign them to a particular social group. This subject is poorly understood. </w:t>
      </w:r>
      <w:r w:rsidRPr="00BD14B0">
        <w:fldChar w:fldCharType="begin" w:fldLock="1"/>
      </w:r>
      <w:r w:rsidRPr="00BD14B0">
        <w:instrText>ADDIN CSL_CITATION {"citationItems":[{"id":"ITEM-1","itemData":{"DOI":"10.3389/fpsyg.2017.00738","ISBN":"1664-1078","ISSN":"1664-1078","abstract":"Eye gaze is a powerful cue that indicates where another person's attention is directed in the environment. Seeing another person's eye gaze shift spontaneously and reflexively elicits a shift of one's own attention to the same region in space. Here, we investigated whether reallocation of attention in the direction of eye gaze is modulated by personal familiarity with faces. On the one hand, the eye gaze of a close friend should be more effective in redirecting our attention as compared to the eye gaze of a stranger. On the other hand, the social relevance of a familiar face might itself hold attention and, thereby, slow lateral shifts of attention. To distinguish between these possibilities, we measured the efficacy of the eye gaze of personally familiar and unfamiliar faces as directional attention cues using adapted versions of the Posner paradigm with saccadic and manual responses. We found that attention shifts were slower when elicited by a perceived change in the eye gaze of a familiar individual as compared to attention shifts elicited by unfamiliar faces at short latencies (100 ms). We also measured simple detection of change in direction of gaze in personally familiar and unfamiliar faces to test whether slower attention shifts were due to slower detection. Participants detected changes in eye gaze faster for familiar faces than for unfamiliar faces. Our results suggest that personally familiar faces briefly hold attention due to their social relevance, thereby slowing shifts of attention, even though the direction of eye movements are detected faster in familiar faces.","author":[{"dropping-particle":"","family":"Chauhan","given":"Vassiki","non-dropping-particle":"","parse-names":false,"suffix":""},{"dropping-particle":"","family":"Visconti di Oleggio Castello","given":"Matteo","non-dropping-particle":"","parse-names":false,"suffix":""},{"dropping-particle":"","family":"Soltani","given":"Alireza","non-dropping-particle":"","parse-names":false,"suffix":""},{"dropping-particle":"","family":"Gobbini","given":"Maria Ida","non-dropping-particle":"","parse-names":false,"suffix":""}],"container-title":"Frontiers in Psychology","id":"ITEM-1","issue":"MAY","issued":{"date-parts":[["2017","5","15"]]},"page":"1-11","title":"Social Saliency of the Cue Slows Attention Shifts","type":"article-journal","volume":"8"},"uris":["http://www.mendeley.com/documents/?uuid=3f9a7e43-afc0-4e79-ac34-4a0b5eb7ad6e"]}],"mendeley":{"formattedCitation":"(Chauhan et al., 2017)","manualFormatting":"Chauhan, Visconti di Oleggio Castello, Soltani, and Gobbini (2017)","plainTextFormattedCitation":"(Chauhan et al., 2017)","previouslyFormattedCitation":"(Chauhan et al., 2017)"},"properties":{"noteIndex":0},"schema":"https://github.com/citation-style-language/schema/raw/master/csl-citation.json"}</w:instrText>
      </w:r>
      <w:r w:rsidRPr="00BD14B0">
        <w:fldChar w:fldCharType="separate"/>
      </w:r>
      <w:r w:rsidRPr="00BD14B0">
        <w:rPr>
          <w:noProof/>
        </w:rPr>
        <w:t>Chauhan, Visconti di Oleggio Castello, Soltani, and Gobbini (2017)</w:t>
      </w:r>
      <w:r w:rsidRPr="00BD14B0">
        <w:fldChar w:fldCharType="end"/>
      </w:r>
      <w:r w:rsidRPr="00BD14B0">
        <w:t xml:space="preserve"> manipulated personal familiarity by using real pictures of participants’ friends and </w:t>
      </w:r>
      <w:r w:rsidRPr="00BD14B0">
        <w:lastRenderedPageBreak/>
        <w:t xml:space="preserve">age-gender matched control faces. However, they did not measure the social group belonging for those faces and </w:t>
      </w:r>
      <w:proofErr w:type="gramStart"/>
      <w:r w:rsidRPr="00BD14B0">
        <w:t>excepted</w:t>
      </w:r>
      <w:proofErr w:type="gramEnd"/>
      <w:r w:rsidRPr="00BD14B0">
        <w:t xml:space="preserve"> that familiar faces are considered to be from the same social group as participants. To date, no studies in the literature have measured social group belonging with semantic cues and examined effects on gaze cueing tasks.</w:t>
      </w:r>
    </w:p>
    <w:p w14:paraId="3A620DDE" w14:textId="5D672F41" w:rsidR="00784D6C" w:rsidRPr="00BD14B0" w:rsidRDefault="00784D6C" w:rsidP="00553E01">
      <w:r w:rsidRPr="00BD14B0">
        <w:tab/>
        <w:t xml:space="preserve">In modern societies, humans interact with people of various groups that are not necessarily determined by gender or race. In order to accurately represent the social dynamics of human interaction, studies should not only focus on visual cues but consider semantic cues as well. Semantic cues are information received by the auditory sensory system and learned by episodic cues. Semantic cues have a function of </w:t>
      </w:r>
      <w:r w:rsidR="0082551F" w:rsidRPr="00BD14B0">
        <w:t xml:space="preserve">providing reminders of </w:t>
      </w:r>
      <w:r w:rsidRPr="00BD14B0">
        <w:t xml:space="preserve">prior knowledge. This knowledge about the observed person can be another indicator used to assign them to a particular group. Humans interact with people of different ages, genders, and races, and therefore episodic learning is important for generalizing social attention studies to real-world relations. Explaining the mechanisms of social group belonging, regardless of visual information about the gazer, can increase the generalizability of research to the real world. </w:t>
      </w:r>
    </w:p>
    <w:p w14:paraId="47581F0C" w14:textId="4F74668E" w:rsidR="00784D6C" w:rsidRPr="00BD14B0" w:rsidRDefault="00784D6C" w:rsidP="00553E01">
      <w:r w:rsidRPr="00BD14B0">
        <w:tab/>
        <w:t xml:space="preserve">In this study, the </w:t>
      </w:r>
      <w:r w:rsidR="0082551F" w:rsidRPr="00BD14B0">
        <w:t xml:space="preserve">effect of </w:t>
      </w:r>
      <w:r w:rsidRPr="00BD14B0">
        <w:t xml:space="preserve">social group belonging </w:t>
      </w:r>
      <w:r w:rsidR="0082551F" w:rsidRPr="00BD14B0">
        <w:t xml:space="preserve">on gaze cuing was assessed </w:t>
      </w:r>
      <w:r w:rsidRPr="00BD14B0">
        <w:t xml:space="preserve">by controlling visual similarity and focusing on social context. </w:t>
      </w:r>
      <w:r w:rsidR="0082551F" w:rsidRPr="00BD14B0">
        <w:t xml:space="preserve">This was </w:t>
      </w:r>
      <w:r w:rsidRPr="00BD14B0">
        <w:t xml:space="preserve">achieved by first creating a story combination with an online experiment. The online experiment was used as a stimuli development study to choose suitable life-story for the gazer face. A </w:t>
      </w:r>
      <w:proofErr w:type="spellStart"/>
      <w:r w:rsidRPr="00BD14B0">
        <w:t>likert</w:t>
      </w:r>
      <w:proofErr w:type="spellEnd"/>
      <w:r w:rsidRPr="00BD14B0">
        <w:t xml:space="preserve">-type questionnaire was used to choose a story combination which would create significant difference in social group belonging. These stories were </w:t>
      </w:r>
      <w:r w:rsidR="0082551F" w:rsidRPr="00BD14B0">
        <w:t xml:space="preserve">then </w:t>
      </w:r>
      <w:r w:rsidRPr="00BD14B0">
        <w:t xml:space="preserve">used as a </w:t>
      </w:r>
      <w:r w:rsidR="0082551F" w:rsidRPr="00BD14B0">
        <w:t xml:space="preserve">manipulation </w:t>
      </w:r>
      <w:r w:rsidRPr="00BD14B0">
        <w:t xml:space="preserve">for social group belonging in </w:t>
      </w:r>
      <w:r w:rsidR="0082551F" w:rsidRPr="00BD14B0">
        <w:t xml:space="preserve">a subsequent </w:t>
      </w:r>
      <w:r w:rsidRPr="00BD14B0">
        <w:t>behavioural gaze cueing experiment. The face stimuli were young Caucasian faces, specifically chosen to eliminate visual difference</w:t>
      </w:r>
      <w:r w:rsidR="0082551F" w:rsidRPr="00BD14B0">
        <w:t>s</w:t>
      </w:r>
      <w:r w:rsidRPr="00BD14B0">
        <w:t xml:space="preserve"> between different gazer faces. In the behavioural experiment, we asked participants to read a short life-story (chosen from the online study) about the face presented to them, assigning the face either </w:t>
      </w:r>
      <w:r w:rsidR="0082551F" w:rsidRPr="00BD14B0">
        <w:t xml:space="preserve">the </w:t>
      </w:r>
      <w:r w:rsidRPr="00BD14B0">
        <w:t>in-group or outgroup (Sheffield university student or not a student). Lastly, participants complete</w:t>
      </w:r>
      <w:r w:rsidR="0082551F" w:rsidRPr="00BD14B0">
        <w:t>d</w:t>
      </w:r>
      <w:r w:rsidRPr="00BD14B0">
        <w:t xml:space="preserve"> a gaze cueing task to ascertain whether social group belonging would affect attentional orienting. </w:t>
      </w:r>
    </w:p>
    <w:p w14:paraId="3F8F429B" w14:textId="77777777" w:rsidR="00727BC6" w:rsidRPr="00BD14B0" w:rsidRDefault="00727BC6" w:rsidP="00553E01"/>
    <w:p w14:paraId="029E7DA6" w14:textId="59D4BD9B" w:rsidR="001B6377" w:rsidRPr="00BD14B0" w:rsidRDefault="001B6377" w:rsidP="00553E01">
      <w:pPr>
        <w:pStyle w:val="Heading2"/>
      </w:pPr>
      <w:bookmarkStart w:id="27" w:name="_Toc108310762"/>
      <w:r w:rsidRPr="00BD14B0">
        <w:lastRenderedPageBreak/>
        <w:t>Aims and Hypothesis</w:t>
      </w:r>
      <w:bookmarkEnd w:id="27"/>
    </w:p>
    <w:p w14:paraId="6EB387B8" w14:textId="513BEC21" w:rsidR="00784D6C" w:rsidRPr="00BD14B0" w:rsidRDefault="001B6377" w:rsidP="00553E01">
      <w:r w:rsidRPr="00BD14B0">
        <w:tab/>
      </w:r>
      <w:r w:rsidR="00784D6C" w:rsidRPr="00BD14B0">
        <w:t xml:space="preserve">The overall aim of the research was to explore whether there are social attention differences when viewing eye gaze from an in-group face versus an out-group face. To achieve this an online stimuli development study was first conducted. The aim of the online study was to </w:t>
      </w:r>
      <w:r w:rsidR="009C093B" w:rsidRPr="00BD14B0">
        <w:t xml:space="preserve">identify </w:t>
      </w:r>
      <w:r w:rsidR="00784D6C" w:rsidRPr="00BD14B0">
        <w:t xml:space="preserve">two life-stories which </w:t>
      </w:r>
      <w:r w:rsidR="009C093B" w:rsidRPr="00BD14B0">
        <w:t>c</w:t>
      </w:r>
      <w:r w:rsidR="00784D6C" w:rsidRPr="00BD14B0">
        <w:t xml:space="preserve">ould </w:t>
      </w:r>
      <w:r w:rsidR="009C093B" w:rsidRPr="00BD14B0">
        <w:t xml:space="preserve">be used to </w:t>
      </w:r>
      <w:r w:rsidR="00784D6C" w:rsidRPr="00BD14B0">
        <w:t xml:space="preserve">create an in-group/out-group effect in the behavioural study. The behavioural study sought to determine if participants would demonstrate stronger gaze following in the in-group condition compared to the out-group condition, when presented with physically similar faces. </w:t>
      </w:r>
    </w:p>
    <w:p w14:paraId="786A89F6" w14:textId="4E340574" w:rsidR="00784D6C" w:rsidRPr="00BD14B0" w:rsidRDefault="00784D6C" w:rsidP="00553E01">
      <w:r w:rsidRPr="00BD14B0">
        <w:tab/>
        <w:t>It was predicted that participants will show a shorter reaction time to cued trials (congruent) compared to un-cued trials (incongruent)</w:t>
      </w:r>
      <w:r w:rsidR="009C093B" w:rsidRPr="00BD14B0">
        <w:t>,</w:t>
      </w:r>
      <w:r w:rsidRPr="00BD14B0">
        <w:t xml:space="preserve"> which is also known as </w:t>
      </w:r>
      <w:r w:rsidR="009C093B" w:rsidRPr="00BD14B0">
        <w:t xml:space="preserve">the </w:t>
      </w:r>
      <w:r w:rsidRPr="00BD14B0">
        <w:t>“</w:t>
      </w:r>
      <w:r w:rsidRPr="00BD14B0">
        <w:rPr>
          <w:i/>
        </w:rPr>
        <w:t>gaze cueing effect</w:t>
      </w:r>
      <w:r w:rsidRPr="00BD14B0">
        <w:t xml:space="preserve">". </w:t>
      </w:r>
      <w:r w:rsidR="009C093B" w:rsidRPr="00BD14B0">
        <w:t>It</w:t>
      </w:r>
      <w:r w:rsidRPr="00BD14B0">
        <w:t xml:space="preserve"> was </w:t>
      </w:r>
      <w:r w:rsidR="009C093B" w:rsidRPr="00BD14B0">
        <w:t xml:space="preserve">further </w:t>
      </w:r>
      <w:r w:rsidRPr="00BD14B0">
        <w:t xml:space="preserve">predicted that there will be a significant difference in the strength of gaze cueing according to the story, </w:t>
      </w:r>
      <w:r w:rsidR="009C093B" w:rsidRPr="00BD14B0">
        <w:t xml:space="preserve">such that </w:t>
      </w:r>
      <w:r w:rsidRPr="00BD14B0">
        <w:t xml:space="preserve">the in-group story will </w:t>
      </w:r>
      <w:r w:rsidR="009C093B" w:rsidRPr="00BD14B0">
        <w:t xml:space="preserve">lead to </w:t>
      </w:r>
      <w:r w:rsidRPr="00BD14B0">
        <w:t>a stronger gaze cueing effect compared to the out-group story.</w:t>
      </w:r>
    </w:p>
    <w:p w14:paraId="1391B493" w14:textId="2A3BA6C4" w:rsidR="001B6377" w:rsidRPr="00BD14B0" w:rsidRDefault="001B6377" w:rsidP="00553E01"/>
    <w:p w14:paraId="57C92984" w14:textId="169B1CCC" w:rsidR="001B6377" w:rsidRPr="00BD14B0" w:rsidRDefault="001B6377" w:rsidP="00553E01">
      <w:pPr>
        <w:pStyle w:val="Heading2"/>
      </w:pPr>
      <w:bookmarkStart w:id="28" w:name="_Toc108310763"/>
      <w:r w:rsidRPr="00BD14B0">
        <w:t>Stimulus development study</w:t>
      </w:r>
      <w:bookmarkEnd w:id="28"/>
    </w:p>
    <w:p w14:paraId="5B4A9D0B" w14:textId="77777777" w:rsidR="001B6377" w:rsidRPr="00BD14B0" w:rsidRDefault="001B6377" w:rsidP="00553E01"/>
    <w:p w14:paraId="5877A502" w14:textId="1267ED73" w:rsidR="001B6377" w:rsidRPr="00BD14B0" w:rsidRDefault="001B6377" w:rsidP="00553E01">
      <w:pPr>
        <w:pStyle w:val="Heading3"/>
      </w:pPr>
      <w:bookmarkStart w:id="29" w:name="_Toc108310764"/>
      <w:r w:rsidRPr="00BD14B0">
        <w:t>Methods</w:t>
      </w:r>
      <w:bookmarkEnd w:id="29"/>
    </w:p>
    <w:p w14:paraId="01021ACB" w14:textId="77777777" w:rsidR="001B6377" w:rsidRPr="00BD14B0" w:rsidRDefault="001B6377" w:rsidP="00553E01"/>
    <w:p w14:paraId="48CA81C9" w14:textId="77777777" w:rsidR="001B6377" w:rsidRPr="00BD14B0" w:rsidRDefault="001B6377" w:rsidP="00F245F1">
      <w:pPr>
        <w:pStyle w:val="Heading4"/>
        <w:numPr>
          <w:ilvl w:val="0"/>
          <w:numId w:val="0"/>
        </w:numPr>
        <w:ind w:left="851"/>
      </w:pPr>
      <w:r w:rsidRPr="00BD14B0">
        <w:t>Ethics</w:t>
      </w:r>
    </w:p>
    <w:p w14:paraId="1BE1E406" w14:textId="77777777" w:rsidR="001B6377" w:rsidRPr="00BD14B0" w:rsidRDefault="001B6377" w:rsidP="00553E01">
      <w:r w:rsidRPr="00BD14B0">
        <w:tab/>
        <w:t xml:space="preserve">Ethical approval for the study was obtained from the Research Ethics Committee of the Department of Psychology, University of Sheffield. </w:t>
      </w:r>
    </w:p>
    <w:p w14:paraId="43F57D9E" w14:textId="77777777" w:rsidR="001B6377" w:rsidRPr="00BD14B0" w:rsidRDefault="001B6377" w:rsidP="00553E01"/>
    <w:p w14:paraId="3BE0DC28" w14:textId="77777777" w:rsidR="001B6377" w:rsidRPr="00BD14B0" w:rsidRDefault="001B6377" w:rsidP="00F245F1">
      <w:pPr>
        <w:pStyle w:val="Heading4"/>
        <w:numPr>
          <w:ilvl w:val="0"/>
          <w:numId w:val="0"/>
        </w:numPr>
        <w:ind w:left="851"/>
      </w:pPr>
      <w:r w:rsidRPr="00BD14B0">
        <w:t>Participants</w:t>
      </w:r>
    </w:p>
    <w:p w14:paraId="3C6AC87E" w14:textId="18DA77F5" w:rsidR="001B6377" w:rsidRPr="00BD14B0" w:rsidRDefault="001B6377" w:rsidP="00553E01">
      <w:r w:rsidRPr="00BD14B0">
        <w:tab/>
        <w:t xml:space="preserve">Participants were recruited from the University of Sheffield's volunteering opportunities webpage. The study was announced by the University of Sheffield and details were uploaded to the Volunteering Opportunities webpage. A total of 115 students volunteered to take part in this online study. However, seven participants were excluded because they either did not </w:t>
      </w:r>
      <w:r w:rsidR="009C093B" w:rsidRPr="00BD14B0">
        <w:t xml:space="preserve">give consent or failed to </w:t>
      </w:r>
      <w:r w:rsidRPr="00BD14B0">
        <w:t xml:space="preserve">complete the study. Data analysis was </w:t>
      </w:r>
      <w:r w:rsidRPr="00BD14B0">
        <w:lastRenderedPageBreak/>
        <w:t xml:space="preserve">therefore performed on the 109 remaining participants (84 </w:t>
      </w:r>
      <w:r w:rsidR="009C093B" w:rsidRPr="00BD14B0">
        <w:t>females</w:t>
      </w:r>
      <w:r w:rsidRPr="00BD14B0">
        <w:t xml:space="preserve">, 25 </w:t>
      </w:r>
      <w:r w:rsidR="009C093B" w:rsidRPr="00BD14B0">
        <w:t>males</w:t>
      </w:r>
      <w:r w:rsidRPr="00BD14B0">
        <w:t>) with a mean age of 25.09 years, ranging from 19 to 58 years (</w:t>
      </w:r>
      <w:r w:rsidRPr="00BD14B0">
        <w:rPr>
          <w:i/>
        </w:rPr>
        <w:t xml:space="preserve">SD </w:t>
      </w:r>
      <w:r w:rsidRPr="00BD14B0">
        <w:t xml:space="preserve">= 6.61 years). Participants gave their consent before the start of the study and were fully debriefed upon completion. </w:t>
      </w:r>
    </w:p>
    <w:p w14:paraId="679A5B12" w14:textId="7D4893EF" w:rsidR="001B6377" w:rsidRPr="00BD14B0" w:rsidRDefault="001B6377" w:rsidP="00553E01"/>
    <w:p w14:paraId="5A5AD5FA" w14:textId="77777777" w:rsidR="00550D48" w:rsidRPr="00BD14B0" w:rsidRDefault="00550D48" w:rsidP="00F245F1">
      <w:pPr>
        <w:pStyle w:val="Heading4"/>
        <w:numPr>
          <w:ilvl w:val="0"/>
          <w:numId w:val="0"/>
        </w:numPr>
        <w:ind w:left="851"/>
      </w:pPr>
      <w:r w:rsidRPr="00BD14B0">
        <w:t xml:space="preserve">Stimuli and Apparatus </w:t>
      </w:r>
    </w:p>
    <w:p w14:paraId="69CFB2C8" w14:textId="142C11E6" w:rsidR="00550D48" w:rsidRPr="00BD14B0" w:rsidRDefault="00550D48" w:rsidP="00553E01">
      <w:r w:rsidRPr="00BD14B0">
        <w:rPr>
          <w:i/>
        </w:rPr>
        <w:tab/>
        <w:t>Face stimuli:</w:t>
      </w:r>
      <w:r w:rsidRPr="00BD14B0">
        <w:t xml:space="preserve"> This study included four neutral female faces</w:t>
      </w:r>
      <w:r w:rsidR="00C116E0" w:rsidRPr="00BD14B0">
        <w:t xml:space="preserve"> randomly</w:t>
      </w:r>
      <w:r w:rsidRPr="00BD14B0">
        <w:t xml:space="preserve"> taken from the Utrecht European Conference of Visual Perception (ECVP) face database. </w:t>
      </w:r>
      <w:r w:rsidRPr="00BD14B0">
        <w:rPr>
          <w:iCs/>
        </w:rPr>
        <w:t>The database</w:t>
      </w:r>
      <w:r w:rsidRPr="00BD14B0">
        <w:t xml:space="preserve"> consists of 131 face images of neutral and smiling versions of each face (49 men, 20 women). The photos were collected at the European Conference on Visual Perception in Utrecht in 2008. The resolution of the pictures is 900 x 1200 pixels and the pictures </w:t>
      </w:r>
      <w:r w:rsidR="009C093B" w:rsidRPr="00BD14B0">
        <w:t>in</w:t>
      </w:r>
      <w:r w:rsidRPr="00BD14B0">
        <w:t xml:space="preserve"> colour (</w:t>
      </w:r>
      <w:hyperlink r:id="rId15" w:history="1">
        <w:r w:rsidRPr="00BD14B0">
          <w:rPr>
            <w:rStyle w:val="Hyperlink"/>
            <w:color w:val="000000" w:themeColor="text1"/>
          </w:rPr>
          <w:t>http://pics.psych.stir.ac.uk/2D_face_sets.htm</w:t>
        </w:r>
      </w:hyperlink>
      <w:r w:rsidRPr="00BD14B0">
        <w:t>). The eyes of each face were manipulated using Adobe Photoshop CS6 to reposition the irises to the corners of the eyes to produce left and right eye gazing.</w:t>
      </w:r>
    </w:p>
    <w:p w14:paraId="600A9020" w14:textId="77777777" w:rsidR="00550D48" w:rsidRPr="00BD14B0" w:rsidRDefault="00550D48" w:rsidP="00553E01">
      <w:r w:rsidRPr="00BD14B0">
        <w:rPr>
          <w:i/>
        </w:rPr>
        <w:tab/>
        <w:t>Life stories:</w:t>
      </w:r>
      <w:r w:rsidRPr="00BD14B0">
        <w:t xml:space="preserve"> A life story was presented with each face stimuli. There were four different versions of the life-story: Student, Non-student, University of Sheffield student, and Sheffield Hallam University student (see Appendix X for life stories). The </w:t>
      </w:r>
      <w:r w:rsidRPr="00BD14B0">
        <w:rPr>
          <w:i/>
        </w:rPr>
        <w:t>student story</w:t>
      </w:r>
      <w:r w:rsidRPr="00BD14B0">
        <w:t xml:space="preserve"> indicated that the presented face was a university student, with no other information provided. The </w:t>
      </w:r>
      <w:r w:rsidRPr="00BD14B0">
        <w:rPr>
          <w:i/>
        </w:rPr>
        <w:t>non-student story</w:t>
      </w:r>
      <w:r w:rsidRPr="00BD14B0">
        <w:t xml:space="preserve"> indicated that the presented face was working at a supermarket and not a student. The </w:t>
      </w:r>
      <w:r w:rsidRPr="00BD14B0">
        <w:rPr>
          <w:i/>
        </w:rPr>
        <w:t>University of Sheffield student story</w:t>
      </w:r>
      <w:r w:rsidRPr="00BD14B0">
        <w:t xml:space="preserve"> indicated that the presented face was a student at the University of Sheffield. Lastly, the </w:t>
      </w:r>
      <w:r w:rsidRPr="00BD14B0">
        <w:rPr>
          <w:i/>
        </w:rPr>
        <w:t>Sheffield Hallam University student story</w:t>
      </w:r>
      <w:r w:rsidRPr="00BD14B0">
        <w:t xml:space="preserve"> indicated that the presented face belonged to someone who was a student at Sheffield Hallam University and no other information was provided. </w:t>
      </w:r>
    </w:p>
    <w:p w14:paraId="64603840" w14:textId="524DBC1A" w:rsidR="00550D48" w:rsidRPr="00BD14B0" w:rsidRDefault="00550D48" w:rsidP="00553E01">
      <w:r w:rsidRPr="00BD14B0">
        <w:rPr>
          <w:i/>
        </w:rPr>
        <w:tab/>
        <w:t>Questionnaire:</w:t>
      </w:r>
      <w:r w:rsidRPr="00BD14B0">
        <w:t xml:space="preserve"> A questionnaire was created by combining nine questions into a single scale and designed to estimate in-group bias for each life-story. After each story, the same nine questions were used as a scale to measure the social group belonging using a 6-point Likert scale (from 1 = not at all to 6 = extremely). </w:t>
      </w:r>
      <w:r w:rsidR="009C093B" w:rsidRPr="00BD14B0">
        <w:t xml:space="preserve">Five of these </w:t>
      </w:r>
      <w:r w:rsidRPr="00BD14B0">
        <w:t xml:space="preserve">questions </w:t>
      </w:r>
      <w:r w:rsidR="009C093B" w:rsidRPr="00BD14B0">
        <w:t>were</w:t>
      </w:r>
      <w:r w:rsidRPr="00BD14B0">
        <w:t xml:space="preserve"> taken from </w:t>
      </w:r>
      <w:r w:rsidR="00636037" w:rsidRPr="00BD14B0">
        <w:t xml:space="preserve"> </w:t>
      </w:r>
      <w:r w:rsidR="00636037" w:rsidRPr="00BD14B0">
        <w:fldChar w:fldCharType="begin" w:fldLock="1"/>
      </w:r>
      <w:r w:rsidR="004D2901" w:rsidRPr="00BD14B0">
        <w:instrText>ADDIN CSL_CITATION {"citationItems":[{"id":"ITEM-1","itemData":{"DOI":"10.1177/0146167203251210","ISSN":"0146-1672","author":[{"dropping-particle":"","family":"Leeuwen","given":"E","non-dropping-particle":"van","parse-names":false,"suffix":""},{"dropping-particle":"","family":"Knippenberg","given":"D","non-dropping-particle":"van","parse-names":false,"suffix":""},{"dropping-particle":"","family":"Ellemers","given":"N","non-dropping-particle":"","parse-names":false,"suffix":""}],"container-title":"Pers. Soc. Psychol. Bull.","id":"ITEM-1","issue":"6","issued":{"date-parts":[["2003"]]},"page":"679-690","title":"Continuing and changing group identities: The effects of merging on social identification and ingroup bias","type":"article-journal","volume":"29"},"uris":["http://www.mendeley.com/documents/?uuid=fe40f72d-f870-473e-85ef-ef161656fa32"]}],"mendeley":{"formattedCitation":"(van Leeuwen et al., 2003)","plainTextFormattedCitation":"(van Leeuwen et al., 2003)","previouslyFormattedCitation":"(van Leeuwen et al., 2003)"},"properties":{"noteIndex":0},"schema":"https://github.com/citation-style-language/schema/raw/master/csl-citation.json"}</w:instrText>
      </w:r>
      <w:r w:rsidR="00636037" w:rsidRPr="00BD14B0">
        <w:fldChar w:fldCharType="separate"/>
      </w:r>
      <w:r w:rsidR="00636037" w:rsidRPr="00BD14B0">
        <w:rPr>
          <w:noProof/>
        </w:rPr>
        <w:t>(van Leeuwen et al., 2003)</w:t>
      </w:r>
      <w:r w:rsidR="00636037" w:rsidRPr="00BD14B0">
        <w:fldChar w:fldCharType="end"/>
      </w:r>
      <w:r w:rsidR="009C093B" w:rsidRPr="00BD14B0">
        <w:t>to assess social group belonging. These questions were:</w:t>
      </w:r>
      <w:r w:rsidRPr="00BD14B0">
        <w:t xml:space="preserve"> “</w:t>
      </w:r>
      <w:r w:rsidRPr="00BD14B0">
        <w:rPr>
          <w:i/>
        </w:rPr>
        <w:t>How cooperative you feel towards that person?</w:t>
      </w:r>
      <w:r w:rsidRPr="00BD14B0">
        <w:t>”, “</w:t>
      </w:r>
      <w:r w:rsidRPr="00BD14B0">
        <w:rPr>
          <w:i/>
        </w:rPr>
        <w:t>How nice do you think the members of this group of people are?</w:t>
      </w:r>
      <w:r w:rsidRPr="00BD14B0">
        <w:t>”, “</w:t>
      </w:r>
      <w:r w:rsidRPr="00BD14B0">
        <w:rPr>
          <w:i/>
        </w:rPr>
        <w:t>How creative do you think the members of this group of people are?</w:t>
      </w:r>
      <w:r w:rsidRPr="00BD14B0">
        <w:t>”</w:t>
      </w:r>
      <w:r w:rsidR="00076C9F" w:rsidRPr="00BD14B0">
        <w:t>,” How</w:t>
      </w:r>
      <w:r w:rsidRPr="00BD14B0">
        <w:rPr>
          <w:i/>
        </w:rPr>
        <w:t xml:space="preserve"> smart do you think the members of this group of people are?</w:t>
      </w:r>
      <w:r w:rsidRPr="00BD14B0">
        <w:t>”</w:t>
      </w:r>
      <w:proofErr w:type="gramStart"/>
      <w:r w:rsidRPr="00BD14B0">
        <w:t>, ”</w:t>
      </w:r>
      <w:r w:rsidRPr="00BD14B0">
        <w:rPr>
          <w:i/>
        </w:rPr>
        <w:t>How</w:t>
      </w:r>
      <w:proofErr w:type="gramEnd"/>
      <w:r w:rsidRPr="00BD14B0">
        <w:rPr>
          <w:i/>
        </w:rPr>
        <w:t xml:space="preserve"> good do </w:t>
      </w:r>
      <w:r w:rsidRPr="00BD14B0">
        <w:rPr>
          <w:i/>
        </w:rPr>
        <w:lastRenderedPageBreak/>
        <w:t>you think the members of this group of people are at brainstorming?</w:t>
      </w:r>
      <w:r w:rsidRPr="00BD14B0">
        <w:t xml:space="preserve">”. Four additional questions were used to measure in-group </w:t>
      </w:r>
      <w:r w:rsidR="00076C9F" w:rsidRPr="00BD14B0">
        <w:t>bias.</w:t>
      </w:r>
      <w:r w:rsidRPr="00BD14B0">
        <w:t xml:space="preserve"> These questions were: "</w:t>
      </w:r>
      <w:r w:rsidRPr="00BD14B0">
        <w:rPr>
          <w:i/>
          <w:iCs/>
        </w:rPr>
        <w:t>How close do you feel towards that person?”, “How trustworthy do you feel that person is?”, “How pleasant do you feel that person is?”, and “Do you consider yourself to be in the same group with that person?”</w:t>
      </w:r>
      <w:r w:rsidR="009C093B" w:rsidRPr="00BD14B0">
        <w:rPr>
          <w:i/>
          <w:iCs/>
        </w:rPr>
        <w:t xml:space="preserve"> </w:t>
      </w:r>
    </w:p>
    <w:p w14:paraId="2023177B" w14:textId="77777777" w:rsidR="00550D48" w:rsidRPr="00BD14B0" w:rsidRDefault="00550D48" w:rsidP="00553E01"/>
    <w:p w14:paraId="27A49E74" w14:textId="77777777" w:rsidR="001B6377" w:rsidRPr="00BD14B0" w:rsidRDefault="001B6377" w:rsidP="00F245F1">
      <w:pPr>
        <w:pStyle w:val="Heading4"/>
        <w:numPr>
          <w:ilvl w:val="0"/>
          <w:numId w:val="0"/>
        </w:numPr>
        <w:ind w:left="851"/>
      </w:pPr>
      <w:r w:rsidRPr="00BD14B0">
        <w:t>Design and Procedure</w:t>
      </w:r>
    </w:p>
    <w:p w14:paraId="75F695E1" w14:textId="1ADD7B7A" w:rsidR="001A20EA" w:rsidRPr="00BD14B0" w:rsidRDefault="001B6377" w:rsidP="00553E01">
      <w:r w:rsidRPr="00BD14B0">
        <w:tab/>
      </w:r>
      <w:r w:rsidR="00784D6C" w:rsidRPr="00BD14B0">
        <w:t>As the main aim of this part of the study was to choose suitable life-stories to be later used in the gaze cueing task, four life stories and face young female Caucasian face pictures were shown to participants. The survey was designed using Qualtrics, Provo, and UT. Participants were exposed to 24 versions of the life stories and pictures. While the order of the stories was controlled, the order of the photos was fully randomized to eliminate response bias, ensure accuracy, and minimize order effects. The four stories were as listed (1=Student, 2=</w:t>
      </w:r>
      <w:proofErr w:type="gramStart"/>
      <w:r w:rsidR="00784D6C" w:rsidRPr="00BD14B0">
        <w:t>Non-student</w:t>
      </w:r>
      <w:proofErr w:type="gramEnd"/>
      <w:r w:rsidR="00784D6C" w:rsidRPr="00BD14B0">
        <w:t xml:space="preserve">, 3=Student at Sheffield University, 4=Student at Sheffield Hallam University) (see Appendix A for full stories on page 156). Four young female Caucasian face pictures were chosen from Utrecht European Conference of Visual Perception (ECVP) face database (see Appendix A for the four face pictures on page 156). In total there were four face stimuli and four life stories leading to 24 different face stimuli x life story combinations (i.e., 4x3x2x1=24). Table 1 reports 24 versions of face stimuli and life story combination on page 35. The participants were randomly assigned the order in which these combinations were presented. After reading each life-story and looking at the face pictures presented with them, participants were asked to answer the same nine questions for each life-story/picture combination. As we were only interested in picking one story combination to be later used in the behavioural part of the study, the two stories which </w:t>
      </w:r>
      <w:r w:rsidR="00ED4DB7" w:rsidRPr="00BD14B0">
        <w:t xml:space="preserve">had </w:t>
      </w:r>
      <w:r w:rsidR="00784D6C" w:rsidRPr="00BD14B0">
        <w:t xml:space="preserve">the biggest difference on reported feelings of group belonging were chosen. A within-participants design with four face pictures as the independent variable and </w:t>
      </w:r>
      <w:r w:rsidR="0049112E" w:rsidRPr="00BD14B0">
        <w:t>group belonging</w:t>
      </w:r>
      <w:r w:rsidR="00784D6C" w:rsidRPr="00BD14B0">
        <w:t xml:space="preserve"> as the dependent variable</w:t>
      </w:r>
      <w:r w:rsidR="0049112E" w:rsidRPr="00BD14B0">
        <w:t xml:space="preserve"> was used.</w:t>
      </w:r>
    </w:p>
    <w:p w14:paraId="22E7783C" w14:textId="28A6D10C" w:rsidR="00A66454" w:rsidRPr="00BD14B0" w:rsidRDefault="00A66454" w:rsidP="00553E01">
      <w:bookmarkStart w:id="30" w:name="_Hlk509513252"/>
    </w:p>
    <w:p w14:paraId="22AE7022" w14:textId="77777777" w:rsidR="00C37334" w:rsidRPr="00BD14B0" w:rsidRDefault="00C37334" w:rsidP="00553E01"/>
    <w:p w14:paraId="32F5DB3E" w14:textId="03D42B2D" w:rsidR="00352AF4" w:rsidRPr="00BD14B0" w:rsidRDefault="003B267D" w:rsidP="003B267D">
      <w:pPr>
        <w:pStyle w:val="Title"/>
      </w:pPr>
      <w:bookmarkStart w:id="31" w:name="_Toc108321848"/>
      <w:r>
        <w:lastRenderedPageBreak/>
        <w:t xml:space="preserve">Table </w:t>
      </w:r>
      <w:r>
        <w:fldChar w:fldCharType="begin"/>
      </w:r>
      <w:r>
        <w:instrText xml:space="preserve"> SEQ Table \* ARABIC </w:instrText>
      </w:r>
      <w:r>
        <w:fldChar w:fldCharType="separate"/>
      </w:r>
      <w:r>
        <w:rPr>
          <w:noProof/>
        </w:rPr>
        <w:t>1</w:t>
      </w:r>
      <w:r>
        <w:fldChar w:fldCharType="end"/>
      </w:r>
      <w:bookmarkEnd w:id="31"/>
    </w:p>
    <w:p w14:paraId="0B1913AB" w14:textId="42190F1D" w:rsidR="00784D6C" w:rsidRPr="00BD14B0" w:rsidRDefault="00784D6C" w:rsidP="00553E01">
      <w:r w:rsidRPr="00BD14B0">
        <w:rPr>
          <w:i/>
          <w:iCs/>
        </w:rPr>
        <w:t>Stimulus counterbalancing table: Photos in order in each version of the online questionnaire</w:t>
      </w:r>
      <w:r w:rsidR="009C093B" w:rsidRPr="00BD14B0">
        <w:rPr>
          <w:i/>
          <w:iCs/>
        </w:rPr>
        <w:t xml:space="preserve"> - f</w:t>
      </w:r>
      <w:r w:rsidRPr="00BD14B0">
        <w:rPr>
          <w:i/>
          <w:iCs/>
        </w:rPr>
        <w:t>ace stimuli x life story combination</w:t>
      </w:r>
      <w:r w:rsidR="00352AF4" w:rsidRPr="00BD14B0">
        <w:rPr>
          <w:i/>
          <w:iCs/>
        </w:rPr>
        <w:t>s</w:t>
      </w:r>
    </w:p>
    <w:tbl>
      <w:tblPr>
        <w:tblW w:w="0" w:type="auto"/>
        <w:tblLook w:val="04A0" w:firstRow="1" w:lastRow="0" w:firstColumn="1" w:lastColumn="0" w:noHBand="0" w:noVBand="1"/>
      </w:tblPr>
      <w:tblGrid>
        <w:gridCol w:w="1822"/>
        <w:gridCol w:w="1613"/>
        <w:gridCol w:w="1616"/>
        <w:gridCol w:w="1959"/>
        <w:gridCol w:w="1828"/>
      </w:tblGrid>
      <w:tr w:rsidR="00695B36" w:rsidRPr="00BD14B0" w14:paraId="1B9B408F" w14:textId="77777777" w:rsidTr="006D6F11">
        <w:trPr>
          <w:trHeight w:val="416"/>
        </w:trPr>
        <w:tc>
          <w:tcPr>
            <w:tcW w:w="1822" w:type="dxa"/>
            <w:tcBorders>
              <w:top w:val="single" w:sz="18" w:space="0" w:color="auto"/>
              <w:bottom w:val="single" w:sz="18" w:space="0" w:color="auto"/>
            </w:tcBorders>
          </w:tcPr>
          <w:p w14:paraId="7A84E638" w14:textId="77777777" w:rsidR="00432442" w:rsidRPr="00BD14B0" w:rsidRDefault="00432442" w:rsidP="00553E01"/>
        </w:tc>
        <w:tc>
          <w:tcPr>
            <w:tcW w:w="1613" w:type="dxa"/>
            <w:tcBorders>
              <w:top w:val="single" w:sz="18" w:space="0" w:color="auto"/>
              <w:bottom w:val="single" w:sz="18" w:space="0" w:color="auto"/>
            </w:tcBorders>
          </w:tcPr>
          <w:p w14:paraId="5780F53E" w14:textId="77777777" w:rsidR="00432442" w:rsidRPr="00BD14B0" w:rsidRDefault="00432442" w:rsidP="00553E01">
            <w:r w:rsidRPr="00BD14B0">
              <w:t>Student</w:t>
            </w:r>
          </w:p>
        </w:tc>
        <w:tc>
          <w:tcPr>
            <w:tcW w:w="1616" w:type="dxa"/>
            <w:tcBorders>
              <w:top w:val="single" w:sz="18" w:space="0" w:color="auto"/>
              <w:bottom w:val="single" w:sz="18" w:space="0" w:color="auto"/>
            </w:tcBorders>
          </w:tcPr>
          <w:p w14:paraId="094D31F4" w14:textId="77777777" w:rsidR="00432442" w:rsidRPr="00BD14B0" w:rsidRDefault="00432442" w:rsidP="00553E01">
            <w:r w:rsidRPr="00BD14B0">
              <w:t>Non-student</w:t>
            </w:r>
          </w:p>
        </w:tc>
        <w:tc>
          <w:tcPr>
            <w:tcW w:w="1959" w:type="dxa"/>
            <w:tcBorders>
              <w:top w:val="single" w:sz="18" w:space="0" w:color="auto"/>
              <w:bottom w:val="single" w:sz="18" w:space="0" w:color="auto"/>
            </w:tcBorders>
          </w:tcPr>
          <w:p w14:paraId="71821CBA" w14:textId="77777777" w:rsidR="00432442" w:rsidRPr="00BD14B0" w:rsidRDefault="00432442" w:rsidP="00553E01">
            <w:r w:rsidRPr="00BD14B0">
              <w:t>University of Sheffield student</w:t>
            </w:r>
          </w:p>
        </w:tc>
        <w:tc>
          <w:tcPr>
            <w:tcW w:w="1828" w:type="dxa"/>
            <w:tcBorders>
              <w:top w:val="single" w:sz="18" w:space="0" w:color="auto"/>
              <w:bottom w:val="single" w:sz="18" w:space="0" w:color="auto"/>
            </w:tcBorders>
          </w:tcPr>
          <w:p w14:paraId="27950987" w14:textId="77777777" w:rsidR="00432442" w:rsidRPr="00BD14B0" w:rsidRDefault="00432442" w:rsidP="00553E01">
            <w:r w:rsidRPr="00BD14B0">
              <w:t>Sheffield Hallam University student</w:t>
            </w:r>
          </w:p>
        </w:tc>
      </w:tr>
      <w:tr w:rsidR="00695B36" w:rsidRPr="00BD14B0" w14:paraId="600ABB1C" w14:textId="77777777" w:rsidTr="006D6F11">
        <w:trPr>
          <w:trHeight w:val="416"/>
        </w:trPr>
        <w:tc>
          <w:tcPr>
            <w:tcW w:w="1822" w:type="dxa"/>
            <w:tcBorders>
              <w:top w:val="single" w:sz="18" w:space="0" w:color="auto"/>
              <w:bottom w:val="single" w:sz="18" w:space="0" w:color="auto"/>
            </w:tcBorders>
          </w:tcPr>
          <w:p w14:paraId="2E08707D" w14:textId="77777777" w:rsidR="00432442" w:rsidRPr="00BD14B0" w:rsidRDefault="00432442" w:rsidP="00553E01">
            <w:r w:rsidRPr="00BD14B0">
              <w:t xml:space="preserve">Combinations of the photos </w:t>
            </w:r>
          </w:p>
        </w:tc>
        <w:tc>
          <w:tcPr>
            <w:tcW w:w="1613" w:type="dxa"/>
            <w:tcBorders>
              <w:top w:val="single" w:sz="18" w:space="0" w:color="auto"/>
              <w:bottom w:val="single" w:sz="18" w:space="0" w:color="auto"/>
            </w:tcBorders>
          </w:tcPr>
          <w:p w14:paraId="14D02A47" w14:textId="77777777" w:rsidR="00432442" w:rsidRPr="00BD14B0" w:rsidRDefault="00432442" w:rsidP="00553E01"/>
        </w:tc>
        <w:tc>
          <w:tcPr>
            <w:tcW w:w="1616" w:type="dxa"/>
            <w:tcBorders>
              <w:top w:val="single" w:sz="18" w:space="0" w:color="auto"/>
              <w:bottom w:val="single" w:sz="18" w:space="0" w:color="auto"/>
            </w:tcBorders>
          </w:tcPr>
          <w:p w14:paraId="10F2A87B" w14:textId="77777777" w:rsidR="00432442" w:rsidRPr="00BD14B0" w:rsidRDefault="00432442" w:rsidP="00553E01"/>
        </w:tc>
        <w:tc>
          <w:tcPr>
            <w:tcW w:w="1959" w:type="dxa"/>
            <w:tcBorders>
              <w:top w:val="single" w:sz="18" w:space="0" w:color="auto"/>
              <w:bottom w:val="single" w:sz="18" w:space="0" w:color="auto"/>
            </w:tcBorders>
          </w:tcPr>
          <w:p w14:paraId="4836437C" w14:textId="77777777" w:rsidR="00432442" w:rsidRPr="00BD14B0" w:rsidRDefault="00432442" w:rsidP="00553E01"/>
        </w:tc>
        <w:tc>
          <w:tcPr>
            <w:tcW w:w="1828" w:type="dxa"/>
            <w:tcBorders>
              <w:top w:val="single" w:sz="18" w:space="0" w:color="auto"/>
              <w:bottom w:val="single" w:sz="18" w:space="0" w:color="auto"/>
            </w:tcBorders>
          </w:tcPr>
          <w:p w14:paraId="64C7CCDA" w14:textId="77777777" w:rsidR="00432442" w:rsidRPr="00BD14B0" w:rsidRDefault="00432442" w:rsidP="00553E01"/>
        </w:tc>
      </w:tr>
      <w:tr w:rsidR="00695B36" w:rsidRPr="00BD14B0" w14:paraId="559647E0" w14:textId="77777777" w:rsidTr="006D6F11">
        <w:tc>
          <w:tcPr>
            <w:tcW w:w="1822" w:type="dxa"/>
            <w:tcBorders>
              <w:top w:val="single" w:sz="18" w:space="0" w:color="auto"/>
            </w:tcBorders>
          </w:tcPr>
          <w:p w14:paraId="16B8FAF0" w14:textId="77777777" w:rsidR="00432442" w:rsidRPr="00BD14B0" w:rsidRDefault="00432442" w:rsidP="00553E01">
            <w:r w:rsidRPr="00BD14B0">
              <w:t>Version 1</w:t>
            </w:r>
          </w:p>
        </w:tc>
        <w:tc>
          <w:tcPr>
            <w:tcW w:w="1613" w:type="dxa"/>
            <w:tcBorders>
              <w:top w:val="single" w:sz="18" w:space="0" w:color="auto"/>
            </w:tcBorders>
          </w:tcPr>
          <w:p w14:paraId="517F93E4" w14:textId="77777777" w:rsidR="00432442" w:rsidRPr="00BD14B0" w:rsidRDefault="00432442" w:rsidP="00553E01">
            <w:r w:rsidRPr="00BD14B0">
              <w:t>Photo1</w:t>
            </w:r>
          </w:p>
        </w:tc>
        <w:tc>
          <w:tcPr>
            <w:tcW w:w="1616" w:type="dxa"/>
            <w:tcBorders>
              <w:top w:val="single" w:sz="18" w:space="0" w:color="auto"/>
            </w:tcBorders>
          </w:tcPr>
          <w:p w14:paraId="26596F57" w14:textId="77777777" w:rsidR="00432442" w:rsidRPr="00BD14B0" w:rsidRDefault="00432442" w:rsidP="00553E01">
            <w:r w:rsidRPr="00BD14B0">
              <w:t>Photo2</w:t>
            </w:r>
          </w:p>
        </w:tc>
        <w:tc>
          <w:tcPr>
            <w:tcW w:w="1959" w:type="dxa"/>
            <w:tcBorders>
              <w:top w:val="single" w:sz="18" w:space="0" w:color="auto"/>
            </w:tcBorders>
          </w:tcPr>
          <w:p w14:paraId="50112A75" w14:textId="77777777" w:rsidR="00432442" w:rsidRPr="00BD14B0" w:rsidRDefault="00432442" w:rsidP="00553E01">
            <w:r w:rsidRPr="00BD14B0">
              <w:t>Photo3</w:t>
            </w:r>
          </w:p>
        </w:tc>
        <w:tc>
          <w:tcPr>
            <w:tcW w:w="1828" w:type="dxa"/>
            <w:tcBorders>
              <w:top w:val="single" w:sz="18" w:space="0" w:color="auto"/>
            </w:tcBorders>
          </w:tcPr>
          <w:p w14:paraId="3D9699C7" w14:textId="55A04C65" w:rsidR="00432442" w:rsidRPr="00BD14B0" w:rsidRDefault="00432442" w:rsidP="00553E01">
            <w:r w:rsidRPr="00BD14B0">
              <w:t>Photo 4</w:t>
            </w:r>
          </w:p>
        </w:tc>
      </w:tr>
      <w:tr w:rsidR="00695B36" w:rsidRPr="00BD14B0" w14:paraId="26BC45A2" w14:textId="77777777" w:rsidTr="006D6F11">
        <w:tc>
          <w:tcPr>
            <w:tcW w:w="1822" w:type="dxa"/>
          </w:tcPr>
          <w:p w14:paraId="01503B63" w14:textId="77777777" w:rsidR="00432442" w:rsidRPr="00BD14B0" w:rsidRDefault="00432442" w:rsidP="00553E01">
            <w:r w:rsidRPr="00BD14B0">
              <w:t>Version 2</w:t>
            </w:r>
          </w:p>
        </w:tc>
        <w:tc>
          <w:tcPr>
            <w:tcW w:w="1613" w:type="dxa"/>
          </w:tcPr>
          <w:p w14:paraId="7E0304BA" w14:textId="77777777" w:rsidR="00432442" w:rsidRPr="00BD14B0" w:rsidRDefault="00432442" w:rsidP="00553E01">
            <w:r w:rsidRPr="00BD14B0">
              <w:t>Photo1</w:t>
            </w:r>
          </w:p>
        </w:tc>
        <w:tc>
          <w:tcPr>
            <w:tcW w:w="1616" w:type="dxa"/>
          </w:tcPr>
          <w:p w14:paraId="54D94383" w14:textId="77777777" w:rsidR="00432442" w:rsidRPr="00BD14B0" w:rsidRDefault="00432442" w:rsidP="00553E01">
            <w:r w:rsidRPr="00BD14B0">
              <w:t>Photo2</w:t>
            </w:r>
          </w:p>
        </w:tc>
        <w:tc>
          <w:tcPr>
            <w:tcW w:w="1959" w:type="dxa"/>
          </w:tcPr>
          <w:p w14:paraId="2DFFEC35" w14:textId="77777777" w:rsidR="00432442" w:rsidRPr="00BD14B0" w:rsidRDefault="00432442" w:rsidP="00553E01">
            <w:r w:rsidRPr="00BD14B0">
              <w:t>Photo4</w:t>
            </w:r>
          </w:p>
        </w:tc>
        <w:tc>
          <w:tcPr>
            <w:tcW w:w="1828" w:type="dxa"/>
          </w:tcPr>
          <w:p w14:paraId="4E156B25" w14:textId="77777777" w:rsidR="00432442" w:rsidRPr="00BD14B0" w:rsidRDefault="00432442" w:rsidP="00553E01">
            <w:r w:rsidRPr="00BD14B0">
              <w:t>Photo3</w:t>
            </w:r>
          </w:p>
        </w:tc>
      </w:tr>
      <w:tr w:rsidR="00695B36" w:rsidRPr="00BD14B0" w14:paraId="6C8DB60E" w14:textId="77777777" w:rsidTr="006D6F11">
        <w:tc>
          <w:tcPr>
            <w:tcW w:w="1822" w:type="dxa"/>
          </w:tcPr>
          <w:p w14:paraId="1FC80D81" w14:textId="77777777" w:rsidR="00432442" w:rsidRPr="00BD14B0" w:rsidRDefault="00432442" w:rsidP="00553E01">
            <w:r w:rsidRPr="00BD14B0">
              <w:t>Version 3</w:t>
            </w:r>
          </w:p>
        </w:tc>
        <w:tc>
          <w:tcPr>
            <w:tcW w:w="1613" w:type="dxa"/>
          </w:tcPr>
          <w:p w14:paraId="58BAC370" w14:textId="77777777" w:rsidR="00432442" w:rsidRPr="00BD14B0" w:rsidRDefault="00432442" w:rsidP="00553E01">
            <w:r w:rsidRPr="00BD14B0">
              <w:t>Photo1</w:t>
            </w:r>
          </w:p>
        </w:tc>
        <w:tc>
          <w:tcPr>
            <w:tcW w:w="1616" w:type="dxa"/>
          </w:tcPr>
          <w:p w14:paraId="0FE874A9" w14:textId="77777777" w:rsidR="00432442" w:rsidRPr="00BD14B0" w:rsidRDefault="00432442" w:rsidP="00553E01">
            <w:r w:rsidRPr="00BD14B0">
              <w:t>Photo4</w:t>
            </w:r>
          </w:p>
        </w:tc>
        <w:tc>
          <w:tcPr>
            <w:tcW w:w="1959" w:type="dxa"/>
          </w:tcPr>
          <w:p w14:paraId="63D02A1E" w14:textId="77777777" w:rsidR="00432442" w:rsidRPr="00BD14B0" w:rsidRDefault="00432442" w:rsidP="00553E01">
            <w:r w:rsidRPr="00BD14B0">
              <w:t>Photo2</w:t>
            </w:r>
          </w:p>
        </w:tc>
        <w:tc>
          <w:tcPr>
            <w:tcW w:w="1828" w:type="dxa"/>
          </w:tcPr>
          <w:p w14:paraId="43ECBFFA" w14:textId="77777777" w:rsidR="00432442" w:rsidRPr="00BD14B0" w:rsidRDefault="00432442" w:rsidP="00553E01">
            <w:r w:rsidRPr="00BD14B0">
              <w:t>Photo3</w:t>
            </w:r>
          </w:p>
        </w:tc>
      </w:tr>
      <w:tr w:rsidR="00695B36" w:rsidRPr="00BD14B0" w14:paraId="5A49976E" w14:textId="77777777" w:rsidTr="006D6F11">
        <w:tc>
          <w:tcPr>
            <w:tcW w:w="1822" w:type="dxa"/>
          </w:tcPr>
          <w:p w14:paraId="138E27EE" w14:textId="77777777" w:rsidR="00432442" w:rsidRPr="00BD14B0" w:rsidRDefault="00432442" w:rsidP="00553E01">
            <w:r w:rsidRPr="00BD14B0">
              <w:t>Version 4</w:t>
            </w:r>
          </w:p>
        </w:tc>
        <w:tc>
          <w:tcPr>
            <w:tcW w:w="1613" w:type="dxa"/>
          </w:tcPr>
          <w:p w14:paraId="4F9E9E37" w14:textId="77777777" w:rsidR="00432442" w:rsidRPr="00BD14B0" w:rsidRDefault="00432442" w:rsidP="00553E01">
            <w:r w:rsidRPr="00BD14B0">
              <w:t>Photo1</w:t>
            </w:r>
          </w:p>
        </w:tc>
        <w:tc>
          <w:tcPr>
            <w:tcW w:w="1616" w:type="dxa"/>
          </w:tcPr>
          <w:p w14:paraId="13288C22" w14:textId="77777777" w:rsidR="00432442" w:rsidRPr="00BD14B0" w:rsidRDefault="00432442" w:rsidP="00553E01">
            <w:r w:rsidRPr="00BD14B0">
              <w:t>Photo4</w:t>
            </w:r>
          </w:p>
        </w:tc>
        <w:tc>
          <w:tcPr>
            <w:tcW w:w="1959" w:type="dxa"/>
          </w:tcPr>
          <w:p w14:paraId="1594BA43" w14:textId="77777777" w:rsidR="00432442" w:rsidRPr="00BD14B0" w:rsidRDefault="00432442" w:rsidP="00553E01">
            <w:r w:rsidRPr="00BD14B0">
              <w:t>Photo3</w:t>
            </w:r>
          </w:p>
        </w:tc>
        <w:tc>
          <w:tcPr>
            <w:tcW w:w="1828" w:type="dxa"/>
          </w:tcPr>
          <w:p w14:paraId="05BA61E1" w14:textId="77777777" w:rsidR="00432442" w:rsidRPr="00BD14B0" w:rsidRDefault="00432442" w:rsidP="00553E01">
            <w:r w:rsidRPr="00BD14B0">
              <w:t>Photo2</w:t>
            </w:r>
          </w:p>
        </w:tc>
      </w:tr>
      <w:tr w:rsidR="00695B36" w:rsidRPr="00BD14B0" w14:paraId="5C1EE2F6" w14:textId="77777777" w:rsidTr="006D6F11">
        <w:tc>
          <w:tcPr>
            <w:tcW w:w="1822" w:type="dxa"/>
          </w:tcPr>
          <w:p w14:paraId="5443349F" w14:textId="77777777" w:rsidR="00432442" w:rsidRPr="00BD14B0" w:rsidRDefault="00432442" w:rsidP="00553E01">
            <w:r w:rsidRPr="00BD14B0">
              <w:t>Version 5</w:t>
            </w:r>
          </w:p>
        </w:tc>
        <w:tc>
          <w:tcPr>
            <w:tcW w:w="1613" w:type="dxa"/>
          </w:tcPr>
          <w:p w14:paraId="3146938D" w14:textId="77777777" w:rsidR="00432442" w:rsidRPr="00BD14B0" w:rsidRDefault="00432442" w:rsidP="00553E01">
            <w:r w:rsidRPr="00BD14B0">
              <w:t>Photo1</w:t>
            </w:r>
          </w:p>
        </w:tc>
        <w:tc>
          <w:tcPr>
            <w:tcW w:w="1616" w:type="dxa"/>
          </w:tcPr>
          <w:p w14:paraId="7B974F40" w14:textId="77777777" w:rsidR="00432442" w:rsidRPr="00BD14B0" w:rsidRDefault="00432442" w:rsidP="00553E01">
            <w:r w:rsidRPr="00BD14B0">
              <w:t>Photo3</w:t>
            </w:r>
          </w:p>
        </w:tc>
        <w:tc>
          <w:tcPr>
            <w:tcW w:w="1959" w:type="dxa"/>
          </w:tcPr>
          <w:p w14:paraId="76C851F1" w14:textId="77777777" w:rsidR="00432442" w:rsidRPr="00BD14B0" w:rsidRDefault="00432442" w:rsidP="00553E01">
            <w:r w:rsidRPr="00BD14B0">
              <w:t>Photo2</w:t>
            </w:r>
          </w:p>
        </w:tc>
        <w:tc>
          <w:tcPr>
            <w:tcW w:w="1828" w:type="dxa"/>
          </w:tcPr>
          <w:p w14:paraId="7DFC88F4" w14:textId="77777777" w:rsidR="00432442" w:rsidRPr="00BD14B0" w:rsidRDefault="00432442" w:rsidP="00553E01">
            <w:r w:rsidRPr="00BD14B0">
              <w:t>Photo4</w:t>
            </w:r>
          </w:p>
        </w:tc>
      </w:tr>
      <w:tr w:rsidR="00695B36" w:rsidRPr="00BD14B0" w14:paraId="21FBEB25" w14:textId="77777777" w:rsidTr="006D6F11">
        <w:tc>
          <w:tcPr>
            <w:tcW w:w="1822" w:type="dxa"/>
          </w:tcPr>
          <w:p w14:paraId="27F5EDFB" w14:textId="77777777" w:rsidR="00432442" w:rsidRPr="00BD14B0" w:rsidRDefault="00432442" w:rsidP="00553E01">
            <w:r w:rsidRPr="00BD14B0">
              <w:t>Version 6</w:t>
            </w:r>
          </w:p>
        </w:tc>
        <w:tc>
          <w:tcPr>
            <w:tcW w:w="1613" w:type="dxa"/>
          </w:tcPr>
          <w:p w14:paraId="20B77E44" w14:textId="77777777" w:rsidR="00432442" w:rsidRPr="00BD14B0" w:rsidRDefault="00432442" w:rsidP="00553E01">
            <w:r w:rsidRPr="00BD14B0">
              <w:t>Photo1</w:t>
            </w:r>
          </w:p>
        </w:tc>
        <w:tc>
          <w:tcPr>
            <w:tcW w:w="1616" w:type="dxa"/>
          </w:tcPr>
          <w:p w14:paraId="3A73C681" w14:textId="77777777" w:rsidR="00432442" w:rsidRPr="00BD14B0" w:rsidRDefault="00432442" w:rsidP="00553E01">
            <w:r w:rsidRPr="00BD14B0">
              <w:t>Photo3</w:t>
            </w:r>
          </w:p>
        </w:tc>
        <w:tc>
          <w:tcPr>
            <w:tcW w:w="1959" w:type="dxa"/>
          </w:tcPr>
          <w:p w14:paraId="06930780" w14:textId="77777777" w:rsidR="00432442" w:rsidRPr="00BD14B0" w:rsidRDefault="00432442" w:rsidP="00553E01">
            <w:r w:rsidRPr="00BD14B0">
              <w:t>Photo4</w:t>
            </w:r>
          </w:p>
        </w:tc>
        <w:tc>
          <w:tcPr>
            <w:tcW w:w="1828" w:type="dxa"/>
          </w:tcPr>
          <w:p w14:paraId="51937BA9" w14:textId="77777777" w:rsidR="00432442" w:rsidRPr="00BD14B0" w:rsidRDefault="00432442" w:rsidP="00553E01">
            <w:r w:rsidRPr="00BD14B0">
              <w:t>Photo2</w:t>
            </w:r>
          </w:p>
        </w:tc>
      </w:tr>
      <w:tr w:rsidR="00695B36" w:rsidRPr="00BD14B0" w14:paraId="08A9A8D8" w14:textId="77777777" w:rsidTr="006D6F11">
        <w:tc>
          <w:tcPr>
            <w:tcW w:w="1822" w:type="dxa"/>
          </w:tcPr>
          <w:p w14:paraId="5878C1BB" w14:textId="77777777" w:rsidR="00432442" w:rsidRPr="00BD14B0" w:rsidRDefault="00432442" w:rsidP="00553E01">
            <w:r w:rsidRPr="00BD14B0">
              <w:t>Version 7</w:t>
            </w:r>
          </w:p>
        </w:tc>
        <w:tc>
          <w:tcPr>
            <w:tcW w:w="1613" w:type="dxa"/>
          </w:tcPr>
          <w:p w14:paraId="2BAD143A" w14:textId="77777777" w:rsidR="00432442" w:rsidRPr="00BD14B0" w:rsidRDefault="00432442" w:rsidP="00553E01">
            <w:r w:rsidRPr="00BD14B0">
              <w:t>Photo2</w:t>
            </w:r>
          </w:p>
        </w:tc>
        <w:tc>
          <w:tcPr>
            <w:tcW w:w="1616" w:type="dxa"/>
          </w:tcPr>
          <w:p w14:paraId="29EDC120" w14:textId="77777777" w:rsidR="00432442" w:rsidRPr="00BD14B0" w:rsidRDefault="00432442" w:rsidP="00553E01">
            <w:r w:rsidRPr="00BD14B0">
              <w:t>Photo1</w:t>
            </w:r>
          </w:p>
        </w:tc>
        <w:tc>
          <w:tcPr>
            <w:tcW w:w="1959" w:type="dxa"/>
          </w:tcPr>
          <w:p w14:paraId="2116AA1D" w14:textId="77777777" w:rsidR="00432442" w:rsidRPr="00BD14B0" w:rsidRDefault="00432442" w:rsidP="00553E01">
            <w:r w:rsidRPr="00BD14B0">
              <w:t>Photo3</w:t>
            </w:r>
          </w:p>
        </w:tc>
        <w:tc>
          <w:tcPr>
            <w:tcW w:w="1828" w:type="dxa"/>
          </w:tcPr>
          <w:p w14:paraId="7D88EAEE" w14:textId="77777777" w:rsidR="00432442" w:rsidRPr="00BD14B0" w:rsidRDefault="00432442" w:rsidP="00553E01">
            <w:r w:rsidRPr="00BD14B0">
              <w:t>Photo4</w:t>
            </w:r>
          </w:p>
        </w:tc>
      </w:tr>
      <w:tr w:rsidR="00695B36" w:rsidRPr="00BD14B0" w14:paraId="0E775D74" w14:textId="77777777" w:rsidTr="006D6F11">
        <w:tc>
          <w:tcPr>
            <w:tcW w:w="1822" w:type="dxa"/>
          </w:tcPr>
          <w:p w14:paraId="6FBF2E06" w14:textId="77777777" w:rsidR="00432442" w:rsidRPr="00BD14B0" w:rsidRDefault="00432442" w:rsidP="00553E01">
            <w:r w:rsidRPr="00BD14B0">
              <w:t>Version 8</w:t>
            </w:r>
          </w:p>
        </w:tc>
        <w:tc>
          <w:tcPr>
            <w:tcW w:w="1613" w:type="dxa"/>
          </w:tcPr>
          <w:p w14:paraId="145587EE" w14:textId="77777777" w:rsidR="00432442" w:rsidRPr="00BD14B0" w:rsidRDefault="00432442" w:rsidP="00553E01">
            <w:r w:rsidRPr="00BD14B0">
              <w:t>Photo2</w:t>
            </w:r>
          </w:p>
        </w:tc>
        <w:tc>
          <w:tcPr>
            <w:tcW w:w="1616" w:type="dxa"/>
          </w:tcPr>
          <w:p w14:paraId="304C70BB" w14:textId="77777777" w:rsidR="00432442" w:rsidRPr="00BD14B0" w:rsidRDefault="00432442" w:rsidP="00553E01">
            <w:r w:rsidRPr="00BD14B0">
              <w:t>Photo1</w:t>
            </w:r>
          </w:p>
        </w:tc>
        <w:tc>
          <w:tcPr>
            <w:tcW w:w="1959" w:type="dxa"/>
          </w:tcPr>
          <w:p w14:paraId="7F8D8368" w14:textId="77777777" w:rsidR="00432442" w:rsidRPr="00BD14B0" w:rsidRDefault="00432442" w:rsidP="00553E01">
            <w:r w:rsidRPr="00BD14B0">
              <w:t>Photo4</w:t>
            </w:r>
          </w:p>
        </w:tc>
        <w:tc>
          <w:tcPr>
            <w:tcW w:w="1828" w:type="dxa"/>
          </w:tcPr>
          <w:p w14:paraId="72F725F0" w14:textId="77777777" w:rsidR="00432442" w:rsidRPr="00BD14B0" w:rsidRDefault="00432442" w:rsidP="00553E01">
            <w:r w:rsidRPr="00BD14B0">
              <w:t>Photo3</w:t>
            </w:r>
          </w:p>
        </w:tc>
      </w:tr>
      <w:tr w:rsidR="00695B36" w:rsidRPr="00BD14B0" w14:paraId="1CD2265F" w14:textId="77777777" w:rsidTr="006D6F11">
        <w:tc>
          <w:tcPr>
            <w:tcW w:w="1822" w:type="dxa"/>
          </w:tcPr>
          <w:p w14:paraId="1448E8F6" w14:textId="77777777" w:rsidR="00432442" w:rsidRPr="00BD14B0" w:rsidRDefault="00432442" w:rsidP="00553E01">
            <w:r w:rsidRPr="00BD14B0">
              <w:t>Version 9</w:t>
            </w:r>
          </w:p>
        </w:tc>
        <w:tc>
          <w:tcPr>
            <w:tcW w:w="1613" w:type="dxa"/>
          </w:tcPr>
          <w:p w14:paraId="4C1DD339" w14:textId="77777777" w:rsidR="00432442" w:rsidRPr="00BD14B0" w:rsidRDefault="00432442" w:rsidP="00553E01">
            <w:r w:rsidRPr="00BD14B0">
              <w:t>Photo2</w:t>
            </w:r>
          </w:p>
        </w:tc>
        <w:tc>
          <w:tcPr>
            <w:tcW w:w="1616" w:type="dxa"/>
          </w:tcPr>
          <w:p w14:paraId="2F3D11D7" w14:textId="77777777" w:rsidR="00432442" w:rsidRPr="00BD14B0" w:rsidRDefault="00432442" w:rsidP="00553E01">
            <w:r w:rsidRPr="00BD14B0">
              <w:t>Photo4</w:t>
            </w:r>
          </w:p>
        </w:tc>
        <w:tc>
          <w:tcPr>
            <w:tcW w:w="1959" w:type="dxa"/>
          </w:tcPr>
          <w:p w14:paraId="54E240AB" w14:textId="77777777" w:rsidR="00432442" w:rsidRPr="00BD14B0" w:rsidRDefault="00432442" w:rsidP="00553E01">
            <w:r w:rsidRPr="00BD14B0">
              <w:t>Photo1</w:t>
            </w:r>
          </w:p>
        </w:tc>
        <w:tc>
          <w:tcPr>
            <w:tcW w:w="1828" w:type="dxa"/>
          </w:tcPr>
          <w:p w14:paraId="06D7B89D" w14:textId="77777777" w:rsidR="00432442" w:rsidRPr="00BD14B0" w:rsidRDefault="00432442" w:rsidP="00553E01">
            <w:r w:rsidRPr="00BD14B0">
              <w:t>Photo3</w:t>
            </w:r>
          </w:p>
        </w:tc>
      </w:tr>
      <w:tr w:rsidR="00695B36" w:rsidRPr="00BD14B0" w14:paraId="15EB2FF9" w14:textId="77777777" w:rsidTr="006D6F11">
        <w:tc>
          <w:tcPr>
            <w:tcW w:w="1822" w:type="dxa"/>
          </w:tcPr>
          <w:p w14:paraId="4516BAFE" w14:textId="77777777" w:rsidR="00432442" w:rsidRPr="00BD14B0" w:rsidRDefault="00432442" w:rsidP="00553E01">
            <w:r w:rsidRPr="00BD14B0">
              <w:t>Version 10</w:t>
            </w:r>
          </w:p>
        </w:tc>
        <w:tc>
          <w:tcPr>
            <w:tcW w:w="1613" w:type="dxa"/>
          </w:tcPr>
          <w:p w14:paraId="141069C2" w14:textId="77777777" w:rsidR="00432442" w:rsidRPr="00BD14B0" w:rsidRDefault="00432442" w:rsidP="00553E01">
            <w:r w:rsidRPr="00BD14B0">
              <w:t>Photo2</w:t>
            </w:r>
          </w:p>
        </w:tc>
        <w:tc>
          <w:tcPr>
            <w:tcW w:w="1616" w:type="dxa"/>
          </w:tcPr>
          <w:p w14:paraId="54B5F5E4" w14:textId="77777777" w:rsidR="00432442" w:rsidRPr="00BD14B0" w:rsidRDefault="00432442" w:rsidP="00553E01">
            <w:r w:rsidRPr="00BD14B0">
              <w:t>Photo4</w:t>
            </w:r>
          </w:p>
        </w:tc>
        <w:tc>
          <w:tcPr>
            <w:tcW w:w="1959" w:type="dxa"/>
          </w:tcPr>
          <w:p w14:paraId="63A7116E" w14:textId="77777777" w:rsidR="00432442" w:rsidRPr="00BD14B0" w:rsidRDefault="00432442" w:rsidP="00553E01">
            <w:r w:rsidRPr="00BD14B0">
              <w:t>Photo3</w:t>
            </w:r>
          </w:p>
        </w:tc>
        <w:tc>
          <w:tcPr>
            <w:tcW w:w="1828" w:type="dxa"/>
          </w:tcPr>
          <w:p w14:paraId="1B548E7E" w14:textId="77777777" w:rsidR="00432442" w:rsidRPr="00BD14B0" w:rsidRDefault="00432442" w:rsidP="00553E01">
            <w:r w:rsidRPr="00BD14B0">
              <w:t>Photo1</w:t>
            </w:r>
          </w:p>
        </w:tc>
      </w:tr>
      <w:tr w:rsidR="00695B36" w:rsidRPr="00BD14B0" w14:paraId="254F4AF8" w14:textId="77777777" w:rsidTr="006D6F11">
        <w:tc>
          <w:tcPr>
            <w:tcW w:w="1822" w:type="dxa"/>
          </w:tcPr>
          <w:p w14:paraId="7A9C1FC5" w14:textId="77777777" w:rsidR="00432442" w:rsidRPr="00BD14B0" w:rsidRDefault="00432442" w:rsidP="00553E01">
            <w:r w:rsidRPr="00BD14B0">
              <w:t>Version 11</w:t>
            </w:r>
          </w:p>
        </w:tc>
        <w:tc>
          <w:tcPr>
            <w:tcW w:w="1613" w:type="dxa"/>
          </w:tcPr>
          <w:p w14:paraId="527BD13C" w14:textId="77777777" w:rsidR="00432442" w:rsidRPr="00BD14B0" w:rsidRDefault="00432442" w:rsidP="00553E01">
            <w:r w:rsidRPr="00BD14B0">
              <w:t>Photo2</w:t>
            </w:r>
          </w:p>
        </w:tc>
        <w:tc>
          <w:tcPr>
            <w:tcW w:w="1616" w:type="dxa"/>
          </w:tcPr>
          <w:p w14:paraId="7316D09F" w14:textId="77777777" w:rsidR="00432442" w:rsidRPr="00BD14B0" w:rsidRDefault="00432442" w:rsidP="00553E01">
            <w:r w:rsidRPr="00BD14B0">
              <w:t>Photo3</w:t>
            </w:r>
          </w:p>
        </w:tc>
        <w:tc>
          <w:tcPr>
            <w:tcW w:w="1959" w:type="dxa"/>
          </w:tcPr>
          <w:p w14:paraId="4D4E5E32" w14:textId="77777777" w:rsidR="00432442" w:rsidRPr="00BD14B0" w:rsidRDefault="00432442" w:rsidP="00553E01">
            <w:r w:rsidRPr="00BD14B0">
              <w:t>Photo4</w:t>
            </w:r>
          </w:p>
        </w:tc>
        <w:tc>
          <w:tcPr>
            <w:tcW w:w="1828" w:type="dxa"/>
          </w:tcPr>
          <w:p w14:paraId="52807682" w14:textId="77777777" w:rsidR="00432442" w:rsidRPr="00BD14B0" w:rsidRDefault="00432442" w:rsidP="00553E01">
            <w:r w:rsidRPr="00BD14B0">
              <w:t>Photo1</w:t>
            </w:r>
          </w:p>
        </w:tc>
      </w:tr>
      <w:tr w:rsidR="00695B36" w:rsidRPr="00BD14B0" w14:paraId="0B068FF1" w14:textId="77777777" w:rsidTr="006D6F11">
        <w:tc>
          <w:tcPr>
            <w:tcW w:w="1822" w:type="dxa"/>
          </w:tcPr>
          <w:p w14:paraId="6DFBDB97" w14:textId="77777777" w:rsidR="00432442" w:rsidRPr="00BD14B0" w:rsidRDefault="00432442" w:rsidP="00553E01">
            <w:r w:rsidRPr="00BD14B0">
              <w:t>Version 12</w:t>
            </w:r>
          </w:p>
        </w:tc>
        <w:tc>
          <w:tcPr>
            <w:tcW w:w="1613" w:type="dxa"/>
          </w:tcPr>
          <w:p w14:paraId="72242557" w14:textId="77777777" w:rsidR="00432442" w:rsidRPr="00BD14B0" w:rsidRDefault="00432442" w:rsidP="00553E01">
            <w:r w:rsidRPr="00BD14B0">
              <w:t>Photo2</w:t>
            </w:r>
          </w:p>
        </w:tc>
        <w:tc>
          <w:tcPr>
            <w:tcW w:w="1616" w:type="dxa"/>
          </w:tcPr>
          <w:p w14:paraId="6FB9739D" w14:textId="77777777" w:rsidR="00432442" w:rsidRPr="00BD14B0" w:rsidRDefault="00432442" w:rsidP="00553E01">
            <w:r w:rsidRPr="00BD14B0">
              <w:t>Photo3</w:t>
            </w:r>
          </w:p>
        </w:tc>
        <w:tc>
          <w:tcPr>
            <w:tcW w:w="1959" w:type="dxa"/>
          </w:tcPr>
          <w:p w14:paraId="3895355D" w14:textId="77777777" w:rsidR="00432442" w:rsidRPr="00BD14B0" w:rsidRDefault="00432442" w:rsidP="00553E01">
            <w:r w:rsidRPr="00BD14B0">
              <w:t>Photo1</w:t>
            </w:r>
          </w:p>
        </w:tc>
        <w:tc>
          <w:tcPr>
            <w:tcW w:w="1828" w:type="dxa"/>
          </w:tcPr>
          <w:p w14:paraId="4F2CF6D8" w14:textId="77777777" w:rsidR="00432442" w:rsidRPr="00BD14B0" w:rsidRDefault="00432442" w:rsidP="00553E01">
            <w:r w:rsidRPr="00BD14B0">
              <w:t>Photo4</w:t>
            </w:r>
          </w:p>
        </w:tc>
      </w:tr>
      <w:tr w:rsidR="00695B36" w:rsidRPr="00BD14B0" w14:paraId="350582E0" w14:textId="77777777" w:rsidTr="006D6F11">
        <w:tc>
          <w:tcPr>
            <w:tcW w:w="1822" w:type="dxa"/>
          </w:tcPr>
          <w:p w14:paraId="15CCD15E" w14:textId="77777777" w:rsidR="00432442" w:rsidRPr="00BD14B0" w:rsidRDefault="00432442" w:rsidP="00553E01">
            <w:r w:rsidRPr="00BD14B0">
              <w:lastRenderedPageBreak/>
              <w:t>Version 13</w:t>
            </w:r>
          </w:p>
        </w:tc>
        <w:tc>
          <w:tcPr>
            <w:tcW w:w="1613" w:type="dxa"/>
          </w:tcPr>
          <w:p w14:paraId="6D88BB31" w14:textId="77777777" w:rsidR="00432442" w:rsidRPr="00BD14B0" w:rsidRDefault="00432442" w:rsidP="00553E01">
            <w:r w:rsidRPr="00BD14B0">
              <w:t>Photo3</w:t>
            </w:r>
          </w:p>
        </w:tc>
        <w:tc>
          <w:tcPr>
            <w:tcW w:w="1616" w:type="dxa"/>
          </w:tcPr>
          <w:p w14:paraId="318241E9" w14:textId="77777777" w:rsidR="00432442" w:rsidRPr="00BD14B0" w:rsidRDefault="00432442" w:rsidP="00553E01">
            <w:r w:rsidRPr="00BD14B0">
              <w:t>Photo1</w:t>
            </w:r>
          </w:p>
        </w:tc>
        <w:tc>
          <w:tcPr>
            <w:tcW w:w="1959" w:type="dxa"/>
          </w:tcPr>
          <w:p w14:paraId="6D274BE7" w14:textId="77777777" w:rsidR="00432442" w:rsidRPr="00BD14B0" w:rsidRDefault="00432442" w:rsidP="00553E01">
            <w:r w:rsidRPr="00BD14B0">
              <w:t>Photo2</w:t>
            </w:r>
          </w:p>
        </w:tc>
        <w:tc>
          <w:tcPr>
            <w:tcW w:w="1828" w:type="dxa"/>
          </w:tcPr>
          <w:p w14:paraId="1797C8F8" w14:textId="77777777" w:rsidR="00432442" w:rsidRPr="00BD14B0" w:rsidRDefault="00432442" w:rsidP="00553E01">
            <w:r w:rsidRPr="00BD14B0">
              <w:t>Photo4</w:t>
            </w:r>
          </w:p>
        </w:tc>
      </w:tr>
      <w:tr w:rsidR="00695B36" w:rsidRPr="00BD14B0" w14:paraId="43D2ADF1" w14:textId="77777777" w:rsidTr="006D6F11">
        <w:tc>
          <w:tcPr>
            <w:tcW w:w="1822" w:type="dxa"/>
          </w:tcPr>
          <w:p w14:paraId="2F7A885E" w14:textId="77777777" w:rsidR="00432442" w:rsidRPr="00BD14B0" w:rsidRDefault="00432442" w:rsidP="00553E01">
            <w:r w:rsidRPr="00BD14B0">
              <w:t>Version 14</w:t>
            </w:r>
          </w:p>
        </w:tc>
        <w:tc>
          <w:tcPr>
            <w:tcW w:w="1613" w:type="dxa"/>
          </w:tcPr>
          <w:p w14:paraId="0ACE5272" w14:textId="77777777" w:rsidR="00432442" w:rsidRPr="00BD14B0" w:rsidRDefault="00432442" w:rsidP="00553E01">
            <w:r w:rsidRPr="00BD14B0">
              <w:t>Photo3</w:t>
            </w:r>
          </w:p>
        </w:tc>
        <w:tc>
          <w:tcPr>
            <w:tcW w:w="1616" w:type="dxa"/>
          </w:tcPr>
          <w:p w14:paraId="283DA027" w14:textId="77777777" w:rsidR="00432442" w:rsidRPr="00BD14B0" w:rsidRDefault="00432442" w:rsidP="00553E01">
            <w:r w:rsidRPr="00BD14B0">
              <w:t>Photo1</w:t>
            </w:r>
          </w:p>
        </w:tc>
        <w:tc>
          <w:tcPr>
            <w:tcW w:w="1959" w:type="dxa"/>
          </w:tcPr>
          <w:p w14:paraId="5F35CF9C" w14:textId="77777777" w:rsidR="00432442" w:rsidRPr="00BD14B0" w:rsidRDefault="00432442" w:rsidP="00553E01">
            <w:r w:rsidRPr="00BD14B0">
              <w:t>Photo4</w:t>
            </w:r>
          </w:p>
        </w:tc>
        <w:tc>
          <w:tcPr>
            <w:tcW w:w="1828" w:type="dxa"/>
          </w:tcPr>
          <w:p w14:paraId="2E6A6C8A" w14:textId="77777777" w:rsidR="00432442" w:rsidRPr="00BD14B0" w:rsidRDefault="00432442" w:rsidP="00553E01">
            <w:r w:rsidRPr="00BD14B0">
              <w:t>Photo2</w:t>
            </w:r>
          </w:p>
        </w:tc>
      </w:tr>
      <w:tr w:rsidR="00695B36" w:rsidRPr="00BD14B0" w14:paraId="6D2ACE27" w14:textId="77777777" w:rsidTr="006D6F11">
        <w:tc>
          <w:tcPr>
            <w:tcW w:w="1822" w:type="dxa"/>
          </w:tcPr>
          <w:p w14:paraId="0467DF28" w14:textId="77777777" w:rsidR="00432442" w:rsidRPr="00BD14B0" w:rsidRDefault="00432442" w:rsidP="00553E01">
            <w:r w:rsidRPr="00BD14B0">
              <w:t>Version 15</w:t>
            </w:r>
          </w:p>
        </w:tc>
        <w:tc>
          <w:tcPr>
            <w:tcW w:w="1613" w:type="dxa"/>
          </w:tcPr>
          <w:p w14:paraId="1FE8A486" w14:textId="77777777" w:rsidR="00432442" w:rsidRPr="00BD14B0" w:rsidRDefault="00432442" w:rsidP="00553E01">
            <w:r w:rsidRPr="00BD14B0">
              <w:t>Photo3</w:t>
            </w:r>
          </w:p>
        </w:tc>
        <w:tc>
          <w:tcPr>
            <w:tcW w:w="1616" w:type="dxa"/>
          </w:tcPr>
          <w:p w14:paraId="3AFC7BDA" w14:textId="77777777" w:rsidR="00432442" w:rsidRPr="00BD14B0" w:rsidRDefault="00432442" w:rsidP="00553E01">
            <w:r w:rsidRPr="00BD14B0">
              <w:t>Photo4</w:t>
            </w:r>
          </w:p>
        </w:tc>
        <w:tc>
          <w:tcPr>
            <w:tcW w:w="1959" w:type="dxa"/>
          </w:tcPr>
          <w:p w14:paraId="03282581" w14:textId="77777777" w:rsidR="00432442" w:rsidRPr="00BD14B0" w:rsidRDefault="00432442" w:rsidP="00553E01">
            <w:r w:rsidRPr="00BD14B0">
              <w:t>Photo1</w:t>
            </w:r>
          </w:p>
        </w:tc>
        <w:tc>
          <w:tcPr>
            <w:tcW w:w="1828" w:type="dxa"/>
          </w:tcPr>
          <w:p w14:paraId="36336808" w14:textId="77777777" w:rsidR="00432442" w:rsidRPr="00BD14B0" w:rsidRDefault="00432442" w:rsidP="00553E01">
            <w:r w:rsidRPr="00BD14B0">
              <w:t>Photo2</w:t>
            </w:r>
          </w:p>
        </w:tc>
      </w:tr>
      <w:tr w:rsidR="00695B36" w:rsidRPr="00BD14B0" w14:paraId="6739051A" w14:textId="77777777" w:rsidTr="006D6F11">
        <w:tc>
          <w:tcPr>
            <w:tcW w:w="1822" w:type="dxa"/>
          </w:tcPr>
          <w:p w14:paraId="1E339772" w14:textId="77777777" w:rsidR="00432442" w:rsidRPr="00BD14B0" w:rsidRDefault="00432442" w:rsidP="00553E01">
            <w:r w:rsidRPr="00BD14B0">
              <w:t>Version 16</w:t>
            </w:r>
          </w:p>
        </w:tc>
        <w:tc>
          <w:tcPr>
            <w:tcW w:w="1613" w:type="dxa"/>
          </w:tcPr>
          <w:p w14:paraId="3C45ABD5" w14:textId="77777777" w:rsidR="00432442" w:rsidRPr="00BD14B0" w:rsidRDefault="00432442" w:rsidP="00553E01">
            <w:r w:rsidRPr="00BD14B0">
              <w:t>Photo3</w:t>
            </w:r>
          </w:p>
        </w:tc>
        <w:tc>
          <w:tcPr>
            <w:tcW w:w="1616" w:type="dxa"/>
          </w:tcPr>
          <w:p w14:paraId="57DDE5CA" w14:textId="77777777" w:rsidR="00432442" w:rsidRPr="00BD14B0" w:rsidRDefault="00432442" w:rsidP="00553E01">
            <w:r w:rsidRPr="00BD14B0">
              <w:t>Photo4</w:t>
            </w:r>
          </w:p>
        </w:tc>
        <w:tc>
          <w:tcPr>
            <w:tcW w:w="1959" w:type="dxa"/>
          </w:tcPr>
          <w:p w14:paraId="76C5674C" w14:textId="77777777" w:rsidR="00432442" w:rsidRPr="00BD14B0" w:rsidRDefault="00432442" w:rsidP="00553E01">
            <w:r w:rsidRPr="00BD14B0">
              <w:t>Photo2</w:t>
            </w:r>
          </w:p>
        </w:tc>
        <w:tc>
          <w:tcPr>
            <w:tcW w:w="1828" w:type="dxa"/>
          </w:tcPr>
          <w:p w14:paraId="0E18C48D" w14:textId="77777777" w:rsidR="00432442" w:rsidRPr="00BD14B0" w:rsidRDefault="00432442" w:rsidP="00553E01">
            <w:r w:rsidRPr="00BD14B0">
              <w:t>Photo1</w:t>
            </w:r>
          </w:p>
        </w:tc>
      </w:tr>
      <w:tr w:rsidR="00695B36" w:rsidRPr="00BD14B0" w14:paraId="2C914A50" w14:textId="77777777" w:rsidTr="006D6F11">
        <w:tc>
          <w:tcPr>
            <w:tcW w:w="1822" w:type="dxa"/>
          </w:tcPr>
          <w:p w14:paraId="118592E9" w14:textId="77777777" w:rsidR="00432442" w:rsidRPr="00BD14B0" w:rsidRDefault="00432442" w:rsidP="00553E01">
            <w:r w:rsidRPr="00BD14B0">
              <w:t>Version 17</w:t>
            </w:r>
          </w:p>
        </w:tc>
        <w:tc>
          <w:tcPr>
            <w:tcW w:w="1613" w:type="dxa"/>
          </w:tcPr>
          <w:p w14:paraId="4C61ADAA" w14:textId="77777777" w:rsidR="00432442" w:rsidRPr="00BD14B0" w:rsidRDefault="00432442" w:rsidP="00553E01">
            <w:r w:rsidRPr="00BD14B0">
              <w:t>Photo3</w:t>
            </w:r>
          </w:p>
        </w:tc>
        <w:tc>
          <w:tcPr>
            <w:tcW w:w="1616" w:type="dxa"/>
          </w:tcPr>
          <w:p w14:paraId="5A50355D" w14:textId="77777777" w:rsidR="00432442" w:rsidRPr="00BD14B0" w:rsidRDefault="00432442" w:rsidP="00553E01">
            <w:r w:rsidRPr="00BD14B0">
              <w:t>Photo2</w:t>
            </w:r>
          </w:p>
        </w:tc>
        <w:tc>
          <w:tcPr>
            <w:tcW w:w="1959" w:type="dxa"/>
          </w:tcPr>
          <w:p w14:paraId="521C0C1F" w14:textId="77777777" w:rsidR="00432442" w:rsidRPr="00BD14B0" w:rsidRDefault="00432442" w:rsidP="00553E01">
            <w:r w:rsidRPr="00BD14B0">
              <w:t>Photo1</w:t>
            </w:r>
          </w:p>
        </w:tc>
        <w:tc>
          <w:tcPr>
            <w:tcW w:w="1828" w:type="dxa"/>
          </w:tcPr>
          <w:p w14:paraId="1909EB37" w14:textId="77777777" w:rsidR="00432442" w:rsidRPr="00BD14B0" w:rsidRDefault="00432442" w:rsidP="00553E01">
            <w:r w:rsidRPr="00BD14B0">
              <w:t>Photo4</w:t>
            </w:r>
          </w:p>
        </w:tc>
      </w:tr>
      <w:tr w:rsidR="00695B36" w:rsidRPr="00BD14B0" w14:paraId="338946E1" w14:textId="77777777" w:rsidTr="006D6F11">
        <w:tc>
          <w:tcPr>
            <w:tcW w:w="1822" w:type="dxa"/>
          </w:tcPr>
          <w:p w14:paraId="5CDCB4C7" w14:textId="77777777" w:rsidR="00432442" w:rsidRPr="00BD14B0" w:rsidRDefault="00432442" w:rsidP="00553E01">
            <w:r w:rsidRPr="00BD14B0">
              <w:t>Version 18</w:t>
            </w:r>
          </w:p>
        </w:tc>
        <w:tc>
          <w:tcPr>
            <w:tcW w:w="1613" w:type="dxa"/>
          </w:tcPr>
          <w:p w14:paraId="1A102EB5" w14:textId="77777777" w:rsidR="00432442" w:rsidRPr="00BD14B0" w:rsidRDefault="00432442" w:rsidP="00553E01">
            <w:r w:rsidRPr="00BD14B0">
              <w:t>Photo3</w:t>
            </w:r>
          </w:p>
        </w:tc>
        <w:tc>
          <w:tcPr>
            <w:tcW w:w="1616" w:type="dxa"/>
          </w:tcPr>
          <w:p w14:paraId="79DC8541" w14:textId="77777777" w:rsidR="00432442" w:rsidRPr="00BD14B0" w:rsidRDefault="00432442" w:rsidP="00553E01">
            <w:r w:rsidRPr="00BD14B0">
              <w:t>Photo2</w:t>
            </w:r>
          </w:p>
        </w:tc>
        <w:tc>
          <w:tcPr>
            <w:tcW w:w="1959" w:type="dxa"/>
          </w:tcPr>
          <w:p w14:paraId="1BF114F6" w14:textId="77777777" w:rsidR="00432442" w:rsidRPr="00BD14B0" w:rsidRDefault="00432442" w:rsidP="00553E01">
            <w:r w:rsidRPr="00BD14B0">
              <w:t>Photo4</w:t>
            </w:r>
          </w:p>
        </w:tc>
        <w:tc>
          <w:tcPr>
            <w:tcW w:w="1828" w:type="dxa"/>
          </w:tcPr>
          <w:p w14:paraId="0ABDEF12" w14:textId="77777777" w:rsidR="00432442" w:rsidRPr="00BD14B0" w:rsidRDefault="00432442" w:rsidP="00553E01">
            <w:r w:rsidRPr="00BD14B0">
              <w:t>Photo1</w:t>
            </w:r>
          </w:p>
        </w:tc>
      </w:tr>
      <w:tr w:rsidR="00695B36" w:rsidRPr="00BD14B0" w14:paraId="739FB635" w14:textId="77777777" w:rsidTr="006D6F11">
        <w:tc>
          <w:tcPr>
            <w:tcW w:w="1822" w:type="dxa"/>
          </w:tcPr>
          <w:p w14:paraId="3470E833" w14:textId="77777777" w:rsidR="00432442" w:rsidRPr="00BD14B0" w:rsidRDefault="00432442" w:rsidP="00553E01">
            <w:r w:rsidRPr="00BD14B0">
              <w:t>Version 19</w:t>
            </w:r>
          </w:p>
        </w:tc>
        <w:tc>
          <w:tcPr>
            <w:tcW w:w="1613" w:type="dxa"/>
          </w:tcPr>
          <w:p w14:paraId="6A88CAC9" w14:textId="77777777" w:rsidR="00432442" w:rsidRPr="00BD14B0" w:rsidRDefault="00432442" w:rsidP="00553E01">
            <w:r w:rsidRPr="00BD14B0">
              <w:t>Photo4</w:t>
            </w:r>
          </w:p>
        </w:tc>
        <w:tc>
          <w:tcPr>
            <w:tcW w:w="1616" w:type="dxa"/>
          </w:tcPr>
          <w:p w14:paraId="1CD86E31" w14:textId="77777777" w:rsidR="00432442" w:rsidRPr="00BD14B0" w:rsidRDefault="00432442" w:rsidP="00553E01">
            <w:r w:rsidRPr="00BD14B0">
              <w:t>Photo1</w:t>
            </w:r>
          </w:p>
        </w:tc>
        <w:tc>
          <w:tcPr>
            <w:tcW w:w="1959" w:type="dxa"/>
          </w:tcPr>
          <w:p w14:paraId="36081A3B" w14:textId="77777777" w:rsidR="00432442" w:rsidRPr="00BD14B0" w:rsidRDefault="00432442" w:rsidP="00553E01">
            <w:r w:rsidRPr="00BD14B0">
              <w:t>Photo2</w:t>
            </w:r>
          </w:p>
        </w:tc>
        <w:tc>
          <w:tcPr>
            <w:tcW w:w="1828" w:type="dxa"/>
          </w:tcPr>
          <w:p w14:paraId="6FE30766" w14:textId="77777777" w:rsidR="00432442" w:rsidRPr="00BD14B0" w:rsidRDefault="00432442" w:rsidP="00553E01">
            <w:r w:rsidRPr="00BD14B0">
              <w:t>Photo3</w:t>
            </w:r>
          </w:p>
        </w:tc>
      </w:tr>
      <w:tr w:rsidR="00695B36" w:rsidRPr="00BD14B0" w14:paraId="7D1AC1EF" w14:textId="77777777" w:rsidTr="006D6F11">
        <w:tc>
          <w:tcPr>
            <w:tcW w:w="1822" w:type="dxa"/>
          </w:tcPr>
          <w:p w14:paraId="511E0DA8" w14:textId="77777777" w:rsidR="00432442" w:rsidRPr="00BD14B0" w:rsidRDefault="00432442" w:rsidP="00553E01">
            <w:r w:rsidRPr="00BD14B0">
              <w:t>Version 20</w:t>
            </w:r>
          </w:p>
        </w:tc>
        <w:tc>
          <w:tcPr>
            <w:tcW w:w="1613" w:type="dxa"/>
          </w:tcPr>
          <w:p w14:paraId="08FED05C" w14:textId="77777777" w:rsidR="00432442" w:rsidRPr="00BD14B0" w:rsidRDefault="00432442" w:rsidP="00553E01">
            <w:r w:rsidRPr="00BD14B0">
              <w:t>Photo4</w:t>
            </w:r>
          </w:p>
        </w:tc>
        <w:tc>
          <w:tcPr>
            <w:tcW w:w="1616" w:type="dxa"/>
          </w:tcPr>
          <w:p w14:paraId="328C033C" w14:textId="77777777" w:rsidR="00432442" w:rsidRPr="00BD14B0" w:rsidRDefault="00432442" w:rsidP="00553E01">
            <w:r w:rsidRPr="00BD14B0">
              <w:t>Photo1</w:t>
            </w:r>
          </w:p>
        </w:tc>
        <w:tc>
          <w:tcPr>
            <w:tcW w:w="1959" w:type="dxa"/>
          </w:tcPr>
          <w:p w14:paraId="4064D5E9" w14:textId="77777777" w:rsidR="00432442" w:rsidRPr="00BD14B0" w:rsidRDefault="00432442" w:rsidP="00553E01">
            <w:r w:rsidRPr="00BD14B0">
              <w:t>Photo3</w:t>
            </w:r>
          </w:p>
        </w:tc>
        <w:tc>
          <w:tcPr>
            <w:tcW w:w="1828" w:type="dxa"/>
          </w:tcPr>
          <w:p w14:paraId="776F1F90" w14:textId="77777777" w:rsidR="00432442" w:rsidRPr="00BD14B0" w:rsidRDefault="00432442" w:rsidP="00553E01">
            <w:r w:rsidRPr="00BD14B0">
              <w:t>Photo2</w:t>
            </w:r>
          </w:p>
        </w:tc>
      </w:tr>
      <w:tr w:rsidR="00695B36" w:rsidRPr="00BD14B0" w14:paraId="31D041EE" w14:textId="77777777" w:rsidTr="006D6F11">
        <w:tc>
          <w:tcPr>
            <w:tcW w:w="1822" w:type="dxa"/>
          </w:tcPr>
          <w:p w14:paraId="068ED9F3" w14:textId="77777777" w:rsidR="00432442" w:rsidRPr="00BD14B0" w:rsidRDefault="00432442" w:rsidP="00553E01">
            <w:r w:rsidRPr="00BD14B0">
              <w:t>Version 21</w:t>
            </w:r>
          </w:p>
        </w:tc>
        <w:tc>
          <w:tcPr>
            <w:tcW w:w="1613" w:type="dxa"/>
          </w:tcPr>
          <w:p w14:paraId="314BF6F3" w14:textId="77777777" w:rsidR="00432442" w:rsidRPr="00BD14B0" w:rsidRDefault="00432442" w:rsidP="00553E01">
            <w:r w:rsidRPr="00BD14B0">
              <w:t>Photo4</w:t>
            </w:r>
          </w:p>
        </w:tc>
        <w:tc>
          <w:tcPr>
            <w:tcW w:w="1616" w:type="dxa"/>
          </w:tcPr>
          <w:p w14:paraId="4A4DA08B" w14:textId="77777777" w:rsidR="00432442" w:rsidRPr="00BD14B0" w:rsidRDefault="00432442" w:rsidP="00553E01">
            <w:r w:rsidRPr="00BD14B0">
              <w:t>Photo2</w:t>
            </w:r>
          </w:p>
        </w:tc>
        <w:tc>
          <w:tcPr>
            <w:tcW w:w="1959" w:type="dxa"/>
          </w:tcPr>
          <w:p w14:paraId="1F14CD4A" w14:textId="77777777" w:rsidR="00432442" w:rsidRPr="00BD14B0" w:rsidRDefault="00432442" w:rsidP="00553E01">
            <w:r w:rsidRPr="00BD14B0">
              <w:t>Photo1</w:t>
            </w:r>
          </w:p>
        </w:tc>
        <w:tc>
          <w:tcPr>
            <w:tcW w:w="1828" w:type="dxa"/>
          </w:tcPr>
          <w:p w14:paraId="7C144CB9" w14:textId="77777777" w:rsidR="00432442" w:rsidRPr="00BD14B0" w:rsidRDefault="00432442" w:rsidP="00553E01">
            <w:r w:rsidRPr="00BD14B0">
              <w:t>Photo3</w:t>
            </w:r>
          </w:p>
        </w:tc>
      </w:tr>
      <w:tr w:rsidR="00695B36" w:rsidRPr="00BD14B0" w14:paraId="2170CA40" w14:textId="77777777" w:rsidTr="006D6F11">
        <w:tc>
          <w:tcPr>
            <w:tcW w:w="1822" w:type="dxa"/>
          </w:tcPr>
          <w:p w14:paraId="1D7E1085" w14:textId="77777777" w:rsidR="00432442" w:rsidRPr="00BD14B0" w:rsidRDefault="00432442" w:rsidP="00553E01">
            <w:r w:rsidRPr="00BD14B0">
              <w:t>Version 22</w:t>
            </w:r>
          </w:p>
        </w:tc>
        <w:tc>
          <w:tcPr>
            <w:tcW w:w="1613" w:type="dxa"/>
          </w:tcPr>
          <w:p w14:paraId="084C759E" w14:textId="77777777" w:rsidR="00432442" w:rsidRPr="00BD14B0" w:rsidRDefault="00432442" w:rsidP="00553E01">
            <w:r w:rsidRPr="00BD14B0">
              <w:t>Photo4</w:t>
            </w:r>
          </w:p>
        </w:tc>
        <w:tc>
          <w:tcPr>
            <w:tcW w:w="1616" w:type="dxa"/>
          </w:tcPr>
          <w:p w14:paraId="7848E3D2" w14:textId="77777777" w:rsidR="00432442" w:rsidRPr="00BD14B0" w:rsidRDefault="00432442" w:rsidP="00553E01">
            <w:r w:rsidRPr="00BD14B0">
              <w:t>Photo2</w:t>
            </w:r>
          </w:p>
        </w:tc>
        <w:tc>
          <w:tcPr>
            <w:tcW w:w="1959" w:type="dxa"/>
          </w:tcPr>
          <w:p w14:paraId="1F58DCB0" w14:textId="77777777" w:rsidR="00432442" w:rsidRPr="00BD14B0" w:rsidRDefault="00432442" w:rsidP="00553E01">
            <w:r w:rsidRPr="00BD14B0">
              <w:t>Photo3</w:t>
            </w:r>
          </w:p>
        </w:tc>
        <w:tc>
          <w:tcPr>
            <w:tcW w:w="1828" w:type="dxa"/>
          </w:tcPr>
          <w:p w14:paraId="2F1706E8" w14:textId="77777777" w:rsidR="00432442" w:rsidRPr="00BD14B0" w:rsidRDefault="00432442" w:rsidP="00553E01">
            <w:r w:rsidRPr="00BD14B0">
              <w:t>Photo1</w:t>
            </w:r>
          </w:p>
        </w:tc>
      </w:tr>
      <w:tr w:rsidR="00695B36" w:rsidRPr="00BD14B0" w14:paraId="3F0DAD2C" w14:textId="77777777" w:rsidTr="006D6F11">
        <w:tc>
          <w:tcPr>
            <w:tcW w:w="1822" w:type="dxa"/>
          </w:tcPr>
          <w:p w14:paraId="7F0BB62A" w14:textId="77777777" w:rsidR="00432442" w:rsidRPr="00BD14B0" w:rsidRDefault="00432442" w:rsidP="00553E01">
            <w:r w:rsidRPr="00BD14B0">
              <w:t>Version 23</w:t>
            </w:r>
          </w:p>
        </w:tc>
        <w:tc>
          <w:tcPr>
            <w:tcW w:w="1613" w:type="dxa"/>
          </w:tcPr>
          <w:p w14:paraId="7F585CF2" w14:textId="77777777" w:rsidR="00432442" w:rsidRPr="00BD14B0" w:rsidRDefault="00432442" w:rsidP="00553E01">
            <w:r w:rsidRPr="00BD14B0">
              <w:t>Photo4</w:t>
            </w:r>
          </w:p>
        </w:tc>
        <w:tc>
          <w:tcPr>
            <w:tcW w:w="1616" w:type="dxa"/>
          </w:tcPr>
          <w:p w14:paraId="7BF29B22" w14:textId="77777777" w:rsidR="00432442" w:rsidRPr="00BD14B0" w:rsidRDefault="00432442" w:rsidP="00553E01">
            <w:r w:rsidRPr="00BD14B0">
              <w:t>Photo3</w:t>
            </w:r>
          </w:p>
        </w:tc>
        <w:tc>
          <w:tcPr>
            <w:tcW w:w="1959" w:type="dxa"/>
          </w:tcPr>
          <w:p w14:paraId="253664DC" w14:textId="77777777" w:rsidR="00432442" w:rsidRPr="00BD14B0" w:rsidRDefault="00432442" w:rsidP="00553E01">
            <w:r w:rsidRPr="00BD14B0">
              <w:t>Photo1</w:t>
            </w:r>
          </w:p>
        </w:tc>
        <w:tc>
          <w:tcPr>
            <w:tcW w:w="1828" w:type="dxa"/>
          </w:tcPr>
          <w:p w14:paraId="32C808FD" w14:textId="77777777" w:rsidR="00432442" w:rsidRPr="00BD14B0" w:rsidRDefault="00432442" w:rsidP="00553E01">
            <w:r w:rsidRPr="00BD14B0">
              <w:t>Photo2</w:t>
            </w:r>
          </w:p>
        </w:tc>
      </w:tr>
      <w:tr w:rsidR="00432442" w:rsidRPr="00BD14B0" w14:paraId="5071893A" w14:textId="77777777" w:rsidTr="006D6F11">
        <w:tc>
          <w:tcPr>
            <w:tcW w:w="1822" w:type="dxa"/>
            <w:tcBorders>
              <w:bottom w:val="single" w:sz="18" w:space="0" w:color="auto"/>
            </w:tcBorders>
          </w:tcPr>
          <w:p w14:paraId="0AB953F8" w14:textId="77777777" w:rsidR="00432442" w:rsidRPr="00BD14B0" w:rsidRDefault="00432442" w:rsidP="00553E01">
            <w:r w:rsidRPr="00BD14B0">
              <w:t>Version 24</w:t>
            </w:r>
          </w:p>
        </w:tc>
        <w:tc>
          <w:tcPr>
            <w:tcW w:w="1613" w:type="dxa"/>
            <w:tcBorders>
              <w:bottom w:val="single" w:sz="18" w:space="0" w:color="auto"/>
            </w:tcBorders>
          </w:tcPr>
          <w:p w14:paraId="02D7028D" w14:textId="77777777" w:rsidR="00432442" w:rsidRPr="00BD14B0" w:rsidRDefault="00432442" w:rsidP="00553E01">
            <w:r w:rsidRPr="00BD14B0">
              <w:t>Photo4</w:t>
            </w:r>
          </w:p>
        </w:tc>
        <w:tc>
          <w:tcPr>
            <w:tcW w:w="1616" w:type="dxa"/>
            <w:tcBorders>
              <w:bottom w:val="single" w:sz="18" w:space="0" w:color="auto"/>
            </w:tcBorders>
          </w:tcPr>
          <w:p w14:paraId="0D898A35" w14:textId="77777777" w:rsidR="00432442" w:rsidRPr="00BD14B0" w:rsidRDefault="00432442" w:rsidP="00553E01">
            <w:r w:rsidRPr="00BD14B0">
              <w:t>Photo3</w:t>
            </w:r>
          </w:p>
        </w:tc>
        <w:tc>
          <w:tcPr>
            <w:tcW w:w="1959" w:type="dxa"/>
            <w:tcBorders>
              <w:bottom w:val="single" w:sz="18" w:space="0" w:color="auto"/>
            </w:tcBorders>
          </w:tcPr>
          <w:p w14:paraId="7087C275" w14:textId="77777777" w:rsidR="00432442" w:rsidRPr="00BD14B0" w:rsidRDefault="00432442" w:rsidP="00553E01">
            <w:r w:rsidRPr="00BD14B0">
              <w:t>Photo2</w:t>
            </w:r>
          </w:p>
        </w:tc>
        <w:tc>
          <w:tcPr>
            <w:tcW w:w="1828" w:type="dxa"/>
            <w:tcBorders>
              <w:bottom w:val="single" w:sz="18" w:space="0" w:color="auto"/>
            </w:tcBorders>
          </w:tcPr>
          <w:p w14:paraId="233C03FB" w14:textId="77777777" w:rsidR="00432442" w:rsidRPr="00BD14B0" w:rsidRDefault="00432442" w:rsidP="00553E01">
            <w:r w:rsidRPr="00BD14B0">
              <w:t>Photo1</w:t>
            </w:r>
          </w:p>
        </w:tc>
      </w:tr>
      <w:bookmarkEnd w:id="30"/>
    </w:tbl>
    <w:p w14:paraId="4D225F9D" w14:textId="77777777" w:rsidR="001B6377" w:rsidRPr="00BD14B0" w:rsidRDefault="001B6377" w:rsidP="00553E01"/>
    <w:p w14:paraId="2A97B120" w14:textId="1724BF91" w:rsidR="001B6377" w:rsidRPr="00BD14B0" w:rsidRDefault="001B6377" w:rsidP="00553E01">
      <w:r w:rsidRPr="00BD14B0">
        <w:tab/>
        <w:t xml:space="preserve">The online survey was administrated using the Qualtrics online platform. Each participant completed the questionnaire in one sitting and the survey lasted approximately 15 minutes. First, participants were asked to read an introduction screen that provided an explanation of the experiment and requested informed consent. Upon consent, participants completed their demographic information. Second, participants were presented a photo and asked to read a storyline about the person in the photo. They were then asked to complete nine questions about the person in the picture and story. </w:t>
      </w:r>
      <w:r w:rsidR="0049112E" w:rsidRPr="00BD14B0">
        <w:t xml:space="preserve">This was repeated for all 24 combinations. </w:t>
      </w:r>
      <w:r w:rsidRPr="00BD14B0">
        <w:t>At the end of the study participants were thanked for their time and were debriefed about the true nature of the experiment.</w:t>
      </w:r>
    </w:p>
    <w:p w14:paraId="5AADEC0A" w14:textId="77777777" w:rsidR="008847D6" w:rsidRPr="00BD14B0" w:rsidRDefault="008847D6" w:rsidP="00553E01"/>
    <w:p w14:paraId="1872F1DE" w14:textId="06C3F351" w:rsidR="001B6377" w:rsidRPr="00BD14B0" w:rsidRDefault="001B6377" w:rsidP="00553E01">
      <w:pPr>
        <w:pStyle w:val="Heading3"/>
      </w:pPr>
      <w:bookmarkStart w:id="32" w:name="_Toc108310765"/>
      <w:r w:rsidRPr="00BD14B0">
        <w:lastRenderedPageBreak/>
        <w:t>Results</w:t>
      </w:r>
      <w:bookmarkEnd w:id="32"/>
    </w:p>
    <w:p w14:paraId="0CB591F1" w14:textId="77777777" w:rsidR="001B6377" w:rsidRPr="00BD14B0" w:rsidRDefault="001B6377" w:rsidP="00553E01">
      <w:r w:rsidRPr="00BD14B0">
        <w:tab/>
        <w:t xml:space="preserve">All statistical analyses were performed using IBM SPSS 19 and custom Microsoft Excel spreadsheets. </w:t>
      </w:r>
    </w:p>
    <w:p w14:paraId="2CAC782F" w14:textId="1C0D411C" w:rsidR="001B6377" w:rsidRPr="00BD14B0" w:rsidRDefault="001B6377" w:rsidP="00553E01">
      <w:r w:rsidRPr="00BD14B0">
        <w:t xml:space="preserve"> </w:t>
      </w:r>
      <w:r w:rsidRPr="00BD14B0">
        <w:tab/>
        <w:t xml:space="preserve">After excluding those who did not finish the online survey, 87 participants (91%) remained and were included in the analysis. There were 22 males and 65 females. Box plots were examined to identify any outliers that had values that deviated +/- 2 standard deviations from the group mean. This analysis identified </w:t>
      </w:r>
      <w:r w:rsidR="001D5303" w:rsidRPr="00BD14B0">
        <w:t xml:space="preserve">two </w:t>
      </w:r>
      <w:r w:rsidRPr="00BD14B0">
        <w:t>participant</w:t>
      </w:r>
      <w:r w:rsidR="001D5303" w:rsidRPr="00BD14B0">
        <w:t>s</w:t>
      </w:r>
      <w:r w:rsidRPr="00BD14B0">
        <w:t xml:space="preserve"> as being extreme outliers and these participants were therefore removed from the analysis.   </w:t>
      </w:r>
    </w:p>
    <w:p w14:paraId="531367E6" w14:textId="224ABE26" w:rsidR="001B6377" w:rsidRPr="00BD14B0" w:rsidRDefault="001B6377" w:rsidP="00553E01">
      <w:r w:rsidRPr="00BD14B0">
        <w:t xml:space="preserve"> </w:t>
      </w:r>
      <w:r w:rsidRPr="00BD14B0">
        <w:tab/>
        <w:t>A repeated analysis of variance was used to analyse the group difference between life-stories on the questionnaire items. A Cronbach`s alpha analysis was conducted to assess the internal reliability of the nine-item measure</w:t>
      </w:r>
      <w:r w:rsidR="001D5303" w:rsidRPr="00BD14B0">
        <w:t xml:space="preserve"> of group belonging</w:t>
      </w:r>
      <w:r w:rsidRPr="00BD14B0">
        <w:t>. The scale had a high level of internal consistency, as determined by Cronbach`s alpha; .87, .92, .92 and .92 for story1, story2, story3, and story4 and .92 for the overall score.</w:t>
      </w:r>
    </w:p>
    <w:p w14:paraId="2A85B9FF" w14:textId="50052742" w:rsidR="001B6377" w:rsidRPr="00BD14B0" w:rsidRDefault="001B6377" w:rsidP="00553E01">
      <w:r w:rsidRPr="00BD14B0">
        <w:t xml:space="preserve"> </w:t>
      </w:r>
      <w:r w:rsidRPr="00BD14B0">
        <w:tab/>
        <w:t xml:space="preserve">It was hypothesized that people would respond differently according to the life-story presented to them. A two-way </w:t>
      </w:r>
      <w:r w:rsidR="00332846" w:rsidRPr="00BD14B0">
        <w:t>(9 x 4) within-participants</w:t>
      </w:r>
      <w:r w:rsidRPr="00BD14B0">
        <w:t xml:space="preserve"> ANOVA was conducted to compare the effect of responses on the questionnaire (nine questions) in </w:t>
      </w:r>
      <w:proofErr w:type="gramStart"/>
      <w:r w:rsidRPr="00BD14B0">
        <w:t>University</w:t>
      </w:r>
      <w:proofErr w:type="gramEnd"/>
      <w:r w:rsidRPr="00BD14B0">
        <w:t xml:space="preserve"> student life-story (Story1), non-student life-story (Story2), University of Sheffield student life-story (Story3), Sheffield Hallam student life-story (Story4) conditions (four stories). Mauchly’s test indicated that the assumption of sphericity had been violated for story (χ2 = 11.37, </w:t>
      </w:r>
      <w:proofErr w:type="spellStart"/>
      <w:r w:rsidRPr="00BD14B0">
        <w:t>df</w:t>
      </w:r>
      <w:proofErr w:type="spellEnd"/>
      <w:r w:rsidRPr="00BD14B0">
        <w:t xml:space="preserve"> = 5, </w:t>
      </w:r>
      <w:r w:rsidRPr="00BD14B0">
        <w:rPr>
          <w:i/>
        </w:rPr>
        <w:t>p</w:t>
      </w:r>
      <w:r w:rsidRPr="00BD14B0">
        <w:t xml:space="preserve"> &lt; .001,), questions (χ2 = 283.17, </w:t>
      </w:r>
      <w:proofErr w:type="spellStart"/>
      <w:r w:rsidRPr="00BD14B0">
        <w:t>df</w:t>
      </w:r>
      <w:proofErr w:type="spellEnd"/>
      <w:r w:rsidRPr="00BD14B0">
        <w:t xml:space="preserve"> = 35, </w:t>
      </w:r>
      <w:r w:rsidRPr="00BD14B0">
        <w:rPr>
          <w:i/>
        </w:rPr>
        <w:t>p</w:t>
      </w:r>
      <w:r w:rsidRPr="00BD14B0">
        <w:t xml:space="preserve"> &lt; .001) and interaction (χ2 = 627.65, </w:t>
      </w:r>
      <w:proofErr w:type="spellStart"/>
      <w:r w:rsidRPr="00BD14B0">
        <w:t>df</w:t>
      </w:r>
      <w:proofErr w:type="spellEnd"/>
      <w:r w:rsidRPr="00BD14B0">
        <w:t xml:space="preserve"> = 299, </w:t>
      </w:r>
      <w:r w:rsidRPr="00BD14B0">
        <w:rPr>
          <w:i/>
        </w:rPr>
        <w:t>p</w:t>
      </w:r>
      <w:r w:rsidRPr="00BD14B0">
        <w:t xml:space="preserve"> &lt; .001,). The estimate of sphericity was greater than 0.75 for the story, therefore, we used Huynh-Feldt correction (ε = 0.82)</w:t>
      </w:r>
      <w:r w:rsidR="00636037" w:rsidRPr="00BD14B0">
        <w:t xml:space="preserve"> </w:t>
      </w:r>
      <w:r w:rsidR="00636037" w:rsidRPr="00BD14B0">
        <w:fldChar w:fldCharType="begin" w:fldLock="1"/>
      </w:r>
      <w:r w:rsidR="004D2901" w:rsidRPr="00BD14B0">
        <w:instrText>ADDIN CSL_CITATION {"citationItems":[{"id":"ITEM-1","itemData":{"ISBN":"9781847879066 1847879063 9781847879073 1847879071","abstract":"Andy Field draws on his experience of teaching advanced statistics to extend existing SPSS Windows texts to a higher level. He covers ANOVA, MANOVA, logistic regression, comparing means tests and factor analysis.","author":[{"dropping-particle":"","family":"Field","given":"Andy P","non-dropping-particle":"","parse-names":false,"suffix":""}],"id":"ITEM-1","issued":{"date-parts":[["2009"]]},"language":"English","publisher":"SAGE Publications","publisher-place":"Los Angeles [i.e. Thousand Oaks, Calif.]; London","title":"Discovering statistics using SPSS : (and sex and drugs and rock 'n' roll)","type":"book"},"uris":["http://www.mendeley.com/documents/?uuid=1a6ee7fd-8614-45dc-aa1f-c8944242134d"]}],"mendeley":{"formattedCitation":"(Field, 2009)","plainTextFormattedCitation":"(Field, 2009)","previouslyFormattedCitation":"(Field, 2009)"},"properties":{"noteIndex":0},"schema":"https://github.com/citation-style-language/schema/raw/master/csl-citation.json"}</w:instrText>
      </w:r>
      <w:r w:rsidR="00636037" w:rsidRPr="00BD14B0">
        <w:fldChar w:fldCharType="separate"/>
      </w:r>
      <w:r w:rsidR="00636037" w:rsidRPr="00BD14B0">
        <w:rPr>
          <w:noProof/>
        </w:rPr>
        <w:t>(Field, 2009)</w:t>
      </w:r>
      <w:r w:rsidR="00636037" w:rsidRPr="00BD14B0">
        <w:fldChar w:fldCharType="end"/>
      </w:r>
      <w:r w:rsidR="00636037" w:rsidRPr="00BD14B0">
        <w:t>.</w:t>
      </w:r>
      <w:r w:rsidRPr="00BD14B0">
        <w:t xml:space="preserve"> The estimate of sphericity was not greater than 0.75 for questions and interaction, therefore we used Greenhouse-</w:t>
      </w:r>
      <w:proofErr w:type="spellStart"/>
      <w:r w:rsidRPr="00BD14B0">
        <w:t>Geisser</w:t>
      </w:r>
      <w:proofErr w:type="spellEnd"/>
      <w:r w:rsidRPr="00BD14B0">
        <w:t xml:space="preserve"> correction (ε = 0.03, ε = 0.00 respectively)</w:t>
      </w:r>
      <w:r w:rsidR="00636037" w:rsidRPr="00BD14B0">
        <w:t>.</w:t>
      </w:r>
    </w:p>
    <w:p w14:paraId="3479CCAD" w14:textId="5562DAFB" w:rsidR="001B6377" w:rsidRPr="00BD14B0" w:rsidRDefault="001B6377" w:rsidP="00553E01">
      <w:r w:rsidRPr="00BD14B0">
        <w:tab/>
        <w:t xml:space="preserve"> The main effect of story was significant, </w:t>
      </w:r>
      <w:proofErr w:type="gramStart"/>
      <w:r w:rsidRPr="00BD14B0">
        <w:rPr>
          <w:i/>
        </w:rPr>
        <w:t>F</w:t>
      </w:r>
      <w:r w:rsidRPr="00BD14B0">
        <w:t>(</w:t>
      </w:r>
      <w:proofErr w:type="gramEnd"/>
      <w:r w:rsidRPr="00BD14B0">
        <w:t xml:space="preserve">2.86, 239.92) = 15.77, </w:t>
      </w:r>
      <w:r w:rsidRPr="00BD14B0">
        <w:rPr>
          <w:i/>
        </w:rPr>
        <w:t>p</w:t>
      </w:r>
      <w:r w:rsidRPr="00BD14B0">
        <w:t xml:space="preserve"> &lt; .001, </w:t>
      </w:r>
      <w:r w:rsidRPr="00BD14B0">
        <w:rPr>
          <w:i/>
        </w:rPr>
        <w:t>ηp</w:t>
      </w:r>
      <w:r w:rsidRPr="00BD14B0">
        <w:rPr>
          <w:vertAlign w:val="superscript"/>
        </w:rPr>
        <w:t xml:space="preserve">2 </w:t>
      </w:r>
      <w:r w:rsidRPr="00BD14B0">
        <w:t xml:space="preserve">= 0.158, and questions, </w:t>
      </w:r>
      <w:r w:rsidRPr="00BD14B0">
        <w:rPr>
          <w:i/>
        </w:rPr>
        <w:t>F</w:t>
      </w:r>
      <w:r w:rsidRPr="00BD14B0">
        <w:t xml:space="preserve">(4.06, 340.91) = 30.68, </w:t>
      </w:r>
      <w:r w:rsidRPr="00BD14B0">
        <w:rPr>
          <w:i/>
        </w:rPr>
        <w:t>p</w:t>
      </w:r>
      <w:r w:rsidRPr="00BD14B0">
        <w:t xml:space="preserve"> &lt; .001, </w:t>
      </w:r>
      <w:r w:rsidRPr="00BD14B0">
        <w:rPr>
          <w:i/>
        </w:rPr>
        <w:t>ηp</w:t>
      </w:r>
      <w:r w:rsidRPr="00BD14B0">
        <w:rPr>
          <w:vertAlign w:val="superscript"/>
        </w:rPr>
        <w:t>2</w:t>
      </w:r>
      <w:r w:rsidRPr="00BD14B0">
        <w:t xml:space="preserve">= 0.268, and the interaction between story and questions, </w:t>
      </w:r>
      <w:r w:rsidRPr="00BD14B0">
        <w:rPr>
          <w:i/>
        </w:rPr>
        <w:t>F</w:t>
      </w:r>
      <w:r w:rsidRPr="00BD14B0">
        <w:t xml:space="preserve">(14.18, 1191.47) = 9.13, </w:t>
      </w:r>
      <w:r w:rsidRPr="00BD14B0">
        <w:rPr>
          <w:i/>
        </w:rPr>
        <w:t>p</w:t>
      </w:r>
      <w:r w:rsidRPr="00BD14B0">
        <w:t xml:space="preserve"> &lt; .001, </w:t>
      </w:r>
      <w:r w:rsidRPr="00BD14B0">
        <w:rPr>
          <w:i/>
        </w:rPr>
        <w:t>ηp</w:t>
      </w:r>
      <w:r w:rsidRPr="00BD14B0">
        <w:rPr>
          <w:vertAlign w:val="superscript"/>
        </w:rPr>
        <w:t>2</w:t>
      </w:r>
      <w:r w:rsidRPr="00BD14B0">
        <w:t xml:space="preserve">=0.98 was significant. The results suggested that the answers for the nine questions differ according to the story type that they see (See, figure </w:t>
      </w:r>
      <w:r w:rsidR="00BC5D0E" w:rsidRPr="00BD14B0">
        <w:t>4</w:t>
      </w:r>
      <w:r w:rsidRPr="00BD14B0">
        <w:t>)</w:t>
      </w:r>
    </w:p>
    <w:p w14:paraId="151E7EB2" w14:textId="5AAAFFF4" w:rsidR="00352AF4" w:rsidRPr="00BD14B0" w:rsidRDefault="003B267D" w:rsidP="003B267D">
      <w:pPr>
        <w:pStyle w:val="Title"/>
      </w:pPr>
      <w:bookmarkStart w:id="33" w:name="_Toc108321849"/>
      <w:bookmarkStart w:id="34" w:name="_Hlk509970957"/>
      <w:r>
        <w:lastRenderedPageBreak/>
        <w:t xml:space="preserve">Table </w:t>
      </w:r>
      <w:r>
        <w:fldChar w:fldCharType="begin"/>
      </w:r>
      <w:r>
        <w:instrText xml:space="preserve"> SEQ Table \* ARABIC </w:instrText>
      </w:r>
      <w:r>
        <w:fldChar w:fldCharType="separate"/>
      </w:r>
      <w:r>
        <w:rPr>
          <w:noProof/>
        </w:rPr>
        <w:t>2</w:t>
      </w:r>
      <w:r>
        <w:fldChar w:fldCharType="end"/>
      </w:r>
      <w:bookmarkEnd w:id="33"/>
    </w:p>
    <w:p w14:paraId="68BDB6C9" w14:textId="23BAF00B" w:rsidR="006D6F11" w:rsidRPr="00BD14B0" w:rsidRDefault="006D6F11" w:rsidP="00553E01">
      <w:r w:rsidRPr="00BD14B0">
        <w:rPr>
          <w:i/>
          <w:iCs/>
        </w:rPr>
        <w:t>Means and standard deviation of nine question</w:t>
      </w:r>
      <w:r w:rsidR="00303F12" w:rsidRPr="00BD14B0">
        <w:rPr>
          <w:i/>
          <w:iCs/>
        </w:rPr>
        <w:t>s</w:t>
      </w:r>
      <w:r w:rsidRPr="00BD14B0">
        <w:rPr>
          <w:i/>
          <w:iCs/>
        </w:rPr>
        <w:t xml:space="preserve"> by story</w:t>
      </w:r>
      <w:r w:rsidR="00352AF4" w:rsidRPr="00BD14B0">
        <w:rPr>
          <w:i/>
          <w:iCs/>
        </w:rPr>
        <w:t xml:space="preserve"> type</w:t>
      </w:r>
      <w:r w:rsidRPr="00BD14B0">
        <w:t xml:space="preserve"> </w:t>
      </w:r>
    </w:p>
    <w:bookmarkEnd w:id="34"/>
    <w:tbl>
      <w:tblPr>
        <w:tblW w:w="0" w:type="auto"/>
        <w:tblLook w:val="04A0" w:firstRow="1" w:lastRow="0" w:firstColumn="1" w:lastColumn="0" w:noHBand="0" w:noVBand="1"/>
      </w:tblPr>
      <w:tblGrid>
        <w:gridCol w:w="5324"/>
        <w:gridCol w:w="1596"/>
        <w:gridCol w:w="1830"/>
      </w:tblGrid>
      <w:tr w:rsidR="00695B36" w:rsidRPr="00BD14B0" w14:paraId="3EE4BAC8" w14:textId="77777777" w:rsidTr="00851E84">
        <w:trPr>
          <w:trHeight w:val="416"/>
        </w:trPr>
        <w:tc>
          <w:tcPr>
            <w:tcW w:w="5324" w:type="dxa"/>
            <w:tcBorders>
              <w:top w:val="single" w:sz="18" w:space="0" w:color="auto"/>
              <w:left w:val="nil"/>
              <w:bottom w:val="single" w:sz="18" w:space="0" w:color="auto"/>
              <w:right w:val="nil"/>
            </w:tcBorders>
          </w:tcPr>
          <w:p w14:paraId="16632D81" w14:textId="77777777" w:rsidR="001B6377" w:rsidRPr="00BD14B0" w:rsidRDefault="001B6377" w:rsidP="00553E01"/>
        </w:tc>
        <w:tc>
          <w:tcPr>
            <w:tcW w:w="1596" w:type="dxa"/>
            <w:tcBorders>
              <w:top w:val="single" w:sz="18" w:space="0" w:color="auto"/>
              <w:left w:val="nil"/>
              <w:bottom w:val="single" w:sz="18" w:space="0" w:color="auto"/>
              <w:right w:val="nil"/>
            </w:tcBorders>
            <w:hideMark/>
          </w:tcPr>
          <w:p w14:paraId="75D5792A" w14:textId="77777777" w:rsidR="001B6377" w:rsidRPr="00BD14B0" w:rsidRDefault="001B6377" w:rsidP="00553E01">
            <w:r w:rsidRPr="00BD14B0">
              <w:t>Mean</w:t>
            </w:r>
          </w:p>
        </w:tc>
        <w:tc>
          <w:tcPr>
            <w:tcW w:w="1830" w:type="dxa"/>
            <w:tcBorders>
              <w:top w:val="single" w:sz="18" w:space="0" w:color="auto"/>
              <w:left w:val="nil"/>
              <w:bottom w:val="single" w:sz="18" w:space="0" w:color="auto"/>
              <w:right w:val="nil"/>
            </w:tcBorders>
            <w:hideMark/>
          </w:tcPr>
          <w:p w14:paraId="319BBE6A" w14:textId="63D246EE" w:rsidR="001B6377" w:rsidRPr="00BD14B0" w:rsidRDefault="00303F12" w:rsidP="00553E01">
            <w:r w:rsidRPr="00BD14B0">
              <w:t>SD</w:t>
            </w:r>
            <w:r w:rsidR="001B6377" w:rsidRPr="00BD14B0">
              <w:t xml:space="preserve">  </w:t>
            </w:r>
          </w:p>
        </w:tc>
      </w:tr>
      <w:tr w:rsidR="00695B36" w:rsidRPr="00BD14B0" w14:paraId="3573D017" w14:textId="77777777" w:rsidTr="00851E84">
        <w:tc>
          <w:tcPr>
            <w:tcW w:w="5324" w:type="dxa"/>
            <w:tcBorders>
              <w:top w:val="single" w:sz="18" w:space="0" w:color="auto"/>
              <w:left w:val="nil"/>
              <w:bottom w:val="nil"/>
              <w:right w:val="nil"/>
            </w:tcBorders>
            <w:hideMark/>
          </w:tcPr>
          <w:p w14:paraId="67DE4F10" w14:textId="193EA743" w:rsidR="001B6377" w:rsidRPr="00BD14B0" w:rsidRDefault="001B6377" w:rsidP="00553E01">
            <w:r w:rsidRPr="00BD14B0">
              <w:t>Story</w:t>
            </w:r>
            <w:r w:rsidR="009F745C" w:rsidRPr="00BD14B0">
              <w:t xml:space="preserve"> </w:t>
            </w:r>
            <w:r w:rsidRPr="00BD14B0">
              <w:t>1- Student story</w:t>
            </w:r>
          </w:p>
        </w:tc>
        <w:tc>
          <w:tcPr>
            <w:tcW w:w="1596" w:type="dxa"/>
            <w:tcBorders>
              <w:top w:val="single" w:sz="18" w:space="0" w:color="auto"/>
              <w:left w:val="nil"/>
              <w:bottom w:val="nil"/>
              <w:right w:val="nil"/>
            </w:tcBorders>
            <w:vAlign w:val="center"/>
          </w:tcPr>
          <w:p w14:paraId="568C12CB" w14:textId="77777777" w:rsidR="001B6377" w:rsidRPr="00BD14B0" w:rsidRDefault="001B6377" w:rsidP="00553E01"/>
        </w:tc>
        <w:tc>
          <w:tcPr>
            <w:tcW w:w="1830" w:type="dxa"/>
            <w:tcBorders>
              <w:top w:val="single" w:sz="18" w:space="0" w:color="auto"/>
              <w:left w:val="nil"/>
              <w:bottom w:val="nil"/>
              <w:right w:val="nil"/>
            </w:tcBorders>
            <w:vAlign w:val="center"/>
          </w:tcPr>
          <w:p w14:paraId="56B9EADC" w14:textId="77777777" w:rsidR="001B6377" w:rsidRPr="00BD14B0" w:rsidRDefault="001B6377" w:rsidP="00553E01"/>
        </w:tc>
      </w:tr>
      <w:tr w:rsidR="00695B36" w:rsidRPr="00BD14B0" w14:paraId="3B2E6CD2" w14:textId="77777777" w:rsidTr="00851E84">
        <w:tc>
          <w:tcPr>
            <w:tcW w:w="5324" w:type="dxa"/>
            <w:tcBorders>
              <w:top w:val="single" w:sz="18" w:space="0" w:color="auto"/>
              <w:left w:val="nil"/>
              <w:bottom w:val="nil"/>
              <w:right w:val="nil"/>
            </w:tcBorders>
            <w:hideMark/>
          </w:tcPr>
          <w:p w14:paraId="3702D7D9" w14:textId="77777777" w:rsidR="001B6377" w:rsidRPr="00BD14B0" w:rsidRDefault="001B6377" w:rsidP="00553E01">
            <w:r w:rsidRPr="00BD14B0">
              <w:t>How close do you feel towards that person?</w:t>
            </w:r>
          </w:p>
        </w:tc>
        <w:tc>
          <w:tcPr>
            <w:tcW w:w="1596" w:type="dxa"/>
            <w:tcBorders>
              <w:top w:val="single" w:sz="18" w:space="0" w:color="auto"/>
              <w:left w:val="nil"/>
              <w:bottom w:val="nil"/>
              <w:right w:val="nil"/>
            </w:tcBorders>
            <w:vAlign w:val="center"/>
            <w:hideMark/>
          </w:tcPr>
          <w:p w14:paraId="031F8357" w14:textId="77777777" w:rsidR="001B6377" w:rsidRPr="00BD14B0" w:rsidRDefault="001B6377" w:rsidP="00553E01">
            <w:r w:rsidRPr="00BD14B0">
              <w:t>2.61</w:t>
            </w:r>
          </w:p>
        </w:tc>
        <w:tc>
          <w:tcPr>
            <w:tcW w:w="1830" w:type="dxa"/>
            <w:tcBorders>
              <w:top w:val="single" w:sz="18" w:space="0" w:color="auto"/>
              <w:left w:val="nil"/>
              <w:bottom w:val="nil"/>
              <w:right w:val="nil"/>
            </w:tcBorders>
            <w:vAlign w:val="center"/>
            <w:hideMark/>
          </w:tcPr>
          <w:p w14:paraId="6AFE5C79" w14:textId="77777777" w:rsidR="001B6377" w:rsidRPr="00BD14B0" w:rsidRDefault="001B6377" w:rsidP="00553E01">
            <w:r w:rsidRPr="00BD14B0">
              <w:t>1.36</w:t>
            </w:r>
          </w:p>
        </w:tc>
      </w:tr>
      <w:tr w:rsidR="00695B36" w:rsidRPr="00BD14B0" w14:paraId="5062FC6B" w14:textId="77777777" w:rsidTr="00851E84">
        <w:tc>
          <w:tcPr>
            <w:tcW w:w="5324" w:type="dxa"/>
            <w:hideMark/>
          </w:tcPr>
          <w:p w14:paraId="7F117D31" w14:textId="77777777" w:rsidR="001B6377" w:rsidRPr="00BD14B0" w:rsidRDefault="001B6377" w:rsidP="00553E01">
            <w:r w:rsidRPr="00BD14B0">
              <w:t>How trustworthy do you feel that person is?</w:t>
            </w:r>
          </w:p>
        </w:tc>
        <w:tc>
          <w:tcPr>
            <w:tcW w:w="1596" w:type="dxa"/>
            <w:vAlign w:val="center"/>
            <w:hideMark/>
          </w:tcPr>
          <w:p w14:paraId="5CFCB6E3" w14:textId="77777777" w:rsidR="001B6377" w:rsidRPr="00BD14B0" w:rsidRDefault="001B6377" w:rsidP="00553E01">
            <w:r w:rsidRPr="00BD14B0">
              <w:t>3.64</w:t>
            </w:r>
          </w:p>
        </w:tc>
        <w:tc>
          <w:tcPr>
            <w:tcW w:w="1830" w:type="dxa"/>
            <w:vAlign w:val="center"/>
            <w:hideMark/>
          </w:tcPr>
          <w:p w14:paraId="6601067E" w14:textId="77777777" w:rsidR="001B6377" w:rsidRPr="00BD14B0" w:rsidRDefault="001B6377" w:rsidP="00553E01">
            <w:r w:rsidRPr="00BD14B0">
              <w:t>1.03</w:t>
            </w:r>
          </w:p>
        </w:tc>
      </w:tr>
      <w:tr w:rsidR="00695B36" w:rsidRPr="00BD14B0" w14:paraId="46E6681B" w14:textId="77777777" w:rsidTr="00851E84">
        <w:tc>
          <w:tcPr>
            <w:tcW w:w="5324" w:type="dxa"/>
            <w:hideMark/>
          </w:tcPr>
          <w:p w14:paraId="007A7D40" w14:textId="77777777" w:rsidR="001B6377" w:rsidRPr="00BD14B0" w:rsidRDefault="001B6377" w:rsidP="00553E01">
            <w:r w:rsidRPr="00BD14B0">
              <w:t>How pleasant do you feel that person is?</w:t>
            </w:r>
          </w:p>
        </w:tc>
        <w:tc>
          <w:tcPr>
            <w:tcW w:w="1596" w:type="dxa"/>
            <w:vAlign w:val="center"/>
            <w:hideMark/>
          </w:tcPr>
          <w:p w14:paraId="7623B4B2" w14:textId="77777777" w:rsidR="001B6377" w:rsidRPr="00BD14B0" w:rsidRDefault="001B6377" w:rsidP="00553E01">
            <w:r w:rsidRPr="00BD14B0">
              <w:t>3.54</w:t>
            </w:r>
          </w:p>
        </w:tc>
        <w:tc>
          <w:tcPr>
            <w:tcW w:w="1830" w:type="dxa"/>
            <w:vAlign w:val="center"/>
            <w:hideMark/>
          </w:tcPr>
          <w:p w14:paraId="52D81690" w14:textId="77777777" w:rsidR="001B6377" w:rsidRPr="00BD14B0" w:rsidRDefault="001B6377" w:rsidP="00553E01">
            <w:r w:rsidRPr="00BD14B0">
              <w:t>1.14</w:t>
            </w:r>
          </w:p>
        </w:tc>
      </w:tr>
      <w:tr w:rsidR="00695B36" w:rsidRPr="00BD14B0" w14:paraId="1268DD9D" w14:textId="77777777" w:rsidTr="00851E84">
        <w:tc>
          <w:tcPr>
            <w:tcW w:w="5324" w:type="dxa"/>
            <w:hideMark/>
          </w:tcPr>
          <w:p w14:paraId="1034ACD4" w14:textId="753CD094" w:rsidR="001B6377" w:rsidRPr="00BD14B0" w:rsidRDefault="001B6377" w:rsidP="00553E01">
            <w:r w:rsidRPr="00BD14B0">
              <w:t>Do you consider yourself to be in the same group with</w:t>
            </w:r>
            <w:r w:rsidR="00851E84" w:rsidRPr="00BD14B0">
              <w:t xml:space="preserve"> </w:t>
            </w:r>
            <w:r w:rsidRPr="00BD14B0">
              <w:t>that person?</w:t>
            </w:r>
          </w:p>
        </w:tc>
        <w:tc>
          <w:tcPr>
            <w:tcW w:w="1596" w:type="dxa"/>
            <w:vAlign w:val="center"/>
            <w:hideMark/>
          </w:tcPr>
          <w:p w14:paraId="4FD6EC66" w14:textId="77777777" w:rsidR="001B6377" w:rsidRPr="00BD14B0" w:rsidRDefault="001B6377" w:rsidP="00553E01">
            <w:r w:rsidRPr="00BD14B0">
              <w:t>3.12</w:t>
            </w:r>
          </w:p>
        </w:tc>
        <w:tc>
          <w:tcPr>
            <w:tcW w:w="1830" w:type="dxa"/>
            <w:vAlign w:val="center"/>
            <w:hideMark/>
          </w:tcPr>
          <w:p w14:paraId="0337E56B" w14:textId="77777777" w:rsidR="001B6377" w:rsidRPr="00BD14B0" w:rsidRDefault="001B6377" w:rsidP="00553E01">
            <w:r w:rsidRPr="00BD14B0">
              <w:t>1.28</w:t>
            </w:r>
          </w:p>
        </w:tc>
      </w:tr>
      <w:tr w:rsidR="00695B36" w:rsidRPr="00BD14B0" w14:paraId="5D9D344D" w14:textId="77777777" w:rsidTr="00851E84">
        <w:tc>
          <w:tcPr>
            <w:tcW w:w="5324" w:type="dxa"/>
            <w:hideMark/>
          </w:tcPr>
          <w:p w14:paraId="5C0A9C2A" w14:textId="77777777" w:rsidR="001B6377" w:rsidRPr="00BD14B0" w:rsidRDefault="001B6377" w:rsidP="00553E01">
            <w:r w:rsidRPr="00BD14B0">
              <w:t>How cooperative you feel towards that person?</w:t>
            </w:r>
          </w:p>
        </w:tc>
        <w:tc>
          <w:tcPr>
            <w:tcW w:w="1596" w:type="dxa"/>
            <w:vAlign w:val="center"/>
            <w:hideMark/>
          </w:tcPr>
          <w:p w14:paraId="1E15D6B8" w14:textId="14F7F4DA" w:rsidR="001B6377" w:rsidRPr="00BD14B0" w:rsidRDefault="001B6377" w:rsidP="00553E01">
            <w:r w:rsidRPr="00BD14B0">
              <w:t>3.75</w:t>
            </w:r>
          </w:p>
        </w:tc>
        <w:tc>
          <w:tcPr>
            <w:tcW w:w="1830" w:type="dxa"/>
            <w:vAlign w:val="center"/>
            <w:hideMark/>
          </w:tcPr>
          <w:p w14:paraId="46DB140E" w14:textId="77777777" w:rsidR="001B6377" w:rsidRPr="00BD14B0" w:rsidRDefault="001B6377" w:rsidP="00553E01">
            <w:r w:rsidRPr="00BD14B0">
              <w:t>1.07</w:t>
            </w:r>
          </w:p>
        </w:tc>
      </w:tr>
      <w:tr w:rsidR="00695B36" w:rsidRPr="00BD14B0" w14:paraId="72EFCF16" w14:textId="77777777" w:rsidTr="00851E84">
        <w:tc>
          <w:tcPr>
            <w:tcW w:w="5324" w:type="dxa"/>
            <w:hideMark/>
          </w:tcPr>
          <w:p w14:paraId="72EC584B" w14:textId="77777777" w:rsidR="001B6377" w:rsidRPr="00BD14B0" w:rsidRDefault="001B6377" w:rsidP="00553E01">
            <w:r w:rsidRPr="00BD14B0">
              <w:t>How nice do you think the members of this group of people are?</w:t>
            </w:r>
          </w:p>
        </w:tc>
        <w:tc>
          <w:tcPr>
            <w:tcW w:w="1596" w:type="dxa"/>
            <w:vAlign w:val="center"/>
            <w:hideMark/>
          </w:tcPr>
          <w:p w14:paraId="70042BC8" w14:textId="77777777" w:rsidR="001B6377" w:rsidRPr="00BD14B0" w:rsidRDefault="001B6377" w:rsidP="00553E01">
            <w:r w:rsidRPr="00BD14B0">
              <w:t>3.87</w:t>
            </w:r>
          </w:p>
        </w:tc>
        <w:tc>
          <w:tcPr>
            <w:tcW w:w="1830" w:type="dxa"/>
            <w:vAlign w:val="center"/>
            <w:hideMark/>
          </w:tcPr>
          <w:p w14:paraId="6B107F48" w14:textId="77777777" w:rsidR="001B6377" w:rsidRPr="00BD14B0" w:rsidRDefault="001B6377" w:rsidP="00553E01">
            <w:r w:rsidRPr="00BD14B0">
              <w:t>0.88</w:t>
            </w:r>
          </w:p>
        </w:tc>
      </w:tr>
      <w:tr w:rsidR="00695B36" w:rsidRPr="00BD14B0" w14:paraId="73F6D3B2" w14:textId="77777777" w:rsidTr="00851E84">
        <w:tc>
          <w:tcPr>
            <w:tcW w:w="5324" w:type="dxa"/>
            <w:hideMark/>
          </w:tcPr>
          <w:p w14:paraId="74E8686A" w14:textId="77777777" w:rsidR="001B6377" w:rsidRPr="00BD14B0" w:rsidRDefault="001B6377" w:rsidP="00553E01">
            <w:r w:rsidRPr="00BD14B0">
              <w:t>How creative do you think the members of this group of people are?</w:t>
            </w:r>
          </w:p>
        </w:tc>
        <w:tc>
          <w:tcPr>
            <w:tcW w:w="1596" w:type="dxa"/>
            <w:vAlign w:val="center"/>
            <w:hideMark/>
          </w:tcPr>
          <w:p w14:paraId="12FA9A3B" w14:textId="77777777" w:rsidR="001B6377" w:rsidRPr="00BD14B0" w:rsidRDefault="001B6377" w:rsidP="00553E01">
            <w:r w:rsidRPr="00BD14B0">
              <w:t>3.52</w:t>
            </w:r>
          </w:p>
        </w:tc>
        <w:tc>
          <w:tcPr>
            <w:tcW w:w="1830" w:type="dxa"/>
            <w:vAlign w:val="center"/>
            <w:hideMark/>
          </w:tcPr>
          <w:p w14:paraId="32FB7651" w14:textId="77777777" w:rsidR="001B6377" w:rsidRPr="00BD14B0" w:rsidRDefault="001B6377" w:rsidP="00553E01">
            <w:r w:rsidRPr="00BD14B0">
              <w:t>1.02</w:t>
            </w:r>
          </w:p>
        </w:tc>
      </w:tr>
      <w:tr w:rsidR="00695B36" w:rsidRPr="00BD14B0" w14:paraId="5A671ED6" w14:textId="77777777" w:rsidTr="00851E84">
        <w:tc>
          <w:tcPr>
            <w:tcW w:w="5324" w:type="dxa"/>
            <w:hideMark/>
          </w:tcPr>
          <w:p w14:paraId="5F243E6F" w14:textId="77777777" w:rsidR="001B6377" w:rsidRPr="00BD14B0" w:rsidRDefault="001B6377" w:rsidP="00553E01">
            <w:r w:rsidRPr="00BD14B0">
              <w:t>How smart do you think the members of this group of people are?</w:t>
            </w:r>
          </w:p>
        </w:tc>
        <w:tc>
          <w:tcPr>
            <w:tcW w:w="1596" w:type="dxa"/>
            <w:vAlign w:val="center"/>
            <w:hideMark/>
          </w:tcPr>
          <w:p w14:paraId="0C7C2263" w14:textId="77777777" w:rsidR="001B6377" w:rsidRPr="00BD14B0" w:rsidRDefault="001B6377" w:rsidP="00553E01">
            <w:r w:rsidRPr="00BD14B0">
              <w:t>4.00</w:t>
            </w:r>
          </w:p>
        </w:tc>
        <w:tc>
          <w:tcPr>
            <w:tcW w:w="1830" w:type="dxa"/>
            <w:vAlign w:val="center"/>
            <w:hideMark/>
          </w:tcPr>
          <w:p w14:paraId="113FDF53" w14:textId="77777777" w:rsidR="001B6377" w:rsidRPr="00BD14B0" w:rsidRDefault="001B6377" w:rsidP="00553E01">
            <w:r w:rsidRPr="00BD14B0">
              <w:t>1.04</w:t>
            </w:r>
          </w:p>
        </w:tc>
      </w:tr>
      <w:tr w:rsidR="00695B36" w:rsidRPr="00BD14B0" w14:paraId="7A5E20C3" w14:textId="77777777" w:rsidTr="00851E84">
        <w:tc>
          <w:tcPr>
            <w:tcW w:w="5324" w:type="dxa"/>
            <w:tcBorders>
              <w:top w:val="nil"/>
              <w:left w:val="nil"/>
              <w:bottom w:val="single" w:sz="12" w:space="0" w:color="auto"/>
              <w:right w:val="nil"/>
            </w:tcBorders>
            <w:hideMark/>
          </w:tcPr>
          <w:p w14:paraId="4116CD9C" w14:textId="77777777" w:rsidR="001B6377" w:rsidRPr="00BD14B0" w:rsidRDefault="001B6377" w:rsidP="00553E01">
            <w:r w:rsidRPr="00BD14B0">
              <w:t>How good do you think the members of this group of people are at brainstorming?</w:t>
            </w:r>
          </w:p>
        </w:tc>
        <w:tc>
          <w:tcPr>
            <w:tcW w:w="1596" w:type="dxa"/>
            <w:tcBorders>
              <w:top w:val="nil"/>
              <w:left w:val="nil"/>
              <w:bottom w:val="single" w:sz="12" w:space="0" w:color="auto"/>
              <w:right w:val="nil"/>
            </w:tcBorders>
            <w:vAlign w:val="center"/>
            <w:hideMark/>
          </w:tcPr>
          <w:p w14:paraId="22DAB9A8" w14:textId="77777777" w:rsidR="001B6377" w:rsidRPr="00BD14B0" w:rsidRDefault="001B6377" w:rsidP="00553E01">
            <w:r w:rsidRPr="00BD14B0">
              <w:t>3.85</w:t>
            </w:r>
          </w:p>
        </w:tc>
        <w:tc>
          <w:tcPr>
            <w:tcW w:w="1830" w:type="dxa"/>
            <w:tcBorders>
              <w:top w:val="nil"/>
              <w:left w:val="nil"/>
              <w:bottom w:val="single" w:sz="12" w:space="0" w:color="auto"/>
              <w:right w:val="nil"/>
            </w:tcBorders>
            <w:vAlign w:val="center"/>
            <w:hideMark/>
          </w:tcPr>
          <w:p w14:paraId="3C112FA8" w14:textId="77777777" w:rsidR="001B6377" w:rsidRPr="00BD14B0" w:rsidRDefault="001B6377" w:rsidP="00553E01">
            <w:r w:rsidRPr="00BD14B0">
              <w:t>0.97</w:t>
            </w:r>
          </w:p>
        </w:tc>
      </w:tr>
      <w:tr w:rsidR="00695B36" w:rsidRPr="00BD14B0" w14:paraId="354A607C" w14:textId="77777777" w:rsidTr="00851E84">
        <w:tc>
          <w:tcPr>
            <w:tcW w:w="5324" w:type="dxa"/>
            <w:tcBorders>
              <w:top w:val="single" w:sz="12" w:space="0" w:color="auto"/>
              <w:left w:val="nil"/>
              <w:bottom w:val="single" w:sz="12" w:space="0" w:color="auto"/>
              <w:right w:val="nil"/>
            </w:tcBorders>
            <w:hideMark/>
          </w:tcPr>
          <w:p w14:paraId="081BC5CA" w14:textId="13A3813F" w:rsidR="001B6377" w:rsidRPr="00BD14B0" w:rsidRDefault="001B6377" w:rsidP="00553E01">
            <w:r w:rsidRPr="00BD14B0">
              <w:t>Story</w:t>
            </w:r>
            <w:r w:rsidR="009F745C" w:rsidRPr="00BD14B0">
              <w:t xml:space="preserve"> </w:t>
            </w:r>
            <w:r w:rsidRPr="00BD14B0">
              <w:t>2- Non-student story</w:t>
            </w:r>
          </w:p>
        </w:tc>
        <w:tc>
          <w:tcPr>
            <w:tcW w:w="1596" w:type="dxa"/>
            <w:tcBorders>
              <w:top w:val="single" w:sz="12" w:space="0" w:color="auto"/>
              <w:left w:val="nil"/>
              <w:bottom w:val="single" w:sz="12" w:space="0" w:color="auto"/>
              <w:right w:val="nil"/>
            </w:tcBorders>
            <w:vAlign w:val="center"/>
          </w:tcPr>
          <w:p w14:paraId="2C7F8E0E" w14:textId="77777777" w:rsidR="001B6377" w:rsidRPr="00BD14B0" w:rsidRDefault="001B6377" w:rsidP="00553E01"/>
        </w:tc>
        <w:tc>
          <w:tcPr>
            <w:tcW w:w="1830" w:type="dxa"/>
            <w:tcBorders>
              <w:top w:val="single" w:sz="12" w:space="0" w:color="auto"/>
              <w:left w:val="nil"/>
              <w:bottom w:val="single" w:sz="12" w:space="0" w:color="auto"/>
              <w:right w:val="nil"/>
            </w:tcBorders>
            <w:vAlign w:val="center"/>
          </w:tcPr>
          <w:p w14:paraId="3479875A" w14:textId="77777777" w:rsidR="001B6377" w:rsidRPr="00BD14B0" w:rsidRDefault="001B6377" w:rsidP="00553E01"/>
        </w:tc>
      </w:tr>
      <w:tr w:rsidR="00695B36" w:rsidRPr="00BD14B0" w14:paraId="65C06E69" w14:textId="77777777" w:rsidTr="00851E84">
        <w:tc>
          <w:tcPr>
            <w:tcW w:w="5324" w:type="dxa"/>
            <w:hideMark/>
          </w:tcPr>
          <w:p w14:paraId="7318594A" w14:textId="77777777" w:rsidR="001B6377" w:rsidRPr="00BD14B0" w:rsidRDefault="001B6377" w:rsidP="00553E01">
            <w:r w:rsidRPr="00BD14B0">
              <w:t>How close do you feel towards that person?</w:t>
            </w:r>
          </w:p>
        </w:tc>
        <w:tc>
          <w:tcPr>
            <w:tcW w:w="1596" w:type="dxa"/>
            <w:hideMark/>
          </w:tcPr>
          <w:p w14:paraId="08266263" w14:textId="77777777" w:rsidR="001B6377" w:rsidRPr="00BD14B0" w:rsidRDefault="001B6377" w:rsidP="00553E01">
            <w:r w:rsidRPr="00BD14B0">
              <w:t>2.74</w:t>
            </w:r>
          </w:p>
        </w:tc>
        <w:tc>
          <w:tcPr>
            <w:tcW w:w="1830" w:type="dxa"/>
            <w:hideMark/>
          </w:tcPr>
          <w:p w14:paraId="439928D6" w14:textId="77777777" w:rsidR="001B6377" w:rsidRPr="00BD14B0" w:rsidRDefault="001B6377" w:rsidP="00553E01">
            <w:r w:rsidRPr="00BD14B0">
              <w:t>1.28</w:t>
            </w:r>
          </w:p>
        </w:tc>
      </w:tr>
      <w:tr w:rsidR="00695B36" w:rsidRPr="00BD14B0" w14:paraId="0CB991E3" w14:textId="77777777" w:rsidTr="00851E84">
        <w:tc>
          <w:tcPr>
            <w:tcW w:w="5324" w:type="dxa"/>
            <w:hideMark/>
          </w:tcPr>
          <w:p w14:paraId="225895BA" w14:textId="77777777" w:rsidR="001B6377" w:rsidRPr="00BD14B0" w:rsidRDefault="001B6377" w:rsidP="00553E01">
            <w:r w:rsidRPr="00BD14B0">
              <w:t>How trustworthy do you feel that person is?</w:t>
            </w:r>
          </w:p>
        </w:tc>
        <w:tc>
          <w:tcPr>
            <w:tcW w:w="1596" w:type="dxa"/>
            <w:hideMark/>
          </w:tcPr>
          <w:p w14:paraId="3B74C368" w14:textId="77777777" w:rsidR="001B6377" w:rsidRPr="00BD14B0" w:rsidRDefault="001B6377" w:rsidP="00553E01">
            <w:r w:rsidRPr="00BD14B0">
              <w:t>3.61</w:t>
            </w:r>
          </w:p>
        </w:tc>
        <w:tc>
          <w:tcPr>
            <w:tcW w:w="1830" w:type="dxa"/>
            <w:hideMark/>
          </w:tcPr>
          <w:p w14:paraId="09794786" w14:textId="77777777" w:rsidR="001B6377" w:rsidRPr="00BD14B0" w:rsidRDefault="001B6377" w:rsidP="00553E01">
            <w:r w:rsidRPr="00BD14B0">
              <w:t>1.04</w:t>
            </w:r>
          </w:p>
        </w:tc>
      </w:tr>
      <w:tr w:rsidR="00695B36" w:rsidRPr="00BD14B0" w14:paraId="765C3D14" w14:textId="77777777" w:rsidTr="00851E84">
        <w:tc>
          <w:tcPr>
            <w:tcW w:w="5324" w:type="dxa"/>
            <w:hideMark/>
          </w:tcPr>
          <w:p w14:paraId="461E5967" w14:textId="77777777" w:rsidR="001B6377" w:rsidRPr="00BD14B0" w:rsidRDefault="001B6377" w:rsidP="00553E01">
            <w:r w:rsidRPr="00BD14B0">
              <w:lastRenderedPageBreak/>
              <w:t>How pleasant do you feel that person is?</w:t>
            </w:r>
          </w:p>
        </w:tc>
        <w:tc>
          <w:tcPr>
            <w:tcW w:w="1596" w:type="dxa"/>
            <w:hideMark/>
          </w:tcPr>
          <w:p w14:paraId="15589724" w14:textId="77777777" w:rsidR="001B6377" w:rsidRPr="00BD14B0" w:rsidRDefault="001B6377" w:rsidP="00553E01">
            <w:r w:rsidRPr="00BD14B0">
              <w:t>3.86</w:t>
            </w:r>
          </w:p>
        </w:tc>
        <w:tc>
          <w:tcPr>
            <w:tcW w:w="1830" w:type="dxa"/>
            <w:hideMark/>
          </w:tcPr>
          <w:p w14:paraId="02AB07F0" w14:textId="77777777" w:rsidR="001B6377" w:rsidRPr="00BD14B0" w:rsidRDefault="001B6377" w:rsidP="00553E01">
            <w:r w:rsidRPr="00BD14B0">
              <w:t>0.97</w:t>
            </w:r>
          </w:p>
        </w:tc>
      </w:tr>
      <w:tr w:rsidR="00695B36" w:rsidRPr="00BD14B0" w14:paraId="2417CA74" w14:textId="77777777" w:rsidTr="00851E84">
        <w:tc>
          <w:tcPr>
            <w:tcW w:w="5324" w:type="dxa"/>
            <w:hideMark/>
          </w:tcPr>
          <w:p w14:paraId="4BA01FA1" w14:textId="6A23A21A" w:rsidR="001B6377" w:rsidRPr="00BD14B0" w:rsidRDefault="001B6377" w:rsidP="00553E01">
            <w:r w:rsidRPr="00BD14B0">
              <w:t>Do you consider yourself to be in the same group with</w:t>
            </w:r>
            <w:r w:rsidR="00851E84" w:rsidRPr="00BD14B0">
              <w:t xml:space="preserve"> </w:t>
            </w:r>
            <w:r w:rsidRPr="00BD14B0">
              <w:t>that person?</w:t>
            </w:r>
          </w:p>
        </w:tc>
        <w:tc>
          <w:tcPr>
            <w:tcW w:w="1596" w:type="dxa"/>
            <w:hideMark/>
          </w:tcPr>
          <w:p w14:paraId="58EA3B87" w14:textId="77777777" w:rsidR="001B6377" w:rsidRPr="00BD14B0" w:rsidRDefault="001B6377" w:rsidP="00553E01">
            <w:r w:rsidRPr="00BD14B0">
              <w:t>2.76</w:t>
            </w:r>
          </w:p>
        </w:tc>
        <w:tc>
          <w:tcPr>
            <w:tcW w:w="1830" w:type="dxa"/>
            <w:hideMark/>
          </w:tcPr>
          <w:p w14:paraId="2CFA944B" w14:textId="77777777" w:rsidR="001B6377" w:rsidRPr="00BD14B0" w:rsidRDefault="001B6377" w:rsidP="00553E01">
            <w:r w:rsidRPr="00BD14B0">
              <w:t>1.25</w:t>
            </w:r>
          </w:p>
        </w:tc>
      </w:tr>
      <w:tr w:rsidR="00695B36" w:rsidRPr="00BD14B0" w14:paraId="6F3941BD" w14:textId="77777777" w:rsidTr="00851E84">
        <w:tc>
          <w:tcPr>
            <w:tcW w:w="5324" w:type="dxa"/>
            <w:hideMark/>
          </w:tcPr>
          <w:p w14:paraId="3FBE8960" w14:textId="77777777" w:rsidR="001B6377" w:rsidRPr="00BD14B0" w:rsidRDefault="001B6377" w:rsidP="00553E01">
            <w:r w:rsidRPr="00BD14B0">
              <w:t>How cooperative you feel towards that person?</w:t>
            </w:r>
          </w:p>
        </w:tc>
        <w:tc>
          <w:tcPr>
            <w:tcW w:w="1596" w:type="dxa"/>
            <w:hideMark/>
          </w:tcPr>
          <w:p w14:paraId="0BA8FB6C" w14:textId="07790140" w:rsidR="001B6377" w:rsidRPr="00BD14B0" w:rsidRDefault="001B6377" w:rsidP="00553E01">
            <w:r w:rsidRPr="00BD14B0">
              <w:t>3.62</w:t>
            </w:r>
          </w:p>
        </w:tc>
        <w:tc>
          <w:tcPr>
            <w:tcW w:w="1830" w:type="dxa"/>
            <w:hideMark/>
          </w:tcPr>
          <w:p w14:paraId="6CC22603" w14:textId="77777777" w:rsidR="001B6377" w:rsidRPr="00BD14B0" w:rsidRDefault="001B6377" w:rsidP="00553E01">
            <w:r w:rsidRPr="00BD14B0">
              <w:t>1.18</w:t>
            </w:r>
          </w:p>
        </w:tc>
      </w:tr>
      <w:tr w:rsidR="00695B36" w:rsidRPr="00BD14B0" w14:paraId="678FA73D" w14:textId="77777777" w:rsidTr="00851E84">
        <w:tc>
          <w:tcPr>
            <w:tcW w:w="5324" w:type="dxa"/>
            <w:hideMark/>
          </w:tcPr>
          <w:p w14:paraId="029BEB39" w14:textId="77777777" w:rsidR="001B6377" w:rsidRPr="00BD14B0" w:rsidRDefault="001B6377" w:rsidP="00553E01">
            <w:r w:rsidRPr="00BD14B0">
              <w:t>How nice do you think the members of this group of people are?</w:t>
            </w:r>
          </w:p>
        </w:tc>
        <w:tc>
          <w:tcPr>
            <w:tcW w:w="1596" w:type="dxa"/>
            <w:hideMark/>
          </w:tcPr>
          <w:p w14:paraId="329B8B0D" w14:textId="77777777" w:rsidR="001B6377" w:rsidRPr="00BD14B0" w:rsidRDefault="001B6377" w:rsidP="00553E01">
            <w:r w:rsidRPr="00BD14B0">
              <w:t>3.82</w:t>
            </w:r>
          </w:p>
        </w:tc>
        <w:tc>
          <w:tcPr>
            <w:tcW w:w="1830" w:type="dxa"/>
            <w:hideMark/>
          </w:tcPr>
          <w:p w14:paraId="1432450C" w14:textId="77777777" w:rsidR="001B6377" w:rsidRPr="00BD14B0" w:rsidRDefault="001B6377" w:rsidP="00553E01">
            <w:r w:rsidRPr="00BD14B0">
              <w:t>1.03</w:t>
            </w:r>
          </w:p>
        </w:tc>
      </w:tr>
      <w:tr w:rsidR="00695B36" w:rsidRPr="00BD14B0" w14:paraId="436B32BD" w14:textId="77777777" w:rsidTr="00851E84">
        <w:tc>
          <w:tcPr>
            <w:tcW w:w="5324" w:type="dxa"/>
            <w:hideMark/>
          </w:tcPr>
          <w:p w14:paraId="0D0FACC0" w14:textId="77777777" w:rsidR="001B6377" w:rsidRPr="00BD14B0" w:rsidRDefault="001B6377" w:rsidP="00553E01">
            <w:r w:rsidRPr="00BD14B0">
              <w:t>How creative do you think the members of this group of people are?</w:t>
            </w:r>
          </w:p>
        </w:tc>
        <w:tc>
          <w:tcPr>
            <w:tcW w:w="1596" w:type="dxa"/>
            <w:hideMark/>
          </w:tcPr>
          <w:p w14:paraId="2D62F035" w14:textId="77777777" w:rsidR="001B6377" w:rsidRPr="00BD14B0" w:rsidRDefault="001B6377" w:rsidP="00553E01">
            <w:r w:rsidRPr="00BD14B0">
              <w:t>3.13</w:t>
            </w:r>
          </w:p>
        </w:tc>
        <w:tc>
          <w:tcPr>
            <w:tcW w:w="1830" w:type="dxa"/>
            <w:hideMark/>
          </w:tcPr>
          <w:p w14:paraId="47A5EC68" w14:textId="77777777" w:rsidR="001B6377" w:rsidRPr="00BD14B0" w:rsidRDefault="001B6377" w:rsidP="00553E01">
            <w:r w:rsidRPr="00BD14B0">
              <w:t>1.09</w:t>
            </w:r>
          </w:p>
        </w:tc>
      </w:tr>
      <w:tr w:rsidR="00695B36" w:rsidRPr="00BD14B0" w14:paraId="6A6FE790" w14:textId="77777777" w:rsidTr="00851E84">
        <w:tc>
          <w:tcPr>
            <w:tcW w:w="5324" w:type="dxa"/>
            <w:hideMark/>
          </w:tcPr>
          <w:p w14:paraId="02865827" w14:textId="77777777" w:rsidR="001B6377" w:rsidRPr="00BD14B0" w:rsidRDefault="001B6377" w:rsidP="00553E01">
            <w:r w:rsidRPr="00BD14B0">
              <w:t>How smart do you think the members of this group of people are?</w:t>
            </w:r>
          </w:p>
        </w:tc>
        <w:tc>
          <w:tcPr>
            <w:tcW w:w="1596" w:type="dxa"/>
            <w:hideMark/>
          </w:tcPr>
          <w:p w14:paraId="76F07B53" w14:textId="77777777" w:rsidR="001B6377" w:rsidRPr="00BD14B0" w:rsidRDefault="001B6377" w:rsidP="00553E01">
            <w:r w:rsidRPr="00BD14B0">
              <w:t>3.13</w:t>
            </w:r>
          </w:p>
        </w:tc>
        <w:tc>
          <w:tcPr>
            <w:tcW w:w="1830" w:type="dxa"/>
            <w:hideMark/>
          </w:tcPr>
          <w:p w14:paraId="02B810FA" w14:textId="77777777" w:rsidR="001B6377" w:rsidRPr="00BD14B0" w:rsidRDefault="001B6377" w:rsidP="00553E01">
            <w:r w:rsidRPr="00BD14B0">
              <w:t>0.90</w:t>
            </w:r>
          </w:p>
        </w:tc>
      </w:tr>
      <w:tr w:rsidR="00695B36" w:rsidRPr="00BD14B0" w14:paraId="6852E4ED" w14:textId="77777777" w:rsidTr="00851E84">
        <w:tc>
          <w:tcPr>
            <w:tcW w:w="5324" w:type="dxa"/>
            <w:tcBorders>
              <w:top w:val="nil"/>
              <w:left w:val="nil"/>
              <w:bottom w:val="single" w:sz="12" w:space="0" w:color="auto"/>
              <w:right w:val="nil"/>
            </w:tcBorders>
            <w:hideMark/>
          </w:tcPr>
          <w:p w14:paraId="6213679D" w14:textId="77777777" w:rsidR="001B6377" w:rsidRPr="00BD14B0" w:rsidRDefault="001B6377" w:rsidP="00553E01">
            <w:r w:rsidRPr="00BD14B0">
              <w:t>How good do you think the members of this group of people are at brainstorming?</w:t>
            </w:r>
          </w:p>
        </w:tc>
        <w:tc>
          <w:tcPr>
            <w:tcW w:w="1596" w:type="dxa"/>
            <w:tcBorders>
              <w:top w:val="nil"/>
              <w:left w:val="nil"/>
              <w:bottom w:val="single" w:sz="12" w:space="0" w:color="auto"/>
              <w:right w:val="nil"/>
            </w:tcBorders>
            <w:hideMark/>
          </w:tcPr>
          <w:p w14:paraId="1D7ADCE3" w14:textId="77777777" w:rsidR="001B6377" w:rsidRPr="00BD14B0" w:rsidRDefault="001B6377" w:rsidP="00553E01">
            <w:r w:rsidRPr="00BD14B0">
              <w:t>3.22</w:t>
            </w:r>
          </w:p>
        </w:tc>
        <w:tc>
          <w:tcPr>
            <w:tcW w:w="1830" w:type="dxa"/>
            <w:tcBorders>
              <w:top w:val="nil"/>
              <w:left w:val="nil"/>
              <w:bottom w:val="single" w:sz="12" w:space="0" w:color="auto"/>
              <w:right w:val="nil"/>
            </w:tcBorders>
            <w:hideMark/>
          </w:tcPr>
          <w:p w14:paraId="0D78A4B1" w14:textId="77777777" w:rsidR="001B6377" w:rsidRPr="00BD14B0" w:rsidRDefault="001B6377" w:rsidP="00553E01">
            <w:r w:rsidRPr="00BD14B0">
              <w:t>1.06</w:t>
            </w:r>
          </w:p>
        </w:tc>
      </w:tr>
      <w:tr w:rsidR="00695B36" w:rsidRPr="00BD14B0" w14:paraId="613D542E" w14:textId="77777777" w:rsidTr="00851E84">
        <w:tc>
          <w:tcPr>
            <w:tcW w:w="5324" w:type="dxa"/>
            <w:tcBorders>
              <w:top w:val="single" w:sz="12" w:space="0" w:color="auto"/>
              <w:left w:val="nil"/>
              <w:bottom w:val="single" w:sz="12" w:space="0" w:color="auto"/>
              <w:right w:val="nil"/>
            </w:tcBorders>
            <w:hideMark/>
          </w:tcPr>
          <w:p w14:paraId="4F255501" w14:textId="02A20171" w:rsidR="001B6377" w:rsidRPr="00BD14B0" w:rsidRDefault="001B6377" w:rsidP="00553E01">
            <w:r w:rsidRPr="00BD14B0">
              <w:t>Story</w:t>
            </w:r>
            <w:r w:rsidR="009F745C" w:rsidRPr="00BD14B0">
              <w:t xml:space="preserve"> </w:t>
            </w:r>
            <w:r w:rsidRPr="00BD14B0">
              <w:t>3- University of Sheffield student</w:t>
            </w:r>
          </w:p>
        </w:tc>
        <w:tc>
          <w:tcPr>
            <w:tcW w:w="1596" w:type="dxa"/>
            <w:tcBorders>
              <w:top w:val="single" w:sz="12" w:space="0" w:color="auto"/>
              <w:left w:val="nil"/>
              <w:bottom w:val="single" w:sz="12" w:space="0" w:color="auto"/>
              <w:right w:val="nil"/>
            </w:tcBorders>
          </w:tcPr>
          <w:p w14:paraId="663AD955" w14:textId="77777777" w:rsidR="001B6377" w:rsidRPr="00BD14B0" w:rsidRDefault="001B6377" w:rsidP="00553E01"/>
        </w:tc>
        <w:tc>
          <w:tcPr>
            <w:tcW w:w="1830" w:type="dxa"/>
            <w:tcBorders>
              <w:top w:val="single" w:sz="12" w:space="0" w:color="auto"/>
              <w:left w:val="nil"/>
              <w:bottom w:val="single" w:sz="12" w:space="0" w:color="auto"/>
              <w:right w:val="nil"/>
            </w:tcBorders>
          </w:tcPr>
          <w:p w14:paraId="7AB08723" w14:textId="77777777" w:rsidR="001B6377" w:rsidRPr="00BD14B0" w:rsidRDefault="001B6377" w:rsidP="00553E01"/>
        </w:tc>
      </w:tr>
      <w:tr w:rsidR="00695B36" w:rsidRPr="00BD14B0" w14:paraId="730E761A" w14:textId="77777777" w:rsidTr="00851E84">
        <w:tc>
          <w:tcPr>
            <w:tcW w:w="5324" w:type="dxa"/>
            <w:tcBorders>
              <w:top w:val="single" w:sz="12" w:space="0" w:color="auto"/>
              <w:left w:val="nil"/>
              <w:bottom w:val="nil"/>
              <w:right w:val="nil"/>
            </w:tcBorders>
            <w:hideMark/>
          </w:tcPr>
          <w:p w14:paraId="08D35C54" w14:textId="77777777" w:rsidR="001B6377" w:rsidRPr="00BD14B0" w:rsidRDefault="001B6377" w:rsidP="00553E01">
            <w:r w:rsidRPr="00BD14B0">
              <w:t>How close do you feel towards that person?</w:t>
            </w:r>
          </w:p>
        </w:tc>
        <w:tc>
          <w:tcPr>
            <w:tcW w:w="1596" w:type="dxa"/>
            <w:tcBorders>
              <w:top w:val="single" w:sz="12" w:space="0" w:color="auto"/>
              <w:left w:val="nil"/>
              <w:bottom w:val="nil"/>
              <w:right w:val="nil"/>
            </w:tcBorders>
            <w:hideMark/>
          </w:tcPr>
          <w:p w14:paraId="2F89C068" w14:textId="77777777" w:rsidR="001B6377" w:rsidRPr="00BD14B0" w:rsidRDefault="001B6377" w:rsidP="00553E01">
            <w:r w:rsidRPr="00BD14B0">
              <w:t>3.36</w:t>
            </w:r>
          </w:p>
        </w:tc>
        <w:tc>
          <w:tcPr>
            <w:tcW w:w="1830" w:type="dxa"/>
            <w:tcBorders>
              <w:top w:val="single" w:sz="12" w:space="0" w:color="auto"/>
              <w:left w:val="nil"/>
              <w:bottom w:val="nil"/>
              <w:right w:val="nil"/>
            </w:tcBorders>
            <w:hideMark/>
          </w:tcPr>
          <w:p w14:paraId="52A730F8" w14:textId="77777777" w:rsidR="001B6377" w:rsidRPr="00BD14B0" w:rsidRDefault="001B6377" w:rsidP="00553E01">
            <w:r w:rsidRPr="00BD14B0">
              <w:t>1.35</w:t>
            </w:r>
          </w:p>
        </w:tc>
      </w:tr>
      <w:tr w:rsidR="00695B36" w:rsidRPr="00BD14B0" w14:paraId="6BA4ED69" w14:textId="77777777" w:rsidTr="00851E84">
        <w:tc>
          <w:tcPr>
            <w:tcW w:w="5324" w:type="dxa"/>
            <w:hideMark/>
          </w:tcPr>
          <w:p w14:paraId="0CD5C5C0" w14:textId="77777777" w:rsidR="001B6377" w:rsidRPr="00BD14B0" w:rsidRDefault="001B6377" w:rsidP="00553E01">
            <w:r w:rsidRPr="00BD14B0">
              <w:t>How trustworthy do you feel that person is?</w:t>
            </w:r>
          </w:p>
        </w:tc>
        <w:tc>
          <w:tcPr>
            <w:tcW w:w="1596" w:type="dxa"/>
            <w:hideMark/>
          </w:tcPr>
          <w:p w14:paraId="0010056F" w14:textId="77777777" w:rsidR="001B6377" w:rsidRPr="00BD14B0" w:rsidRDefault="001B6377" w:rsidP="00553E01">
            <w:r w:rsidRPr="00BD14B0">
              <w:t>3.82</w:t>
            </w:r>
          </w:p>
        </w:tc>
        <w:tc>
          <w:tcPr>
            <w:tcW w:w="1830" w:type="dxa"/>
            <w:hideMark/>
          </w:tcPr>
          <w:p w14:paraId="01AD2D06" w14:textId="77777777" w:rsidR="001B6377" w:rsidRPr="00BD14B0" w:rsidRDefault="001B6377" w:rsidP="00553E01">
            <w:r w:rsidRPr="00BD14B0">
              <w:t>1.04</w:t>
            </w:r>
          </w:p>
        </w:tc>
      </w:tr>
      <w:tr w:rsidR="00695B36" w:rsidRPr="00BD14B0" w14:paraId="446E0666" w14:textId="77777777" w:rsidTr="00851E84">
        <w:tc>
          <w:tcPr>
            <w:tcW w:w="5324" w:type="dxa"/>
            <w:hideMark/>
          </w:tcPr>
          <w:p w14:paraId="3134BF6A" w14:textId="77777777" w:rsidR="001B6377" w:rsidRPr="00BD14B0" w:rsidRDefault="001B6377" w:rsidP="00553E01">
            <w:r w:rsidRPr="00BD14B0">
              <w:t>How pleasant do you feel that person is?</w:t>
            </w:r>
          </w:p>
        </w:tc>
        <w:tc>
          <w:tcPr>
            <w:tcW w:w="1596" w:type="dxa"/>
            <w:hideMark/>
          </w:tcPr>
          <w:p w14:paraId="4FA006EB" w14:textId="77777777" w:rsidR="001B6377" w:rsidRPr="00BD14B0" w:rsidRDefault="001B6377" w:rsidP="00553E01">
            <w:r w:rsidRPr="00BD14B0">
              <w:t>3.92</w:t>
            </w:r>
          </w:p>
        </w:tc>
        <w:tc>
          <w:tcPr>
            <w:tcW w:w="1830" w:type="dxa"/>
            <w:hideMark/>
          </w:tcPr>
          <w:p w14:paraId="4936552A" w14:textId="77777777" w:rsidR="001B6377" w:rsidRPr="00BD14B0" w:rsidRDefault="001B6377" w:rsidP="00553E01">
            <w:r w:rsidRPr="00BD14B0">
              <w:t>0.95</w:t>
            </w:r>
          </w:p>
        </w:tc>
      </w:tr>
      <w:tr w:rsidR="00695B36" w:rsidRPr="00BD14B0" w14:paraId="04BEB597" w14:textId="77777777" w:rsidTr="00851E84">
        <w:tc>
          <w:tcPr>
            <w:tcW w:w="5324" w:type="dxa"/>
            <w:hideMark/>
          </w:tcPr>
          <w:p w14:paraId="4BF83E3C" w14:textId="0770DD2E" w:rsidR="001B6377" w:rsidRPr="00BD14B0" w:rsidRDefault="001B6377" w:rsidP="00553E01">
            <w:r w:rsidRPr="00BD14B0">
              <w:t>Do you consider yourself to be in the same group with</w:t>
            </w:r>
            <w:r w:rsidR="00851E84" w:rsidRPr="00BD14B0">
              <w:t xml:space="preserve"> </w:t>
            </w:r>
            <w:r w:rsidRPr="00BD14B0">
              <w:t>that person?</w:t>
            </w:r>
          </w:p>
        </w:tc>
        <w:tc>
          <w:tcPr>
            <w:tcW w:w="1596" w:type="dxa"/>
            <w:hideMark/>
          </w:tcPr>
          <w:p w14:paraId="0D787312" w14:textId="77777777" w:rsidR="001B6377" w:rsidRPr="00BD14B0" w:rsidRDefault="001B6377" w:rsidP="00553E01">
            <w:r w:rsidRPr="00BD14B0">
              <w:t>3.73</w:t>
            </w:r>
          </w:p>
        </w:tc>
        <w:tc>
          <w:tcPr>
            <w:tcW w:w="1830" w:type="dxa"/>
            <w:hideMark/>
          </w:tcPr>
          <w:p w14:paraId="60E322E6" w14:textId="77777777" w:rsidR="001B6377" w:rsidRPr="00BD14B0" w:rsidRDefault="001B6377" w:rsidP="00553E01">
            <w:r w:rsidRPr="00BD14B0">
              <w:t>1.23</w:t>
            </w:r>
          </w:p>
        </w:tc>
      </w:tr>
      <w:tr w:rsidR="00695B36" w:rsidRPr="00BD14B0" w14:paraId="53864956" w14:textId="77777777" w:rsidTr="00851E84">
        <w:tc>
          <w:tcPr>
            <w:tcW w:w="5324" w:type="dxa"/>
            <w:hideMark/>
          </w:tcPr>
          <w:p w14:paraId="234901C7" w14:textId="77777777" w:rsidR="001B6377" w:rsidRPr="00BD14B0" w:rsidRDefault="001B6377" w:rsidP="00553E01">
            <w:r w:rsidRPr="00BD14B0">
              <w:t>How cooperative you feel towards that person?</w:t>
            </w:r>
          </w:p>
        </w:tc>
        <w:tc>
          <w:tcPr>
            <w:tcW w:w="1596" w:type="dxa"/>
            <w:hideMark/>
          </w:tcPr>
          <w:p w14:paraId="42D5F14E" w14:textId="4831B49D" w:rsidR="001B6377" w:rsidRPr="00BD14B0" w:rsidRDefault="001B6377" w:rsidP="00553E01">
            <w:r w:rsidRPr="00BD14B0">
              <w:t>3.90</w:t>
            </w:r>
          </w:p>
        </w:tc>
        <w:tc>
          <w:tcPr>
            <w:tcW w:w="1830" w:type="dxa"/>
            <w:hideMark/>
          </w:tcPr>
          <w:p w14:paraId="24971827" w14:textId="77777777" w:rsidR="001B6377" w:rsidRPr="00BD14B0" w:rsidRDefault="001B6377" w:rsidP="00553E01">
            <w:r w:rsidRPr="00BD14B0">
              <w:t>1.14</w:t>
            </w:r>
          </w:p>
        </w:tc>
      </w:tr>
      <w:tr w:rsidR="00695B36" w:rsidRPr="00BD14B0" w14:paraId="0D08DB74" w14:textId="77777777" w:rsidTr="00851E84">
        <w:tc>
          <w:tcPr>
            <w:tcW w:w="5324" w:type="dxa"/>
            <w:hideMark/>
          </w:tcPr>
          <w:p w14:paraId="61B858C8" w14:textId="77777777" w:rsidR="001B6377" w:rsidRPr="00BD14B0" w:rsidRDefault="001B6377" w:rsidP="00553E01">
            <w:r w:rsidRPr="00BD14B0">
              <w:t>How nice do you think the members of this group of people are?</w:t>
            </w:r>
          </w:p>
        </w:tc>
        <w:tc>
          <w:tcPr>
            <w:tcW w:w="1596" w:type="dxa"/>
            <w:hideMark/>
          </w:tcPr>
          <w:p w14:paraId="7832EA1D" w14:textId="77777777" w:rsidR="001B6377" w:rsidRPr="00BD14B0" w:rsidRDefault="001B6377" w:rsidP="00553E01">
            <w:r w:rsidRPr="00BD14B0">
              <w:t>3.96</w:t>
            </w:r>
          </w:p>
        </w:tc>
        <w:tc>
          <w:tcPr>
            <w:tcW w:w="1830" w:type="dxa"/>
            <w:hideMark/>
          </w:tcPr>
          <w:p w14:paraId="544C453B" w14:textId="77777777" w:rsidR="001B6377" w:rsidRPr="00BD14B0" w:rsidRDefault="001B6377" w:rsidP="00553E01">
            <w:r w:rsidRPr="00BD14B0">
              <w:t>0.89</w:t>
            </w:r>
          </w:p>
        </w:tc>
      </w:tr>
      <w:tr w:rsidR="00695B36" w:rsidRPr="00BD14B0" w14:paraId="797FBFD3" w14:textId="77777777" w:rsidTr="00851E84">
        <w:tc>
          <w:tcPr>
            <w:tcW w:w="5324" w:type="dxa"/>
            <w:hideMark/>
          </w:tcPr>
          <w:p w14:paraId="27D79DA6" w14:textId="77777777" w:rsidR="001B6377" w:rsidRPr="00BD14B0" w:rsidRDefault="001B6377" w:rsidP="00553E01">
            <w:r w:rsidRPr="00BD14B0">
              <w:lastRenderedPageBreak/>
              <w:t>How creative do you think the members of this group of people are?</w:t>
            </w:r>
          </w:p>
        </w:tc>
        <w:tc>
          <w:tcPr>
            <w:tcW w:w="1596" w:type="dxa"/>
            <w:hideMark/>
          </w:tcPr>
          <w:p w14:paraId="15C7BF1A" w14:textId="77777777" w:rsidR="001B6377" w:rsidRPr="00BD14B0" w:rsidRDefault="001B6377" w:rsidP="00553E01">
            <w:r w:rsidRPr="00BD14B0">
              <w:t>3.94</w:t>
            </w:r>
          </w:p>
        </w:tc>
        <w:tc>
          <w:tcPr>
            <w:tcW w:w="1830" w:type="dxa"/>
            <w:hideMark/>
          </w:tcPr>
          <w:p w14:paraId="2AFAFB19" w14:textId="77777777" w:rsidR="001B6377" w:rsidRPr="00BD14B0" w:rsidRDefault="001B6377" w:rsidP="00553E01">
            <w:r w:rsidRPr="00BD14B0">
              <w:t>1.05</w:t>
            </w:r>
          </w:p>
        </w:tc>
      </w:tr>
      <w:tr w:rsidR="00695B36" w:rsidRPr="00BD14B0" w14:paraId="5F48724C" w14:textId="77777777" w:rsidTr="00851E84">
        <w:tc>
          <w:tcPr>
            <w:tcW w:w="5324" w:type="dxa"/>
            <w:hideMark/>
          </w:tcPr>
          <w:p w14:paraId="34EF0860" w14:textId="77777777" w:rsidR="001B6377" w:rsidRPr="00BD14B0" w:rsidRDefault="001B6377" w:rsidP="00553E01">
            <w:r w:rsidRPr="00BD14B0">
              <w:t>How smart do you think the members of this group of people are?</w:t>
            </w:r>
          </w:p>
        </w:tc>
        <w:tc>
          <w:tcPr>
            <w:tcW w:w="1596" w:type="dxa"/>
            <w:hideMark/>
          </w:tcPr>
          <w:p w14:paraId="51211521" w14:textId="77777777" w:rsidR="001B6377" w:rsidRPr="00BD14B0" w:rsidRDefault="001B6377" w:rsidP="00553E01">
            <w:r w:rsidRPr="00BD14B0">
              <w:t>4.22</w:t>
            </w:r>
          </w:p>
        </w:tc>
        <w:tc>
          <w:tcPr>
            <w:tcW w:w="1830" w:type="dxa"/>
            <w:hideMark/>
          </w:tcPr>
          <w:p w14:paraId="7D346D0C" w14:textId="77777777" w:rsidR="001B6377" w:rsidRPr="00BD14B0" w:rsidRDefault="001B6377" w:rsidP="00553E01">
            <w:r w:rsidRPr="00BD14B0">
              <w:t>0.94</w:t>
            </w:r>
          </w:p>
        </w:tc>
      </w:tr>
      <w:tr w:rsidR="00695B36" w:rsidRPr="00BD14B0" w14:paraId="6F677E31" w14:textId="77777777" w:rsidTr="00851E84">
        <w:tc>
          <w:tcPr>
            <w:tcW w:w="5324" w:type="dxa"/>
            <w:tcBorders>
              <w:top w:val="nil"/>
              <w:left w:val="nil"/>
              <w:bottom w:val="single" w:sz="12" w:space="0" w:color="auto"/>
              <w:right w:val="nil"/>
            </w:tcBorders>
            <w:hideMark/>
          </w:tcPr>
          <w:p w14:paraId="7955C112" w14:textId="77777777" w:rsidR="001B6377" w:rsidRPr="00BD14B0" w:rsidRDefault="001B6377" w:rsidP="00553E01">
            <w:r w:rsidRPr="00BD14B0">
              <w:t>How good do you think the members of this group of people are at brainstorming?</w:t>
            </w:r>
          </w:p>
        </w:tc>
        <w:tc>
          <w:tcPr>
            <w:tcW w:w="1596" w:type="dxa"/>
            <w:tcBorders>
              <w:top w:val="nil"/>
              <w:left w:val="nil"/>
              <w:bottom w:val="single" w:sz="12" w:space="0" w:color="auto"/>
              <w:right w:val="nil"/>
            </w:tcBorders>
            <w:hideMark/>
          </w:tcPr>
          <w:p w14:paraId="69DCCC38" w14:textId="77777777" w:rsidR="001B6377" w:rsidRPr="00BD14B0" w:rsidRDefault="001B6377" w:rsidP="00553E01">
            <w:r w:rsidRPr="00BD14B0">
              <w:t>4.08</w:t>
            </w:r>
          </w:p>
        </w:tc>
        <w:tc>
          <w:tcPr>
            <w:tcW w:w="1830" w:type="dxa"/>
            <w:tcBorders>
              <w:top w:val="nil"/>
              <w:left w:val="nil"/>
              <w:bottom w:val="single" w:sz="12" w:space="0" w:color="auto"/>
              <w:right w:val="nil"/>
            </w:tcBorders>
            <w:hideMark/>
          </w:tcPr>
          <w:p w14:paraId="569363C6" w14:textId="77777777" w:rsidR="001B6377" w:rsidRPr="00BD14B0" w:rsidRDefault="001B6377" w:rsidP="00553E01">
            <w:r w:rsidRPr="00BD14B0">
              <w:t>0.94</w:t>
            </w:r>
          </w:p>
        </w:tc>
      </w:tr>
      <w:tr w:rsidR="00695B36" w:rsidRPr="00BD14B0" w14:paraId="165DB44E" w14:textId="77777777" w:rsidTr="00851E84">
        <w:tc>
          <w:tcPr>
            <w:tcW w:w="5324" w:type="dxa"/>
            <w:tcBorders>
              <w:top w:val="single" w:sz="12" w:space="0" w:color="auto"/>
              <w:left w:val="nil"/>
              <w:bottom w:val="single" w:sz="12" w:space="0" w:color="auto"/>
              <w:right w:val="nil"/>
            </w:tcBorders>
            <w:hideMark/>
          </w:tcPr>
          <w:p w14:paraId="706100C7" w14:textId="1C1DFE55" w:rsidR="001B6377" w:rsidRPr="00BD14B0" w:rsidRDefault="001B6377" w:rsidP="00553E01">
            <w:r w:rsidRPr="00BD14B0">
              <w:t>Story</w:t>
            </w:r>
            <w:r w:rsidR="009F745C" w:rsidRPr="00BD14B0">
              <w:t xml:space="preserve"> </w:t>
            </w:r>
            <w:r w:rsidRPr="00BD14B0">
              <w:t>4- Sheffield Hallam University Student</w:t>
            </w:r>
          </w:p>
        </w:tc>
        <w:tc>
          <w:tcPr>
            <w:tcW w:w="1596" w:type="dxa"/>
            <w:tcBorders>
              <w:top w:val="single" w:sz="12" w:space="0" w:color="auto"/>
              <w:left w:val="nil"/>
              <w:bottom w:val="single" w:sz="12" w:space="0" w:color="auto"/>
              <w:right w:val="nil"/>
            </w:tcBorders>
          </w:tcPr>
          <w:p w14:paraId="5467D08C" w14:textId="77777777" w:rsidR="001B6377" w:rsidRPr="00BD14B0" w:rsidRDefault="001B6377" w:rsidP="00553E01"/>
        </w:tc>
        <w:tc>
          <w:tcPr>
            <w:tcW w:w="1830" w:type="dxa"/>
            <w:tcBorders>
              <w:top w:val="single" w:sz="12" w:space="0" w:color="auto"/>
              <w:left w:val="nil"/>
              <w:bottom w:val="single" w:sz="12" w:space="0" w:color="auto"/>
              <w:right w:val="nil"/>
            </w:tcBorders>
          </w:tcPr>
          <w:p w14:paraId="2DB8673F" w14:textId="77777777" w:rsidR="001B6377" w:rsidRPr="00BD14B0" w:rsidRDefault="001B6377" w:rsidP="00553E01"/>
        </w:tc>
      </w:tr>
      <w:tr w:rsidR="00695B36" w:rsidRPr="00BD14B0" w14:paraId="1D43858A" w14:textId="77777777" w:rsidTr="00851E84">
        <w:tc>
          <w:tcPr>
            <w:tcW w:w="5324" w:type="dxa"/>
            <w:tcBorders>
              <w:top w:val="single" w:sz="12" w:space="0" w:color="auto"/>
              <w:left w:val="nil"/>
              <w:bottom w:val="nil"/>
              <w:right w:val="nil"/>
            </w:tcBorders>
            <w:hideMark/>
          </w:tcPr>
          <w:p w14:paraId="23DAD4B4" w14:textId="77777777" w:rsidR="001B6377" w:rsidRPr="00BD14B0" w:rsidRDefault="001B6377" w:rsidP="00553E01">
            <w:r w:rsidRPr="00BD14B0">
              <w:t>How close do you feel towards that person?</w:t>
            </w:r>
          </w:p>
        </w:tc>
        <w:tc>
          <w:tcPr>
            <w:tcW w:w="1596" w:type="dxa"/>
            <w:tcBorders>
              <w:top w:val="single" w:sz="12" w:space="0" w:color="auto"/>
              <w:left w:val="nil"/>
              <w:bottom w:val="nil"/>
              <w:right w:val="nil"/>
            </w:tcBorders>
            <w:hideMark/>
          </w:tcPr>
          <w:p w14:paraId="1D1EB1FE" w14:textId="77777777" w:rsidR="001B6377" w:rsidRPr="00BD14B0" w:rsidRDefault="001B6377" w:rsidP="00553E01">
            <w:r w:rsidRPr="00BD14B0">
              <w:t>2.96</w:t>
            </w:r>
          </w:p>
        </w:tc>
        <w:tc>
          <w:tcPr>
            <w:tcW w:w="1830" w:type="dxa"/>
            <w:tcBorders>
              <w:top w:val="single" w:sz="12" w:space="0" w:color="auto"/>
              <w:left w:val="nil"/>
              <w:bottom w:val="nil"/>
              <w:right w:val="nil"/>
            </w:tcBorders>
            <w:hideMark/>
          </w:tcPr>
          <w:p w14:paraId="3D9F2462" w14:textId="77777777" w:rsidR="001B6377" w:rsidRPr="00BD14B0" w:rsidRDefault="001B6377" w:rsidP="00553E01">
            <w:r w:rsidRPr="00BD14B0">
              <w:t>1.36</w:t>
            </w:r>
          </w:p>
        </w:tc>
      </w:tr>
      <w:tr w:rsidR="00695B36" w:rsidRPr="00BD14B0" w14:paraId="7513F050" w14:textId="77777777" w:rsidTr="00851E84">
        <w:tc>
          <w:tcPr>
            <w:tcW w:w="5324" w:type="dxa"/>
            <w:hideMark/>
          </w:tcPr>
          <w:p w14:paraId="4266D2FA" w14:textId="77777777" w:rsidR="001B6377" w:rsidRPr="00BD14B0" w:rsidRDefault="001B6377" w:rsidP="00553E01">
            <w:r w:rsidRPr="00BD14B0">
              <w:t>How trustworthy do you feel that person is?</w:t>
            </w:r>
          </w:p>
        </w:tc>
        <w:tc>
          <w:tcPr>
            <w:tcW w:w="1596" w:type="dxa"/>
            <w:hideMark/>
          </w:tcPr>
          <w:p w14:paraId="7DB8A479" w14:textId="77777777" w:rsidR="001B6377" w:rsidRPr="00BD14B0" w:rsidRDefault="001B6377" w:rsidP="00553E01">
            <w:r w:rsidRPr="00BD14B0">
              <w:t>3.48</w:t>
            </w:r>
          </w:p>
        </w:tc>
        <w:tc>
          <w:tcPr>
            <w:tcW w:w="1830" w:type="dxa"/>
            <w:hideMark/>
          </w:tcPr>
          <w:p w14:paraId="2F8AA620" w14:textId="77777777" w:rsidR="001B6377" w:rsidRPr="00BD14B0" w:rsidRDefault="001B6377" w:rsidP="00553E01">
            <w:r w:rsidRPr="00BD14B0">
              <w:t>1.02</w:t>
            </w:r>
          </w:p>
        </w:tc>
      </w:tr>
      <w:tr w:rsidR="00695B36" w:rsidRPr="00BD14B0" w14:paraId="788F9E59" w14:textId="77777777" w:rsidTr="00851E84">
        <w:tc>
          <w:tcPr>
            <w:tcW w:w="5324" w:type="dxa"/>
            <w:hideMark/>
          </w:tcPr>
          <w:p w14:paraId="18F73356" w14:textId="77777777" w:rsidR="001B6377" w:rsidRPr="00BD14B0" w:rsidRDefault="001B6377" w:rsidP="00553E01">
            <w:r w:rsidRPr="00BD14B0">
              <w:t>How pleasant do you feel that person is?</w:t>
            </w:r>
          </w:p>
        </w:tc>
        <w:tc>
          <w:tcPr>
            <w:tcW w:w="1596" w:type="dxa"/>
            <w:hideMark/>
          </w:tcPr>
          <w:p w14:paraId="5E7930E6" w14:textId="77777777" w:rsidR="001B6377" w:rsidRPr="00BD14B0" w:rsidRDefault="001B6377" w:rsidP="00553E01">
            <w:r w:rsidRPr="00BD14B0">
              <w:t>3.64</w:t>
            </w:r>
          </w:p>
        </w:tc>
        <w:tc>
          <w:tcPr>
            <w:tcW w:w="1830" w:type="dxa"/>
            <w:hideMark/>
          </w:tcPr>
          <w:p w14:paraId="6A55CC68" w14:textId="77777777" w:rsidR="001B6377" w:rsidRPr="00BD14B0" w:rsidRDefault="001B6377" w:rsidP="00553E01">
            <w:r w:rsidRPr="00BD14B0">
              <w:t>1.00</w:t>
            </w:r>
          </w:p>
        </w:tc>
      </w:tr>
      <w:tr w:rsidR="00695B36" w:rsidRPr="00BD14B0" w14:paraId="732496E7" w14:textId="77777777" w:rsidTr="00851E84">
        <w:tc>
          <w:tcPr>
            <w:tcW w:w="5324" w:type="dxa"/>
            <w:hideMark/>
          </w:tcPr>
          <w:p w14:paraId="38BAC41A" w14:textId="3D72AF36" w:rsidR="001B6377" w:rsidRPr="00BD14B0" w:rsidRDefault="001B6377" w:rsidP="00553E01">
            <w:r w:rsidRPr="00BD14B0">
              <w:t>Do you consider yourself to be in the same group with</w:t>
            </w:r>
            <w:r w:rsidR="00851E84" w:rsidRPr="00BD14B0">
              <w:t xml:space="preserve"> </w:t>
            </w:r>
            <w:r w:rsidRPr="00BD14B0">
              <w:t>that person?</w:t>
            </w:r>
          </w:p>
        </w:tc>
        <w:tc>
          <w:tcPr>
            <w:tcW w:w="1596" w:type="dxa"/>
            <w:hideMark/>
          </w:tcPr>
          <w:p w14:paraId="7001F860" w14:textId="77777777" w:rsidR="001B6377" w:rsidRPr="00BD14B0" w:rsidRDefault="001B6377" w:rsidP="00553E01">
            <w:r w:rsidRPr="00BD14B0">
              <w:t>3.01</w:t>
            </w:r>
          </w:p>
        </w:tc>
        <w:tc>
          <w:tcPr>
            <w:tcW w:w="1830" w:type="dxa"/>
            <w:hideMark/>
          </w:tcPr>
          <w:p w14:paraId="16A28066" w14:textId="77777777" w:rsidR="001B6377" w:rsidRPr="00BD14B0" w:rsidRDefault="001B6377" w:rsidP="00553E01">
            <w:r w:rsidRPr="00BD14B0">
              <w:t>1.23</w:t>
            </w:r>
          </w:p>
        </w:tc>
      </w:tr>
      <w:tr w:rsidR="00695B36" w:rsidRPr="00BD14B0" w14:paraId="5DEDA765" w14:textId="77777777" w:rsidTr="00851E84">
        <w:tc>
          <w:tcPr>
            <w:tcW w:w="5324" w:type="dxa"/>
            <w:hideMark/>
          </w:tcPr>
          <w:p w14:paraId="5DBE118E" w14:textId="77777777" w:rsidR="001B6377" w:rsidRPr="00BD14B0" w:rsidRDefault="001B6377" w:rsidP="00553E01">
            <w:r w:rsidRPr="00BD14B0">
              <w:t>How cooperative you feel towards that person?</w:t>
            </w:r>
          </w:p>
        </w:tc>
        <w:tc>
          <w:tcPr>
            <w:tcW w:w="1596" w:type="dxa"/>
            <w:hideMark/>
          </w:tcPr>
          <w:p w14:paraId="5FB45551" w14:textId="35EAC600" w:rsidR="001B6377" w:rsidRPr="00BD14B0" w:rsidRDefault="001B6377" w:rsidP="00553E01">
            <w:r w:rsidRPr="00BD14B0">
              <w:t>3.75</w:t>
            </w:r>
          </w:p>
        </w:tc>
        <w:tc>
          <w:tcPr>
            <w:tcW w:w="1830" w:type="dxa"/>
            <w:hideMark/>
          </w:tcPr>
          <w:p w14:paraId="2439F160" w14:textId="77777777" w:rsidR="001B6377" w:rsidRPr="00BD14B0" w:rsidRDefault="001B6377" w:rsidP="00553E01">
            <w:r w:rsidRPr="00BD14B0">
              <w:t>1.11</w:t>
            </w:r>
          </w:p>
        </w:tc>
      </w:tr>
      <w:tr w:rsidR="00695B36" w:rsidRPr="00BD14B0" w14:paraId="5A3D5AA3" w14:textId="77777777" w:rsidTr="00851E84">
        <w:tc>
          <w:tcPr>
            <w:tcW w:w="5324" w:type="dxa"/>
            <w:hideMark/>
          </w:tcPr>
          <w:p w14:paraId="013BBE63" w14:textId="77777777" w:rsidR="001B6377" w:rsidRPr="00BD14B0" w:rsidRDefault="001B6377" w:rsidP="00553E01">
            <w:r w:rsidRPr="00BD14B0">
              <w:t>How nice do you think the members of this group of people are?</w:t>
            </w:r>
          </w:p>
        </w:tc>
        <w:tc>
          <w:tcPr>
            <w:tcW w:w="1596" w:type="dxa"/>
            <w:hideMark/>
          </w:tcPr>
          <w:p w14:paraId="6C0396A2" w14:textId="77777777" w:rsidR="001B6377" w:rsidRPr="00BD14B0" w:rsidRDefault="001B6377" w:rsidP="00553E01">
            <w:r w:rsidRPr="00BD14B0">
              <w:t>3.87</w:t>
            </w:r>
          </w:p>
        </w:tc>
        <w:tc>
          <w:tcPr>
            <w:tcW w:w="1830" w:type="dxa"/>
            <w:hideMark/>
          </w:tcPr>
          <w:p w14:paraId="60B6A74F" w14:textId="77777777" w:rsidR="001B6377" w:rsidRPr="00BD14B0" w:rsidRDefault="001B6377" w:rsidP="00553E01">
            <w:r w:rsidRPr="00BD14B0">
              <w:t>1.02</w:t>
            </w:r>
          </w:p>
        </w:tc>
      </w:tr>
      <w:tr w:rsidR="00695B36" w:rsidRPr="00BD14B0" w14:paraId="52F957CE" w14:textId="77777777" w:rsidTr="00851E84">
        <w:tc>
          <w:tcPr>
            <w:tcW w:w="5324" w:type="dxa"/>
            <w:hideMark/>
          </w:tcPr>
          <w:p w14:paraId="7ECB105A" w14:textId="77777777" w:rsidR="001B6377" w:rsidRPr="00BD14B0" w:rsidRDefault="001B6377" w:rsidP="00553E01">
            <w:r w:rsidRPr="00BD14B0">
              <w:t>How creative do you think the members of this group of people are?</w:t>
            </w:r>
          </w:p>
        </w:tc>
        <w:tc>
          <w:tcPr>
            <w:tcW w:w="1596" w:type="dxa"/>
            <w:hideMark/>
          </w:tcPr>
          <w:p w14:paraId="4F3F5789" w14:textId="77777777" w:rsidR="001B6377" w:rsidRPr="00BD14B0" w:rsidRDefault="001B6377" w:rsidP="00553E01">
            <w:r w:rsidRPr="00BD14B0">
              <w:t>3.68</w:t>
            </w:r>
          </w:p>
        </w:tc>
        <w:tc>
          <w:tcPr>
            <w:tcW w:w="1830" w:type="dxa"/>
            <w:hideMark/>
          </w:tcPr>
          <w:p w14:paraId="4C0E12F0" w14:textId="77777777" w:rsidR="001B6377" w:rsidRPr="00BD14B0" w:rsidRDefault="001B6377" w:rsidP="00553E01">
            <w:r w:rsidRPr="00BD14B0">
              <w:t>1.03</w:t>
            </w:r>
          </w:p>
        </w:tc>
      </w:tr>
      <w:tr w:rsidR="00695B36" w:rsidRPr="00BD14B0" w14:paraId="20E3438C" w14:textId="77777777" w:rsidTr="00851E84">
        <w:tc>
          <w:tcPr>
            <w:tcW w:w="5324" w:type="dxa"/>
            <w:hideMark/>
          </w:tcPr>
          <w:p w14:paraId="42AA52C7" w14:textId="77777777" w:rsidR="001B6377" w:rsidRPr="00BD14B0" w:rsidRDefault="001B6377" w:rsidP="00553E01">
            <w:r w:rsidRPr="00BD14B0">
              <w:t>How smart do you think the members of this group of people are?</w:t>
            </w:r>
          </w:p>
        </w:tc>
        <w:tc>
          <w:tcPr>
            <w:tcW w:w="1596" w:type="dxa"/>
            <w:hideMark/>
          </w:tcPr>
          <w:p w14:paraId="1B366713" w14:textId="77777777" w:rsidR="001B6377" w:rsidRPr="00BD14B0" w:rsidRDefault="001B6377" w:rsidP="00553E01">
            <w:r w:rsidRPr="00BD14B0">
              <w:t>3.59</w:t>
            </w:r>
          </w:p>
        </w:tc>
        <w:tc>
          <w:tcPr>
            <w:tcW w:w="1830" w:type="dxa"/>
            <w:hideMark/>
          </w:tcPr>
          <w:p w14:paraId="111D0205" w14:textId="77777777" w:rsidR="001B6377" w:rsidRPr="00BD14B0" w:rsidRDefault="001B6377" w:rsidP="00553E01">
            <w:r w:rsidRPr="00BD14B0">
              <w:t>1.03</w:t>
            </w:r>
          </w:p>
        </w:tc>
      </w:tr>
      <w:tr w:rsidR="001B6377" w:rsidRPr="00BD14B0" w14:paraId="687F5285" w14:textId="77777777" w:rsidTr="00851E84">
        <w:tc>
          <w:tcPr>
            <w:tcW w:w="5324" w:type="dxa"/>
            <w:tcBorders>
              <w:top w:val="nil"/>
              <w:left w:val="nil"/>
              <w:bottom w:val="single" w:sz="18" w:space="0" w:color="auto"/>
              <w:right w:val="nil"/>
            </w:tcBorders>
            <w:hideMark/>
          </w:tcPr>
          <w:p w14:paraId="49A32182" w14:textId="77777777" w:rsidR="001B6377" w:rsidRPr="00BD14B0" w:rsidRDefault="001B6377" w:rsidP="00553E01">
            <w:r w:rsidRPr="00BD14B0">
              <w:t>How good do you think the members of this group of people are at brainstorming?</w:t>
            </w:r>
          </w:p>
        </w:tc>
        <w:tc>
          <w:tcPr>
            <w:tcW w:w="1596" w:type="dxa"/>
            <w:tcBorders>
              <w:top w:val="nil"/>
              <w:left w:val="nil"/>
              <w:bottom w:val="single" w:sz="18" w:space="0" w:color="auto"/>
              <w:right w:val="nil"/>
            </w:tcBorders>
            <w:hideMark/>
          </w:tcPr>
          <w:p w14:paraId="1249554A" w14:textId="77777777" w:rsidR="001B6377" w:rsidRPr="00BD14B0" w:rsidRDefault="001B6377" w:rsidP="00553E01">
            <w:r w:rsidRPr="00BD14B0">
              <w:t>3.69</w:t>
            </w:r>
          </w:p>
        </w:tc>
        <w:tc>
          <w:tcPr>
            <w:tcW w:w="1830" w:type="dxa"/>
            <w:tcBorders>
              <w:top w:val="nil"/>
              <w:left w:val="nil"/>
              <w:bottom w:val="single" w:sz="18" w:space="0" w:color="auto"/>
              <w:right w:val="nil"/>
            </w:tcBorders>
            <w:hideMark/>
          </w:tcPr>
          <w:p w14:paraId="2259C24A" w14:textId="77777777" w:rsidR="001B6377" w:rsidRPr="00BD14B0" w:rsidRDefault="001B6377" w:rsidP="00553E01">
            <w:r w:rsidRPr="00BD14B0">
              <w:t>1.00</w:t>
            </w:r>
          </w:p>
        </w:tc>
      </w:tr>
    </w:tbl>
    <w:p w14:paraId="778D96A6" w14:textId="77777777" w:rsidR="001B6377" w:rsidRPr="00BD14B0" w:rsidRDefault="001B6377" w:rsidP="00553E01"/>
    <w:p w14:paraId="4D1A7197" w14:textId="3375A007" w:rsidR="006D6F11" w:rsidRPr="00BD14B0" w:rsidRDefault="001B6377" w:rsidP="00553E01">
      <w:r w:rsidRPr="00BD14B0">
        <w:lastRenderedPageBreak/>
        <w:tab/>
      </w:r>
      <w:r w:rsidR="006D6F11" w:rsidRPr="00BD14B0">
        <w:t>Post-hoc comparisons were conducted using a Bonferroni correction to test for differences between the stories. There were significant differences between story 1 and story 3 (</w:t>
      </w:r>
      <w:r w:rsidR="006D6F11" w:rsidRPr="00BD14B0">
        <w:rPr>
          <w:i/>
        </w:rPr>
        <w:t>MD=</w:t>
      </w:r>
      <w:r w:rsidR="006D6F11" w:rsidRPr="00BD14B0">
        <w:t xml:space="preserve">-.366 </w:t>
      </w:r>
      <w:r w:rsidR="006D6F11" w:rsidRPr="00BD14B0">
        <w:rPr>
          <w:i/>
        </w:rPr>
        <w:t>p</w:t>
      </w:r>
      <w:r w:rsidR="006D6F11" w:rsidRPr="00BD14B0">
        <w:t xml:space="preserve"> &lt; .001), story 2 and story 3 (</w:t>
      </w:r>
      <w:r w:rsidR="006D6F11" w:rsidRPr="00BD14B0">
        <w:rPr>
          <w:i/>
        </w:rPr>
        <w:t>MD=</w:t>
      </w:r>
      <w:r w:rsidR="006D6F11" w:rsidRPr="00BD14B0">
        <w:t xml:space="preserve">-.533 </w:t>
      </w:r>
      <w:r w:rsidR="006D6F11" w:rsidRPr="00BD14B0">
        <w:rPr>
          <w:i/>
        </w:rPr>
        <w:t>p</w:t>
      </w:r>
      <w:r w:rsidR="006D6F11" w:rsidRPr="00BD14B0">
        <w:t xml:space="preserve"> &lt; .001) and story 3 and story 4</w:t>
      </w:r>
      <w:r w:rsidR="00303F12" w:rsidRPr="00BD14B0">
        <w:t xml:space="preserve"> </w:t>
      </w:r>
      <w:r w:rsidR="006D6F11" w:rsidRPr="00BD14B0">
        <w:t>(</w:t>
      </w:r>
      <w:r w:rsidR="006D6F11" w:rsidRPr="00BD14B0">
        <w:rPr>
          <w:i/>
        </w:rPr>
        <w:t>MD=</w:t>
      </w:r>
      <w:r w:rsidR="006D6F11" w:rsidRPr="00BD14B0">
        <w:t xml:space="preserve">.392 </w:t>
      </w:r>
      <w:r w:rsidR="006D6F11" w:rsidRPr="00BD14B0">
        <w:rPr>
          <w:i/>
        </w:rPr>
        <w:t>p</w:t>
      </w:r>
      <w:r w:rsidR="006D6F11" w:rsidRPr="00BD14B0">
        <w:t xml:space="preserve"> &lt; .001). </w:t>
      </w:r>
      <w:r w:rsidR="00303F12" w:rsidRPr="00BD14B0">
        <w:t>All other differences between stories were non-</w:t>
      </w:r>
      <w:r w:rsidR="00076C9F" w:rsidRPr="00BD14B0">
        <w:t>significant</w:t>
      </w:r>
      <w:r w:rsidR="00303F12" w:rsidRPr="00BD14B0">
        <w:t xml:space="preserve">. </w:t>
      </w:r>
      <w:r w:rsidR="006D6F11" w:rsidRPr="00BD14B0">
        <w:t>The greatest difference was found between story 2 and story 3 with a mean difference of -0.553 (</w:t>
      </w:r>
      <w:r w:rsidR="006D6F11" w:rsidRPr="00BD14B0">
        <w:rPr>
          <w:i/>
        </w:rPr>
        <w:t>p</w:t>
      </w:r>
      <w:r w:rsidR="006D6F11" w:rsidRPr="00BD14B0">
        <w:t xml:space="preserve"> &lt; .001). Therefore, story 2 and 3 combination were chosen for the behavioural study. The same set of face stimuli was used and was fully randomised for all conditions of the online study. Additionally, the same face stimuli set was also used in the behavioural experiment. </w:t>
      </w:r>
    </w:p>
    <w:p w14:paraId="23F87822" w14:textId="77777777" w:rsidR="00674202" w:rsidRPr="00BD14B0" w:rsidRDefault="00674202" w:rsidP="00553E01"/>
    <w:p w14:paraId="26BF1177" w14:textId="4CB74A7A" w:rsidR="008F625E" w:rsidRPr="00882010" w:rsidRDefault="00882010" w:rsidP="00074CCD">
      <w:pPr>
        <w:pStyle w:val="Title"/>
      </w:pPr>
      <w:bookmarkStart w:id="35" w:name="_Toc108317405"/>
      <w:bookmarkStart w:id="36" w:name="_Toc108317447"/>
      <w:bookmarkStart w:id="37" w:name="_Toc108322120"/>
      <w:r w:rsidRPr="00882010">
        <w:t xml:space="preserve">Figure </w:t>
      </w:r>
      <w:r w:rsidR="003B267D">
        <w:fldChar w:fldCharType="begin"/>
      </w:r>
      <w:r w:rsidR="003B267D">
        <w:instrText xml:space="preserve"> SEQ Figure \* ARABIC </w:instrText>
      </w:r>
      <w:r w:rsidR="003B267D">
        <w:fldChar w:fldCharType="separate"/>
      </w:r>
      <w:r w:rsidR="003B267D">
        <w:rPr>
          <w:noProof/>
        </w:rPr>
        <w:t>4</w:t>
      </w:r>
      <w:r w:rsidR="003B267D">
        <w:fldChar w:fldCharType="end"/>
      </w:r>
      <w:bookmarkStart w:id="38" w:name="_Hlk509966065"/>
      <w:bookmarkEnd w:id="35"/>
      <w:bookmarkEnd w:id="36"/>
      <w:bookmarkEnd w:id="37"/>
    </w:p>
    <w:p w14:paraId="23EA3856" w14:textId="27E17F2B" w:rsidR="008F625E" w:rsidRPr="00BD14B0" w:rsidRDefault="008F625E" w:rsidP="008F625E">
      <w:r w:rsidRPr="00BD14B0">
        <w:t xml:space="preserve"> </w:t>
      </w:r>
      <w:r w:rsidRPr="00BD14B0">
        <w:rPr>
          <w:i/>
          <w:iCs/>
        </w:rPr>
        <w:t>The scores for each question by story type</w:t>
      </w:r>
      <w:bookmarkEnd w:id="38"/>
    </w:p>
    <w:p w14:paraId="653CA7DE" w14:textId="0A847A10" w:rsidR="001B6377" w:rsidRPr="00BD14B0" w:rsidRDefault="001B6377" w:rsidP="00553E01"/>
    <w:p w14:paraId="6300E249" w14:textId="77777777" w:rsidR="001B6377" w:rsidRPr="00BD14B0" w:rsidRDefault="001B6377" w:rsidP="00553E01">
      <w:r w:rsidRPr="00BD14B0">
        <w:rPr>
          <w:noProof/>
          <w:lang w:eastAsia="en-US"/>
        </w:rPr>
        <w:drawing>
          <wp:inline distT="0" distB="0" distL="0" distR="0" wp14:anchorId="7AA6847D" wp14:editId="61359875">
            <wp:extent cx="5941202" cy="3914774"/>
            <wp:effectExtent l="0" t="0" r="2540" b="0"/>
            <wp:docPr id="30729" name="picture"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242155" name="pictur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54690" cy="3923661"/>
                    </a:xfrm>
                    <a:prstGeom prst="rect">
                      <a:avLst/>
                    </a:prstGeom>
                  </pic:spPr>
                </pic:pic>
              </a:graphicData>
            </a:graphic>
          </wp:inline>
        </w:drawing>
      </w:r>
    </w:p>
    <w:p w14:paraId="52B54613" w14:textId="652BB80B" w:rsidR="0014652C" w:rsidRPr="00BD14B0" w:rsidRDefault="00ED4DB7" w:rsidP="00553E01">
      <w:r w:rsidRPr="00BD14B0">
        <w:rPr>
          <w:i/>
        </w:rPr>
        <w:lastRenderedPageBreak/>
        <w:t>Note</w:t>
      </w:r>
      <w:r w:rsidRPr="00BD14B0">
        <w:t xml:space="preserve">. </w:t>
      </w:r>
      <w:r w:rsidR="006D6F11" w:rsidRPr="00BD14B0">
        <w:t>Questions</w:t>
      </w:r>
      <w:r w:rsidRPr="00BD14B0">
        <w:t>.</w:t>
      </w:r>
      <w:r w:rsidR="006D6F11" w:rsidRPr="00BD14B0">
        <w:t xml:space="preserve"> 1. How close do you feel towards that person? 2. How trustworthy do you feel that person is? 3. How pleasant do you feel that person is? 4. Do you consider yourself to be in the same group with that person? 5. How cooperative you feel towards that person? 6. How nice do you think the members of this group of people are? 7. How creative do you think the members of this group of people are? 8. How smart do you think the members of this group of people are? 9. How good do you think the members of this group of people are at brainstorming?</w:t>
      </w:r>
    </w:p>
    <w:p w14:paraId="0081F2D5" w14:textId="0F4E326E" w:rsidR="001B6377" w:rsidRPr="00BD14B0" w:rsidRDefault="0014652C" w:rsidP="00553E01">
      <w:r w:rsidRPr="00BD14B0">
        <w:tab/>
      </w:r>
      <w:r w:rsidR="00F60708" w:rsidRPr="00BD14B0">
        <w:t xml:space="preserve">Post-hoc comparisons were conducted using a Bonferroni correction to test for differences between the questions. Question 1 was scored significantly lower than questions 2 (MD=-.71 p = .00), 3 (MD=-.8 p = .00), 5 (MD=-.82 p = .00), 6 (MD=-.95 p = .00), 7 (MD=-.63 p = .00), 8 (MD=-.80 p = .00), and 9 (MD=-.78 p = .00). Question 4 was also scored significantly lower than questions 2 (MD=-.48 p = .00), 3 (MD=-.57 p = .00), 5 (MD=-.59 p </w:t>
      </w:r>
      <w:proofErr w:type="gramStart"/>
      <w:r w:rsidR="00F60708" w:rsidRPr="00BD14B0">
        <w:t>= .</w:t>
      </w:r>
      <w:proofErr w:type="gramEnd"/>
      <w:r w:rsidR="00F60708" w:rsidRPr="00BD14B0">
        <w:t xml:space="preserve">??), 6 (MD=-.73 p = .00), 7 (MD=-.41 p = .00), 8 (MD=-.58 p = .00), and 9 (MD=-.56 p = .00). In addition, questions 2 (MD=-.24 p = .001) and 7 (MD=-.32 p = .001), were scored significantly lower than question </w:t>
      </w:r>
      <w:proofErr w:type="gramStart"/>
      <w:r w:rsidR="00F60708" w:rsidRPr="00BD14B0">
        <w:t>6  and</w:t>
      </w:r>
      <w:proofErr w:type="gramEnd"/>
      <w:r w:rsidR="00F60708" w:rsidRPr="00BD14B0">
        <w:t xml:space="preserve"> question 7 was significantly lower </w:t>
      </w:r>
      <w:proofErr w:type="spellStart"/>
      <w:r w:rsidR="00F60708" w:rsidRPr="00BD14B0">
        <w:t>lower</w:t>
      </w:r>
      <w:proofErr w:type="spellEnd"/>
      <w:r w:rsidR="00F60708" w:rsidRPr="00BD14B0">
        <w:t xml:space="preserve"> than question 8 (MD=-.17 p = .04). All other differences between stories were non-significant.</w:t>
      </w:r>
    </w:p>
    <w:p w14:paraId="71B48A30" w14:textId="394AA168" w:rsidR="009F745C" w:rsidRPr="00BD14B0" w:rsidRDefault="009F745C" w:rsidP="009F745C">
      <w:r w:rsidRPr="00BD14B0">
        <w:tab/>
        <w:t xml:space="preserve">The significant question x story interact was decomposed by conducting separate ANOVAs testing the effect of story on each of the nine questions. The ANOVAs were significant for question 1, F(2.98, 255.58) = 14.201, p = .00, question 2, F(2.88, 247.402) =3.2, p = .026, question 3, F(2.75, 236.61) = 4.760, p = .004, question 4, F(2.86,245.566 ) = 14.942, p = .00, question 7, F(2.558, 220.005) = 13.783, p = .00, question 8, F(2.719, 233.844) = 31.855, p = .00, and question 9, F(2.569, 220.951) = 15.604, p = .00. They were non-significant for question 5, F (2.930, 251.971) = 1.388, p = .247, and question 6, </w:t>
      </w:r>
      <w:proofErr w:type="gramStart"/>
      <w:r w:rsidRPr="00BD14B0">
        <w:t>F(</w:t>
      </w:r>
      <w:proofErr w:type="gramEnd"/>
      <w:r w:rsidRPr="00BD14B0">
        <w:t>2.866, 246.485) = .708, p = .542.</w:t>
      </w:r>
    </w:p>
    <w:p w14:paraId="36264A5A" w14:textId="77777777" w:rsidR="009F745C" w:rsidRPr="00BD14B0" w:rsidRDefault="009F745C" w:rsidP="009F745C">
      <w:r w:rsidRPr="00BD14B0">
        <w:tab/>
        <w:t>Post-hoc comparisons were conducted using a Bonferroni correction to test for differences between the stories for questions 1, 2, 3, 4, 7, 8 and 9. For question 1, there were significant differences between story 1 and story 3 (</w:t>
      </w:r>
      <w:r w:rsidRPr="00BD14B0">
        <w:rPr>
          <w:i/>
        </w:rPr>
        <w:t>MD=</w:t>
      </w:r>
      <w:r w:rsidRPr="00BD14B0">
        <w:t xml:space="preserve">-.782 </w:t>
      </w:r>
      <w:r w:rsidRPr="00BD14B0">
        <w:rPr>
          <w:i/>
        </w:rPr>
        <w:t>p</w:t>
      </w:r>
      <w:r w:rsidRPr="00BD14B0">
        <w:t xml:space="preserve"> =.00), story 1 and story 4 (</w:t>
      </w:r>
      <w:r w:rsidRPr="00BD14B0">
        <w:rPr>
          <w:i/>
        </w:rPr>
        <w:t>MD=</w:t>
      </w:r>
      <w:r w:rsidRPr="00BD14B0">
        <w:t xml:space="preserve">-.368 </w:t>
      </w:r>
      <w:r w:rsidRPr="00BD14B0">
        <w:rPr>
          <w:i/>
        </w:rPr>
        <w:t>p</w:t>
      </w:r>
      <w:r w:rsidRPr="00BD14B0">
        <w:t xml:space="preserve"> = .028), story 2 and story 3 (</w:t>
      </w:r>
      <w:r w:rsidRPr="00BD14B0">
        <w:rPr>
          <w:i/>
        </w:rPr>
        <w:t>MD=</w:t>
      </w:r>
      <w:r w:rsidRPr="00BD14B0">
        <w:t xml:space="preserve">-.589 </w:t>
      </w:r>
      <w:r w:rsidRPr="00BD14B0">
        <w:rPr>
          <w:i/>
        </w:rPr>
        <w:t>p</w:t>
      </w:r>
      <w:r w:rsidRPr="00BD14B0">
        <w:t xml:space="preserve"> =.00) and story 4 and story 3 (</w:t>
      </w:r>
      <w:r w:rsidRPr="00BD14B0">
        <w:rPr>
          <w:i/>
        </w:rPr>
        <w:t>MD=</w:t>
      </w:r>
      <w:r w:rsidRPr="00BD14B0">
        <w:t xml:space="preserve">-.414 </w:t>
      </w:r>
      <w:r w:rsidRPr="00BD14B0">
        <w:rPr>
          <w:i/>
        </w:rPr>
        <w:t>p</w:t>
      </w:r>
      <w:r w:rsidRPr="00BD14B0">
        <w:t xml:space="preserve">=.006). For question 2, there were significant differences between story 4 </w:t>
      </w:r>
      <w:r w:rsidRPr="00BD14B0">
        <w:lastRenderedPageBreak/>
        <w:t>and story 3 (</w:t>
      </w:r>
      <w:r w:rsidRPr="00BD14B0">
        <w:rPr>
          <w:i/>
        </w:rPr>
        <w:t>MD=</w:t>
      </w:r>
      <w:r w:rsidRPr="00BD14B0">
        <w:t xml:space="preserve">-.368 </w:t>
      </w:r>
      <w:r w:rsidRPr="00BD14B0">
        <w:rPr>
          <w:i/>
        </w:rPr>
        <w:t>p</w:t>
      </w:r>
      <w:r w:rsidRPr="00BD14B0">
        <w:t xml:space="preserve"> = .019). For question 3, there were significant differences between story 1 and story 3 (</w:t>
      </w:r>
      <w:r w:rsidRPr="00BD14B0">
        <w:rPr>
          <w:i/>
        </w:rPr>
        <w:t>MD=</w:t>
      </w:r>
      <w:r w:rsidRPr="00BD14B0">
        <w:t xml:space="preserve">-.402 </w:t>
      </w:r>
      <w:r w:rsidRPr="00BD14B0">
        <w:rPr>
          <w:i/>
        </w:rPr>
        <w:t>p</w:t>
      </w:r>
      <w:r w:rsidRPr="00BD14B0">
        <w:t>=.026). For question 4, there were significant differences between story 1 and story 3 (</w:t>
      </w:r>
      <w:r w:rsidRPr="00BD14B0">
        <w:rPr>
          <w:i/>
        </w:rPr>
        <w:t>MD=</w:t>
      </w:r>
      <w:r w:rsidRPr="00BD14B0">
        <w:t xml:space="preserve">-.632 </w:t>
      </w:r>
      <w:r w:rsidRPr="00BD14B0">
        <w:rPr>
          <w:i/>
        </w:rPr>
        <w:t>p</w:t>
      </w:r>
      <w:r w:rsidRPr="00BD14B0">
        <w:t xml:space="preserve"> = .00), story 2 and story 3 (</w:t>
      </w:r>
      <w:r w:rsidRPr="00BD14B0">
        <w:rPr>
          <w:i/>
        </w:rPr>
        <w:t>MD=</w:t>
      </w:r>
      <w:r w:rsidRPr="00BD14B0">
        <w:t xml:space="preserve">-.920 </w:t>
      </w:r>
      <w:r w:rsidRPr="00BD14B0">
        <w:rPr>
          <w:i/>
        </w:rPr>
        <w:t>p</w:t>
      </w:r>
      <w:r w:rsidRPr="00BD14B0">
        <w:t xml:space="preserve"> = .00) and story 4 and story 3 (</w:t>
      </w:r>
      <w:r w:rsidRPr="00BD14B0">
        <w:rPr>
          <w:i/>
        </w:rPr>
        <w:t>MD=</w:t>
      </w:r>
      <w:r w:rsidRPr="00BD14B0">
        <w:t xml:space="preserve">-.724 </w:t>
      </w:r>
      <w:r w:rsidRPr="00BD14B0">
        <w:rPr>
          <w:i/>
        </w:rPr>
        <w:t>p</w:t>
      </w:r>
      <w:r w:rsidRPr="00BD14B0">
        <w:t xml:space="preserve"> = .00). For question 7, there were significant differences between story 1 and story 3 (</w:t>
      </w:r>
      <w:r w:rsidRPr="00BD14B0">
        <w:rPr>
          <w:i/>
        </w:rPr>
        <w:t>MD=</w:t>
      </w:r>
      <w:r w:rsidRPr="00BD14B0">
        <w:t xml:space="preserve">-.460 </w:t>
      </w:r>
      <w:r w:rsidRPr="00BD14B0">
        <w:rPr>
          <w:i/>
        </w:rPr>
        <w:t>p</w:t>
      </w:r>
      <w:r w:rsidRPr="00BD14B0">
        <w:t xml:space="preserve"> = .003), story 2 and story 1 (</w:t>
      </w:r>
      <w:r w:rsidRPr="00BD14B0">
        <w:rPr>
          <w:i/>
        </w:rPr>
        <w:t>MD=</w:t>
      </w:r>
      <w:r w:rsidRPr="00BD14B0">
        <w:t xml:space="preserve">-.379 </w:t>
      </w:r>
      <w:r w:rsidRPr="00BD14B0">
        <w:rPr>
          <w:i/>
        </w:rPr>
        <w:t>p</w:t>
      </w:r>
      <w:r w:rsidRPr="00BD14B0">
        <w:t xml:space="preserve"> = .035), story 2 and story 3 (</w:t>
      </w:r>
      <w:r w:rsidRPr="00BD14B0">
        <w:rPr>
          <w:i/>
        </w:rPr>
        <w:t>MD=</w:t>
      </w:r>
      <w:r w:rsidRPr="00BD14B0">
        <w:t xml:space="preserve">-.839 </w:t>
      </w:r>
      <w:r w:rsidRPr="00BD14B0">
        <w:rPr>
          <w:i/>
        </w:rPr>
        <w:t>p</w:t>
      </w:r>
      <w:r w:rsidRPr="00BD14B0">
        <w:t xml:space="preserve"> = .00) and story 2 and story 4 (</w:t>
      </w:r>
      <w:r w:rsidRPr="00BD14B0">
        <w:rPr>
          <w:i/>
        </w:rPr>
        <w:t>MD=</w:t>
      </w:r>
      <w:r w:rsidRPr="00BD14B0">
        <w:t xml:space="preserve">-.529 </w:t>
      </w:r>
      <w:r w:rsidRPr="00BD14B0">
        <w:rPr>
          <w:i/>
        </w:rPr>
        <w:t>p</w:t>
      </w:r>
      <w:r w:rsidRPr="00BD14B0">
        <w:t xml:space="preserve"> = .001). For question 8, there were significant differences between story 1 and story 2 (</w:t>
      </w:r>
      <w:r w:rsidRPr="00BD14B0">
        <w:rPr>
          <w:i/>
        </w:rPr>
        <w:t>MD=</w:t>
      </w:r>
      <w:r w:rsidRPr="00BD14B0">
        <w:t xml:space="preserve">.828 </w:t>
      </w:r>
      <w:r w:rsidRPr="00BD14B0">
        <w:rPr>
          <w:i/>
        </w:rPr>
        <w:t>p</w:t>
      </w:r>
      <w:r w:rsidRPr="00BD14B0">
        <w:t xml:space="preserve"> = .00), story 1 and story 4 (</w:t>
      </w:r>
      <w:r w:rsidRPr="00BD14B0">
        <w:rPr>
          <w:i/>
        </w:rPr>
        <w:t>MD=</w:t>
      </w:r>
      <w:r w:rsidRPr="00BD14B0">
        <w:t xml:space="preserve">.414 </w:t>
      </w:r>
      <w:r w:rsidRPr="00BD14B0">
        <w:rPr>
          <w:i/>
        </w:rPr>
        <w:t>p</w:t>
      </w:r>
      <w:r w:rsidRPr="00BD14B0">
        <w:t xml:space="preserve"> = .00), story 2 and story 3 (</w:t>
      </w:r>
      <w:r w:rsidRPr="00BD14B0">
        <w:rPr>
          <w:i/>
        </w:rPr>
        <w:t>MD=</w:t>
      </w:r>
      <w:r w:rsidRPr="00BD14B0">
        <w:t xml:space="preserve">-1.092 </w:t>
      </w:r>
      <w:r w:rsidRPr="00BD14B0">
        <w:rPr>
          <w:i/>
        </w:rPr>
        <w:t>p</w:t>
      </w:r>
      <w:r w:rsidRPr="00BD14B0">
        <w:t xml:space="preserve"> = .00), story 2 and story 4 (</w:t>
      </w:r>
      <w:r w:rsidRPr="00BD14B0">
        <w:rPr>
          <w:i/>
        </w:rPr>
        <w:t>MD=</w:t>
      </w:r>
      <w:r w:rsidRPr="00BD14B0">
        <w:t xml:space="preserve">-.414 </w:t>
      </w:r>
      <w:r w:rsidRPr="00BD14B0">
        <w:rPr>
          <w:i/>
        </w:rPr>
        <w:t>p</w:t>
      </w:r>
      <w:r w:rsidRPr="00BD14B0">
        <w:t xml:space="preserve"> = .006) and story 4 and story 3 (</w:t>
      </w:r>
      <w:r w:rsidRPr="00BD14B0">
        <w:rPr>
          <w:i/>
        </w:rPr>
        <w:t>MD=</w:t>
      </w:r>
      <w:r w:rsidRPr="00BD14B0">
        <w:t xml:space="preserve">-.678 </w:t>
      </w:r>
      <w:r w:rsidRPr="00BD14B0">
        <w:rPr>
          <w:i/>
        </w:rPr>
        <w:t>p</w:t>
      </w:r>
      <w:r w:rsidRPr="00BD14B0">
        <w:t xml:space="preserve"> = .00). For question 9, there were significant differences between story 1 and story 2 (</w:t>
      </w:r>
      <w:r w:rsidRPr="00BD14B0">
        <w:rPr>
          <w:i/>
        </w:rPr>
        <w:t>MD=</w:t>
      </w:r>
      <w:r w:rsidRPr="00BD14B0">
        <w:t xml:space="preserve">.563 </w:t>
      </w:r>
      <w:r w:rsidRPr="00BD14B0">
        <w:rPr>
          <w:i/>
        </w:rPr>
        <w:t>p</w:t>
      </w:r>
      <w:r w:rsidRPr="00BD14B0">
        <w:t xml:space="preserve"> = .00), story 2 and story 3 (</w:t>
      </w:r>
      <w:r w:rsidRPr="00BD14B0">
        <w:rPr>
          <w:i/>
        </w:rPr>
        <w:t>MD=</w:t>
      </w:r>
      <w:r w:rsidRPr="00BD14B0">
        <w:t xml:space="preserve">-.851 </w:t>
      </w:r>
      <w:r w:rsidRPr="00BD14B0">
        <w:rPr>
          <w:i/>
        </w:rPr>
        <w:t>p</w:t>
      </w:r>
      <w:r w:rsidRPr="00BD14B0">
        <w:t xml:space="preserve"> &lt; .00), story 2 and story 4 (</w:t>
      </w:r>
      <w:r w:rsidRPr="00BD14B0">
        <w:rPr>
          <w:i/>
        </w:rPr>
        <w:t>MD=</w:t>
      </w:r>
      <w:r w:rsidRPr="00BD14B0">
        <w:t xml:space="preserve">-.425 </w:t>
      </w:r>
      <w:r w:rsidRPr="00BD14B0">
        <w:rPr>
          <w:i/>
        </w:rPr>
        <w:t>p</w:t>
      </w:r>
      <w:r w:rsidRPr="00BD14B0">
        <w:t xml:space="preserve"> = .026) and story 3 and story 4 (</w:t>
      </w:r>
      <w:r w:rsidRPr="00BD14B0">
        <w:rPr>
          <w:i/>
        </w:rPr>
        <w:t>MD=</w:t>
      </w:r>
      <w:r w:rsidRPr="00BD14B0">
        <w:t xml:space="preserve">.425 </w:t>
      </w:r>
      <w:r w:rsidRPr="00BD14B0">
        <w:rPr>
          <w:i/>
        </w:rPr>
        <w:t>p</w:t>
      </w:r>
      <w:r w:rsidRPr="00BD14B0">
        <w:t xml:space="preserve"> = .001). In sum, the most consistent and largest difference across these questions was between stories 2 and 3.</w:t>
      </w:r>
    </w:p>
    <w:p w14:paraId="4F5E5A21" w14:textId="77777777" w:rsidR="009F745C" w:rsidRPr="00BD14B0" w:rsidRDefault="009F745C" w:rsidP="00553E01"/>
    <w:p w14:paraId="144D8629" w14:textId="459D6303" w:rsidR="001B6377" w:rsidRPr="00BD14B0" w:rsidRDefault="001B6377" w:rsidP="00553E01">
      <w:pPr>
        <w:pStyle w:val="Heading3"/>
      </w:pPr>
      <w:bookmarkStart w:id="39" w:name="_Toc108310766"/>
      <w:r w:rsidRPr="00BD14B0">
        <w:t>Discussion</w:t>
      </w:r>
      <w:bookmarkEnd w:id="39"/>
    </w:p>
    <w:p w14:paraId="7D208FE2" w14:textId="01A083FB" w:rsidR="001B6377" w:rsidRPr="00BD14B0" w:rsidRDefault="001B6377" w:rsidP="00553E01">
      <w:r w:rsidRPr="00BD14B0">
        <w:tab/>
        <w:t>The objective of the study was to choose a pair of stories that would create a difference in the levels of social group belonging. To manipulate social group belonging two life stories</w:t>
      </w:r>
      <w:r w:rsidR="00ED4DB7" w:rsidRPr="00BD14B0">
        <w:t xml:space="preserve"> were required</w:t>
      </w:r>
      <w:r w:rsidRPr="00BD14B0">
        <w:t xml:space="preserve">; one to be the in-group story where participants felt the strongest as they are part of the </w:t>
      </w:r>
      <w:r w:rsidR="00E66AF9" w:rsidRPr="00BD14B0">
        <w:t>group,</w:t>
      </w:r>
      <w:r w:rsidRPr="00BD14B0">
        <w:t xml:space="preserve"> and the other story were the out-group story where the participants felt least as being part of that group. Four different life stories were presented in the online experiment and two (statistically with the biggest difference on group belonging scores) were chosen to be used in behavioural study.  The four stories were written for this study and the questionnaire was created for this specific purpose as well. The life-story number 2 "</w:t>
      </w:r>
      <w:r w:rsidR="00E66AF9" w:rsidRPr="00BD14B0">
        <w:rPr>
          <w:i/>
        </w:rPr>
        <w:t>non-student</w:t>
      </w:r>
      <w:r w:rsidRPr="00BD14B0">
        <w:t>” and the life-story number 3 “</w:t>
      </w:r>
      <w:r w:rsidRPr="00BD14B0">
        <w:rPr>
          <w:i/>
        </w:rPr>
        <w:t>Sheffield university student</w:t>
      </w:r>
      <w:r w:rsidRPr="00BD14B0">
        <w:t xml:space="preserve">” showed the biggest statistical difference on social group belonging scores measured by the questionnaire. The results indicated that University of Sheffield students most </w:t>
      </w:r>
      <w:r w:rsidR="00ED4DB7" w:rsidRPr="00BD14B0">
        <w:t>strongly associated with the</w:t>
      </w:r>
      <w:r w:rsidRPr="00BD14B0">
        <w:t xml:space="preserve"> “University of Sheffield student story” and </w:t>
      </w:r>
      <w:r w:rsidR="00ED4DB7" w:rsidRPr="00BD14B0">
        <w:t xml:space="preserve">were </w:t>
      </w:r>
      <w:r w:rsidRPr="00BD14B0">
        <w:t xml:space="preserve">least associated with “non-student story”. Therefore, the combination of life-story 2 and life-story 3 was chosen to be later used in the behavioural experiment. A natural face was presented with each life story. The gazer faces that were shown were all Caucasian young </w:t>
      </w:r>
      <w:r w:rsidRPr="00BD14B0">
        <w:lastRenderedPageBreak/>
        <w:t xml:space="preserve">faces. Physically similar faces were chosen to eliminate the effect of visual differences of gazers on the gaze cueing effect. Additionally, face-story combinations were counterbalanced to reduce order bias. Thus, the difference on social group belonging scores with Likert-type scale differed according to stories. Overall, results indicated that two life stories created the in-group and out-group effect, and consequently they were adequate to use in the behavioural study. </w:t>
      </w:r>
    </w:p>
    <w:p w14:paraId="6B0BF70D" w14:textId="7F3534FA" w:rsidR="00851E84" w:rsidRPr="00BD14B0" w:rsidRDefault="001B6377" w:rsidP="00553E01">
      <w:r w:rsidRPr="00BD14B0">
        <w:tab/>
      </w:r>
      <w:r w:rsidR="006D6F11" w:rsidRPr="00BD14B0">
        <w:t>Social group belonging manipulation created with the life-stories were specific to this experiment and targeted a specific population, i.e., university students. This specific method was selectively chosen for the sample of University of Sheffield undergrad</w:t>
      </w:r>
      <w:r w:rsidR="00ED4DB7" w:rsidRPr="00BD14B0">
        <w:t>uate</w:t>
      </w:r>
      <w:r w:rsidR="006D6F11" w:rsidRPr="00BD14B0">
        <w:t xml:space="preserve"> students. Further research interested in the effect of group belonging on gaze cueing effect might choose a different methodology or story combinations tackle this question. </w:t>
      </w:r>
    </w:p>
    <w:p w14:paraId="38D306F9" w14:textId="77777777" w:rsidR="0081105B" w:rsidRPr="00BD14B0" w:rsidRDefault="0081105B" w:rsidP="00553E01"/>
    <w:p w14:paraId="272FAB3B" w14:textId="244CA92B" w:rsidR="001B6377" w:rsidRPr="00BD14B0" w:rsidRDefault="001B6377" w:rsidP="00553E01">
      <w:pPr>
        <w:pStyle w:val="Heading2"/>
      </w:pPr>
      <w:bookmarkStart w:id="40" w:name="_Toc108310767"/>
      <w:r w:rsidRPr="00BD14B0">
        <w:t>Behavioural study</w:t>
      </w:r>
      <w:bookmarkEnd w:id="40"/>
      <w:r w:rsidRPr="00BD14B0">
        <w:t xml:space="preserve"> </w:t>
      </w:r>
    </w:p>
    <w:p w14:paraId="6AC8C914" w14:textId="77777777" w:rsidR="001B6377" w:rsidRPr="00BD14B0" w:rsidRDefault="001B6377" w:rsidP="00553E01"/>
    <w:p w14:paraId="33D6EB85" w14:textId="1DBACFEC" w:rsidR="001B6377" w:rsidRPr="00BD14B0" w:rsidRDefault="001B6377" w:rsidP="00553E01">
      <w:pPr>
        <w:pStyle w:val="Heading3"/>
      </w:pPr>
      <w:bookmarkStart w:id="41" w:name="_Toc108310768"/>
      <w:r w:rsidRPr="00BD14B0">
        <w:t>Methods</w:t>
      </w:r>
      <w:bookmarkEnd w:id="41"/>
    </w:p>
    <w:p w14:paraId="57160C7B" w14:textId="77777777" w:rsidR="001B6377" w:rsidRPr="00BD14B0" w:rsidRDefault="001B6377" w:rsidP="00553E01"/>
    <w:p w14:paraId="03E9A93F" w14:textId="77777777" w:rsidR="001B6377" w:rsidRPr="00BD14B0" w:rsidRDefault="001B6377" w:rsidP="002C6CBB">
      <w:pPr>
        <w:pStyle w:val="Heading4"/>
        <w:numPr>
          <w:ilvl w:val="0"/>
          <w:numId w:val="0"/>
        </w:numPr>
        <w:ind w:left="851"/>
      </w:pPr>
      <w:r w:rsidRPr="00BD14B0">
        <w:t xml:space="preserve">Ethics </w:t>
      </w:r>
    </w:p>
    <w:p w14:paraId="360E9234" w14:textId="77777777" w:rsidR="001B6377" w:rsidRPr="00BD14B0" w:rsidRDefault="001B6377" w:rsidP="00553E01">
      <w:r w:rsidRPr="00BD14B0">
        <w:rPr>
          <w:b/>
          <w:bCs/>
        </w:rPr>
        <w:tab/>
      </w:r>
      <w:r w:rsidRPr="00BD14B0">
        <w:t>Ethical approval for the study was obtained from the Research Ethics Committee of the Department of Psychology, University of Sheffield.</w:t>
      </w:r>
    </w:p>
    <w:p w14:paraId="680BB732" w14:textId="77777777" w:rsidR="001B6377" w:rsidRPr="00BD14B0" w:rsidRDefault="001B6377" w:rsidP="00553E01"/>
    <w:p w14:paraId="247FDEFE" w14:textId="77777777" w:rsidR="001B6377" w:rsidRPr="00BD14B0" w:rsidRDefault="001B6377" w:rsidP="002C6CBB">
      <w:pPr>
        <w:pStyle w:val="Heading4"/>
        <w:numPr>
          <w:ilvl w:val="0"/>
          <w:numId w:val="0"/>
        </w:numPr>
        <w:ind w:left="851"/>
      </w:pPr>
      <w:r w:rsidRPr="00BD14B0">
        <w:t xml:space="preserve">Participants </w:t>
      </w:r>
    </w:p>
    <w:p w14:paraId="589A8A58" w14:textId="1DE64DDA" w:rsidR="001B6377" w:rsidRPr="00BD14B0" w:rsidRDefault="001B6377" w:rsidP="00553E01">
      <w:r w:rsidRPr="00BD14B0">
        <w:tab/>
        <w:t xml:space="preserve">Seventy University of Sheffield level one </w:t>
      </w:r>
      <w:r w:rsidR="003347D7" w:rsidRPr="00BD14B0">
        <w:t xml:space="preserve">Psychology </w:t>
      </w:r>
      <w:r w:rsidRPr="00BD14B0">
        <w:t xml:space="preserve">students were recruited through an online research participation system (ORPS). Participants were unpaid volunteers who were awarded course credit in compensation </w:t>
      </w:r>
      <w:r w:rsidR="003347D7" w:rsidRPr="00BD14B0">
        <w:t xml:space="preserve">for </w:t>
      </w:r>
      <w:r w:rsidRPr="00BD14B0">
        <w:t>their time. All participants self-reported normal or corrected vision. Of the 70 student volunteers (17 males, 53 female), 51 were British, eight were Chinese and 11 were reported other nationalities. The age of the participants ranged from 18 to 43 years (</w:t>
      </w:r>
      <w:r w:rsidRPr="00BD14B0">
        <w:rPr>
          <w:i/>
          <w:iCs/>
        </w:rPr>
        <w:t>M</w:t>
      </w:r>
      <w:r w:rsidRPr="00BD14B0">
        <w:t xml:space="preserve"> = 21.5, </w:t>
      </w:r>
      <w:r w:rsidRPr="00BD14B0">
        <w:rPr>
          <w:i/>
          <w:iCs/>
        </w:rPr>
        <w:t>SD</w:t>
      </w:r>
      <w:r w:rsidRPr="00BD14B0">
        <w:t xml:space="preserve"> = 4.1). Five participants were excluded from the analysis, as three participants did not give the correct answer to the </w:t>
      </w:r>
      <w:r w:rsidRPr="00BD14B0">
        <w:lastRenderedPageBreak/>
        <w:t>control question during the first block (Sheffield University story) and two participants did not give the correct answer to the control question during the second block (</w:t>
      </w:r>
      <w:proofErr w:type="gramStart"/>
      <w:r w:rsidRPr="00BD14B0">
        <w:t>Non-student</w:t>
      </w:r>
      <w:proofErr w:type="gramEnd"/>
      <w:r w:rsidRPr="00BD14B0">
        <w:t xml:space="preserve"> story). The control question </w:t>
      </w:r>
      <w:r w:rsidR="00076C9F" w:rsidRPr="00BD14B0">
        <w:t>was</w:t>
      </w:r>
      <w:r w:rsidRPr="00BD14B0">
        <w:t xml:space="preserve"> "</w:t>
      </w:r>
      <w:r w:rsidRPr="00BD14B0">
        <w:rPr>
          <w:i/>
          <w:iCs/>
        </w:rPr>
        <w:t>Was she a university student?</w:t>
      </w:r>
      <w:r w:rsidRPr="00BD14B0">
        <w:t>” for both blocks. In the first block, they should have answered “</w:t>
      </w:r>
      <w:r w:rsidRPr="00BD14B0">
        <w:rPr>
          <w:i/>
          <w:iCs/>
        </w:rPr>
        <w:t>Yes</w:t>
      </w:r>
      <w:r w:rsidRPr="00BD14B0">
        <w:t>” and in the second block they should have answered “</w:t>
      </w:r>
      <w:r w:rsidRPr="00BD14B0">
        <w:rPr>
          <w:i/>
          <w:iCs/>
        </w:rPr>
        <w:t>No."</w:t>
      </w:r>
      <w:r w:rsidRPr="00BD14B0">
        <w:t xml:space="preserve"> It was assumed that p</w:t>
      </w:r>
      <w:r w:rsidR="003347D7" w:rsidRPr="00BD14B0">
        <w:t>a</w:t>
      </w:r>
      <w:r w:rsidRPr="00BD14B0">
        <w:t>r</w:t>
      </w:r>
      <w:r w:rsidR="003347D7" w:rsidRPr="00BD14B0">
        <w:t>ti</w:t>
      </w:r>
      <w:r w:rsidRPr="00BD14B0">
        <w:t>cip</w:t>
      </w:r>
      <w:r w:rsidR="003347D7" w:rsidRPr="00BD14B0">
        <w:t>a</w:t>
      </w:r>
      <w:r w:rsidRPr="00BD14B0">
        <w:t xml:space="preserve">nts who were not able to answer this question were not paying attention; therefore, their data were excluded. </w:t>
      </w:r>
    </w:p>
    <w:p w14:paraId="1FD24758" w14:textId="61366C66" w:rsidR="006D6F11" w:rsidRPr="00BD14B0" w:rsidRDefault="006D6F11" w:rsidP="00553E01"/>
    <w:p w14:paraId="3C148D60" w14:textId="77777777" w:rsidR="00DF1180" w:rsidRPr="00BD14B0" w:rsidRDefault="00DF1180" w:rsidP="002C6CBB">
      <w:pPr>
        <w:pStyle w:val="Heading4"/>
        <w:numPr>
          <w:ilvl w:val="0"/>
          <w:numId w:val="0"/>
        </w:numPr>
        <w:ind w:left="851"/>
      </w:pPr>
      <w:r w:rsidRPr="00BD14B0">
        <w:t xml:space="preserve">Stimuli and Apparatus </w:t>
      </w:r>
    </w:p>
    <w:p w14:paraId="7B806587" w14:textId="752576B6" w:rsidR="00DF1180" w:rsidRPr="00BD14B0" w:rsidRDefault="00DF1180" w:rsidP="00553E01">
      <w:pPr>
        <w:rPr>
          <w:i/>
          <w:iCs/>
        </w:rPr>
      </w:pPr>
      <w:r w:rsidRPr="00BD14B0">
        <w:rPr>
          <w:i/>
          <w:iCs/>
        </w:rPr>
        <w:tab/>
        <w:t>Face Stimuli:</w:t>
      </w:r>
      <w:r w:rsidRPr="00BD14B0">
        <w:t xml:space="preserve"> To eliminate the effect of facial features, the behavioural study used two of the neutral females faces that were previously utilized in the online study. These two faces were used because they had similar facial features and hair colour, and their presentation in the current study was counterbalanced to account for order effects. A third neutral female face from the online study was also used in the practice sessions, but</w:t>
      </w:r>
      <w:r w:rsidR="003347D7" w:rsidRPr="00BD14B0">
        <w:t xml:space="preserve"> only for</w:t>
      </w:r>
      <w:r w:rsidRPr="00BD14B0">
        <w:t xml:space="preserve"> the purpose of assisting participants to understand the instructions and nature of the behavioural task of the study. </w:t>
      </w:r>
    </w:p>
    <w:p w14:paraId="523DF88F" w14:textId="45F14C2D" w:rsidR="004E2A64" w:rsidRPr="00BD14B0" w:rsidRDefault="00DF1180" w:rsidP="00553E01">
      <w:r w:rsidRPr="00BD14B0">
        <w:tab/>
        <w:t xml:space="preserve">Again, </w:t>
      </w:r>
      <w:r w:rsidR="003347D7" w:rsidRPr="00BD14B0">
        <w:t xml:space="preserve">the </w:t>
      </w:r>
      <w:r w:rsidRPr="00BD14B0">
        <w:t xml:space="preserve">faces originated from the Utrecht ECVP face database with a Resolution of 900 x 1200 pixels. </w:t>
      </w:r>
      <w:r w:rsidR="003347D7" w:rsidRPr="00BD14B0">
        <w:t xml:space="preserve">The </w:t>
      </w:r>
      <w:r w:rsidRPr="00BD14B0">
        <w:t xml:space="preserve">pictures were </w:t>
      </w:r>
      <w:r w:rsidR="003347D7" w:rsidRPr="00BD14B0">
        <w:t xml:space="preserve">in </w:t>
      </w:r>
      <w:r w:rsidRPr="00BD14B0">
        <w:t xml:space="preserve">coloured and can be accessed from: </w:t>
      </w:r>
      <w:hyperlink r:id="rId17" w:history="1">
        <w:r w:rsidRPr="00BD14B0">
          <w:rPr>
            <w:rStyle w:val="Hyperlink"/>
            <w:color w:val="000000" w:themeColor="text1"/>
          </w:rPr>
          <w:t>http://pics.psych.stir.ac.uk/2D_face_sets.htm</w:t>
        </w:r>
      </w:hyperlink>
      <w:r w:rsidRPr="00BD14B0">
        <w:t xml:space="preserve">. Additionally, the faces were altered in order to create the cued eye gaze versions. The eyes of the face stimuli were manipulated using Adobe Photoshop CS6 to reposition the irises to the corners of the eyes to produce a left and right gaze. Further, pictures contained an averted gaze manipulation; that is, a black dot (representing a target stimulus) was added to either the right or left side of each face picture. In this way, each image had an averted gaze without the target, an averted gaze with a congruent target (e.g., averted gaze was in the same direction as the target stimuli) and an averted gaze with an incongruent target (e.g., averted gaze was in the </w:t>
      </w:r>
      <w:r w:rsidR="003347D7" w:rsidRPr="00BD14B0">
        <w:t xml:space="preserve">opposite </w:t>
      </w:r>
      <w:r w:rsidRPr="00BD14B0">
        <w:t xml:space="preserve">direction as the target stimuli). These averted gaze and target conditions are presented in Figure </w:t>
      </w:r>
      <w:r w:rsidR="008F625E" w:rsidRPr="00BD14B0">
        <w:t>5.</w:t>
      </w:r>
    </w:p>
    <w:p w14:paraId="67F9D947" w14:textId="373E4FA2" w:rsidR="004E2A64" w:rsidRDefault="004E2A64" w:rsidP="00553E01"/>
    <w:p w14:paraId="6C81DA95" w14:textId="77777777" w:rsidR="002C6CBB" w:rsidRPr="00BD14B0" w:rsidRDefault="002C6CBB" w:rsidP="00553E01"/>
    <w:p w14:paraId="4C9CB73C" w14:textId="3A424503" w:rsidR="008F625E" w:rsidRPr="00BD14B0" w:rsidRDefault="00074CCD" w:rsidP="00074CCD">
      <w:pPr>
        <w:pStyle w:val="Title"/>
      </w:pPr>
      <w:bookmarkStart w:id="42" w:name="_Toc108322121"/>
      <w:r>
        <w:lastRenderedPageBreak/>
        <w:t xml:space="preserve">Figure </w:t>
      </w:r>
      <w:r w:rsidR="003B267D">
        <w:fldChar w:fldCharType="begin"/>
      </w:r>
      <w:r w:rsidR="003B267D">
        <w:instrText xml:space="preserve"> SEQ Figure \* ARABIC </w:instrText>
      </w:r>
      <w:r w:rsidR="003B267D">
        <w:fldChar w:fldCharType="separate"/>
      </w:r>
      <w:r w:rsidR="003B267D">
        <w:rPr>
          <w:noProof/>
        </w:rPr>
        <w:t>5</w:t>
      </w:r>
      <w:r w:rsidR="003B267D">
        <w:fldChar w:fldCharType="end"/>
      </w:r>
      <w:bookmarkEnd w:id="42"/>
    </w:p>
    <w:p w14:paraId="4271B6F7" w14:textId="5EBD8D79" w:rsidR="008F625E" w:rsidRPr="00BD14B0" w:rsidRDefault="008F625E" w:rsidP="008F625E">
      <w:r w:rsidRPr="00BD14B0">
        <w:rPr>
          <w:i/>
          <w:iCs/>
        </w:rPr>
        <w:t>Example face stimuli with averted gaze and A) non-target, B) congruent target and C) incongruent target</w:t>
      </w:r>
    </w:p>
    <w:p w14:paraId="18AD10FF" w14:textId="77777777" w:rsidR="008F625E" w:rsidRPr="00BD14B0" w:rsidRDefault="008F625E" w:rsidP="00553E01"/>
    <w:p w14:paraId="7FB8BC52" w14:textId="77777777" w:rsidR="00DF1180" w:rsidRPr="00BD14B0" w:rsidRDefault="00DF1180" w:rsidP="00553E01"/>
    <w:p w14:paraId="73733FDA" w14:textId="28E93938" w:rsidR="00DF1180" w:rsidRPr="00BD14B0" w:rsidRDefault="00DF1180" w:rsidP="00553E01">
      <w:r w:rsidRPr="00BD14B0">
        <w:rPr>
          <w:noProof/>
          <w:lang w:eastAsia="en-US"/>
        </w:rPr>
        <w:drawing>
          <wp:inline distT="0" distB="0" distL="0" distR="0" wp14:anchorId="0B218F2D" wp14:editId="217E7B4E">
            <wp:extent cx="5320862" cy="2143125"/>
            <wp:effectExtent l="0" t="0" r="0" b="0"/>
            <wp:docPr id="30730" name="picture" descr="C:\Users\psychology\Desktop\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264796" name="picture"/>
                    <pic:cNvPicPr/>
                  </pic:nvPicPr>
                  <pic:blipFill>
                    <a:blip r:embed="rId18">
                      <a:extLst>
                        <a:ext uri="{28A0092B-C50C-407E-A947-70E740481C1C}">
                          <a14:useLocalDpi xmlns:a14="http://schemas.microsoft.com/office/drawing/2010/main" val="0"/>
                        </a:ext>
                      </a:extLst>
                    </a:blip>
                    <a:stretch>
                      <a:fillRect/>
                    </a:stretch>
                  </pic:blipFill>
                  <pic:spPr>
                    <a:xfrm>
                      <a:off x="0" y="0"/>
                      <a:ext cx="5320862" cy="2143125"/>
                    </a:xfrm>
                    <a:prstGeom prst="rect">
                      <a:avLst/>
                    </a:prstGeom>
                  </pic:spPr>
                </pic:pic>
              </a:graphicData>
            </a:graphic>
          </wp:inline>
        </w:drawing>
      </w:r>
    </w:p>
    <w:p w14:paraId="27657825" w14:textId="77777777" w:rsidR="00DF1180" w:rsidRPr="00BD14B0" w:rsidRDefault="00DF1180" w:rsidP="00553E01">
      <w:r w:rsidRPr="00BD14B0">
        <w:rPr>
          <w:i/>
          <w:iCs/>
        </w:rPr>
        <w:tab/>
        <w:t>Life Stories:</w:t>
      </w:r>
      <w:r w:rsidRPr="00BD14B0">
        <w:t xml:space="preserve"> Prior to viewing the gaze cueing screen containing each face, the participants were presented with a life story. Two life-stories which differed the most in the online pilot study were used, i.e., non-student story (number 2) and University of Sheffield student (number 3) (see the previous section for more details). </w:t>
      </w:r>
    </w:p>
    <w:p w14:paraId="7ABEF748" w14:textId="2EE45DBF" w:rsidR="00DF1180" w:rsidRPr="00BD14B0" w:rsidRDefault="00DF1180" w:rsidP="00553E01">
      <w:pPr>
        <w:rPr>
          <w:b/>
          <w:i/>
        </w:rPr>
      </w:pPr>
      <w:r w:rsidRPr="00BD14B0">
        <w:rPr>
          <w:i/>
          <w:iCs/>
        </w:rPr>
        <w:tab/>
        <w:t>Questionnaire:</w:t>
      </w:r>
      <w:r w:rsidRPr="00BD14B0">
        <w:t xml:space="preserve"> A total of four questions were asked. The first two questions were control questions used to ensure that participants read, understood, and correctly remembered the life stories. The first question was “</w:t>
      </w:r>
      <w:r w:rsidRPr="00BD14B0">
        <w:rPr>
          <w:i/>
          <w:iCs/>
        </w:rPr>
        <w:t>Was her name (Emily/ Jessica)?</w:t>
      </w:r>
      <w:r w:rsidRPr="00BD14B0">
        <w:t>”, and the second question was “</w:t>
      </w:r>
      <w:r w:rsidRPr="00BD14B0">
        <w:rPr>
          <w:i/>
          <w:iCs/>
        </w:rPr>
        <w:t>Was she a university student?</w:t>
      </w:r>
      <w:r w:rsidRPr="00BD14B0">
        <w:t>” These were yes/no questions and participants answered by pressing “1” for yes and “2” for no. The last two questions, which originated from the online study, were used to assess whether participants showed an in-group preference according to the stories. These questions were “</w:t>
      </w:r>
      <w:r w:rsidRPr="00BD14B0">
        <w:rPr>
          <w:i/>
          <w:iCs/>
        </w:rPr>
        <w:t>Do you consider yourself to be in the same group with this person?</w:t>
      </w:r>
      <w:r w:rsidRPr="00BD14B0">
        <w:t>” and “</w:t>
      </w:r>
      <w:r w:rsidRPr="00BD14B0">
        <w:rPr>
          <w:i/>
          <w:iCs/>
        </w:rPr>
        <w:t>How smart do you think the members of this group of people are?</w:t>
      </w:r>
      <w:r w:rsidRPr="00BD14B0">
        <w:t xml:space="preserve">” Participants rated their response using a 6-point Likert scale (from 1 = not at all to 6 = extremely) and were asked to press the keys “1” through “6” on their keyboard to indicate their response. Summary statistics for each life-story were </w:t>
      </w:r>
      <w:r w:rsidRPr="00BD14B0">
        <w:lastRenderedPageBreak/>
        <w:t xml:space="preserve">calculated, and the results were used to indicate in-group preference. </w:t>
      </w:r>
      <w:r w:rsidR="003347D7" w:rsidRPr="00BD14B0">
        <w:t>H</w:t>
      </w:r>
      <w:r w:rsidRPr="00BD14B0">
        <w:t xml:space="preserve">igher </w:t>
      </w:r>
      <w:r w:rsidR="003347D7" w:rsidRPr="00BD14B0">
        <w:t xml:space="preserve">scores </w:t>
      </w:r>
      <w:r w:rsidR="00076C9F" w:rsidRPr="00BD14B0">
        <w:t>indicated</w:t>
      </w:r>
      <w:r w:rsidR="003347D7" w:rsidRPr="00BD14B0">
        <w:t xml:space="preserve"> a stronger sense of belonging to the group. </w:t>
      </w:r>
    </w:p>
    <w:p w14:paraId="7FE9815B" w14:textId="77777777" w:rsidR="00DF1180" w:rsidRPr="00BD14B0" w:rsidRDefault="00DF1180" w:rsidP="00553E01"/>
    <w:p w14:paraId="3BBA242A" w14:textId="77777777" w:rsidR="001B6377" w:rsidRPr="00BD14B0" w:rsidRDefault="001B6377" w:rsidP="0016736D">
      <w:pPr>
        <w:pStyle w:val="Heading4"/>
        <w:numPr>
          <w:ilvl w:val="0"/>
          <w:numId w:val="0"/>
        </w:numPr>
        <w:ind w:left="851"/>
      </w:pPr>
      <w:r w:rsidRPr="00BD14B0">
        <w:t>Design</w:t>
      </w:r>
    </w:p>
    <w:p w14:paraId="6F0A430F" w14:textId="1CE71CA6" w:rsidR="001B6377" w:rsidRPr="00BD14B0" w:rsidRDefault="001B6377" w:rsidP="00553E01">
      <w:r w:rsidRPr="00BD14B0">
        <w:t xml:space="preserve"> </w:t>
      </w:r>
      <w:r w:rsidRPr="00BD14B0">
        <w:tab/>
        <w:t xml:space="preserve">Using a within-participants design, participants completed two blocks of 80 trials each. There were three within-participants factors: (a) target congruency (congruent and incongruent), (b) the face stimuli from online experiment (Picture 1 and Picture 2), and (c) life story (Story 1 and Story 2). Participants saw one of four different versions of the same task, thus creating four different version of the same experiment. </w:t>
      </w:r>
      <w:r w:rsidR="003347D7" w:rsidRPr="00BD14B0">
        <w:t>T</w:t>
      </w:r>
      <w:r w:rsidRPr="00BD14B0">
        <w:t xml:space="preserve">he order of the stories and the order of the faces that were presented to the participant </w:t>
      </w:r>
      <w:r w:rsidR="003347D7" w:rsidRPr="00BD14B0">
        <w:t xml:space="preserve">were counterbalanced </w:t>
      </w:r>
      <w:r w:rsidRPr="00BD14B0">
        <w:t xml:space="preserve">(see Table 3). The stimuli included in each version of the story was the same, but the order differed in which the stimuli were presented in order to potential biases. These versions are illustrated in Table 3.  Each version consisted of one face stimuli and one life story, creating four different possible combinations of face stimuli x life story. Each participant completed the same task and was presented with the same pictures and stories. In each block, participants viewed congruent and incongruent target trials in combination with a face gazing either right or left. Therefore, counterbalancing was achieved. Each participant saw 20 trials of each condition resulting in 80 trials within each block (20 congruent to right, 20 congruent to left, 20 incongruent to right and 20 incongruent to left). All conditions were randomized and counterbalanced to account for order effects. </w:t>
      </w:r>
    </w:p>
    <w:p w14:paraId="77BB948D" w14:textId="7095CBC2" w:rsidR="001B6377" w:rsidRPr="00BD14B0" w:rsidRDefault="001B6377" w:rsidP="00553E01">
      <w:r w:rsidRPr="00BD14B0">
        <w:t xml:space="preserve"> </w:t>
      </w:r>
      <w:r w:rsidRPr="00BD14B0">
        <w:tab/>
      </w:r>
      <w:r w:rsidR="006D6F11" w:rsidRPr="00BD14B0">
        <w:t>Before the experiment started, a practice block was conducted (consisting of 20 trials in total) to ensure that participants had a complete understanding of the required task. The practice block consisted of 20 trials with four conditions counterbalanced (5 congruent to right, 5 congruent to left, 5 incongruent to right and 5 incongruent to left).</w:t>
      </w:r>
    </w:p>
    <w:p w14:paraId="54DE038E" w14:textId="3DB6D4FA" w:rsidR="006D6F11" w:rsidRPr="00BD14B0" w:rsidRDefault="006D6F11" w:rsidP="00553E01"/>
    <w:p w14:paraId="2A154C45" w14:textId="0E1BB78E" w:rsidR="004E2A64" w:rsidRPr="00BD14B0" w:rsidRDefault="004E2A64" w:rsidP="00553E01"/>
    <w:p w14:paraId="585D76CF" w14:textId="7E44EE2B" w:rsidR="004E2A64" w:rsidRPr="00BD14B0" w:rsidRDefault="004E2A64" w:rsidP="00553E01"/>
    <w:p w14:paraId="3571E0EE" w14:textId="77777777" w:rsidR="004E2A64" w:rsidRPr="00BD14B0" w:rsidRDefault="004E2A64" w:rsidP="00553E01"/>
    <w:p w14:paraId="21EEB274" w14:textId="45C91BC4" w:rsidR="008F625E" w:rsidRPr="00BD14B0" w:rsidRDefault="00074CCD" w:rsidP="00074CCD">
      <w:pPr>
        <w:pStyle w:val="Title"/>
      </w:pPr>
      <w:bookmarkStart w:id="43" w:name="_Toc108321850"/>
      <w:bookmarkStart w:id="44" w:name="_Hlk509515705"/>
      <w:r>
        <w:lastRenderedPageBreak/>
        <w:t xml:space="preserve">Table </w:t>
      </w:r>
      <w:bookmarkStart w:id="45" w:name="_Hlk509971028"/>
      <w:bookmarkEnd w:id="43"/>
      <w:r w:rsidR="003B267D">
        <w:t xml:space="preserve">3 </w:t>
      </w:r>
    </w:p>
    <w:p w14:paraId="643B32CE" w14:textId="0A431BEC" w:rsidR="006D6F11" w:rsidRPr="00BD14B0" w:rsidRDefault="006D6F11" w:rsidP="00553E01">
      <w:r w:rsidRPr="00BD14B0">
        <w:rPr>
          <w:i/>
          <w:iCs/>
        </w:rPr>
        <w:t>Face stimuli X life story combination versions for the counterbalancin</w:t>
      </w:r>
      <w:r w:rsidR="008F625E" w:rsidRPr="00BD14B0">
        <w:rPr>
          <w:i/>
          <w:iCs/>
        </w:rPr>
        <w:t xml:space="preserve">g </w:t>
      </w:r>
      <w:bookmarkEnd w:id="45"/>
      <w:r w:rsidR="00076C9F" w:rsidRPr="00BD14B0">
        <w:rPr>
          <w:i/>
          <w:iCs/>
        </w:rPr>
        <w:t>procedure</w:t>
      </w:r>
    </w:p>
    <w:bookmarkEnd w:id="4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1984"/>
        <w:gridCol w:w="2552"/>
      </w:tblGrid>
      <w:tr w:rsidR="00695B36" w:rsidRPr="00BD14B0" w14:paraId="53622203" w14:textId="77777777" w:rsidTr="00DF775E">
        <w:trPr>
          <w:cnfStyle w:val="100000000000" w:firstRow="1" w:lastRow="0" w:firstColumn="0" w:lastColumn="0" w:oddVBand="0" w:evenVBand="0" w:oddHBand="0" w:evenHBand="0" w:firstRowFirstColumn="0" w:firstRowLastColumn="0" w:lastRowFirstColumn="0" w:lastRowLastColumn="0"/>
        </w:trPr>
        <w:tc>
          <w:tcPr>
            <w:tcW w:w="1526" w:type="dxa"/>
            <w:tcBorders>
              <w:top w:val="single" w:sz="18" w:space="0" w:color="auto"/>
              <w:bottom w:val="single" w:sz="18" w:space="0" w:color="auto"/>
            </w:tcBorders>
          </w:tcPr>
          <w:p w14:paraId="4E18E8F8" w14:textId="77777777" w:rsidR="006D6F11" w:rsidRPr="00BD14B0" w:rsidRDefault="006D6F11" w:rsidP="00553E01"/>
        </w:tc>
        <w:tc>
          <w:tcPr>
            <w:tcW w:w="1984" w:type="dxa"/>
            <w:tcBorders>
              <w:top w:val="single" w:sz="18" w:space="0" w:color="auto"/>
              <w:bottom w:val="single" w:sz="18" w:space="0" w:color="auto"/>
            </w:tcBorders>
          </w:tcPr>
          <w:p w14:paraId="2CAE4DA8" w14:textId="77777777" w:rsidR="006D6F11" w:rsidRPr="00BD14B0" w:rsidRDefault="006D6F11" w:rsidP="00553E01">
            <w:r w:rsidRPr="00BD14B0">
              <w:t>Block 1</w:t>
            </w:r>
          </w:p>
        </w:tc>
        <w:tc>
          <w:tcPr>
            <w:tcW w:w="2552" w:type="dxa"/>
            <w:tcBorders>
              <w:top w:val="single" w:sz="18" w:space="0" w:color="auto"/>
              <w:bottom w:val="single" w:sz="18" w:space="0" w:color="auto"/>
            </w:tcBorders>
          </w:tcPr>
          <w:p w14:paraId="35E5FE86" w14:textId="77777777" w:rsidR="006D6F11" w:rsidRPr="00BD14B0" w:rsidRDefault="006D6F11" w:rsidP="00553E01">
            <w:r w:rsidRPr="00BD14B0">
              <w:t>Block 2</w:t>
            </w:r>
          </w:p>
        </w:tc>
      </w:tr>
      <w:tr w:rsidR="00695B36" w:rsidRPr="00BD14B0" w14:paraId="25C2737E" w14:textId="77777777" w:rsidTr="00DF775E">
        <w:tc>
          <w:tcPr>
            <w:tcW w:w="1526" w:type="dxa"/>
            <w:tcBorders>
              <w:top w:val="single" w:sz="18" w:space="0" w:color="auto"/>
            </w:tcBorders>
          </w:tcPr>
          <w:p w14:paraId="76BFA3EE" w14:textId="77777777" w:rsidR="006D6F11" w:rsidRPr="00BD14B0" w:rsidRDefault="006D6F11" w:rsidP="00553E01">
            <w:r w:rsidRPr="00BD14B0">
              <w:t>Version 1</w:t>
            </w:r>
          </w:p>
        </w:tc>
        <w:tc>
          <w:tcPr>
            <w:tcW w:w="1984" w:type="dxa"/>
            <w:tcBorders>
              <w:top w:val="single" w:sz="18" w:space="0" w:color="auto"/>
            </w:tcBorders>
          </w:tcPr>
          <w:p w14:paraId="3100CF4F" w14:textId="77777777" w:rsidR="006D6F11" w:rsidRPr="00BD14B0" w:rsidRDefault="006D6F11" w:rsidP="00553E01">
            <w:r w:rsidRPr="00BD14B0">
              <w:t>Story 1</w:t>
            </w:r>
          </w:p>
          <w:p w14:paraId="071DC845" w14:textId="77777777" w:rsidR="006D6F11" w:rsidRPr="00BD14B0" w:rsidRDefault="006D6F11" w:rsidP="00553E01">
            <w:r w:rsidRPr="00BD14B0">
              <w:t>Picture 1</w:t>
            </w:r>
          </w:p>
        </w:tc>
        <w:tc>
          <w:tcPr>
            <w:tcW w:w="2552" w:type="dxa"/>
            <w:tcBorders>
              <w:top w:val="single" w:sz="18" w:space="0" w:color="auto"/>
            </w:tcBorders>
          </w:tcPr>
          <w:p w14:paraId="1C98A5E2" w14:textId="77777777" w:rsidR="006D6F11" w:rsidRPr="00BD14B0" w:rsidRDefault="006D6F11" w:rsidP="00553E01">
            <w:r w:rsidRPr="00BD14B0">
              <w:t>Story 2</w:t>
            </w:r>
          </w:p>
          <w:p w14:paraId="27208607" w14:textId="77777777" w:rsidR="006D6F11" w:rsidRPr="00BD14B0" w:rsidRDefault="006D6F11" w:rsidP="00553E01">
            <w:r w:rsidRPr="00BD14B0">
              <w:t>Picture 2</w:t>
            </w:r>
          </w:p>
        </w:tc>
      </w:tr>
      <w:tr w:rsidR="00695B36" w:rsidRPr="00BD14B0" w14:paraId="12B7A203" w14:textId="77777777" w:rsidTr="00DF775E">
        <w:tc>
          <w:tcPr>
            <w:tcW w:w="1526" w:type="dxa"/>
          </w:tcPr>
          <w:p w14:paraId="2FD55E0C" w14:textId="77777777" w:rsidR="006D6F11" w:rsidRPr="00BD14B0" w:rsidRDefault="006D6F11" w:rsidP="00553E01">
            <w:r w:rsidRPr="00BD14B0">
              <w:t>Version 2</w:t>
            </w:r>
          </w:p>
        </w:tc>
        <w:tc>
          <w:tcPr>
            <w:tcW w:w="1984" w:type="dxa"/>
          </w:tcPr>
          <w:p w14:paraId="2785D1D2" w14:textId="77777777" w:rsidR="006D6F11" w:rsidRPr="00BD14B0" w:rsidRDefault="006D6F11" w:rsidP="00553E01">
            <w:r w:rsidRPr="00BD14B0">
              <w:t>Story 2</w:t>
            </w:r>
          </w:p>
          <w:p w14:paraId="53CF2880" w14:textId="77777777" w:rsidR="006D6F11" w:rsidRPr="00BD14B0" w:rsidRDefault="006D6F11" w:rsidP="00553E01">
            <w:r w:rsidRPr="00BD14B0">
              <w:t>Picture 1</w:t>
            </w:r>
          </w:p>
        </w:tc>
        <w:tc>
          <w:tcPr>
            <w:tcW w:w="2552" w:type="dxa"/>
          </w:tcPr>
          <w:p w14:paraId="4D518DB7" w14:textId="77777777" w:rsidR="006D6F11" w:rsidRPr="00BD14B0" w:rsidRDefault="006D6F11" w:rsidP="00553E01">
            <w:r w:rsidRPr="00BD14B0">
              <w:t>Story 1</w:t>
            </w:r>
          </w:p>
          <w:p w14:paraId="4CB68FCE" w14:textId="77777777" w:rsidR="006D6F11" w:rsidRPr="00BD14B0" w:rsidRDefault="006D6F11" w:rsidP="00553E01">
            <w:r w:rsidRPr="00BD14B0">
              <w:t>Picture 2</w:t>
            </w:r>
          </w:p>
        </w:tc>
      </w:tr>
      <w:tr w:rsidR="00695B36" w:rsidRPr="00BD14B0" w14:paraId="42AB884A" w14:textId="77777777" w:rsidTr="00DF775E">
        <w:trPr>
          <w:trHeight w:val="764"/>
        </w:trPr>
        <w:tc>
          <w:tcPr>
            <w:tcW w:w="1526" w:type="dxa"/>
          </w:tcPr>
          <w:p w14:paraId="29CF0E34" w14:textId="77777777" w:rsidR="006D6F11" w:rsidRPr="00BD14B0" w:rsidRDefault="006D6F11" w:rsidP="00553E01">
            <w:r w:rsidRPr="00BD14B0">
              <w:t>Version 3</w:t>
            </w:r>
          </w:p>
        </w:tc>
        <w:tc>
          <w:tcPr>
            <w:tcW w:w="1984" w:type="dxa"/>
          </w:tcPr>
          <w:p w14:paraId="0760B4D0" w14:textId="77777777" w:rsidR="006D6F11" w:rsidRPr="00BD14B0" w:rsidRDefault="006D6F11" w:rsidP="00553E01">
            <w:r w:rsidRPr="00BD14B0">
              <w:t>Story 1</w:t>
            </w:r>
          </w:p>
          <w:p w14:paraId="240553D3" w14:textId="77777777" w:rsidR="006D6F11" w:rsidRPr="00BD14B0" w:rsidRDefault="006D6F11" w:rsidP="00553E01">
            <w:r w:rsidRPr="00BD14B0">
              <w:t>Picture 2</w:t>
            </w:r>
          </w:p>
        </w:tc>
        <w:tc>
          <w:tcPr>
            <w:tcW w:w="2552" w:type="dxa"/>
          </w:tcPr>
          <w:p w14:paraId="7B6D8B55" w14:textId="77777777" w:rsidR="006D6F11" w:rsidRPr="00BD14B0" w:rsidRDefault="006D6F11" w:rsidP="00553E01">
            <w:r w:rsidRPr="00BD14B0">
              <w:t>Story 2</w:t>
            </w:r>
          </w:p>
          <w:p w14:paraId="3487393C" w14:textId="77777777" w:rsidR="006D6F11" w:rsidRPr="00BD14B0" w:rsidRDefault="006D6F11" w:rsidP="00553E01">
            <w:r w:rsidRPr="00BD14B0">
              <w:t>Picture 1</w:t>
            </w:r>
          </w:p>
        </w:tc>
      </w:tr>
      <w:tr w:rsidR="00695B36" w:rsidRPr="00BD14B0" w14:paraId="7F635EDA" w14:textId="77777777" w:rsidTr="00DF775E">
        <w:tc>
          <w:tcPr>
            <w:tcW w:w="1526" w:type="dxa"/>
            <w:tcBorders>
              <w:bottom w:val="single" w:sz="18" w:space="0" w:color="auto"/>
            </w:tcBorders>
          </w:tcPr>
          <w:p w14:paraId="49986263" w14:textId="77777777" w:rsidR="006D6F11" w:rsidRPr="00BD14B0" w:rsidRDefault="006D6F11" w:rsidP="00553E01">
            <w:r w:rsidRPr="00BD14B0">
              <w:t>Version 4</w:t>
            </w:r>
          </w:p>
        </w:tc>
        <w:tc>
          <w:tcPr>
            <w:tcW w:w="1984" w:type="dxa"/>
            <w:tcBorders>
              <w:bottom w:val="single" w:sz="18" w:space="0" w:color="auto"/>
            </w:tcBorders>
          </w:tcPr>
          <w:p w14:paraId="76035231" w14:textId="77777777" w:rsidR="006D6F11" w:rsidRPr="00BD14B0" w:rsidRDefault="006D6F11" w:rsidP="00553E01">
            <w:r w:rsidRPr="00BD14B0">
              <w:t>Story 2</w:t>
            </w:r>
          </w:p>
          <w:p w14:paraId="78752705" w14:textId="77777777" w:rsidR="006D6F11" w:rsidRPr="00BD14B0" w:rsidRDefault="006D6F11" w:rsidP="00553E01">
            <w:r w:rsidRPr="00BD14B0">
              <w:t>Picture 2</w:t>
            </w:r>
          </w:p>
        </w:tc>
        <w:tc>
          <w:tcPr>
            <w:tcW w:w="2552" w:type="dxa"/>
            <w:tcBorders>
              <w:bottom w:val="single" w:sz="18" w:space="0" w:color="auto"/>
            </w:tcBorders>
          </w:tcPr>
          <w:p w14:paraId="4166E985" w14:textId="77777777" w:rsidR="006D6F11" w:rsidRPr="00BD14B0" w:rsidRDefault="006D6F11" w:rsidP="00553E01">
            <w:r w:rsidRPr="00BD14B0">
              <w:t>Story 1</w:t>
            </w:r>
          </w:p>
          <w:p w14:paraId="24197327" w14:textId="77777777" w:rsidR="006D6F11" w:rsidRPr="00BD14B0" w:rsidRDefault="006D6F11" w:rsidP="00553E01">
            <w:r w:rsidRPr="00BD14B0">
              <w:t>Picture 1</w:t>
            </w:r>
          </w:p>
        </w:tc>
      </w:tr>
    </w:tbl>
    <w:p w14:paraId="223AE089" w14:textId="77777777" w:rsidR="006D6F11" w:rsidRPr="00BD14B0" w:rsidRDefault="006D6F11" w:rsidP="00553E01">
      <w:r w:rsidRPr="00BD14B0">
        <w:t xml:space="preserve"> </w:t>
      </w:r>
      <w:r w:rsidRPr="00BD14B0">
        <w:tab/>
      </w:r>
    </w:p>
    <w:p w14:paraId="31F28FC9" w14:textId="0C4D1D88" w:rsidR="001B6377" w:rsidRPr="00BD14B0" w:rsidRDefault="006D6F11" w:rsidP="00553E01">
      <w:r w:rsidRPr="00BD14B0">
        <w:tab/>
        <w:t>If the participant did not press any key after 30 seconds, the experiment automatically continued.</w:t>
      </w:r>
    </w:p>
    <w:p w14:paraId="6DABA83A" w14:textId="77777777" w:rsidR="001B6377" w:rsidRPr="00BD14B0" w:rsidRDefault="001B6377" w:rsidP="00553E01"/>
    <w:p w14:paraId="6D61A869" w14:textId="77777777" w:rsidR="001B6377" w:rsidRPr="00BD14B0" w:rsidRDefault="001B6377" w:rsidP="000066B1">
      <w:pPr>
        <w:pStyle w:val="Heading4"/>
        <w:numPr>
          <w:ilvl w:val="0"/>
          <w:numId w:val="0"/>
        </w:numPr>
        <w:ind w:left="851"/>
      </w:pPr>
      <w:r w:rsidRPr="00BD14B0">
        <w:t>Procedure</w:t>
      </w:r>
    </w:p>
    <w:p w14:paraId="5686C159" w14:textId="5BD58580" w:rsidR="001B6377" w:rsidRPr="00BD14B0" w:rsidRDefault="001B6377" w:rsidP="00553E01">
      <w:r w:rsidRPr="00BD14B0">
        <w:tab/>
        <w:t xml:space="preserve">The behavioural study was presented using </w:t>
      </w:r>
      <w:proofErr w:type="spellStart"/>
      <w:r w:rsidRPr="00BD14B0">
        <w:t>Psychopy</w:t>
      </w:r>
      <w:proofErr w:type="spellEnd"/>
      <w:r w:rsidR="00636037" w:rsidRPr="00BD14B0">
        <w:t xml:space="preserve"> </w:t>
      </w:r>
      <w:r w:rsidR="00636037" w:rsidRPr="00BD14B0">
        <w:fldChar w:fldCharType="begin" w:fldLock="1"/>
      </w:r>
      <w:r w:rsidR="004D2901" w:rsidRPr="00BD14B0">
        <w:instrText>ADDIN CSL_CITATION {"citationItems":[{"id":"ITEM-1","itemData":{"DOI":"http://dx.doi.org/10.1016/j.jneumeth.2006.11.017","ISSN":"0165-0270","abstract":"The vast majority of studies into visual processing are conducted using computer display technology. The current paper describes a new free suite of software tools designed to make this task easier, using the latest advances in hardware and software. PsychoPy is a platform-independent experimental control system written in the Python interpreted language using entirely free libraries. PsychoPy scripts are designed to be extremely easy to read and write, while retaining complete power for the user to customize the stimuli and environment. Tools are provided within the package to allow everything from stimulus presentation and response collection (from a wide range of devices) to simple data analysis such as psychometric function fitting. Most importantly, PsychoPy is highly extensible and the whole system can evolve via user contributions. If a user wants to add support for a particular stimulus, analysis or hardware device they can look at the code for existing examples, modify them and submit the modifications back into the package so that the whole community benefits.","author":[{"dropping-particle":"","family":"Peirce","given":"Jonathan W","non-dropping-particle":"","parse-names":false,"suffix":""}],"container-title":"Journal of Neuroscience Methods","id":"ITEM-1","issue":"1–2","issued":{"date-parts":[["2007"]]},"page":"8-13","title":"PsychoPy—Psychophysics software in Python","type":"article-journal","volume":"162"},"uris":["http://www.mendeley.com/documents/?uuid=91eaba94-c62c-4629-883b-be903ad94bcd"]}],"mendeley":{"formattedCitation":"(Peirce, 2007)","plainTextFormattedCitation":"(Peirce, 2007)","previouslyFormattedCitation":"(Peirce, 2007)"},"properties":{"noteIndex":0},"schema":"https://github.com/citation-style-language/schema/raw/master/csl-citation.json"}</w:instrText>
      </w:r>
      <w:r w:rsidR="00636037" w:rsidRPr="00BD14B0">
        <w:fldChar w:fldCharType="separate"/>
      </w:r>
      <w:r w:rsidR="00636037" w:rsidRPr="00BD14B0">
        <w:rPr>
          <w:noProof/>
        </w:rPr>
        <w:t>(Peirce, 2007)</w:t>
      </w:r>
      <w:r w:rsidR="00636037" w:rsidRPr="00BD14B0">
        <w:fldChar w:fldCharType="end"/>
      </w:r>
      <w:r w:rsidRPr="00BD14B0">
        <w:t xml:space="preserve">, and the reaction times, accuracy responses and answers to the questions were recorded. The study had a duration of approximately 25 minutes. Participants were first provided with information (both verbally and in written format) about the experiment and were allowed to ask any questions. Once the participants provided informed consent, the experimenter left the </w:t>
      </w:r>
      <w:r w:rsidR="00076C9F" w:rsidRPr="00BD14B0">
        <w:t>room,</w:t>
      </w:r>
      <w:r w:rsidRPr="00BD14B0">
        <w:t xml:space="preserve"> and the experiment began. </w:t>
      </w:r>
    </w:p>
    <w:p w14:paraId="0AB46141" w14:textId="2E2D1D46" w:rsidR="001B6377" w:rsidRPr="00BD14B0" w:rsidRDefault="001B6377" w:rsidP="00553E01">
      <w:r w:rsidRPr="00BD14B0">
        <w:tab/>
        <w:t xml:space="preserve">First, participants saw a general overall introduction screen for the whole gaze cueing experiment. Next, they were asked to complete a practice trial of the gaze cueing experiment which consisted of 5 repetitions of 4 conditions (Left gaze X Right gaze, Congruent X Incongruent). This practice trial was not recorded. Next, they saw another </w:t>
      </w:r>
      <w:r w:rsidRPr="00BD14B0">
        <w:lastRenderedPageBreak/>
        <w:t>introduction screen for the Story 1 (i.e., in-group or out-group story). They were informed to read some stories and look at some faces and they needed to remember the story because they will be asked some questions about it. The story with a face picture stayed on the screen for 10 seconds, after which they were allowed to press any key to move on to the next screen. Next, they were asked four questions about the story that they just seen. Two of these questions were control questions to make sure that they were engaging with the story and could remember critical details (see Participants). Two of the questions were group belonging questions. Questions were as listed: 1. “</w:t>
      </w:r>
      <w:r w:rsidRPr="00BD14B0">
        <w:rPr>
          <w:i/>
        </w:rPr>
        <w:t>Was her name Emily?</w:t>
      </w:r>
      <w:r w:rsidR="00DF4A46" w:rsidRPr="00BD14B0">
        <w:rPr>
          <w:i/>
        </w:rPr>
        <w:t>”</w:t>
      </w:r>
      <w:r w:rsidRPr="00BD14B0">
        <w:rPr>
          <w:i/>
        </w:rPr>
        <w:t xml:space="preserve"> </w:t>
      </w:r>
      <w:r w:rsidR="00DF4A46" w:rsidRPr="00BD14B0">
        <w:rPr>
          <w:i/>
        </w:rPr>
        <w:t>“</w:t>
      </w:r>
      <w:r w:rsidRPr="00BD14B0">
        <w:rPr>
          <w:i/>
        </w:rPr>
        <w:t>Yes-No</w:t>
      </w:r>
      <w:r w:rsidRPr="00BD14B0">
        <w:t>”, 2. “</w:t>
      </w:r>
      <w:r w:rsidRPr="00BD14B0">
        <w:rPr>
          <w:i/>
        </w:rPr>
        <w:t>Was she student?</w:t>
      </w:r>
      <w:r w:rsidR="00DF4A46" w:rsidRPr="00BD14B0">
        <w:rPr>
          <w:i/>
        </w:rPr>
        <w:t>”</w:t>
      </w:r>
      <w:r w:rsidRPr="00BD14B0">
        <w:rPr>
          <w:i/>
        </w:rPr>
        <w:t xml:space="preserve"> </w:t>
      </w:r>
      <w:r w:rsidR="00DF4A46" w:rsidRPr="00BD14B0">
        <w:rPr>
          <w:i/>
        </w:rPr>
        <w:t>“</w:t>
      </w:r>
      <w:r w:rsidRPr="00BD14B0">
        <w:rPr>
          <w:i/>
        </w:rPr>
        <w:t>Yes-No</w:t>
      </w:r>
      <w:r w:rsidRPr="00BD14B0">
        <w:t>”, 3. “</w:t>
      </w:r>
      <w:r w:rsidRPr="00BD14B0">
        <w:rPr>
          <w:i/>
        </w:rPr>
        <w:t>Do you consider yourself to be in the same group with that person?</w:t>
      </w:r>
      <w:r w:rsidR="00DF4A46" w:rsidRPr="00BD14B0">
        <w:rPr>
          <w:i/>
        </w:rPr>
        <w:t>”</w:t>
      </w:r>
      <w:r w:rsidRPr="00BD14B0">
        <w:rPr>
          <w:i/>
        </w:rPr>
        <w:t xml:space="preserve"> </w:t>
      </w:r>
      <w:r w:rsidR="00DF4A46" w:rsidRPr="00BD14B0">
        <w:rPr>
          <w:i/>
        </w:rPr>
        <w:t>“</w:t>
      </w:r>
      <w:r w:rsidRPr="00BD14B0">
        <w:rPr>
          <w:i/>
        </w:rPr>
        <w:t>1-totally agree,2,3,4,5,6-totally disagree”</w:t>
      </w:r>
      <w:r w:rsidRPr="00BD14B0">
        <w:t>, 4. “</w:t>
      </w:r>
      <w:r w:rsidRPr="00BD14B0">
        <w:rPr>
          <w:i/>
        </w:rPr>
        <w:t>How smart you think this group of people are?</w:t>
      </w:r>
      <w:r w:rsidR="00DF4A46" w:rsidRPr="00BD14B0">
        <w:rPr>
          <w:i/>
        </w:rPr>
        <w:t>”</w:t>
      </w:r>
      <w:r w:rsidRPr="00BD14B0">
        <w:rPr>
          <w:i/>
        </w:rPr>
        <w:t xml:space="preserve"> </w:t>
      </w:r>
      <w:r w:rsidR="00DF4A46" w:rsidRPr="00BD14B0">
        <w:rPr>
          <w:i/>
        </w:rPr>
        <w:t>“</w:t>
      </w:r>
      <w:r w:rsidRPr="00BD14B0">
        <w:rPr>
          <w:i/>
        </w:rPr>
        <w:t>1-totally agree,2,3,4,5,6-totally disagree</w:t>
      </w:r>
      <w:r w:rsidRPr="00BD14B0">
        <w:t xml:space="preserve">”. </w:t>
      </w:r>
    </w:p>
    <w:p w14:paraId="4503BFFF" w14:textId="09640E06" w:rsidR="001B6377" w:rsidRPr="00BD14B0" w:rsidRDefault="001B6377" w:rsidP="00553E01">
      <w:r w:rsidRPr="00BD14B0">
        <w:tab/>
        <w:t xml:space="preserve">Next, they saw another introduction screen explaining the gaze cueing task. They were only instructed to locate the target as quickly and accurately as possible (which is a black dot appearing either right or left side of the screen) while ignoring the direction of eye gaze. The experiment block consisted of 20 repetitions of 4 conditions. In the experiment, first a black cross appeared in the middle of the screen for 1000 </w:t>
      </w:r>
      <w:proofErr w:type="spellStart"/>
      <w:r w:rsidR="00515B0D" w:rsidRPr="00BD14B0">
        <w:t>m</w:t>
      </w:r>
      <w:r w:rsidRPr="00BD14B0">
        <w:t>s</w:t>
      </w:r>
      <w:proofErr w:type="spellEnd"/>
      <w:r w:rsidRPr="00BD14B0">
        <w:t xml:space="preserve">. Then, a face picture with a direct gaze appeared for 500 </w:t>
      </w:r>
      <w:proofErr w:type="spellStart"/>
      <w:r w:rsidR="00515B0D" w:rsidRPr="00BD14B0">
        <w:t>m</w:t>
      </w:r>
      <w:r w:rsidRPr="00BD14B0">
        <w:t>s</w:t>
      </w:r>
      <w:proofErr w:type="spellEnd"/>
      <w:r w:rsidRPr="00BD14B0">
        <w:t xml:space="preserve">. Afterwards, a face picture with averted gaze (either right side or the left side of the screen) appeared for 500 </w:t>
      </w:r>
      <w:proofErr w:type="spellStart"/>
      <w:r w:rsidR="00515B0D" w:rsidRPr="00BD14B0">
        <w:t>m</w:t>
      </w:r>
      <w:r w:rsidRPr="00BD14B0">
        <w:t>s</w:t>
      </w:r>
      <w:proofErr w:type="spellEnd"/>
      <w:r w:rsidRPr="00BD14B0">
        <w:t xml:space="preserve">. </w:t>
      </w:r>
      <w:r w:rsidR="003347D7" w:rsidRPr="00BD14B0">
        <w:t>The</w:t>
      </w:r>
      <w:r w:rsidRPr="00BD14B0">
        <w:t xml:space="preserve"> experiment </w:t>
      </w:r>
      <w:r w:rsidR="003347D7" w:rsidRPr="00BD14B0">
        <w:t xml:space="preserve">therefore </w:t>
      </w:r>
      <w:r w:rsidRPr="00BD14B0">
        <w:t xml:space="preserve">had 500 </w:t>
      </w:r>
      <w:proofErr w:type="spellStart"/>
      <w:r w:rsidR="00515B0D" w:rsidRPr="00BD14B0">
        <w:t>m</w:t>
      </w:r>
      <w:r w:rsidRPr="00BD14B0">
        <w:t>s</w:t>
      </w:r>
      <w:proofErr w:type="spellEnd"/>
      <w:r w:rsidRPr="00BD14B0">
        <w:t xml:space="preserve"> of stimulus onset asynchrony (SOA) between the non-predictive gaze cues and the target. Lastly, a third photo appeared with an averted gaze and the target either the right or the left side of the screen (congruent versus incongruent) for 300</w:t>
      </w:r>
      <w:r w:rsidR="00515B0D" w:rsidRPr="00BD14B0">
        <w:t>cm</w:t>
      </w:r>
      <w:r w:rsidRPr="00BD14B0">
        <w:t xml:space="preserve">s and then disappeared. Participants were allowed to respond after 200 </w:t>
      </w:r>
      <w:proofErr w:type="spellStart"/>
      <w:r w:rsidR="00515B0D" w:rsidRPr="00BD14B0">
        <w:t>m</w:t>
      </w:r>
      <w:r w:rsidRPr="00BD14B0">
        <w:t>s</w:t>
      </w:r>
      <w:proofErr w:type="spellEnd"/>
      <w:r w:rsidRPr="00BD14B0">
        <w:t xml:space="preserve"> (when the averted face picture with a target appeared on the screen) by pressing to the right or the left arrow key to locate the target. The target disappeared after 300</w:t>
      </w:r>
      <w:r w:rsidR="00515B0D" w:rsidRPr="00BD14B0">
        <w:t xml:space="preserve"> </w:t>
      </w:r>
      <w:proofErr w:type="spellStart"/>
      <w:r w:rsidR="00515B0D" w:rsidRPr="00BD14B0">
        <w:t>m</w:t>
      </w:r>
      <w:r w:rsidRPr="00BD14B0">
        <w:t>s</w:t>
      </w:r>
      <w:proofErr w:type="spellEnd"/>
      <w:r w:rsidRPr="00BD14B0">
        <w:t xml:space="preserve"> and another round of trials started after the participants responded. When the eye gaze and the target </w:t>
      </w:r>
      <w:r w:rsidR="003347D7" w:rsidRPr="00BD14B0">
        <w:t xml:space="preserve">are </w:t>
      </w:r>
      <w:r w:rsidRPr="00BD14B0">
        <w:t>on the same side of the screen it is a congruent trial</w:t>
      </w:r>
      <w:r w:rsidR="003347D7" w:rsidRPr="00BD14B0">
        <w:t xml:space="preserve">, </w:t>
      </w:r>
      <w:r w:rsidR="00076C9F" w:rsidRPr="00BD14B0">
        <w:t>whereas</w:t>
      </w:r>
      <w:r w:rsidRPr="00BD14B0">
        <w:t xml:space="preserve"> when the eye gaze and the target image </w:t>
      </w:r>
      <w:r w:rsidR="003347D7" w:rsidRPr="00BD14B0">
        <w:t>are on</w:t>
      </w:r>
      <w:r w:rsidRPr="00BD14B0">
        <w:t xml:space="preserve"> opposite sides of the screen, it is incongruent (see Figure </w:t>
      </w:r>
      <w:r w:rsidR="004E2A64" w:rsidRPr="00BD14B0">
        <w:t>6</w:t>
      </w:r>
      <w:r w:rsidRPr="00BD14B0">
        <w:t>).</w:t>
      </w:r>
    </w:p>
    <w:p w14:paraId="3BE97B1E" w14:textId="2E16E5D7" w:rsidR="001B6377" w:rsidRPr="00BD14B0" w:rsidRDefault="001B6377" w:rsidP="00553E01">
      <w:r w:rsidRPr="00BD14B0">
        <w:t xml:space="preserve"> </w:t>
      </w:r>
      <w:r w:rsidRPr="00BD14B0">
        <w:tab/>
        <w:t>At the end of the trial for the story 1 participants repeated the same steps for story 2. The order of the stories was fully randomised meaning some participants saw the in-</w:t>
      </w:r>
      <w:r w:rsidRPr="00BD14B0">
        <w:lastRenderedPageBreak/>
        <w:t xml:space="preserve">group story first while other saw the out-group story. At the end of the experiment, participants were thanked for their time. </w:t>
      </w:r>
    </w:p>
    <w:p w14:paraId="3F7C3EF9" w14:textId="77777777" w:rsidR="003F2BC4" w:rsidRPr="00BD14B0" w:rsidRDefault="003F2BC4" w:rsidP="00553E01"/>
    <w:p w14:paraId="3C546D80" w14:textId="75B6C6D9" w:rsidR="003B267D" w:rsidRPr="003B267D" w:rsidRDefault="003B267D" w:rsidP="003B267D">
      <w:pPr>
        <w:pStyle w:val="Caption"/>
        <w:rPr>
          <w:sz w:val="24"/>
          <w:szCs w:val="24"/>
        </w:rPr>
      </w:pPr>
      <w:bookmarkStart w:id="46" w:name="_Toc108321851"/>
      <w:r w:rsidRPr="003B267D">
        <w:rPr>
          <w:sz w:val="24"/>
          <w:szCs w:val="24"/>
        </w:rPr>
        <w:t xml:space="preserve">Figure </w:t>
      </w:r>
      <w:r w:rsidRPr="003B267D">
        <w:rPr>
          <w:sz w:val="24"/>
          <w:szCs w:val="24"/>
        </w:rPr>
        <w:fldChar w:fldCharType="begin"/>
      </w:r>
      <w:r w:rsidRPr="003B267D">
        <w:rPr>
          <w:sz w:val="24"/>
          <w:szCs w:val="24"/>
        </w:rPr>
        <w:instrText xml:space="preserve"> SEQ Figure \* ARABIC </w:instrText>
      </w:r>
      <w:r w:rsidRPr="003B267D">
        <w:rPr>
          <w:sz w:val="24"/>
          <w:szCs w:val="24"/>
        </w:rPr>
        <w:fldChar w:fldCharType="separate"/>
      </w:r>
      <w:r w:rsidRPr="003B267D">
        <w:rPr>
          <w:noProof/>
          <w:sz w:val="24"/>
          <w:szCs w:val="24"/>
        </w:rPr>
        <w:t>6</w:t>
      </w:r>
      <w:r w:rsidRPr="003B267D">
        <w:rPr>
          <w:sz w:val="24"/>
          <w:szCs w:val="24"/>
        </w:rPr>
        <w:fldChar w:fldCharType="end"/>
      </w:r>
    </w:p>
    <w:bookmarkEnd w:id="46"/>
    <w:p w14:paraId="113069D7" w14:textId="701BC8BD" w:rsidR="003F2BC4" w:rsidRPr="00BD14B0" w:rsidRDefault="003F2BC4" w:rsidP="00553E01">
      <w:r w:rsidRPr="00BD14B0">
        <w:rPr>
          <w:i/>
          <w:iCs/>
        </w:rPr>
        <w:t>A congruent version of the gaze cueing trial with a left side eye gaze and target location</w:t>
      </w:r>
    </w:p>
    <w:p w14:paraId="072513CE" w14:textId="77777777" w:rsidR="001B6377" w:rsidRPr="00BD14B0" w:rsidRDefault="001B6377" w:rsidP="00553E01">
      <w:r w:rsidRPr="00BD14B0">
        <w:rPr>
          <w:noProof/>
          <w:lang w:eastAsia="en-US"/>
        </w:rPr>
        <w:drawing>
          <wp:inline distT="0" distB="0" distL="0" distR="0" wp14:anchorId="294356CB" wp14:editId="17658443">
            <wp:extent cx="5756910" cy="3236595"/>
            <wp:effectExtent l="12700" t="12700" r="8890" b="14605"/>
            <wp:docPr id="8" name="Picture 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744991" name="figure7.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6910" cy="3236595"/>
                    </a:xfrm>
                    <a:prstGeom prst="rect">
                      <a:avLst/>
                    </a:prstGeom>
                    <a:ln w="12700">
                      <a:solidFill>
                        <a:schemeClr val="tx1"/>
                      </a:solidFill>
                    </a:ln>
                  </pic:spPr>
                </pic:pic>
              </a:graphicData>
            </a:graphic>
          </wp:inline>
        </w:drawing>
      </w:r>
    </w:p>
    <w:p w14:paraId="19E9C1AB" w14:textId="77777777" w:rsidR="001B6377" w:rsidRPr="00BD14B0" w:rsidRDefault="001B6377" w:rsidP="00553E01"/>
    <w:p w14:paraId="37B77AF0" w14:textId="10FD1520" w:rsidR="001B6377" w:rsidRPr="00BD14B0" w:rsidRDefault="001B6377" w:rsidP="00553E01">
      <w:pPr>
        <w:pStyle w:val="Heading3"/>
      </w:pPr>
      <w:r w:rsidRPr="00BD14B0">
        <w:t xml:space="preserve"> </w:t>
      </w:r>
      <w:bookmarkStart w:id="47" w:name="_Toc108310769"/>
      <w:r w:rsidRPr="00BD14B0">
        <w:t>Results</w:t>
      </w:r>
      <w:bookmarkEnd w:id="47"/>
      <w:r w:rsidRPr="00BD14B0">
        <w:t xml:space="preserve"> </w:t>
      </w:r>
    </w:p>
    <w:p w14:paraId="3E7E67C5" w14:textId="2DACB754" w:rsidR="006D6F11" w:rsidRPr="00BD14B0" w:rsidRDefault="001B6377" w:rsidP="00553E01">
      <w:r w:rsidRPr="00BD14B0">
        <w:tab/>
      </w:r>
      <w:r w:rsidR="006D6F11" w:rsidRPr="00BD14B0">
        <w:t xml:space="preserve">The accuracy </w:t>
      </w:r>
      <w:r w:rsidR="00221E1C" w:rsidRPr="00BD14B0">
        <w:t xml:space="preserve">of </w:t>
      </w:r>
      <w:r w:rsidR="00284ADB" w:rsidRPr="00BD14B0">
        <w:t>responses</w:t>
      </w:r>
      <w:r w:rsidR="00221E1C" w:rsidRPr="00BD14B0">
        <w:t xml:space="preserve"> </w:t>
      </w:r>
      <w:r w:rsidR="006D6F11" w:rsidRPr="00BD14B0">
        <w:t xml:space="preserve">(correct/not correct) and </w:t>
      </w:r>
      <w:r w:rsidR="00221E1C" w:rsidRPr="00BD14B0">
        <w:t>r</w:t>
      </w:r>
      <w:r w:rsidR="006D6F11" w:rsidRPr="00BD14B0">
        <w:t xml:space="preserve">eaction </w:t>
      </w:r>
      <w:r w:rsidR="00221E1C" w:rsidRPr="00BD14B0">
        <w:t>t</w:t>
      </w:r>
      <w:r w:rsidR="006D6F11" w:rsidRPr="00BD14B0">
        <w:t>ime</w:t>
      </w:r>
      <w:r w:rsidR="00221E1C" w:rsidRPr="00BD14B0">
        <w:t xml:space="preserve">s </w:t>
      </w:r>
      <w:r w:rsidR="006D6F11" w:rsidRPr="00BD14B0">
        <w:t xml:space="preserve">(RT) </w:t>
      </w:r>
      <w:r w:rsidR="00221E1C" w:rsidRPr="00BD14B0">
        <w:t xml:space="preserve">were </w:t>
      </w:r>
      <w:r w:rsidR="006D6F11" w:rsidRPr="00BD14B0">
        <w:t xml:space="preserve">recorded. RT measurements were used in the analyses. Incorrect responses were removed prior to analysis of reaction time data. </w:t>
      </w:r>
      <w:r w:rsidR="006321C1" w:rsidRPr="00BD14B0">
        <w:t xml:space="preserve">Accuracy ratings were only used to </w:t>
      </w:r>
      <w:r w:rsidR="005B63B3" w:rsidRPr="00BD14B0">
        <w:t>remove</w:t>
      </w:r>
      <w:r w:rsidR="006321C1" w:rsidRPr="00BD14B0">
        <w:t xml:space="preserve"> errors before calculating each participant's mean RT</w:t>
      </w:r>
      <w:r w:rsidR="006D6F11" w:rsidRPr="00BD14B0">
        <w:t xml:space="preserve">. No further analyses were </w:t>
      </w:r>
      <w:r w:rsidR="00221E1C" w:rsidRPr="00BD14B0">
        <w:t>conducted on the</w:t>
      </w:r>
      <w:r w:rsidR="006D6F11" w:rsidRPr="00BD14B0">
        <w:t xml:space="preserve"> accuracy responses. The analyses were conducted with mean RT scores. </w:t>
      </w:r>
    </w:p>
    <w:p w14:paraId="125FCA42" w14:textId="157CDF80" w:rsidR="006D6F11" w:rsidRPr="00BD14B0" w:rsidRDefault="006D6F11" w:rsidP="00553E01">
      <w:r w:rsidRPr="00BD14B0">
        <w:tab/>
        <w:t xml:space="preserve">For each participant, RT (reaction time) responses representing errors (e.g., the response to the target was right arrow when the back dot was in the left side of the screen and vice versa) and outliers (e.g., responses that are three standard deviations away from each participant’s mean) were removed from the data </w:t>
      </w:r>
      <w:r w:rsidR="003E4FE5" w:rsidRPr="00BD14B0">
        <w:fldChar w:fldCharType="begin" w:fldLock="1"/>
      </w:r>
      <w:r w:rsidR="009E0FE2" w:rsidRPr="00BD14B0">
        <w:instrText>ADDIN CSL_CITATION {"citationItems":[{"id":"ITEM-1","itemData":{"ISBN":"9780131399846","author":[{"dropping-particle":"","family":"Howitt","given":"D","non-dropping-particle":"","parse-names":false,"suffix":""},{"dropping-particle":"","family":"Cramer","given":"D","non-dropping-particle":"","parse-names":false,"suffix":""}],"id":"ITEM-1","issued":{"date-parts":[["2005"]]},"publisher":"Pearson/Prentice Hall","title":"Introduction to Research Methods in Psychology","type":"book"},"uris":["http://www.mendeley.com/documents/?uuid=19858838-019e-4392-a2d8-c90c87c23e4b"]}],"mendeley":{"formattedCitation":"(Howitt &amp; Cramer, 2005)","plainTextFormattedCitation":"(Howitt &amp; Cramer, 2005)","previouslyFormattedCitation":"(Howitt &amp; Cramer, 2005)"},"properties":{"noteIndex":0},"schema":"https://github.com/citation-style-language/schema/raw/master/csl-citation.json"}</w:instrText>
      </w:r>
      <w:r w:rsidR="003E4FE5" w:rsidRPr="00BD14B0">
        <w:fldChar w:fldCharType="separate"/>
      </w:r>
      <w:r w:rsidR="003E4FE5" w:rsidRPr="00BD14B0">
        <w:rPr>
          <w:noProof/>
        </w:rPr>
        <w:t>(Howitt &amp; Cramer, 2005)</w:t>
      </w:r>
      <w:r w:rsidR="003E4FE5" w:rsidRPr="00BD14B0">
        <w:fldChar w:fldCharType="end"/>
      </w:r>
      <w:r w:rsidR="003E4FE5" w:rsidRPr="00BD14B0">
        <w:t xml:space="preserve">. </w:t>
      </w:r>
      <w:r w:rsidRPr="00BD14B0">
        <w:t xml:space="preserve">After this </w:t>
      </w:r>
      <w:r w:rsidRPr="00BD14B0">
        <w:lastRenderedPageBreak/>
        <w:t>process</w:t>
      </w:r>
      <w:r w:rsidR="00221E1C" w:rsidRPr="00BD14B0">
        <w:t>,</w:t>
      </w:r>
      <w:r w:rsidRPr="00BD14B0">
        <w:t xml:space="preserve"> two (congruent and incongruent) mean reaction times were calculated for each participant. </w:t>
      </w:r>
    </w:p>
    <w:p w14:paraId="7DF83291" w14:textId="3229BECA" w:rsidR="001B6377" w:rsidRPr="00BD14B0" w:rsidRDefault="0003224A" w:rsidP="00553E01">
      <w:r w:rsidRPr="00BD14B0">
        <w:tab/>
      </w:r>
      <w:r w:rsidR="001B6377" w:rsidRPr="00BD14B0">
        <w:t xml:space="preserve">Next, participants who were outliers were identified using visual inspection of box plots. This analysis was repeated separately for each independent variable (IV) consisted of congruency (2: congruent X incongruent) and story type (2: University of Sheffield student X non-student). The analyses were repeated for each of the combinations which are: congruent trial Sheffield story, incongruent trial Sheffield story, congruent trial non-student story, and incongruent trial non-student story. The box plot analysis for congruent trial Sheffield story indicated that </w:t>
      </w:r>
      <w:r w:rsidR="00221E1C" w:rsidRPr="00BD14B0">
        <w:t xml:space="preserve">two </w:t>
      </w:r>
      <w:r w:rsidR="001B6377" w:rsidRPr="00BD14B0">
        <w:t xml:space="preserve">participants </w:t>
      </w:r>
      <w:r w:rsidR="00221E1C" w:rsidRPr="00BD14B0">
        <w:t>(</w:t>
      </w:r>
      <w:r w:rsidR="001B6377" w:rsidRPr="00BD14B0">
        <w:t>#40 and #60</w:t>
      </w:r>
      <w:r w:rsidR="00221E1C" w:rsidRPr="00BD14B0">
        <w:t>)</w:t>
      </w:r>
      <w:r w:rsidR="001B6377" w:rsidRPr="00BD14B0">
        <w:t xml:space="preserve"> were extreme outliers and that </w:t>
      </w:r>
      <w:r w:rsidR="00221E1C" w:rsidRPr="00BD14B0">
        <w:t xml:space="preserve">two </w:t>
      </w:r>
      <w:r w:rsidR="001B6377" w:rsidRPr="00BD14B0">
        <w:t xml:space="preserve">participants </w:t>
      </w:r>
      <w:r w:rsidR="00221E1C" w:rsidRPr="00BD14B0">
        <w:t>(</w:t>
      </w:r>
      <w:r w:rsidR="001B6377" w:rsidRPr="00BD14B0">
        <w:t>#11 and #61</w:t>
      </w:r>
      <w:r w:rsidR="00221E1C" w:rsidRPr="00BD14B0">
        <w:t>)</w:t>
      </w:r>
      <w:r w:rsidR="001B6377" w:rsidRPr="00BD14B0">
        <w:t xml:space="preserve"> were outliers. The box plot for incongruent trial Sheffield story indicated that four participants (#14, #40, #60, and #61) were outliers. The box plot analysis congruent trial non-student story indicated that </w:t>
      </w:r>
      <w:r w:rsidR="00221E1C" w:rsidRPr="00BD14B0">
        <w:t xml:space="preserve">two </w:t>
      </w:r>
      <w:r w:rsidR="001B6377" w:rsidRPr="00BD14B0">
        <w:t xml:space="preserve">participants </w:t>
      </w:r>
      <w:r w:rsidR="00221E1C" w:rsidRPr="00BD14B0">
        <w:t>(</w:t>
      </w:r>
      <w:r w:rsidR="001B6377" w:rsidRPr="00BD14B0">
        <w:t>#11 and #14</w:t>
      </w:r>
      <w:r w:rsidR="00221E1C" w:rsidRPr="00BD14B0">
        <w:t>)</w:t>
      </w:r>
      <w:r w:rsidR="001B6377" w:rsidRPr="00BD14B0">
        <w:t xml:space="preserve"> were extreme outliers and three participants (#20, #40, and #60) were outliers. The box plot analysis of incongruent trial non-student story indicated that </w:t>
      </w:r>
      <w:r w:rsidR="00221E1C" w:rsidRPr="00BD14B0">
        <w:t xml:space="preserve">two </w:t>
      </w:r>
      <w:r w:rsidR="001B6377" w:rsidRPr="00BD14B0">
        <w:t xml:space="preserve">participants </w:t>
      </w:r>
      <w:r w:rsidR="00221E1C" w:rsidRPr="00BD14B0">
        <w:t>(</w:t>
      </w:r>
      <w:r w:rsidR="001B6377" w:rsidRPr="00BD14B0">
        <w:t>#11 and #14</w:t>
      </w:r>
      <w:r w:rsidR="00221E1C" w:rsidRPr="00BD14B0">
        <w:t>)</w:t>
      </w:r>
      <w:r w:rsidR="001B6377" w:rsidRPr="00BD14B0">
        <w:t xml:space="preserve"> were extreme </w:t>
      </w:r>
      <w:r w:rsidR="00284ADB" w:rsidRPr="00BD14B0">
        <w:t>outliers,</w:t>
      </w:r>
      <w:r w:rsidR="001B6377" w:rsidRPr="00BD14B0">
        <w:t xml:space="preserve"> and </w:t>
      </w:r>
      <w:r w:rsidR="00221E1C" w:rsidRPr="00BD14B0">
        <w:t xml:space="preserve">two </w:t>
      </w:r>
      <w:r w:rsidR="001B6377" w:rsidRPr="00BD14B0">
        <w:t xml:space="preserve">participants </w:t>
      </w:r>
      <w:r w:rsidR="00221E1C" w:rsidRPr="00BD14B0">
        <w:t>(</w:t>
      </w:r>
      <w:r w:rsidR="001B6377" w:rsidRPr="00BD14B0">
        <w:t>#20 and #60</w:t>
      </w:r>
      <w:r w:rsidR="00221E1C" w:rsidRPr="00BD14B0">
        <w:t>)</w:t>
      </w:r>
      <w:r w:rsidR="001B6377" w:rsidRPr="00BD14B0">
        <w:t xml:space="preserve"> were outliers. Taken together, six participants (#11, #14, #20, #40, #60, and #61) were outliers, and therefore their data were excluded from any further analysis. The final analysis was carried out on the remaining 64 participants.</w:t>
      </w:r>
    </w:p>
    <w:p w14:paraId="35B8E3AE" w14:textId="260698AF" w:rsidR="001B6377" w:rsidRPr="00BD14B0" w:rsidRDefault="001B6377" w:rsidP="00553E01">
      <w:r w:rsidRPr="00BD14B0">
        <w:tab/>
        <w:t>A Kolmogorov-Smirnov test was used to test for normality on the each IV. The K-S normality test indicated that sample was distributed normally for the congruent trial Sheffield story (</w:t>
      </w:r>
      <w:proofErr w:type="gramStart"/>
      <w:r w:rsidRPr="00BD14B0">
        <w:rPr>
          <w:i/>
          <w:iCs/>
        </w:rPr>
        <w:t>D</w:t>
      </w:r>
      <w:r w:rsidRPr="00BD14B0">
        <w:t>(</w:t>
      </w:r>
      <w:proofErr w:type="gramEnd"/>
      <w:r w:rsidRPr="00BD14B0">
        <w:t xml:space="preserve">63) = 0.102, </w:t>
      </w:r>
      <w:r w:rsidRPr="00BD14B0">
        <w:rPr>
          <w:i/>
        </w:rPr>
        <w:t>p</w:t>
      </w:r>
      <w:r w:rsidRPr="00BD14B0">
        <w:t xml:space="preserve"> &gt; .05), the incongruent trial Sheffield story (</w:t>
      </w:r>
      <w:r w:rsidRPr="00BD14B0">
        <w:rPr>
          <w:i/>
          <w:iCs/>
        </w:rPr>
        <w:t>D</w:t>
      </w:r>
      <w:r w:rsidRPr="00BD14B0">
        <w:t>(64) = 0.103, p &gt; .05), the congruent trial non-student story (</w:t>
      </w:r>
      <w:r w:rsidRPr="00BD14B0">
        <w:rPr>
          <w:i/>
          <w:iCs/>
        </w:rPr>
        <w:t>D</w:t>
      </w:r>
      <w:r w:rsidRPr="00BD14B0">
        <w:t xml:space="preserve">(64) = 0.105, </w:t>
      </w:r>
      <w:r w:rsidRPr="00BD14B0">
        <w:rPr>
          <w:i/>
        </w:rPr>
        <w:t>p</w:t>
      </w:r>
      <w:r w:rsidRPr="00BD14B0">
        <w:t xml:space="preserve"> &gt; .05), and the incongruent trial non-student story (</w:t>
      </w:r>
      <w:r w:rsidRPr="00BD14B0">
        <w:rPr>
          <w:i/>
          <w:iCs/>
        </w:rPr>
        <w:t>D</w:t>
      </w:r>
      <w:r w:rsidRPr="00BD14B0">
        <w:t xml:space="preserve">(64) = 0.088, </w:t>
      </w:r>
      <w:r w:rsidRPr="00BD14B0">
        <w:rPr>
          <w:i/>
        </w:rPr>
        <w:t>p</w:t>
      </w:r>
      <w:r w:rsidRPr="00BD14B0">
        <w:t xml:space="preserve"> &gt; .05). </w:t>
      </w:r>
      <w:proofErr w:type="spellStart"/>
      <w:r w:rsidRPr="00BD14B0">
        <w:t>Maulchy's</w:t>
      </w:r>
      <w:proofErr w:type="spellEnd"/>
      <w:r w:rsidRPr="00BD14B0">
        <w:t xml:space="preserve"> test of sphericity was not needed, as there were only two levels within each of the within-participants factors (Field, 2009).</w:t>
      </w:r>
    </w:p>
    <w:p w14:paraId="11035F8F" w14:textId="3D6DB560" w:rsidR="001B6377" w:rsidRPr="00BD14B0" w:rsidRDefault="001B6377" w:rsidP="00553E01">
      <w:r w:rsidRPr="00BD14B0">
        <w:tab/>
        <w:t xml:space="preserve">Data were analysed using a repeated (within-participants) measures ANOVA, where the within-participants factors were the story presented (Sheffield university student and non-student) and gaze congruency (congruent and incongruent). The two-way within-participants ANOVA revealed that there was a significant main effect of congruency with a </w:t>
      </w:r>
      <w:r w:rsidR="00266363" w:rsidRPr="00BD14B0">
        <w:lastRenderedPageBreak/>
        <w:t>large</w:t>
      </w:r>
      <w:r w:rsidRPr="00BD14B0">
        <w:t xml:space="preserve"> effect size, </w:t>
      </w:r>
      <w:proofErr w:type="gramStart"/>
      <w:r w:rsidRPr="00BD14B0">
        <w:rPr>
          <w:i/>
        </w:rPr>
        <w:t>F</w:t>
      </w:r>
      <w:r w:rsidRPr="00BD14B0">
        <w:t>(</w:t>
      </w:r>
      <w:proofErr w:type="gramEnd"/>
      <w:r w:rsidRPr="00BD14B0">
        <w:t xml:space="preserve">1, 63) = 15.967, </w:t>
      </w:r>
      <w:r w:rsidRPr="00BD14B0">
        <w:rPr>
          <w:i/>
          <w:iCs/>
        </w:rPr>
        <w:t>p</w:t>
      </w:r>
      <w:r w:rsidR="005D45E4" w:rsidRPr="00BD14B0">
        <w:t>&lt;</w:t>
      </w:r>
      <w:r w:rsidRPr="00BD14B0">
        <w:t xml:space="preserve">.00 </w:t>
      </w:r>
      <w:r w:rsidRPr="00BD14B0">
        <w:rPr>
          <w:i/>
        </w:rPr>
        <w:t>ηp</w:t>
      </w:r>
      <w:r w:rsidRPr="00BD14B0">
        <w:rPr>
          <w:vertAlign w:val="superscript"/>
        </w:rPr>
        <w:t>2</w:t>
      </w:r>
      <w:r w:rsidRPr="00BD14B0">
        <w:t xml:space="preserve">= 0.202, which indicates that there </w:t>
      </w:r>
      <w:r w:rsidR="00221E1C" w:rsidRPr="00BD14B0">
        <w:t xml:space="preserve">was </w:t>
      </w:r>
      <w:r w:rsidRPr="00BD14B0">
        <w:t xml:space="preserve">a significant difference between congruent and incongruent trials. </w:t>
      </w:r>
    </w:p>
    <w:p w14:paraId="4975A027" w14:textId="7E2612BB" w:rsidR="001B6377" w:rsidRPr="00BD14B0" w:rsidRDefault="001B6377" w:rsidP="00553E01">
      <w:r w:rsidRPr="00BD14B0">
        <w:tab/>
        <w:t xml:space="preserve">An effect size is </w:t>
      </w:r>
      <w:r w:rsidR="00221E1C" w:rsidRPr="00BD14B0">
        <w:t>a</w:t>
      </w:r>
      <w:r w:rsidRPr="00BD14B0">
        <w:t xml:space="preserve"> measure of the magnitude of observed effect and </w:t>
      </w:r>
      <w:r w:rsidR="00221E1C" w:rsidRPr="00BD14B0">
        <w:t xml:space="preserve">can be </w:t>
      </w:r>
      <w:r w:rsidRPr="00BD14B0">
        <w:t>used in conjunction with, but not a replacement for, significance testing (see Field, 2005a; 2005b). Effect sizes measure how much independent variable (IV) has affected the dependent variable (DV) in an experimental study. (Partial) eta square (</w:t>
      </w:r>
      <w:r w:rsidRPr="00BD14B0">
        <w:rPr>
          <w:i/>
        </w:rPr>
        <w:t>ηp</w:t>
      </w:r>
      <w:r w:rsidRPr="00BD14B0">
        <w:rPr>
          <w:vertAlign w:val="superscript"/>
        </w:rPr>
        <w:t>2</w:t>
      </w:r>
      <w:r w:rsidRPr="00BD14B0">
        <w:t xml:space="preserve">) is widely cited as a measure of effect size and Cohen (1988) </w:t>
      </w:r>
      <w:r w:rsidR="00221E1C" w:rsidRPr="00BD14B0">
        <w:t xml:space="preserve">has </w:t>
      </w:r>
      <w:r w:rsidRPr="00BD14B0">
        <w:t xml:space="preserve">suggested </w:t>
      </w:r>
      <w:r w:rsidR="00221E1C" w:rsidRPr="00BD14B0">
        <w:rPr>
          <w:i/>
        </w:rPr>
        <w:t>ηp</w:t>
      </w:r>
      <w:r w:rsidR="00221E1C" w:rsidRPr="00BD14B0">
        <w:rPr>
          <w:vertAlign w:val="superscript"/>
        </w:rPr>
        <w:t xml:space="preserve">2 </w:t>
      </w:r>
      <w:r w:rsidRPr="00BD14B0">
        <w:t>of 0.01, 0.059</w:t>
      </w:r>
      <w:r w:rsidR="00221E1C" w:rsidRPr="00BD14B0">
        <w:t xml:space="preserve"> and</w:t>
      </w:r>
      <w:r w:rsidRPr="00BD14B0">
        <w:t xml:space="preserve"> 0.138 </w:t>
      </w:r>
      <w:r w:rsidR="00221E1C" w:rsidRPr="00BD14B0">
        <w:t xml:space="preserve">to indicate small, </w:t>
      </w:r>
      <w:proofErr w:type="gramStart"/>
      <w:r w:rsidR="00221E1C" w:rsidRPr="00BD14B0">
        <w:t>medium</w:t>
      </w:r>
      <w:proofErr w:type="gramEnd"/>
      <w:r w:rsidR="00221E1C" w:rsidRPr="00BD14B0">
        <w:t xml:space="preserve"> and large effect sizes, respectively</w:t>
      </w:r>
      <w:r w:rsidRPr="00BD14B0">
        <w:t xml:space="preserve">. </w:t>
      </w:r>
    </w:p>
    <w:p w14:paraId="4551821A" w14:textId="23F3AEBB" w:rsidR="003F2BC4" w:rsidRPr="00BD14B0" w:rsidRDefault="001B6377" w:rsidP="00553E01">
      <w:r w:rsidRPr="00BD14B0">
        <w:tab/>
        <w:t xml:space="preserve">There was a significant difference between congruent and incongruent trials, </w:t>
      </w:r>
      <w:r w:rsidR="00221E1C" w:rsidRPr="00BD14B0">
        <w:t xml:space="preserve">indicating </w:t>
      </w:r>
      <w:r w:rsidRPr="00BD14B0">
        <w:t xml:space="preserve">that gaze cueing accrued during the experiment. Participants were significantly faster to respond to congruent trials compared to incongruent trials with a difference of 11 </w:t>
      </w:r>
      <w:proofErr w:type="spellStart"/>
      <w:r w:rsidR="00515B0D" w:rsidRPr="00BD14B0">
        <w:t>m</w:t>
      </w:r>
      <w:r w:rsidRPr="00BD14B0">
        <w:t>s</w:t>
      </w:r>
      <w:proofErr w:type="spellEnd"/>
      <w:r w:rsidRPr="00BD14B0">
        <w:t xml:space="preserve"> (</w:t>
      </w:r>
      <w:r w:rsidRPr="00BD14B0">
        <w:rPr>
          <w:i/>
        </w:rPr>
        <w:t>p</w:t>
      </w:r>
      <w:r w:rsidRPr="00BD14B0">
        <w:t xml:space="preserve"> &lt;.05). This suggests that </w:t>
      </w:r>
      <w:r w:rsidR="00221E1C" w:rsidRPr="00BD14B0">
        <w:t xml:space="preserve">in </w:t>
      </w:r>
      <w:r w:rsidRPr="00BD14B0">
        <w:t>incongruent trials (e.g., when the target and the eye gaze are on the same side of the screen) participants were significantly faster at detecting the location of the target</w:t>
      </w:r>
      <w:r w:rsidR="00221E1C" w:rsidRPr="00BD14B0">
        <w:t xml:space="preserve"> than in </w:t>
      </w:r>
      <w:r w:rsidRPr="00BD14B0">
        <w:t xml:space="preserve">incongruent trials (e.g., when the eye gaze and the target are opposite sides of the screen). </w:t>
      </w:r>
      <w:r w:rsidR="00E27387" w:rsidRPr="00BD14B0">
        <w:t>The reaction time</w:t>
      </w:r>
      <w:r w:rsidRPr="00BD14B0">
        <w:t xml:space="preserve"> differences are referred to as gaze cueing effect. In contrast, there was no significant</w:t>
      </w:r>
      <w:r w:rsidR="00221E1C" w:rsidRPr="00BD14B0">
        <w:t xml:space="preserve"> effect of story type on reaction times, </w:t>
      </w:r>
      <w:r w:rsidRPr="00BD14B0">
        <w:t xml:space="preserve">indicating that participants showed similar </w:t>
      </w:r>
      <w:r w:rsidR="0009789D" w:rsidRPr="00BD14B0">
        <w:t>reaction times</w:t>
      </w:r>
      <w:r w:rsidRPr="00BD14B0">
        <w:t xml:space="preserve"> to both stories, </w:t>
      </w:r>
      <w:proofErr w:type="gramStart"/>
      <w:r w:rsidRPr="00BD14B0">
        <w:rPr>
          <w:i/>
          <w:iCs/>
        </w:rPr>
        <w:t>F</w:t>
      </w:r>
      <w:r w:rsidRPr="00BD14B0">
        <w:t>(</w:t>
      </w:r>
      <w:proofErr w:type="gramEnd"/>
      <w:r w:rsidRPr="00BD14B0">
        <w:t xml:space="preserve">1, 63) = 0.011, </w:t>
      </w:r>
      <w:r w:rsidRPr="00BD14B0">
        <w:rPr>
          <w:i/>
          <w:iCs/>
        </w:rPr>
        <w:t>p</w:t>
      </w:r>
      <w:r w:rsidRPr="00BD14B0">
        <w:t xml:space="preserve"> = .917, </w:t>
      </w:r>
      <w:r w:rsidRPr="00BD14B0">
        <w:rPr>
          <w:i/>
        </w:rPr>
        <w:t>ηp</w:t>
      </w:r>
      <w:r w:rsidRPr="00BD14B0">
        <w:rPr>
          <w:vertAlign w:val="superscript"/>
        </w:rPr>
        <w:t xml:space="preserve">2 </w:t>
      </w:r>
      <w:r w:rsidRPr="00BD14B0">
        <w:t xml:space="preserve">= 0.00. Additionally, </w:t>
      </w:r>
      <w:r w:rsidR="009727A9" w:rsidRPr="00BD14B0">
        <w:t xml:space="preserve">the </w:t>
      </w:r>
      <w:r w:rsidRPr="00BD14B0">
        <w:t xml:space="preserve">interaction between type of story and congruency was also non-significant, </w:t>
      </w:r>
      <w:proofErr w:type="gramStart"/>
      <w:r w:rsidRPr="00BD14B0">
        <w:rPr>
          <w:i/>
          <w:iCs/>
        </w:rPr>
        <w:t>F</w:t>
      </w:r>
      <w:r w:rsidRPr="00BD14B0">
        <w:t>(</w:t>
      </w:r>
      <w:proofErr w:type="gramEnd"/>
      <w:r w:rsidRPr="00BD14B0">
        <w:t xml:space="preserve">1, 63) = 1.761, </w:t>
      </w:r>
      <w:r w:rsidRPr="00BD14B0">
        <w:rPr>
          <w:i/>
          <w:iCs/>
        </w:rPr>
        <w:t>p</w:t>
      </w:r>
      <w:r w:rsidRPr="00BD14B0">
        <w:t xml:space="preserve"> = .189, </w:t>
      </w:r>
      <w:r w:rsidRPr="00BD14B0">
        <w:rPr>
          <w:i/>
        </w:rPr>
        <w:t>ηp</w:t>
      </w:r>
      <w:r w:rsidRPr="00BD14B0">
        <w:rPr>
          <w:vertAlign w:val="superscript"/>
        </w:rPr>
        <w:t>2</w:t>
      </w:r>
      <w:r w:rsidRPr="00BD14B0">
        <w:t xml:space="preserve">= 0.027. Figure 8 reports the mean response times for the congruent and incongruent conditions for the student and non-student stories. The manipulation of different life-stories did not affect the response time reactions on gaze cueing. </w:t>
      </w:r>
    </w:p>
    <w:p w14:paraId="05FE85FF" w14:textId="153C2950" w:rsidR="003F2BC4" w:rsidRPr="00BD14B0" w:rsidRDefault="003F2BC4" w:rsidP="00553E01"/>
    <w:p w14:paraId="4009B130" w14:textId="402ACEF4" w:rsidR="00674202" w:rsidRPr="00BD14B0" w:rsidRDefault="00674202" w:rsidP="00553E01"/>
    <w:p w14:paraId="45524580" w14:textId="004117B2" w:rsidR="0014652C" w:rsidRPr="00BD14B0" w:rsidRDefault="0014652C" w:rsidP="00553E01"/>
    <w:p w14:paraId="5C36B31F" w14:textId="39829397" w:rsidR="0014652C" w:rsidRPr="00BD14B0" w:rsidRDefault="0014652C" w:rsidP="00553E01"/>
    <w:p w14:paraId="6164DC39" w14:textId="77777777" w:rsidR="0014652C" w:rsidRPr="00BD14B0" w:rsidRDefault="0014652C" w:rsidP="00553E01"/>
    <w:p w14:paraId="792FACDC" w14:textId="77777777" w:rsidR="00674202" w:rsidRPr="00BD14B0" w:rsidRDefault="00674202" w:rsidP="00553E01"/>
    <w:p w14:paraId="5B1B5818" w14:textId="495113D6" w:rsidR="003F2BC4" w:rsidRPr="00BD14B0" w:rsidRDefault="00A23F72" w:rsidP="00A23F72">
      <w:pPr>
        <w:pStyle w:val="Title"/>
      </w:pPr>
      <w:bookmarkStart w:id="48" w:name="_Toc108322122"/>
      <w:r>
        <w:lastRenderedPageBreak/>
        <w:t xml:space="preserve">Figure </w:t>
      </w:r>
      <w:r w:rsidR="003B267D">
        <w:fldChar w:fldCharType="begin"/>
      </w:r>
      <w:r w:rsidR="003B267D">
        <w:instrText xml:space="preserve"> SEQ Figure \* ARABIC </w:instrText>
      </w:r>
      <w:r w:rsidR="003B267D">
        <w:fldChar w:fldCharType="separate"/>
      </w:r>
      <w:r w:rsidR="003B267D">
        <w:rPr>
          <w:noProof/>
        </w:rPr>
        <w:t>7</w:t>
      </w:r>
      <w:r w:rsidR="003B267D">
        <w:fldChar w:fldCharType="end"/>
      </w:r>
      <w:bookmarkEnd w:id="48"/>
    </w:p>
    <w:p w14:paraId="137D249B" w14:textId="1C730895" w:rsidR="003F2BC4" w:rsidRPr="00BD14B0" w:rsidRDefault="003F2BC4" w:rsidP="003F2BC4">
      <w:bookmarkStart w:id="49" w:name="_Hlk509966756"/>
      <w:r w:rsidRPr="00BD14B0">
        <w:rPr>
          <w:i/>
          <w:iCs/>
        </w:rPr>
        <w:t>Mean reaction times (</w:t>
      </w:r>
      <w:proofErr w:type="spellStart"/>
      <w:r w:rsidR="002B5C71" w:rsidRPr="00BD14B0">
        <w:rPr>
          <w:i/>
          <w:iCs/>
        </w:rPr>
        <w:t>m</w:t>
      </w:r>
      <w:r w:rsidRPr="00BD14B0">
        <w:rPr>
          <w:i/>
          <w:iCs/>
        </w:rPr>
        <w:t>s</w:t>
      </w:r>
      <w:proofErr w:type="spellEnd"/>
      <w:r w:rsidRPr="00BD14B0">
        <w:rPr>
          <w:i/>
          <w:iCs/>
        </w:rPr>
        <w:t xml:space="preserve">) and standard errors for University of Sheffield student story and </w:t>
      </w:r>
      <w:proofErr w:type="gramStart"/>
      <w:r w:rsidRPr="00BD14B0">
        <w:rPr>
          <w:i/>
          <w:iCs/>
        </w:rPr>
        <w:t>Non-Student</w:t>
      </w:r>
      <w:proofErr w:type="gramEnd"/>
      <w:r w:rsidRPr="00BD14B0">
        <w:rPr>
          <w:i/>
          <w:iCs/>
        </w:rPr>
        <w:t xml:space="preserve"> story by congruency type (congruent/incongruent</w:t>
      </w:r>
      <w:bookmarkEnd w:id="49"/>
      <w:r w:rsidRPr="00BD14B0">
        <w:t>)</w:t>
      </w:r>
    </w:p>
    <w:p w14:paraId="0B9CA546" w14:textId="77777777" w:rsidR="003F2BC4" w:rsidRPr="00BD14B0" w:rsidRDefault="003F2BC4" w:rsidP="00553E01"/>
    <w:p w14:paraId="13C7BE2D" w14:textId="77777777" w:rsidR="001B6377" w:rsidRPr="00BD14B0" w:rsidRDefault="001B6377" w:rsidP="00553E01">
      <w:r w:rsidRPr="00BD14B0">
        <w:rPr>
          <w:noProof/>
          <w:lang w:eastAsia="en-US"/>
        </w:rPr>
        <w:drawing>
          <wp:inline distT="0" distB="0" distL="0" distR="0" wp14:anchorId="2C8FC200" wp14:editId="221254AA">
            <wp:extent cx="5676900" cy="422910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6900" cy="4229100"/>
                    </a:xfrm>
                    <a:prstGeom prst="rect">
                      <a:avLst/>
                    </a:prstGeom>
                    <a:noFill/>
                    <a:ln>
                      <a:noFill/>
                    </a:ln>
                  </pic:spPr>
                </pic:pic>
              </a:graphicData>
            </a:graphic>
          </wp:inline>
        </w:drawing>
      </w:r>
    </w:p>
    <w:p w14:paraId="64C7A08C" w14:textId="344B92D5" w:rsidR="003F2BC4" w:rsidRPr="00BD14B0" w:rsidRDefault="00740FC7" w:rsidP="003F2BC4">
      <w:r w:rsidRPr="00BD14B0">
        <w:tab/>
      </w:r>
      <w:r w:rsidR="001B6377" w:rsidRPr="00BD14B0">
        <w:t xml:space="preserve">A paired sample </w:t>
      </w:r>
      <w:r w:rsidR="001B6377" w:rsidRPr="00BD14B0">
        <w:rPr>
          <w:i/>
          <w:iCs/>
        </w:rPr>
        <w:t>t</w:t>
      </w:r>
      <w:r w:rsidR="001B6377" w:rsidRPr="00BD14B0">
        <w:t xml:space="preserve">-test was performed using Likert type question to determine if there was an effect of story type on social group belonging (see Figure </w:t>
      </w:r>
      <w:r w:rsidR="003E4FE5" w:rsidRPr="00BD14B0">
        <w:t>7</w:t>
      </w:r>
      <w:r w:rsidR="001B6377" w:rsidRPr="00BD14B0">
        <w:t>). One question (</w:t>
      </w:r>
      <w:r w:rsidR="001B6377" w:rsidRPr="00BD14B0">
        <w:rPr>
          <w:i/>
          <w:iCs/>
        </w:rPr>
        <w:t>Do you consider yourself to be in the same group with that person?</w:t>
      </w:r>
      <w:r w:rsidR="001B6377" w:rsidRPr="00BD14B0">
        <w:t>) was used to determine whether the group belonging manipulation was successful (i.e., to see if the participants report themselves to belong to one group rather than another). Sheffield students identified themselves as belonging more when presented with the Sheffield student story (</w:t>
      </w:r>
      <w:r w:rsidR="001B6377" w:rsidRPr="00BD14B0">
        <w:rPr>
          <w:i/>
          <w:iCs/>
        </w:rPr>
        <w:t xml:space="preserve">M </w:t>
      </w:r>
      <w:r w:rsidR="001B6377" w:rsidRPr="00BD14B0">
        <w:t xml:space="preserve">= 4.4, </w:t>
      </w:r>
      <w:r w:rsidR="001B6377" w:rsidRPr="00BD14B0">
        <w:rPr>
          <w:i/>
          <w:iCs/>
        </w:rPr>
        <w:t>SD</w:t>
      </w:r>
      <w:r w:rsidR="001B6377" w:rsidRPr="00BD14B0">
        <w:t xml:space="preserve"> = 1.22) than the nonstudent story (</w:t>
      </w:r>
      <w:r w:rsidR="001B6377" w:rsidRPr="00BD14B0">
        <w:rPr>
          <w:i/>
          <w:iCs/>
        </w:rPr>
        <w:t>M</w:t>
      </w:r>
      <w:r w:rsidR="001B6377" w:rsidRPr="00BD14B0">
        <w:t xml:space="preserve"> = 2.9, </w:t>
      </w:r>
      <w:r w:rsidR="001B6377" w:rsidRPr="00BD14B0">
        <w:rPr>
          <w:i/>
          <w:iCs/>
        </w:rPr>
        <w:t xml:space="preserve">SD </w:t>
      </w:r>
      <w:r w:rsidR="001B6377" w:rsidRPr="00BD14B0">
        <w:t xml:space="preserve">= 1.15), </w:t>
      </w:r>
      <w:proofErr w:type="gramStart"/>
      <w:r w:rsidR="001B6377" w:rsidRPr="00BD14B0">
        <w:rPr>
          <w:i/>
          <w:iCs/>
        </w:rPr>
        <w:t>t(</w:t>
      </w:r>
      <w:proofErr w:type="gramEnd"/>
      <w:r w:rsidR="001B6377" w:rsidRPr="00BD14B0">
        <w:rPr>
          <w:i/>
          <w:iCs/>
        </w:rPr>
        <w:t>63)</w:t>
      </w:r>
      <w:r w:rsidR="001B6377" w:rsidRPr="00BD14B0">
        <w:t>= 9.9</w:t>
      </w:r>
      <w:r w:rsidR="009727A9" w:rsidRPr="00BD14B0">
        <w:t>3</w:t>
      </w:r>
      <w:r w:rsidR="001B6377" w:rsidRPr="00BD14B0">
        <w:t xml:space="preserve">, </w:t>
      </w:r>
      <w:r w:rsidR="001B6377" w:rsidRPr="00BD14B0">
        <w:rPr>
          <w:i/>
          <w:iCs/>
        </w:rPr>
        <w:t>p</w:t>
      </w:r>
      <w:r w:rsidR="001B6377" w:rsidRPr="00BD14B0">
        <w:t xml:space="preserve"> &lt; .001.</w:t>
      </w:r>
    </w:p>
    <w:p w14:paraId="6498420D" w14:textId="77777777" w:rsidR="0014652C" w:rsidRPr="00BD14B0" w:rsidRDefault="0014652C" w:rsidP="003F2BC4"/>
    <w:p w14:paraId="1665C624" w14:textId="3B5CB4DF" w:rsidR="003F2BC4" w:rsidRPr="00BD14B0" w:rsidRDefault="00A23F72" w:rsidP="00A23F72">
      <w:pPr>
        <w:pStyle w:val="Title"/>
      </w:pPr>
      <w:bookmarkStart w:id="50" w:name="_Toc108322123"/>
      <w:r>
        <w:lastRenderedPageBreak/>
        <w:t xml:space="preserve">Figure </w:t>
      </w:r>
      <w:r w:rsidR="003B267D">
        <w:fldChar w:fldCharType="begin"/>
      </w:r>
      <w:r w:rsidR="003B267D">
        <w:instrText xml:space="preserve"> SEQ Figure \* ARABIC </w:instrText>
      </w:r>
      <w:r w:rsidR="003B267D">
        <w:fldChar w:fldCharType="separate"/>
      </w:r>
      <w:r w:rsidR="003B267D">
        <w:rPr>
          <w:noProof/>
        </w:rPr>
        <w:t>8</w:t>
      </w:r>
      <w:r w:rsidR="003B267D">
        <w:fldChar w:fldCharType="end"/>
      </w:r>
      <w:bookmarkEnd w:id="50"/>
    </w:p>
    <w:p w14:paraId="6AAB1C24" w14:textId="24B9EFB8" w:rsidR="003F2BC4" w:rsidRPr="00BD14B0" w:rsidRDefault="003F2BC4" w:rsidP="003F2BC4">
      <w:r w:rsidRPr="00BD14B0">
        <w:rPr>
          <w:i/>
          <w:iCs/>
        </w:rPr>
        <w:t xml:space="preserve">Mean response to group belonging question scored 1 (not at all) to 6 (extremely) by story type </w:t>
      </w:r>
    </w:p>
    <w:p w14:paraId="4EEADE29" w14:textId="416384EB" w:rsidR="001B6377" w:rsidRPr="00BD14B0" w:rsidRDefault="001B6377" w:rsidP="00553E01">
      <w:pPr>
        <w:rPr>
          <w:b/>
        </w:rPr>
      </w:pPr>
      <w:r w:rsidRPr="00BD14B0">
        <w:rPr>
          <w:noProof/>
          <w:lang w:eastAsia="en-US"/>
        </w:rPr>
        <w:drawing>
          <wp:inline distT="0" distB="0" distL="0" distR="0" wp14:anchorId="3446CF5B" wp14:editId="1B8DA87B">
            <wp:extent cx="5731510" cy="3854795"/>
            <wp:effectExtent l="0" t="0" r="2540" b="0"/>
            <wp:docPr id="30732" name="picture" descr="C:\Users\psychology\Desktop\ltq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19082" name="picture"/>
                    <pic:cNvPicPr/>
                  </pic:nvPicPr>
                  <pic:blipFill>
                    <a:blip r:embed="rId21">
                      <a:extLst>
                        <a:ext uri="{28A0092B-C50C-407E-A947-70E740481C1C}">
                          <a14:useLocalDpi xmlns:a14="http://schemas.microsoft.com/office/drawing/2010/main" val="0"/>
                        </a:ext>
                      </a:extLst>
                    </a:blip>
                    <a:stretch>
                      <a:fillRect/>
                    </a:stretch>
                  </pic:blipFill>
                  <pic:spPr>
                    <a:xfrm>
                      <a:off x="0" y="0"/>
                      <a:ext cx="5731510" cy="3854795"/>
                    </a:xfrm>
                    <a:prstGeom prst="rect">
                      <a:avLst/>
                    </a:prstGeom>
                  </pic:spPr>
                </pic:pic>
              </a:graphicData>
            </a:graphic>
          </wp:inline>
        </w:drawing>
      </w:r>
    </w:p>
    <w:p w14:paraId="423F6464" w14:textId="77777777" w:rsidR="001B6377" w:rsidRPr="00BD14B0" w:rsidRDefault="001B6377" w:rsidP="00553E01"/>
    <w:p w14:paraId="00E13891" w14:textId="094B2FEF" w:rsidR="001B6377" w:rsidRPr="00BD14B0" w:rsidRDefault="001B6377" w:rsidP="00553E01">
      <w:pPr>
        <w:pStyle w:val="Heading3"/>
      </w:pPr>
      <w:bookmarkStart w:id="51" w:name="_Toc108310770"/>
      <w:r w:rsidRPr="00BD14B0">
        <w:t>Discussion</w:t>
      </w:r>
      <w:bookmarkEnd w:id="51"/>
    </w:p>
    <w:p w14:paraId="637F2311" w14:textId="77777777" w:rsidR="003F2BC4" w:rsidRPr="00BD14B0" w:rsidRDefault="003F2BC4" w:rsidP="003F2BC4"/>
    <w:p w14:paraId="5B43C5ED" w14:textId="77777777" w:rsidR="001B6377" w:rsidRPr="00BD14B0" w:rsidRDefault="001B6377" w:rsidP="000066B1">
      <w:pPr>
        <w:pStyle w:val="Heading4"/>
        <w:numPr>
          <w:ilvl w:val="0"/>
          <w:numId w:val="0"/>
        </w:numPr>
        <w:ind w:left="851"/>
      </w:pPr>
      <w:r w:rsidRPr="00BD14B0">
        <w:t>Summary of Findings</w:t>
      </w:r>
    </w:p>
    <w:p w14:paraId="520CF83A" w14:textId="168A7B00" w:rsidR="001B6377" w:rsidRPr="00BD14B0" w:rsidRDefault="001B6377" w:rsidP="00553E01">
      <w:r w:rsidRPr="00BD14B0">
        <w:tab/>
      </w:r>
      <w:r w:rsidR="006D6F11" w:rsidRPr="00BD14B0">
        <w:t>This study investigated the effect of social group belonging on gaze-following behaviour. Overall</w:t>
      </w:r>
      <w:r w:rsidR="00332846" w:rsidRPr="00BD14B0">
        <w:t>,</w:t>
      </w:r>
      <w:r w:rsidR="006D6F11" w:rsidRPr="00BD14B0">
        <w:t xml:space="preserve"> both </w:t>
      </w:r>
      <w:r w:rsidR="00332846" w:rsidRPr="00BD14B0">
        <w:t xml:space="preserve">the </w:t>
      </w:r>
      <w:r w:rsidR="006D6F11" w:rsidRPr="00BD14B0">
        <w:t xml:space="preserve">stimulus development study and the main behavioural study indicated that participants were more likely to report belonging to in-group compared to out-group, suggesting that the manipulation worked on this (explicit) level. However, the main behavioural study showed that manipulation of group belonging did not affect their response time to gaze cues (implicit level). These results are consistent with the literature </w:t>
      </w:r>
      <w:r w:rsidR="006D6F11" w:rsidRPr="00BD14B0">
        <w:lastRenderedPageBreak/>
        <w:t>and advance our understanding of the structure of group membership and its effects on social attention.</w:t>
      </w:r>
    </w:p>
    <w:p w14:paraId="569BBA49" w14:textId="33D4FC11" w:rsidR="001B6377" w:rsidRPr="00BD14B0" w:rsidRDefault="001B6377" w:rsidP="00553E01">
      <w:r w:rsidRPr="00BD14B0">
        <w:tab/>
        <w:t>The main effect of congruency was significant, demonstrating that participants were able to more quickly and accurately respond to congruent trials compared to incongruent trials. When the eye gaze and the target were located on the same side of the screen, participants tended to respond faster compared to when the eye gaze and the target were positioned on opposite sides of the screen. This phenomenon is known as “</w:t>
      </w:r>
      <w:r w:rsidRPr="00BD14B0">
        <w:rPr>
          <w:i/>
        </w:rPr>
        <w:t>gaze cueing effect</w:t>
      </w:r>
      <w:r w:rsidRPr="00BD14B0">
        <w:t>”</w:t>
      </w:r>
      <w:r w:rsidR="00907BBF" w:rsidRPr="00BD14B0">
        <w:t xml:space="preserve"> </w:t>
      </w:r>
      <w:r w:rsidR="00907BBF" w:rsidRPr="00BD14B0">
        <w:fldChar w:fldCharType="begin" w:fldLock="1"/>
      </w:r>
      <w:r w:rsidR="0028287E" w:rsidRPr="00BD14B0">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1998)","manualFormatting":"(Friesen &amp; Kingstone, 1998)","plainTextFormattedCitation":"(C. K. Friesen &amp; Kingstone, 1998)","previouslyFormattedCitation":"(C. K. Friesen &amp; Kingstone, 1998)"},"properties":{"noteIndex":0},"schema":"https://github.com/citation-style-language/schema/raw/master/csl-citation.json"}</w:instrText>
      </w:r>
      <w:r w:rsidR="00907BBF" w:rsidRPr="00BD14B0">
        <w:fldChar w:fldCharType="separate"/>
      </w:r>
      <w:r w:rsidR="004D2901" w:rsidRPr="00BD14B0">
        <w:rPr>
          <w:noProof/>
        </w:rPr>
        <w:t>(Friesen &amp; Kingstone, 1998)</w:t>
      </w:r>
      <w:r w:rsidR="00907BBF" w:rsidRPr="00BD14B0">
        <w:fldChar w:fldCharType="end"/>
      </w:r>
      <w:r w:rsidRPr="00BD14B0">
        <w:t xml:space="preserve">. </w:t>
      </w:r>
      <w:r w:rsidR="00332846" w:rsidRPr="00BD14B0">
        <w:t>Thus, the current results are c</w:t>
      </w:r>
      <w:r w:rsidRPr="00BD14B0">
        <w:t xml:space="preserve">onsistent with the previous literature </w:t>
      </w:r>
      <w:r w:rsidRPr="00BD14B0">
        <w:fldChar w:fldCharType="begin" w:fldLock="1"/>
      </w:r>
      <w:r w:rsidR="004D2901" w:rsidRPr="00BD14B0">
        <w:instrText>ADDIN CSL_CITATION {"citationItems":[{"id":"ITEM-1","itemData":{"DOI":"10.1111/ejn.13038","ISSN":"0953-816X","abstract":"Observing someone rapidly moving their eyes induces reflexive shifts of overt and covert attention in the onlooker. Previous studies have shown that this process can be modulated by the onlooker&amp;#039;s personality, as well as by the social features of the person depicted in the cued face. Here, we investigated whether an individual&amp;#039;s preference for social dominance orientation, in‐group perceived similarity (), and political affiliation of the cued‐face modulated neural activity within specific nodes of the social attention network. During functional magnetic resonance imaging, participants were requested to perform a gaze‐following task to investigate whether the directional gaze of various Italian political personages might influence the oculomotor behaviour of in‐group or out‐group voters. After scanning, we acquired measures of in personality traits with each political personage and preference for social dominance orientation. Behavioural data showed that higher gaze interference for in‐group than out‐group political personages was predicted by a higher preference for social hierarchy. Higher blood oxygenation level‐dependent activity in incongruent vs. congruent conditions was found in areas associated with orienting to socially salient events and monitoring response conflict, namely the left frontal eye field, right supramarginal gyrus, mid‐cingulate cortex and left anterior insula. Interestingly, higher ratings of with the in‐group and less preference for social hierarchy predicted increased activity in the left frontal eye field during distracting gaze movements of in‐group as compared with out‐group political personages. Our results suggest that neural activity in the social orienting circuit is modulated by higher‐order social dimensions, such as in‐group and individual differences in ideological attitudes. During fMRI, participants were requested to perform a GF task to investigate whether the directional gaze of various Italian political personages may influence the oculomotor behaviour of in‐group or out‐group voters. Measures of perceived similarity (PS) and social dominance orientation were also acquired. Higher ratings of PS with the in‐group and less preference for social hierarchy predicted increased activity in the FEF during distracting gaze movements of in‐group as compared to out‐group political personages.","author":[{"dropping-particle":"","family":"Cazzato","given":"Valentina","non-dropping-particle":"","parse-names":false,"suffix":""},{"dropping-particle":"","family":"Liuzza","given":"Marco Tullio","non-dropping-particle":"","parse-names":false,"suffix":""},{"dropping-particle":"","family":"Caprara","given":"Gian Vittorio","non-dropping-particle":"","parse-names":false,"suffix":""},{"dropping-particle":"","family":"Macaluso","given":"Emiliano","non-dropping-particle":"","parse-names":false,"suffix":""},{"dropping-particle":"","family":"Aglioti","given":"Salvatore Maria","non-dropping-particle":"","parse-names":false,"suffix":""}],"container-title":"European Journal of Neuroscience","id":"ITEM-1","issue":"8","issued":{"date-parts":[["2015"]]},"page":"2534-2545","title":"The attracting power of the gaze of politicians is modulated by the personality and ideological attitude of their voters: a functional magnetic resonance imaging study","type":"article-journal","volume":"42"},"uris":["http://www.mendeley.com/documents/?uuid=b47f6788-d290-4c1e-a230-13b05c49e1aa"]},{"id":"ITEM-2","itemData":{"DOI":"10.1371/journal.pone.0025608","ISSN":"1932-6203","abstract":"Viewing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One","id":"ITEM-2","issue":"10","issued":{"date-parts":[["2011"]]},"note":"Times Cited: 14\nGalfano, Giovanni/B-7582-2008\n14","title":"Racial Group Membership Is Associated to Gaze-Mediated Orienting in Italy","type":"article-journal","volume":"6"},"uris":["http://www.mendeley.com/documents/?uuid=c3ea2b1c-0d14-4450-a7ae-afb548fda639"]},{"id":"ITEM-3","itemData":{"DOI":"10.1037/xlm0000159","ISSN":"1939-1285","PMID":"26237618","abstract":"We assessed the extent to which previous experience of joint gaze with people (i.e., looking toward the same object) modulates later gaze cueing of attention elicited by those individuals. Participants in Experiments 1 and 2a/b first completed a saccade/antisaccade task while a to-be-ignored face either looked at, or away from, the participants&amp;#039; eye movement target. Two faces always engaged in joint gaze with the participant, whereas 2 other faces never engaged in joint gaze. Then, we assessed standard gaze cueing in response to these faces to ascertain the effect of these prior interactions on subsequent social attention episodes. In Experiment 1, the face&amp;#039;s eyes moved before the participant&amp;#039;s target appeared, meaning that the participant always gaze-followed 2 faces and never gaze-followed 2 other faces. We found that this prior experience modulated the timecourse of subsequent gaze cueing. In Experiments 2a/b, the participant looked at the target first, then was either followed (i.e., the participant initiated joint gaze), or was not followed. These participants then showed an overall decrement of gaze cueing with individuals who had previously followed participants&amp;#039; eyes (Experiment 2a), an effect that was associated with autism spectrum quotient scores and modulated perceived trustworthiness of the faces (Experiment 2b). Experiment 3 demonstrated that these modulations are unlikely to be because of the association of different levels of task difficulty with particular faces. These findings suggest that establishing joint gaze with others influences subsequent social attention processes that are generally thought to be relatively insensitive to learning from prior episodes.","author":[{"dropping-particle":"","family":"Dalmaso","given":"Mario","non-dropping-particle":"","parse-names":false,"suffix":""},{"dropping-particle":"","family":"Edwards","given":"S. Gareth","non-dropping-particle":"","parse-names":false,"suffix":""},{"dropping-particle":"","family":"Bayliss","given":"Andrew P.","non-dropping-particle":"","parse-names":false,"suffix":""}],"container-title":"Journal of Experimental Psychology: Learning, Memory, and Cognition","id":"ITEM-3","issue":"2","issued":{"date-parts":[["2016"]]},"page":"271-284","title":"Re-encountering individuals who previously engaged in joint gaze modulates subsequent gaze cueing.","type":"article-journal","volume":"42"},"uris":["http://www.mendeley.com/documents/?uuid=a7f36e5d-a347-40e8-9ba4-63ed8145ceab"]}],"mendeley":{"formattedCitation":"(Cazzato et al., 2015; Dalmaso et al., 2016; Pavan et al., 2011)","plainTextFormattedCitation":"(Cazzato et al., 2015; Dalmaso et al., 2016; Pavan et al., 2011)","previouslyFormattedCitation":"(Cazzato et al., 2015; Dalmaso et al., 2016; Pavan et al., 2011)"},"properties":{"noteIndex":0},"schema":"https://github.com/citation-style-language/schema/raw/master/csl-citation.json"}</w:instrText>
      </w:r>
      <w:r w:rsidRPr="00BD14B0">
        <w:fldChar w:fldCharType="separate"/>
      </w:r>
      <w:r w:rsidR="004D2901" w:rsidRPr="00BD14B0">
        <w:rPr>
          <w:noProof/>
        </w:rPr>
        <w:t>(Cazzato et al., 2015; Dalmaso et al., 2016; Pavan et al., 2011)</w:t>
      </w:r>
      <w:r w:rsidRPr="00BD14B0">
        <w:fldChar w:fldCharType="end"/>
      </w:r>
      <w:r w:rsidR="00332846" w:rsidRPr="00BD14B0">
        <w:t xml:space="preserve"> in </w:t>
      </w:r>
      <w:r w:rsidR="00284ADB" w:rsidRPr="00BD14B0">
        <w:t>finding</w:t>
      </w:r>
      <w:r w:rsidR="00332846" w:rsidRPr="00BD14B0">
        <w:t xml:space="preserve"> </w:t>
      </w:r>
      <w:r w:rsidRPr="00BD14B0">
        <w:t>evidence for the gaze cueing effect; our task measured gaze-following behaviour and we showed that participants were following the eye gaze automatically.</w:t>
      </w:r>
    </w:p>
    <w:p w14:paraId="2F466DF8" w14:textId="587122AE" w:rsidR="001B6377" w:rsidRPr="00BD14B0" w:rsidRDefault="001B6377" w:rsidP="00553E01">
      <w:pPr>
        <w:rPr>
          <w:highlight w:val="yellow"/>
        </w:rPr>
      </w:pPr>
      <w:r w:rsidRPr="00BD14B0">
        <w:tab/>
      </w:r>
      <w:r w:rsidR="006D6F11" w:rsidRPr="00BD14B0">
        <w:t xml:space="preserve">Social identity theory states that </w:t>
      </w:r>
      <w:r w:rsidR="00C66609" w:rsidRPr="00BD14B0">
        <w:t xml:space="preserve">individuals </w:t>
      </w:r>
      <w:r w:rsidR="006D6F11" w:rsidRPr="00BD14B0">
        <w:t xml:space="preserve">put people into social groups based through a process of social categorization and the in-group will discriminate against the out-group to enhance their self-image </w:t>
      </w:r>
      <w:r w:rsidR="006D6F11" w:rsidRPr="00BD14B0">
        <w:fldChar w:fldCharType="begin" w:fldLock="1"/>
      </w:r>
      <w:r w:rsidR="0028287E" w:rsidRPr="00BD14B0">
        <w:instrText>ADDIN CSL_CITATION {"citationItems":[{"id":"ITEM-1","itemData":{"DOI":"10.1111/j.2044-8260.1979.tb00324.x","ISBN":"0007-1293(Print)","ISSN":"00071293","abstract":"D. Taylor and R. Brown (see record 1980-27904-001) have argued that, although research in social psychology needs to take into account the social context of social behavior, the theories should aim at the explanation of individual behavior. This view is argued against as it applies to some important issues in social psychology: (1) It is contended that the \"individualistic\" bias of research in social psychology derives from the nature of the theories dominating the discipline. (2) A theory of intergroup behavior is briefly outlined to show that its structure and aims are different in some important ways from the individualistic theories. The bias of these theories, which is due to their assumption that social behavior takes place inside homogeneous and unstructured social systems, is illustrated using as examples the theory of belief similarity in prejudice and equity theory. (20 ref) (PsycINFO Database Record (c) 2016 APA, all rights reserved)","author":[{"dropping-particle":"","family":"Tajfel","given":"Henri","non-dropping-particle":"","parse-names":false,"suffix":""}],"container-title":"British Journal of Social and Clinical Psychology","id":"ITEM-1","issue":"2","issued":{"date-parts":[["1979","6"]]},"page":"183-190","publisher":"British Psychological Society","publisher-place":"United Kingdom","title":"Individuals and groups in social psychology*","type":"article-journal","volume":"18"},"uris":["http://www.mendeley.com/documents/?uuid=7476a241-6162-43b7-9914-f38623ded0a0"]},{"id":"ITEM-2","itemData":{"DOI":"10.1002/ejsp.2420010202","ISSN":"0046-2772","abstract":"The aim of the studies was to assess the effefcs of social categorization on intergroup behaviour when, in the intergroup situation, neither calculations of individual interest nor previously existing attitudes of hostility could have been said to have determined discriminative behaviour against an outgroup. These conditions were satisfied in the experimental design. In the first series of experiments, it was found that the subjects favoured their own group in the distribution of real rewards and penalities in a situation in which nothing but the variable of fairly irrelevant classification distinguished between the ingroup and the outgroup. In the second series of experiments it was found that: 1) maximum joint profit independent of group membership did not affect significantly the manner in which the subjects divided real pecuniary rewards; 2) maximum profit for own group did affect the distribution of rewards; 3) the clearest effect on the distribution of rewards was due to the subjects&amp;#039; attempt to achieve a maximum difference between the ingroup and the outgroup even at the price of sacrificing other ‘objective’ advantages. The design and the results of the study are theoretically discussed within the framework of social norms and expectations and particularly in relation to a ‘generic’ norm of outgroup behaviour prevalent in some societies.","author":[{"dropping-particle":"","family":"Tajfel","given":"Henri","non-dropping-particle":"","parse-names":false,"suffix":""},{"dropping-particle":"","family":"Billig","given":"M G","non-dropping-particle":"","parse-names":false,"suffix":""},{"dropping-particle":"","family":"Bundy","given":"R P","non-dropping-particle":"","parse-names":false,"suffix":""},{"dropping-particle":"","family":"Flament","given":"Claude","non-dropping-particle":"","parse-names":false,"suffix":""}],"container-title":"European Journal of Social Psychology","id":"ITEM-2","issue":"2","issued":{"date-parts":[["1971"]]},"page":"149-178","title":"Social categorization and intergroup behaviour","type":"article-journal","volume":"1"},"uris":["http://www.mendeley.com/documents/?uuid=e6797b15-545b-4cfc-a524-c7eda9433a3d"]}],"mendeley":{"formattedCitation":"(Tajfel, 1979; Tajfel et al., 1971)","manualFormatting":"(Tajfel., 1979; Tajfel et al., 1971)","plainTextFormattedCitation":"(Tajfel, 1979; Tajfel et al., 1971)","previouslyFormattedCitation":"(Tajfel, 1979; Tajfel et al., 1971)"},"properties":{"noteIndex":0},"schema":"https://github.com/citation-style-language/schema/raw/master/csl-citation.json"}</w:instrText>
      </w:r>
      <w:r w:rsidR="006D6F11" w:rsidRPr="00BD14B0">
        <w:fldChar w:fldCharType="separate"/>
      </w:r>
      <w:r w:rsidR="004D2901" w:rsidRPr="00BD14B0">
        <w:rPr>
          <w:noProof/>
        </w:rPr>
        <w:t>(Tajfel</w:t>
      </w:r>
      <w:r w:rsidR="003E73AC" w:rsidRPr="00BD14B0">
        <w:rPr>
          <w:noProof/>
        </w:rPr>
        <w:t>.</w:t>
      </w:r>
      <w:r w:rsidR="004D2901" w:rsidRPr="00BD14B0">
        <w:rPr>
          <w:noProof/>
        </w:rPr>
        <w:t>, 1979; Tajfel et al., 1971)</w:t>
      </w:r>
      <w:r w:rsidR="006D6F11" w:rsidRPr="00BD14B0">
        <w:fldChar w:fldCharType="end"/>
      </w:r>
      <w:r w:rsidR="006D6F11" w:rsidRPr="00BD14B0">
        <w:t>. Hence, in line with social identity</w:t>
      </w:r>
      <w:r w:rsidR="00332846" w:rsidRPr="00BD14B0">
        <w:t xml:space="preserve"> theory </w:t>
      </w:r>
      <w:r w:rsidR="00284ADB" w:rsidRPr="00BD14B0">
        <w:t>participants</w:t>
      </w:r>
      <w:r w:rsidR="00332846" w:rsidRPr="00BD14B0">
        <w:t xml:space="preserve"> in the current study </w:t>
      </w:r>
      <w:r w:rsidR="006D6F11" w:rsidRPr="00BD14B0">
        <w:t>show</w:t>
      </w:r>
      <w:r w:rsidR="00AE094F" w:rsidRPr="00BD14B0">
        <w:t>ed</w:t>
      </w:r>
      <w:r w:rsidR="006D6F11" w:rsidRPr="00BD14B0">
        <w:t xml:space="preserve"> greater affinity to </w:t>
      </w:r>
      <w:r w:rsidR="00AE094F" w:rsidRPr="00BD14B0">
        <w:t xml:space="preserve">ingroup </w:t>
      </w:r>
      <w:r w:rsidR="006D6F11" w:rsidRPr="00BD14B0">
        <w:t xml:space="preserve">faces. Although lacking knowledge about the gazer face (other than whether they are the student or not) </w:t>
      </w:r>
      <w:r w:rsidR="00284ADB" w:rsidRPr="00BD14B0">
        <w:t>participants</w:t>
      </w:r>
      <w:r w:rsidR="00AE094F" w:rsidRPr="00BD14B0">
        <w:t xml:space="preserve"> </w:t>
      </w:r>
      <w:r w:rsidR="006D6F11" w:rsidRPr="00BD14B0">
        <w:t xml:space="preserve">reported that in-group member would be </w:t>
      </w:r>
      <w:r w:rsidR="00AE094F" w:rsidRPr="00BD14B0">
        <w:t xml:space="preserve">significantly </w:t>
      </w:r>
      <w:r w:rsidR="006D6F11" w:rsidRPr="00BD14B0">
        <w:t xml:space="preserve">smarter compared to the out-group member. These results are in line with the literature and further suggest that people tent to perceive ingroup members positively. </w:t>
      </w:r>
      <w:r w:rsidRPr="00BD14B0">
        <w:t xml:space="preserve"> </w:t>
      </w:r>
    </w:p>
    <w:p w14:paraId="558A316A" w14:textId="02BCF334" w:rsidR="001B6377" w:rsidRPr="00BD14B0" w:rsidRDefault="001B6377" w:rsidP="00553E01">
      <w:r w:rsidRPr="00BD14B0">
        <w:tab/>
        <w:t xml:space="preserve">Like social categorization studies </w:t>
      </w:r>
      <w:r w:rsidRPr="00BD14B0">
        <w:fldChar w:fldCharType="begin" w:fldLock="1"/>
      </w:r>
      <w:r w:rsidR="004D2901" w:rsidRPr="00BD14B0">
        <w:instrText>ADDIN CSL_CITATION {"citationItems":[{"id":"ITEM-1","itemData":{"DOI":"10.1371/journal.pone.0093139","ISSN":"1932-6203","abstract":"Fixating someone suddenly moving the eyes is known to trigger a corresponding shift of attention in the observer. This phenomenon, known as gaze-cueing effect, can be modulated as a function of the social status of the individual depicted in the cueing face. Here, in two experiments, we investigated the temporal dynamics underlying this modulation. To this end, a gaze-cueing paradigm was implemented in which centrally-placed faces depicting high-and low-status individuals suddenly shifted the eyes towards a location either spatially congruent or incongruent with that occupied by a subsequent target stimulus. Social status was manipulated by presenting fictive Curriculum Vitae before the experimental phase. In Experiment 1, in which two temporal intervals (50 ms vs. 900 ms) occurred between the direct-gaze face and the averted-gaze face onsets, a stronger gaze-cueing effect in response to high-status faces than low-status faces was observed, irrespective of the time participants were allowed for extracting social information. In Experiment 2, in which two temporal intervals (200 ms vs. 1000 ms) occurred between the averted-gaze face and target onset, a stronger gaze cueing for high-status faces was observed at the shorter interval only. Taken together, these results suggest that information regarding social status is extracted from faces rapidly (Experiment 1), and that the tendency to selectively attend to the locations gazed by high-status individuals may decay with time (Experiment 2).","author":[{"dropping-particle":"","family":"Dalmaso","given":"Mario","non-dropping-particle":"","parse-names":false,"suffix":""},{"dropping-particle":"","family":"Galfano","given":"Giovanni","non-dropping-particle":"","parse-names":false,"suffix":""},{"dropping-particle":"","family":"Coricelli","given":"Carol","non-dropping-particle":"","parse-names":false,"suffix":""},{"dropping-particle":"","family":"Castelli","given":"Luigi","non-dropping-particle":"","parse-names":false,"suffix":""}],"container-title":"PLoS ONE","editor":[{"dropping-particle":"","family":"Senju","given":"Atsushi","non-dropping-particle":"","parse-names":false,"suffix":""}],"id":"ITEM-1","issue":"3","issued":{"date-parts":[["2014","3","25"]]},"note":"Times Cited: 1\n1","page":"e93139","title":"Temporal Dynamics Underlying the Modulation of Social Status on Social Attention","type":"article-journal","volume":"9"},"uris":["http://www.mendeley.com/documents/?uuid=a8c97fd0-ac78-49e7-9a2a-c01e19f02d94"]}],"mendeley":{"formattedCitation":"(Dalmaso et al., 2014)","plainTextFormattedCitation":"(Dalmaso et al., 2014)","previouslyFormattedCitation":"(Dalmaso et al., 2014)"},"properties":{"noteIndex":0},"schema":"https://github.com/citation-style-language/schema/raw/master/csl-citation.json"}</w:instrText>
      </w:r>
      <w:r w:rsidRPr="00BD14B0">
        <w:fldChar w:fldCharType="separate"/>
      </w:r>
      <w:r w:rsidR="004D2901" w:rsidRPr="00BD14B0">
        <w:rPr>
          <w:noProof/>
        </w:rPr>
        <w:t>(Dalmaso et al., 2014)</w:t>
      </w:r>
      <w:r w:rsidRPr="00BD14B0">
        <w:fldChar w:fldCharType="end"/>
      </w:r>
      <w:r w:rsidRPr="00BD14B0">
        <w:t xml:space="preserve"> where visual similarity was used to assign people to a specific social group, semantic knowledge can also play a role by causing people to respond more quickly to eye gaze of in-group faces. Familiar faces have been previously shown to be effective on the strength of gaze following behaviour </w:t>
      </w:r>
      <w:r w:rsidRPr="00BD14B0">
        <w:fldChar w:fldCharType="begin" w:fldLock="1"/>
      </w:r>
      <w:r w:rsidRPr="00BD14B0">
        <w:instrText>ADDIN CSL_CITATION {"citationItems":[{"id":"ITEM-1","itemData":{"DOI":"10.1080/17470218.2012.690769","ISSN":"1747-0218","abstract":"Important social information can be gathered from the direction of another person's gaze, such as their intentions and aspects of the environment that are relevant to those intentions. Previous work has examined the effect of gaze on attention through the gaze-cueing effect: an enhancement of performance in detecting targets that appear where another person is looking. The present study investigated whether the physical self-similarity of a face could increase its impact on attention. Self-similarity was manipulated by morphing participants' faces with those of strangers. The effect of gaze direction on target detection was strongest for faces morphed with the participant's face. The results support previous work suggesting that self-similar faces are processed differently from dissimilar faces. The data also demonstrate that a face's similarity to one's own face influences the degree to which that face guides our attention in the environment.","author":[{"dropping-particle":"","family":"Hungr","given":"Clara J","non-dropping-particle":"","parse-names":false,"suffix":""},{"dropping-particle":"","family":"Hunt","given":"Amelia R","non-dropping-particle":"","parse-names":false,"suffix":""}],"container-title":"Quarterly Journal of Experimental Psychology","id":"ITEM-1","issue":"7","issued":{"date-parts":[["2012"]]},"note":"Times Cited: 3\n3","page":"1250-1259","title":"Physical self-similarity enhances the gaze-cueing effect","type":"article-journal","volume":"65"},"uris":["http://www.mendeley.com/documents/?uuid=2b3772d6-afbd-40b1-b6d0-f788c0bdaeb6"]}],"mendeley":{"formattedCitation":"(Hungr &amp; Hunt, 2012)","plainTextFormattedCitation":"(Hungr &amp; Hunt, 2012)","previouslyFormattedCitation":"(Hungr &amp; Hunt, 2012)"},"properties":{"noteIndex":0},"schema":"https://github.com/citation-style-language/schema/raw/master/csl-citation.json"}</w:instrText>
      </w:r>
      <w:r w:rsidRPr="00BD14B0">
        <w:fldChar w:fldCharType="separate"/>
      </w:r>
      <w:r w:rsidRPr="00BD14B0">
        <w:rPr>
          <w:noProof/>
        </w:rPr>
        <w:t>(Hungr &amp; Hunt, 2012)</w:t>
      </w:r>
      <w:r w:rsidRPr="00BD14B0">
        <w:fldChar w:fldCharType="end"/>
      </w:r>
      <w:r w:rsidRPr="00BD14B0">
        <w:t xml:space="preserve">. We predicted story type </w:t>
      </w:r>
      <w:r w:rsidR="00AE094F" w:rsidRPr="00BD14B0">
        <w:t xml:space="preserve">(i.e., ingroup versus outgroup) </w:t>
      </w:r>
      <w:r w:rsidRPr="00BD14B0">
        <w:t xml:space="preserve">would </w:t>
      </w:r>
      <w:r w:rsidR="00AE094F" w:rsidRPr="00BD14B0">
        <w:t xml:space="preserve">have a </w:t>
      </w:r>
      <w:r w:rsidRPr="00BD14B0">
        <w:t>significant</w:t>
      </w:r>
      <w:r w:rsidR="00AE094F" w:rsidRPr="00BD14B0">
        <w:t xml:space="preserve"> effect</w:t>
      </w:r>
      <w:r w:rsidRPr="00BD14B0">
        <w:t xml:space="preserve">, such that people would have a larger gaze cueing effect to faces </w:t>
      </w:r>
      <w:r w:rsidR="00AE094F" w:rsidRPr="00BD14B0">
        <w:t xml:space="preserve">belonging </w:t>
      </w:r>
      <w:r w:rsidRPr="00BD14B0">
        <w:t xml:space="preserve">to the in-group condition. However, the main effect of type of story was non-significant. This suggests that although our task successfully </w:t>
      </w:r>
      <w:r w:rsidR="00AE094F" w:rsidRPr="00BD14B0">
        <w:t xml:space="preserve">produced a </w:t>
      </w:r>
      <w:r w:rsidRPr="00BD14B0">
        <w:t>gaze cue</w:t>
      </w:r>
      <w:r w:rsidR="00AE094F" w:rsidRPr="00BD14B0">
        <w:t>ing effect</w:t>
      </w:r>
      <w:r w:rsidRPr="00BD14B0">
        <w:t xml:space="preserve">, </w:t>
      </w:r>
      <w:r w:rsidR="00AE094F" w:rsidRPr="00BD14B0">
        <w:t xml:space="preserve">and significantly manipulated </w:t>
      </w:r>
      <w:r w:rsidRPr="00BD14B0">
        <w:t>social group belonging</w:t>
      </w:r>
      <w:r w:rsidR="00AE094F" w:rsidRPr="00BD14B0">
        <w:t>, this increase sense of (</w:t>
      </w:r>
      <w:r w:rsidR="00284ADB" w:rsidRPr="00BD14B0">
        <w:t>ingroup</w:t>
      </w:r>
      <w:r w:rsidR="00AE094F" w:rsidRPr="00BD14B0">
        <w:t>) belonging</w:t>
      </w:r>
      <w:r w:rsidRPr="00BD14B0">
        <w:t xml:space="preserve"> did not cause a stronger gaze cueing effect. </w:t>
      </w:r>
    </w:p>
    <w:p w14:paraId="3196890C" w14:textId="2579EE5E" w:rsidR="001B6377" w:rsidRPr="00BD14B0" w:rsidRDefault="001B6377" w:rsidP="00553E01">
      <w:pPr>
        <w:pStyle w:val="Heading2"/>
      </w:pPr>
      <w:bookmarkStart w:id="52" w:name="_Toc108310771"/>
      <w:r w:rsidRPr="00BD14B0">
        <w:lastRenderedPageBreak/>
        <w:t>Overall Discussion</w:t>
      </w:r>
      <w:bookmarkEnd w:id="52"/>
      <w:r w:rsidRPr="00BD14B0">
        <w:t xml:space="preserve"> </w:t>
      </w:r>
    </w:p>
    <w:p w14:paraId="3E65FC8E" w14:textId="623A1250" w:rsidR="006D6F11" w:rsidRPr="00BD14B0" w:rsidRDefault="001B6377" w:rsidP="00553E01">
      <w:r w:rsidRPr="00BD14B0">
        <w:t xml:space="preserve"> </w:t>
      </w:r>
      <w:r w:rsidRPr="00BD14B0">
        <w:tab/>
      </w:r>
      <w:r w:rsidR="006D6F11" w:rsidRPr="00BD14B0">
        <w:t xml:space="preserve">Overall, the results showed that the social group membership manipulation had a significant effect on attitudes (group belonging); nevertheless, it did not </w:t>
      </w:r>
      <w:r w:rsidR="00AE094F" w:rsidRPr="00BD14B0">
        <w:t>increase the</w:t>
      </w:r>
      <w:r w:rsidR="006D6F11" w:rsidRPr="00BD14B0">
        <w:t xml:space="preserve"> gaze cueing effect. Participants reported finding in-group members to be more attractive and positive </w:t>
      </w:r>
      <w:r w:rsidR="00284ADB" w:rsidRPr="00BD14B0">
        <w:t>overall,</w:t>
      </w:r>
      <w:r w:rsidR="00AE094F" w:rsidRPr="00BD14B0">
        <w:t xml:space="preserve"> but this did not impact on the </w:t>
      </w:r>
      <w:r w:rsidR="00284ADB" w:rsidRPr="00BD14B0">
        <w:t>strength</w:t>
      </w:r>
      <w:r w:rsidR="00AE094F" w:rsidRPr="00BD14B0">
        <w:t xml:space="preserve"> of gaze cueing</w:t>
      </w:r>
    </w:p>
    <w:p w14:paraId="65BA7130" w14:textId="4FB19148" w:rsidR="001B6377" w:rsidRPr="00BD14B0" w:rsidRDefault="00284ADB" w:rsidP="00553E01">
      <w:r w:rsidRPr="00BD14B0">
        <w:tab/>
      </w:r>
      <w:r w:rsidR="001B6377" w:rsidRPr="00BD14B0">
        <w:t xml:space="preserve">In </w:t>
      </w:r>
      <w:r w:rsidR="00AE094F" w:rsidRPr="00BD14B0">
        <w:t xml:space="preserve">the current </w:t>
      </w:r>
      <w:r w:rsidR="001B6377" w:rsidRPr="00BD14B0">
        <w:t xml:space="preserve">study, the physical similarity between the gazer and the observer was not manipulated. In real life experiences in-group faces </w:t>
      </w:r>
      <w:r w:rsidR="00AE094F" w:rsidRPr="00BD14B0">
        <w:t xml:space="preserve">are likely to </w:t>
      </w:r>
      <w:r w:rsidR="001B6377" w:rsidRPr="00BD14B0">
        <w:t xml:space="preserve">be more familiar to </w:t>
      </w:r>
      <w:r w:rsidRPr="00BD14B0">
        <w:t>participants</w:t>
      </w:r>
      <w:r w:rsidR="00AE094F" w:rsidRPr="00BD14B0">
        <w:t xml:space="preserve"> as they are</w:t>
      </w:r>
      <w:r w:rsidR="001B6377" w:rsidRPr="00BD14B0">
        <w:t xml:space="preserve"> likely to interact with them more often. </w:t>
      </w:r>
      <w:r w:rsidR="001B6377" w:rsidRPr="00BD14B0">
        <w:fldChar w:fldCharType="begin" w:fldLock="1"/>
      </w:r>
      <w:r w:rsidR="004D2901" w:rsidRPr="00BD14B0">
        <w:instrText>ADDIN CSL_CITATION {"citationItems":[{"id":"ITEM-1","itemData":{"DOI":"10.1080/17470218.2012.690769","ISSN":"1747-0218","abstract":"Important social information can be gathered from the direction of another person's gaze, such as their intentions and aspects of the environment that are relevant to those intentions. Previous work has examined the effect of gaze on attention through the gaze-cueing effect: an enhancement of performance in detecting targets that appear where another person is looking. The present study investigated whether the physical self-similarity of a face could increase its impact on attention. Self-similarity was manipulated by morphing participants' faces with those of strangers. The effect of gaze direction on target detection was strongest for faces morphed with the participant's face. The results support previous work suggesting that self-similar faces are processed differently from dissimilar faces. The data also demonstrate that a face's similarity to one's own face influences the degree to which that face guides our attention in the environment.","author":[{"dropping-particle":"","family":"Hungr","given":"Clara J","non-dropping-particle":"","parse-names":false,"suffix":""},{"dropping-particle":"","family":"Hunt","given":"Amelia R","non-dropping-particle":"","parse-names":false,"suffix":""}],"container-title":"Quarterly Journal of Experimental Psychology","id":"ITEM-1","issue":"7","issued":{"date-parts":[["2012"]]},"note":"Times Cited: 3\n3","page":"1250-1259","title":"Physical self-similarity enhances the gaze-cueing effect","type":"article-journal","volume":"65"},"uris":["http://www.mendeley.com/documents/?uuid=2b3772d6-afbd-40b1-b6d0-f788c0bdaeb6"]}],"mendeley":{"formattedCitation":"(Hungr &amp; Hunt, 2012)","manualFormatting":"Hungr and Hunt (2012)","plainTextFormattedCitation":"(Hungr &amp; Hunt, 2012)","previouslyFormattedCitation":"(Hungr &amp; Hunt, 2012)"},"properties":{"noteIndex":0},"schema":"https://github.com/citation-style-language/schema/raw/master/csl-citation.json"}</w:instrText>
      </w:r>
      <w:r w:rsidR="001B6377" w:rsidRPr="00BD14B0">
        <w:fldChar w:fldCharType="separate"/>
      </w:r>
      <w:r w:rsidR="001B6377" w:rsidRPr="00BD14B0">
        <w:rPr>
          <w:noProof/>
        </w:rPr>
        <w:t>Hungr and Hunt (2012)</w:t>
      </w:r>
      <w:r w:rsidR="001B6377" w:rsidRPr="00BD14B0">
        <w:fldChar w:fldCharType="end"/>
      </w:r>
      <w:r w:rsidR="001B6377" w:rsidRPr="00BD14B0">
        <w:t xml:space="preserve"> achieved self-similarity by morphing the participant’s face to the gazer’s face. Their results showed that self-similar faces triggered enhanced gaze cueing effect by creating a </w:t>
      </w:r>
      <w:r w:rsidR="00AE094F" w:rsidRPr="00BD14B0">
        <w:t xml:space="preserve">larger </w:t>
      </w:r>
      <w:r w:rsidR="001B6377" w:rsidRPr="00BD14B0">
        <w:t xml:space="preserve">difference between congruent and incongruent trials. In the current study, both conditions viewed the same faces (it was fully randomised); only life-stories were different for the ingroup and outgroup conditions. It is possible that the difference in gaze cueing reported in the literature concerns the visual system rather than top-down processes. Additionally, </w:t>
      </w:r>
      <w:r w:rsidR="001B6377" w:rsidRPr="00BD14B0">
        <w:fldChar w:fldCharType="begin" w:fldLock="1"/>
      </w:r>
      <w:r w:rsidR="004D2901" w:rsidRPr="00BD14B0">
        <w:instrText>ADDIN CSL_CITATION {"citationItems":[{"id":"ITEM-1","itemData":{"DOI":"10.3389/fpsyg.2017.00738","ISBN":"1664-1078","ISSN":"1664-1078","abstract":"Eye gaze is a powerful cue that indicates where another person's attention is directed in the environment. Seeing another person's eye gaze shift spontaneously and reflexively elicits a shift of one's own attention to the same region in space. Here, we investigated whether reallocation of attention in the direction of eye gaze is modulated by personal familiarity with faces. On the one hand, the eye gaze of a close friend should be more effective in redirecting our attention as compared to the eye gaze of a stranger. On the other hand, the social relevance of a familiar face might itself hold attention and, thereby, slow lateral shifts of attention. To distinguish between these possibilities, we measured the efficacy of the eye gaze of personally familiar and unfamiliar faces as directional attention cues using adapted versions of the Posner paradigm with saccadic and manual responses. We found that attention shifts were slower when elicited by a perceived change in the eye gaze of a familiar individual as compared to attention shifts elicited by unfamiliar faces at short latencies (100 ms). We also measured simple detection of change in direction of gaze in personally familiar and unfamiliar faces to test whether slower attention shifts were due to slower detection. Participants detected changes in eye gaze faster for familiar faces than for unfamiliar faces. Our results suggest that personally familiar faces briefly hold attention due to their social relevance, thereby slowing shifts of attention, even though the direction of eye movements are detected faster in familiar faces.","author":[{"dropping-particle":"","family":"Chauhan","given":"Vassiki","non-dropping-particle":"","parse-names":false,"suffix":""},{"dropping-particle":"","family":"Visconti di Oleggio Castello","given":"Matteo","non-dropping-particle":"","parse-names":false,"suffix":""},{"dropping-particle":"","family":"Soltani","given":"Alireza","non-dropping-particle":"","parse-names":false,"suffix":""},{"dropping-particle":"","family":"Gobbini","given":"Maria Ida","non-dropping-particle":"","parse-names":false,"suffix":""}],"container-title":"Frontiers in Psychology","id":"ITEM-1","issue":"MAY","issued":{"date-parts":[["2017","5","15"]]},"page":"1-11","title":"Social Saliency of the Cue Slows Attention Shifts","type":"article-journal","volume":"8"},"uris":["http://www.mendeley.com/documents/?uuid=3f9a7e43-afc0-4e79-ac34-4a0b5eb7ad6e"]}],"mendeley":{"formattedCitation":"(Chauhan et al., 2017)","manualFormatting":"Chauhan et al. (2017","plainTextFormattedCitation":"(Chauhan et al., 2017)","previouslyFormattedCitation":"(Chauhan et al., 2017)"},"properties":{"noteIndex":0},"schema":"https://github.com/citation-style-language/schema/raw/master/csl-citation.json"}</w:instrText>
      </w:r>
      <w:r w:rsidR="001B6377" w:rsidRPr="00BD14B0">
        <w:fldChar w:fldCharType="separate"/>
      </w:r>
      <w:r w:rsidR="001B6377" w:rsidRPr="00BD14B0">
        <w:rPr>
          <w:noProof/>
        </w:rPr>
        <w:t>Chauhan et al.</w:t>
      </w:r>
      <w:r w:rsidR="00AE094F" w:rsidRPr="00BD14B0">
        <w:rPr>
          <w:noProof/>
        </w:rPr>
        <w:t xml:space="preserve"> (</w:t>
      </w:r>
      <w:r w:rsidR="001B6377" w:rsidRPr="00BD14B0">
        <w:rPr>
          <w:noProof/>
        </w:rPr>
        <w:t>2017</w:t>
      </w:r>
      <w:r w:rsidR="001B6377" w:rsidRPr="00BD14B0">
        <w:fldChar w:fldCharType="end"/>
      </w:r>
      <w:r w:rsidR="00AE094F" w:rsidRPr="00BD14B0">
        <w:t>)</w:t>
      </w:r>
      <w:r w:rsidR="001B6377" w:rsidRPr="00BD14B0">
        <w:t xml:space="preserve"> showed that personally familiar faces created faster recognition of gaze shifts but longer holds of attention on the face (due to its social relevance), therefore </w:t>
      </w:r>
      <w:r w:rsidR="00AE094F" w:rsidRPr="00BD14B0">
        <w:t xml:space="preserve">a </w:t>
      </w:r>
      <w:r w:rsidR="001B6377" w:rsidRPr="00BD14B0">
        <w:t xml:space="preserve">personally familiar face slows down gaze cueing effect compared to unfamiliar faces. In the current study, the face stimulus was not personally familiar faces but </w:t>
      </w:r>
      <w:r w:rsidR="00AE094F" w:rsidRPr="00BD14B0">
        <w:t xml:space="preserve">were </w:t>
      </w:r>
      <w:r w:rsidR="001B6377" w:rsidRPr="00BD14B0">
        <w:t xml:space="preserve">taken from a face database. </w:t>
      </w:r>
      <w:r w:rsidR="0081105B" w:rsidRPr="00BD14B0">
        <w:t>The distinction between self-similar and familiar faces should be made clear, as self-similar faces have previously been shown to influence the strength of gaze cues</w:t>
      </w:r>
      <w:r w:rsidR="001B6377" w:rsidRPr="00BD14B0">
        <w:t xml:space="preserve">. Future studies on this topic should consider using faces that are personally familiar to participants (i.e., from friends’ circle) rather than self-similar visually. </w:t>
      </w:r>
    </w:p>
    <w:p w14:paraId="3C95319A" w14:textId="3D72BE6B" w:rsidR="001B6377" w:rsidRPr="00BD14B0" w:rsidRDefault="001B6377" w:rsidP="00553E01">
      <w:r w:rsidRPr="00BD14B0">
        <w:tab/>
        <w:t xml:space="preserve">The present study examined social group belonging by creating two groups (ingroup/outgroup) and showing physically similar faces in both groups. All participants viewed both groups of faces and were required to complete a gaze cueing task. Showing ingroup and outgroup faces separately rather than randomising their order together might have </w:t>
      </w:r>
      <w:r w:rsidR="00AE094F" w:rsidRPr="00BD14B0">
        <w:t xml:space="preserve">an </w:t>
      </w:r>
      <w:r w:rsidRPr="00BD14B0">
        <w:t xml:space="preserve">effect on the results. Indeed, </w:t>
      </w:r>
      <w:r w:rsidRPr="00BD14B0">
        <w:fldChar w:fldCharType="begin" w:fldLock="1"/>
      </w:r>
      <w:r w:rsidRPr="00BD14B0">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2011)","manualFormatting":"Pavan et al. (2011)","plainTextFormattedCitation":"(Pavan et al., 2011)","previouslyFormattedCitation":"(Pavan et al., 2011)"},"properties":{"noteIndex":0},"schema":"https://github.com/citation-style-language/schema/raw/master/csl-citation.json"}</w:instrText>
      </w:r>
      <w:r w:rsidRPr="00BD14B0">
        <w:fldChar w:fldCharType="separate"/>
      </w:r>
      <w:r w:rsidRPr="00BD14B0">
        <w:rPr>
          <w:noProof/>
        </w:rPr>
        <w:t>Pavan et al. (2011)</w:t>
      </w:r>
      <w:r w:rsidRPr="00BD14B0">
        <w:fldChar w:fldCharType="end"/>
      </w:r>
      <w:r w:rsidRPr="00BD14B0">
        <w:t xml:space="preserve"> showed that the effect of racial group belonging on gaze cueing was context dependent. </w:t>
      </w:r>
      <w:r w:rsidR="00AE094F" w:rsidRPr="00BD14B0">
        <w:t xml:space="preserve">Thus, </w:t>
      </w:r>
      <w:r w:rsidRPr="00BD14B0">
        <w:t>when they showed white versus mixed-race faces to white participants together in the same blog, participants selectively attended to white faces; however, when they showed two separate blo</w:t>
      </w:r>
      <w:r w:rsidR="00871ECD" w:rsidRPr="00BD14B0">
        <w:t>ck</w:t>
      </w:r>
      <w:r w:rsidRPr="00BD14B0">
        <w:t xml:space="preserve">s of </w:t>
      </w:r>
      <w:r w:rsidRPr="00BD14B0">
        <w:lastRenderedPageBreak/>
        <w:t xml:space="preserve">experiment (with only white and only mixed face faces in them), participants attended all the faces equally. </w:t>
      </w:r>
    </w:p>
    <w:p w14:paraId="429CC1C1" w14:textId="2BD2C126" w:rsidR="001B6377" w:rsidRPr="00BD14B0" w:rsidRDefault="001B6377" w:rsidP="00553E01">
      <w:r w:rsidRPr="00BD14B0">
        <w:tab/>
      </w:r>
      <w:r w:rsidR="006D6F11" w:rsidRPr="00BD14B0">
        <w:t xml:space="preserve">Having two separate blogs of experiment (one with ingroup/white faces other one with outgroup/ mixed faces) rather than randomising all the gazer faces into one blog of experiment regardless of whether they are ingroup or outgroup cancelled the differences on gaze cueing effect. People were attending whichever face was available to them when they saw only out-group faces. They concluded that the difference on gaze cueing effect only emerged when group membership was salient to participants meaning it is context dependent. The present results are consistent with this explanation </w:t>
      </w:r>
      <w:r w:rsidR="006D6F11" w:rsidRPr="00BD14B0">
        <w:fldChar w:fldCharType="begin" w:fldLock="1"/>
      </w:r>
      <w:r w:rsidR="006D6F11" w:rsidRPr="00BD14B0">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2011)","plainTextFormattedCitation":"(Pavan et al., 2011)","previouslyFormattedCitation":"(Pavan et al., 2011)"},"properties":{"noteIndex":0},"schema":"https://github.com/citation-style-language/schema/raw/master/csl-citation.json"}</w:instrText>
      </w:r>
      <w:r w:rsidR="006D6F11" w:rsidRPr="00BD14B0">
        <w:fldChar w:fldCharType="separate"/>
      </w:r>
      <w:r w:rsidR="006D6F11" w:rsidRPr="00BD14B0">
        <w:rPr>
          <w:noProof/>
        </w:rPr>
        <w:t>(Pavan et al., 2011)</w:t>
      </w:r>
      <w:r w:rsidR="006D6F11" w:rsidRPr="00BD14B0">
        <w:fldChar w:fldCharType="end"/>
      </w:r>
      <w:r w:rsidR="006D6F11" w:rsidRPr="00BD14B0">
        <w:t>. In our study, two separate groups of faces one of which were in-group and one of which were outgroup were shown to participants as a design, therefore, out-group faces were processed similar to in-group ones.</w:t>
      </w:r>
    </w:p>
    <w:p w14:paraId="12C1D6AB" w14:textId="59D3ED36" w:rsidR="001B6377" w:rsidRPr="00BD14B0" w:rsidRDefault="001B6377" w:rsidP="00553E01">
      <w:r w:rsidRPr="00BD14B0">
        <w:tab/>
        <w:t xml:space="preserve">In </w:t>
      </w:r>
      <w:r w:rsidR="00AE094F" w:rsidRPr="00BD14B0">
        <w:t xml:space="preserve">the current </w:t>
      </w:r>
      <w:r w:rsidRPr="00BD14B0">
        <w:t xml:space="preserve">study, </w:t>
      </w:r>
      <w:r w:rsidR="00AE094F" w:rsidRPr="00BD14B0">
        <w:t xml:space="preserve">the </w:t>
      </w:r>
      <w:r w:rsidR="00E600E6" w:rsidRPr="00BD14B0">
        <w:t>ingroup</w:t>
      </w:r>
      <w:r w:rsidRPr="00BD14B0">
        <w:t xml:space="preserve">-outgroup manipulation was not </w:t>
      </w:r>
      <w:r w:rsidR="00AE094F" w:rsidRPr="00BD14B0">
        <w:t xml:space="preserve">effective in producing </w:t>
      </w:r>
      <w:r w:rsidRPr="00BD14B0">
        <w:t xml:space="preserve">attentional shifts when there is no threat in the environment. </w:t>
      </w:r>
      <w:r w:rsidRPr="00BD14B0">
        <w:fldChar w:fldCharType="begin" w:fldLock="1"/>
      </w:r>
      <w:r w:rsidRPr="00BD14B0">
        <w:instrText>ADDIN CSL_CITATION {"citationItems":[{"id":"ITEM-1","itemData":{"DOI":"10.1098/rsbl.2014.1055","ISSN":"1744-9561","abstract":"Humans shift their attention to followanother person's gaze direction, a phenomenon called gaze cueing. This study examined whether a particular social factor, intergroup threat, modulates gaze cueing. As expected, stronger responses of a particular in-group to a threatening out-group were observed when the in-group, conditioned to perceive threat from one of two out-groups, was presented with facial stimuli from the threatening and non-threatening out-groups. These results suggest that intergroup threat plays an important role in shaping social attention. Furthermore, larger gaze-cueing effects were found for threatening out-group faces than for in-group faces only at the 200 ms but not the 800 ms stimulus onset asynchrony (SOA); the specificity of the gaze-cueing effects at the short SOA suggests that threat cues modulate the involuntary component of gaze cueing.","author":[{"dropping-particle":"","family":"Chen","given":"Yujie","non-dropping-particle":"","parse-names":false,"suffix":""},{"dropping-particle":"","family":"Zhao","given":"Yufang","non-dropping-particle":"","parse-names":false,"suffix":""}],"container-title":"Biology Letters","id":"ITEM-1","issue":"2","issued":{"date-parts":[["2015"]]},"note":"Times Cited: 0\n0","title":"Intergroup threat gates social attention in humans","type":"article-journal","volume":"11"},"uris":["http://www.mendeley.com/documents/?uuid=a2d19e8c-1093-4553-bf4f-869c43262505"]}],"mendeley":{"formattedCitation":"(Chen &amp; Zhao, 2015)","manualFormatting":"Chen and Zhao (2015)","plainTextFormattedCitation":"(Chen &amp; Zhao, 2015)","previouslyFormattedCitation":"(Chen &amp; Zhao, 2015)"},"properties":{"noteIndex":0},"schema":"https://github.com/citation-style-language/schema/raw/master/csl-citation.json"}</w:instrText>
      </w:r>
      <w:r w:rsidRPr="00BD14B0">
        <w:fldChar w:fldCharType="separate"/>
      </w:r>
      <w:r w:rsidRPr="00BD14B0">
        <w:rPr>
          <w:noProof/>
        </w:rPr>
        <w:t>Chen and Zhao (2015)</w:t>
      </w:r>
      <w:r w:rsidRPr="00BD14B0">
        <w:fldChar w:fldCharType="end"/>
      </w:r>
      <w:r w:rsidRPr="00BD14B0">
        <w:t xml:space="preserve"> showed when primed with threat/no threat condition participants were able to process information more quickly from a threatening outgroup than a non-threatening outgroup</w:t>
      </w:r>
      <w:r w:rsidR="00AE094F" w:rsidRPr="00BD14B0">
        <w:t>.</w:t>
      </w:r>
      <w:r w:rsidRPr="00BD14B0">
        <w:t xml:space="preserve"> They also suggested that it took more time to suppress the influence of eye gaze from a threatening outgroup than a non-threatening outgroup, possibly because it is hard to disengage from such intergroup threatening cues once they are detected </w:t>
      </w:r>
      <w:r w:rsidRPr="00BD14B0">
        <w:fldChar w:fldCharType="begin" w:fldLock="1"/>
      </w:r>
      <w:r w:rsidR="004D2901" w:rsidRPr="00BD14B0">
        <w:instrText>ADDIN CSL_CITATION {"citationItems":[{"id":"ITEM-1","itemData":{"DOI":"10.1038/srep41062","ISSN":"20452322","abstract":"Previous gaze-cuing studies found that intergroup threat is one of the modulators of gaze cuing. These findings indicate that intergroup threat would gate social attention by activating a network resembling that is thought to be involved in drawing or/and holding attention. The present study tested this hypothesis using a gaze-cuing task in which a particular in-group participants observed threatening out-group and nonthreatening out-group gazes, while undergoing functional magnetic resonance imaging. As expected, greater gaze cuing effect only emerged for threatening out-group when the in- group participants only felt inergroup threat from that out-group. Behaviorally, we found intergroup threatening out-group gazes did not draw attention faster than nonthreatening in-group gazes does. However, participants took more time to suppress the influence of the gaze direction of threatening out-group gazes, compared to nonthreatening in-group gazes, in the incongruent condition, which means intergroup threatening gaze holds attention longer than nonthreatening gaze does. Imaging results demonstrated that threatening cues recruited a fronto-parietal network, previously implicated in holding attention and execution functions. Our results, therefore, suggest that the mechanisms underpinning gaze cuing evolved to be sensitive to intergroup threatening stimuli, possibly because it is hard to disengage from such intergroup threatening cues once they are detected.","author":[{"dropping-particle":"","family":"Chen","given":"Yujie","non-dropping-particle":"","parse-names":false,"suffix":""},{"dropping-particle":"","family":"Zhao","given":"Yufang","non-dropping-particle":"","parse-names":false,"suffix":""},{"dropping-particle":"","family":"Song","given":"Hongwen","non-dropping-particle":"","parse-names":false,"suffix":""},{"dropping-particle":"","family":"Guan","given":"Lili","non-dropping-particle":"","parse-names":false,"suffix":""},{"dropping-particle":"","family":"Wu","given":"Xin","non-dropping-particle":"","parse-names":false,"suffix":""}],"container-title":"Scientific Reports","id":"ITEM-1","issue":"June 2016","issued":{"date-parts":[["2017"]]},"page":"1-12","publisher":"Nature Publishing Group","title":"The neural basis of intergroup threat effect on social attention","type":"article-journal","volume":"7"},"uris":["http://www.mendeley.com/documents/?uuid=4921781a-5372-4265-8833-1451d1f2691c"]}],"mendeley":{"formattedCitation":"(Chen et al., 2017)","plainTextFormattedCitation":"(Chen et al., 2017)","previouslyFormattedCitation":"(Chen et al., 2017)"},"properties":{"noteIndex":0},"schema":"https://github.com/citation-style-language/schema/raw/master/csl-citation.json"}</w:instrText>
      </w:r>
      <w:r w:rsidRPr="00BD14B0">
        <w:fldChar w:fldCharType="separate"/>
      </w:r>
      <w:r w:rsidR="004D2901" w:rsidRPr="00BD14B0">
        <w:rPr>
          <w:noProof/>
        </w:rPr>
        <w:t>(Chen et al., 2017)</w:t>
      </w:r>
      <w:r w:rsidRPr="00BD14B0">
        <w:fldChar w:fldCharType="end"/>
      </w:r>
      <w:r w:rsidRPr="00BD14B0">
        <w:t xml:space="preserve">. Since in the design of </w:t>
      </w:r>
      <w:r w:rsidR="00AE094F" w:rsidRPr="00BD14B0">
        <w:t xml:space="preserve">the current </w:t>
      </w:r>
      <w:r w:rsidRPr="00BD14B0">
        <w:t>study, the context of threat was not present, it can be concluded out outgroup manipulation included a non-threatening out-group. Hence</w:t>
      </w:r>
      <w:r w:rsidR="00E35C58" w:rsidRPr="00BD14B0">
        <w:t>,</w:t>
      </w:r>
      <w:r w:rsidRPr="00BD14B0">
        <w:t xml:space="preserve"> the present results are in line with the literature showing that non-threatening outgroup faces do not </w:t>
      </w:r>
      <w:r w:rsidR="00E35C58" w:rsidRPr="00BD14B0">
        <w:t>produce a significant</w:t>
      </w:r>
      <w:r w:rsidRPr="00BD14B0">
        <w:t xml:space="preserve"> difference on the gaze cueing effect. It is important to add that studies in the literature (See, </w:t>
      </w:r>
      <w:r w:rsidRPr="00BD14B0">
        <w:fldChar w:fldCharType="begin" w:fldLock="1"/>
      </w:r>
      <w:r w:rsidR="004D2901" w:rsidRPr="00BD14B0">
        <w:instrText>ADDIN CSL_CITATION {"citationItems":[{"id":"ITEM-1","itemData":{"DOI":"10.1098/rsbl.2014.1055","ISSN":"1744-9561","abstract":"Humans shift their attention to followanother person's gaze direction, a phenomenon called gaze cueing. This study examined whether a particular social factor, intergroup threat, modulates gaze cueing. As expected, stronger responses of a particular in-group to a threatening out-group were observed when the in-group, conditioned to perceive threat from one of two out-groups, was presented with facial stimuli from the threatening and non-threatening out-groups. These results suggest that intergroup threat plays an important role in shaping social attention. Furthermore, larger gaze-cueing effects were found for threatening out-group faces than for in-group faces only at the 200 ms but not the 800 ms stimulus onset asynchrony (SOA); the specificity of the gaze-cueing effects at the short SOA suggests that threat cues modulate the involuntary component of gaze cueing.","author":[{"dropping-particle":"","family":"Chen","given":"Yujie","non-dropping-particle":"","parse-names":false,"suffix":""},{"dropping-particle":"","family":"Zhao","given":"Yufang","non-dropping-particle":"","parse-names":false,"suffix":""}],"container-title":"Biology Letters","id":"ITEM-1","issue":"2","issued":{"date-parts":[["2015"]]},"note":"Times Cited: 0\n0","title":"Intergroup threat gates social attention in humans","type":"article-journal","volume":"11"},"uris":["http://www.mendeley.com/documents/?uuid=a2d19e8c-1093-4553-bf4f-869c43262505"]},{"id":"ITEM-2","itemData":{"DOI":"10.1038/srep41062","ISSN":"20452322","abstract":"Previous gaze-cuing studies found that intergroup threat is one of the modulators of gaze cuing. These findings indicate that intergroup threat would gate social attention by activating a network resembling that is thought to be involved in drawing or/and holding attention. The present study tested this hypothesis using a gaze-cuing task in which a particular in-group participants observed threatening out-group and nonthreatening out-group gazes, while undergoing functional magnetic resonance imaging. As expected, greater gaze cuing effect only emerged for threatening out-group when the in- group participants only felt inergroup threat from that out-group. Behaviorally, we found intergroup threatening out-group gazes did not draw attention faster than nonthreatening in-group gazes does. However, participants took more time to suppress the influence of the gaze direction of threatening out-group gazes, compared to nonthreatening in-group gazes, in the incongruent condition, which means intergroup threatening gaze holds attention longer than nonthreatening gaze does. Imaging results demonstrated that threatening cues recruited a fronto-parietal network, previously implicated in holding attention and execution functions. Our results, therefore, suggest that the mechanisms underpinning gaze cuing evolved to be sensitive to intergroup threatening stimuli, possibly because it is hard to disengage from such intergroup threatening cues once they are detected.","author":[{"dropping-particle":"","family":"Chen","given":"Yujie","non-dropping-particle":"","parse-names":false,"suffix":""},{"dropping-particle":"","family":"Zhao","given":"Yufang","non-dropping-particle":"","parse-names":false,"suffix":""},{"dropping-particle":"","family":"Song","given":"Hongwen","non-dropping-particle":"","parse-names":false,"suffix":""},{"dropping-particle":"","family":"Guan","given":"Lili","non-dropping-particle":"","parse-names":false,"suffix":""},{"dropping-particle":"","family":"Wu","given":"Xin","non-dropping-particle":"","parse-names":false,"suffix":""}],"container-title":"Scientific Reports","id":"ITEM-2","issue":"June 2016","issued":{"date-parts":[["2017"]]},"page":"1-12","publisher":"Nature Publishing Group","title":"The neural basis of intergroup threat effect on social attention","type":"article-journal","volume":"7"},"uris":["http://www.mendeley.com/documents/?uuid=4921781a-5372-4265-8833-1451d1f2691c"]}],"mendeley":{"formattedCitation":"(Chen et al., 2017; Chen &amp; Zhao, 2015)","manualFormatting":"Chen &amp; Zhao, 2015; Chen et al., 2017)","plainTextFormattedCitation":"(Chen et al., 2017; Chen &amp; Zhao, 2015)","previouslyFormattedCitation":"(Chen et al., 2017; Chen &amp; Zhao, 2015)"},"properties":{"noteIndex":0},"schema":"https://github.com/citation-style-language/schema/raw/master/csl-citation.json"}</w:instrText>
      </w:r>
      <w:r w:rsidRPr="00BD14B0">
        <w:fldChar w:fldCharType="separate"/>
      </w:r>
      <w:r w:rsidRPr="00BD14B0">
        <w:rPr>
          <w:noProof/>
        </w:rPr>
        <w:t>Chen &amp; Zhao, 2015; Chen et al., 2017)</w:t>
      </w:r>
      <w:r w:rsidRPr="00BD14B0">
        <w:fldChar w:fldCharType="end"/>
      </w:r>
      <w:r w:rsidRPr="00BD14B0">
        <w:t xml:space="preserve"> only measured the difference between threatening out-group and non-threatening outgroup. Future research would benefit from priming threat and examining differences between ingroup and outgroup faces. Additionally, studies that are interested in the context of threat should consider examining the effect of the source of the threat. Future studies might be interested in threatening context, but the source of the threat is not because of out-group faces but the environment (earthquake or a fire). </w:t>
      </w:r>
    </w:p>
    <w:p w14:paraId="363DBAA9" w14:textId="5D4F14F3" w:rsidR="006D6F11" w:rsidRPr="00BD14B0" w:rsidRDefault="001B6377" w:rsidP="00553E01">
      <w:r w:rsidRPr="00BD14B0">
        <w:lastRenderedPageBreak/>
        <w:tab/>
      </w:r>
      <w:r w:rsidR="006D6F11" w:rsidRPr="00BD14B0">
        <w:t xml:space="preserve">Lastly, one possible explanation for the non-significant effect of the manipulation on gaze </w:t>
      </w:r>
      <w:r w:rsidR="00871ECD" w:rsidRPr="00BD14B0">
        <w:t>cueing is</w:t>
      </w:r>
      <w:r w:rsidR="006D6F11" w:rsidRPr="00BD14B0">
        <w:t xml:space="preserve"> that the sample for the present study consisted of university students.  </w:t>
      </w:r>
      <w:r w:rsidR="00E35C58" w:rsidRPr="00BD14B0">
        <w:t>U</w:t>
      </w:r>
      <w:r w:rsidR="006D6F11" w:rsidRPr="00BD14B0">
        <w:t xml:space="preserve">niversity students tend to have fairly liberal attitudes in general </w:t>
      </w:r>
      <w:r w:rsidR="006D6F11" w:rsidRPr="00BD14B0">
        <w:fldChar w:fldCharType="begin" w:fldLock="1"/>
      </w:r>
      <w:r w:rsidR="006D6F11" w:rsidRPr="00BD14B0">
        <w:instrText>ADDIN CSL_CITATION {"citationItems":[{"id":"ITEM-1","itemData":{"DOI":"https://doi.org/10.1016/j.soscij.2016.04.002","ISSN":"0362-3319","author":[{"dropping-particle":"","family":"Bailey","given":"Mandi","non-dropping-particle":"","parse-names":false,"suffix":""},{"dropping-particle":"","family":"Williams","given":"Lee R","non-dropping-particle":"","parse-names":false,"suffix":""}],"container-title":"The Social Science Journal","id":"ITEM-1","issue":"3","issued":{"date-parts":[["2016"]]},"page":"309-317","title":"Are college students really liberal? An exploration of student political ideology and attitudes toward policies impacting minorities","type":"article-journal","volume":"53"},"uris":["http://www.mendeley.com/documents/?uuid=65d4013a-212d-4847-bb29-ca56beecb075"]}],"mendeley":{"formattedCitation":"(Bailey &amp; Williams, 2016)","plainTextFormattedCitation":"(Bailey &amp; Williams, 2016)","previouslyFormattedCitation":"(Bailey &amp; Williams, 2016)"},"properties":{"noteIndex":0},"schema":"https://github.com/citation-style-language/schema/raw/master/csl-citation.json"}</w:instrText>
      </w:r>
      <w:r w:rsidR="006D6F11" w:rsidRPr="00BD14B0">
        <w:fldChar w:fldCharType="separate"/>
      </w:r>
      <w:r w:rsidR="006D6F11" w:rsidRPr="00BD14B0">
        <w:rPr>
          <w:noProof/>
        </w:rPr>
        <w:t>(Bailey &amp; Williams, 2016)</w:t>
      </w:r>
      <w:r w:rsidR="006D6F11" w:rsidRPr="00BD14B0">
        <w:fldChar w:fldCharType="end"/>
      </w:r>
      <w:r w:rsidR="006D6F11" w:rsidRPr="00BD14B0">
        <w:t xml:space="preserve">. Studies have demonstrated that people with liberal attitudes tend to exhibit larger gaze cueing effect compared to conservatives </w:t>
      </w:r>
      <w:r w:rsidR="006D6F11" w:rsidRPr="00BD14B0">
        <w:fldChar w:fldCharType="begin" w:fldLock="1"/>
      </w:r>
      <w:r w:rsidR="004D2901" w:rsidRPr="00BD14B0">
        <w:instrText>ADDIN CSL_CITATION {"citationItems":[{"id":"ITEM-1","itemData":{"DOI":"10.3758/s13414-010-0001-x","ISSN":"1943-3921","abstract":"Gaze cues lead to reflexive shifts of attention even when those gaze cues do not predict target location. Although this general effect has been repeatedly demonstrated, not all individuals orient to gaze in an identical manner. For example, the magnitude of gaze-cuing effects have been reduced or eliminated in populations such as those scoring high on the Autism-Spectrum Quotient and in males relative to females (since males exhibit more autism-like traits). In the present study, we examined whether gaze cue effects would be moderated by political temperament, given that those on the political right tend to be more supportive of individualism-and less likely to be influenced by others-than those on the left. We found standard gaze-cuing effects across all subjects but systematic differences in these effects by political temperament. Liberals exhibited a very large gaze-cuing effect, whereas conservatives showed no such effect at various stimulus onset asynchronies.","author":[{"dropping-particle":"","family":"Dodd","given":"Michael D","non-dropping-particle":"","parse-names":false,"suffix":""},{"dropping-particle":"","family":"Hibbing","given":"John R","non-dropping-particle":"","parse-names":false,"suffix":""},{"dropping-particle":"","family":"Smith","given":"Kevin B","non-dropping-particle":"","parse-names":false,"suffix":""}],"container-title":"Attention, Perception, &amp; Psychophysics","id":"ITEM-1","issue":"1","issued":{"date-parts":[["2011","1","4"]]},"note":"Times Cited: 8\n8","page":"24-29","title":"The politics of attention: gaze-cuing effects are moderated by political temperament","type":"article-journal","volume":"73"},"uris":["http://www.mendeley.com/documents/?uuid=600c9d1c-8b7a-4231-93fd-40ec9b24c90d"]},{"id":"ITEM-2","itemData":{"DOI":"10.1371/journal.pone.0025117","ISSN":"1932-6203","abstract":"Studies in human and non-human primates indicate that basic socio-cognitive operations are inherently linked to the power of gaze in capturing reflexively the attention of an observer. Although monkey studies indicate that the automatic tendency to follow the gaze of a conspecific is modulated by the leader-follower social status, evidence for such effects in humans is meager. Here, we used a gaze following paradigm where the directional gaze of right-or left-wing Italian political characters could influence the oculomotor behavior of ingroup or outgroup voters. We show that the gaze of Berlusconi, the right-wing leader currently dominating the Italian political landscape, potentiates and inhibits gaze following behavior in ingroup and outgroup voters, respectively. Importantly, the higher the perceived similarity in personality traits between voters and Berlusconi, the stronger the gaze interference effect. Thus, higher-order social variables such as political leadership and affiliation prepotently affect reflexive shifts of attention.","author":[{"dropping-particle":"","family":"Liuzza","given":"Marco Tullio","non-dropping-particle":"","parse-names":false,"suffix":""},{"dropping-particle":"","family":"Cazzato","given":"Valentina","non-dropping-particle":"","parse-names":false,"suffix":""},{"dropping-particle":"","family":"Vecchione","given":"Michele","non-dropping-particle":"","parse-names":false,"suffix":""},{"dropping-particle":"","family":"Crostella","given":"Filippo","non-dropping-particle":"","parse-names":false,"suffix":""},{"dropping-particle":"","family":"Caprara","given":"Gian Vittorio","non-dropping-particle":"","parse-names":false,"suffix":""},{"dropping-particle":"","family":"Aglioti","given":"Salvatore Maria","non-dropping-particle":"","parse-names":false,"suffix":""}],"container-title":"Plos One","id":"ITEM-2","issue":"9","issued":{"date-parts":[["2011"]]},"note":"Times Cited: 12\nLiuzza, Marco Tullio/A-9967-2012\n12","title":"Follow My Eyes: The Gaze of Politicians Reflexively Captures the Gaze of Ingroup Voters","type":"article-journal","volume":"6"},"uris":["http://www.mendeley.com/documents/?uuid=5a49dbe4-b43e-4f79-b2bf-d8ab63cce5d6"]}],"mendeley":{"formattedCitation":"(Dodd et al., 2011; Liuzza et al., 2011)","plainTextFormattedCitation":"(Dodd et al., 2011; Liuzza et al., 2011)","previouslyFormattedCitation":"(Dodd et al., 2011; Liuzza et al., 2011)"},"properties":{"noteIndex":0},"schema":"https://github.com/citation-style-language/schema/raw/master/csl-citation.json"}</w:instrText>
      </w:r>
      <w:r w:rsidR="006D6F11" w:rsidRPr="00BD14B0">
        <w:fldChar w:fldCharType="separate"/>
      </w:r>
      <w:r w:rsidR="004D2901" w:rsidRPr="00BD14B0">
        <w:rPr>
          <w:noProof/>
        </w:rPr>
        <w:t>(Dodd et al., 2011; Liuzza et al., 2011)</w:t>
      </w:r>
      <w:r w:rsidR="006D6F11" w:rsidRPr="00BD14B0">
        <w:fldChar w:fldCharType="end"/>
      </w:r>
      <w:r w:rsidR="006D6F11" w:rsidRPr="00BD14B0">
        <w:t xml:space="preserve">. Hence, the participants from this sample might be more susceptible to gaze cues overall. Also, sex differences have been found in the strength of gaze cueing. For example, </w:t>
      </w:r>
      <w:r w:rsidR="006D6F11" w:rsidRPr="00BD14B0">
        <w:fldChar w:fldCharType="begin" w:fldLock="1"/>
      </w:r>
      <w:r w:rsidR="004D2901" w:rsidRPr="00BD14B0">
        <w:instrText>ADDIN CSL_CITATION {"citationItems":[{"id":"ITEM-1","itemData":{"DOI":"10.1080/02724980443000124","ISSN":"0272-4987","author":[{"dropping-particle":"","family":"Bayliss","given":"A P","non-dropping-particle":"","parse-names":false,"suffix":""},{"dropping-particle":"","family":"Pellegrino","given":"G","non-dropping-particle":"Di","parse-names":false,"suffix":""},{"dropping-particle":"","family":"Tipper","given":"Sr.","non-dropping-particle":"","parse-names":false,"suffix":""}],"container-title":"Q. J. Exp. Psychol. Sect A-Hum. Exp. Psychol.","id":"ITEM-1","issue":"4","issued":{"date-parts":[["2005"]]},"page":"631-650","title":"Sex differences in eye gaze and symbolic cueing of attention","type":"article-journal","volume":"58"},"uris":["http://www.mendeley.com/documents/?uuid=7b881ecf-5260-4917-87e0-0a239da8d4e2"]}],"mendeley":{"formattedCitation":"(A P Bayliss et al., 2005)","manualFormatting":"Bayliss, Di Pellegrino, and Tipper (2005)","plainTextFormattedCitation":"(A P Bayliss et al., 2005)","previouslyFormattedCitation":"(A P Bayliss et al., 2005)"},"properties":{"noteIndex":0},"schema":"https://github.com/citation-style-language/schema/raw/master/csl-citation.json"}</w:instrText>
      </w:r>
      <w:r w:rsidR="006D6F11" w:rsidRPr="00BD14B0">
        <w:fldChar w:fldCharType="separate"/>
      </w:r>
      <w:r w:rsidR="006D6F11" w:rsidRPr="00BD14B0">
        <w:rPr>
          <w:noProof/>
        </w:rPr>
        <w:t>Bayliss, Di Pellegrino, and Tipper (2005)</w:t>
      </w:r>
      <w:r w:rsidR="006D6F11" w:rsidRPr="00BD14B0">
        <w:fldChar w:fldCharType="end"/>
      </w:r>
      <w:r w:rsidR="006D6F11" w:rsidRPr="00BD14B0">
        <w:t xml:space="preserve"> showed that females tended to be more sensitive to social gaze cues. In this experiment, we did not control the gender of the participants and the sample comprised more female than male participants. Hence not having an equal number of male and female ratio in the sample might </w:t>
      </w:r>
      <w:r w:rsidR="00871ECD" w:rsidRPr="00BD14B0">
        <w:t>create</w:t>
      </w:r>
      <w:r w:rsidR="006D6F11" w:rsidRPr="00BD14B0">
        <w:t xml:space="preserve"> an overall responsiveness to faces (regardless of the social group) and </w:t>
      </w:r>
      <w:r w:rsidR="00E35C58" w:rsidRPr="00BD14B0">
        <w:t xml:space="preserve">dampened any effect of the ingroup/outgroup </w:t>
      </w:r>
      <w:r w:rsidR="00871ECD" w:rsidRPr="00BD14B0">
        <w:t>manipulation</w:t>
      </w:r>
      <w:r w:rsidR="00E35C58" w:rsidRPr="00BD14B0">
        <w:t xml:space="preserve"> on the strength of gaze cueing</w:t>
      </w:r>
      <w:r w:rsidR="006D6F11" w:rsidRPr="00BD14B0">
        <w:t xml:space="preserve">. </w:t>
      </w:r>
    </w:p>
    <w:p w14:paraId="0F7DE91E" w14:textId="455502A0" w:rsidR="001B6377" w:rsidRPr="00BD14B0" w:rsidRDefault="006D6F11" w:rsidP="00553E01">
      <w:r w:rsidRPr="00BD14B0">
        <w:tab/>
        <w:t xml:space="preserve">It is possible that group membership might be only effective when there is competition between groups for a limited source. It has been shown that competitive interactions increase the perceived difference between groups </w:t>
      </w:r>
      <w:r w:rsidR="004D2901" w:rsidRPr="00BD14B0">
        <w:t xml:space="preserve"> </w:t>
      </w:r>
      <w:r w:rsidR="004D2901" w:rsidRPr="00BD14B0">
        <w:fldChar w:fldCharType="begin" w:fldLock="1"/>
      </w:r>
      <w:r w:rsidR="004D2901" w:rsidRPr="00BD14B0">
        <w:instrText>ADDIN CSL_CITATION {"citationItems":[{"id":"ITEM-1","itemData":{"DOI":"10.1016/j.jesp.2009.11.005","ISSN":"00221031","author":[{"dropping-particle":"","family":"Toma","given":"Claudia","non-dropping-particle":"","parse-names":false,"suffix":""},{"dropping-particle":"","family":"Yzerbyt","given":"Vincent","non-dropping-particle":"","parse-names":false,"suffix":""},{"dropping-particle":"","family":"Corneille","given":"Olivier","non-dropping-particle":"","parse-names":false,"suffix":""}],"container-title":"Journal of Experimental Social Psychology","id":"ITEM-1","issue":"2","issued":{"date-parts":[["2010","3"]]},"page":"375-381","title":"Anticipated cooperation vs. competition moderates interpersonal projection","type":"article-journal","volume":"46"},"uris":["http://www.mendeley.com/documents/?uuid=ad7f13d3-c9fb-4e66-9b3f-ce750337c8b0"]}],"mendeley":{"formattedCitation":"(Toma et al., 2010)","plainTextFormattedCitation":"(Toma et al., 2010)","previouslyFormattedCitation":"(Toma et al., 2010)"},"properties":{"noteIndex":0},"schema":"https://github.com/citation-style-language/schema/raw/master/csl-citation.json"}</w:instrText>
      </w:r>
      <w:r w:rsidR="004D2901" w:rsidRPr="00BD14B0">
        <w:fldChar w:fldCharType="separate"/>
      </w:r>
      <w:r w:rsidR="004D2901" w:rsidRPr="00BD14B0">
        <w:rPr>
          <w:noProof/>
        </w:rPr>
        <w:t>(Toma et al., 2010)</w:t>
      </w:r>
      <w:r w:rsidR="004D2901" w:rsidRPr="00BD14B0">
        <w:fldChar w:fldCharType="end"/>
      </w:r>
      <w:r w:rsidR="004D2901" w:rsidRPr="00BD14B0">
        <w:t>.</w:t>
      </w:r>
      <w:r w:rsidR="009E0FE2" w:rsidRPr="00BD14B0">
        <w:t xml:space="preserve"> </w:t>
      </w:r>
      <w:r w:rsidR="009E0FE2" w:rsidRPr="00BD14B0">
        <w:fldChar w:fldCharType="begin" w:fldLock="1"/>
      </w:r>
      <w:r w:rsidR="00BD14B0" w:rsidRPr="00BD14B0">
        <w:instrText>ADDIN CSL_CITATION {"citationItems":[{"id":"ITEM-1","itemData":{"DOI":"10.2307/2136677","ISSN":"00221465","abstract":"Discusses the association between social support, assessed from a social-psychological perspective and psychological well-being, using data from the following 4 studies: (1) Family Volunteer Study—293 Ss, (2) Maladaptive Parenting—65 Ss, (3) Adult-Onset Hearing Loss—420 Ss, and (4) Mentally Ill in the Community—100 Ss. Findings suggest a modest, but reliable, association between the experience of social support and psychological well-being. The causation involved appears to go from social support to psychological well-being and vice versa, the 2 variables having different major determinants. Evaluation of the effects of level of stress on the support/well-being relationship suggests that social support has significant main effects, that it is most important in stressful circumstances, and that these relationships vary across social class groupings. (28 ref) (PsycINFO Database Record (c) 2016 APA, all rights reserved)","author":[{"dropping-particle":"","family":"Turner","given":"R Jay","non-dropping-particle":"","parse-names":false,"suffix":""}],"container-title":"Journal of Health and Social Behavior","id":"ITEM-1","issue":"4","issued":{"date-parts":[["1981","12"]]},"page":"357","publisher":"American Sociological Assn","publisher-place":"US","title":"Social Support as a Contingency in Psychological Well-Being","type":"article-journal","volume":"22"},"uris":["http://www.mendeley.com/documents/?uuid=598fedde-d332-4ed4-925b-ebeb179bdff7"]}],"mendeley":{"formattedCitation":"(Turner, 1981)","manualFormatting":"Turner, (1981)","plainTextFormattedCitation":"(Turner, 1981)","previouslyFormattedCitation":"(Turner, 1981)"},"properties":{"noteIndex":0},"schema":"https://github.com/citation-style-language/schema/raw/master/csl-citation.json"}</w:instrText>
      </w:r>
      <w:r w:rsidR="009E0FE2" w:rsidRPr="00BD14B0">
        <w:fldChar w:fldCharType="separate"/>
      </w:r>
      <w:r w:rsidR="009E0FE2" w:rsidRPr="00BD14B0">
        <w:rPr>
          <w:noProof/>
        </w:rPr>
        <w:t>Turner, (1981)</w:t>
      </w:r>
      <w:r w:rsidR="009E0FE2" w:rsidRPr="00BD14B0">
        <w:fldChar w:fldCharType="end"/>
      </w:r>
      <w:r w:rsidR="009E0FE2" w:rsidRPr="00BD14B0">
        <w:t xml:space="preserve"> </w:t>
      </w:r>
      <w:r w:rsidRPr="00BD14B0">
        <w:t xml:space="preserve">showed that the perception of a social categorization is not sufficient to create ingroup favouritism or outgroup discrimination by itself. They concluded that the presence of an out-group </w:t>
      </w:r>
      <w:r w:rsidR="00E35C58" w:rsidRPr="00BD14B0">
        <w:t xml:space="preserve">did </w:t>
      </w:r>
      <w:r w:rsidRPr="00BD14B0">
        <w:t xml:space="preserve">not </w:t>
      </w:r>
      <w:r w:rsidR="00E35C58" w:rsidRPr="00BD14B0">
        <w:t xml:space="preserve">provoke </w:t>
      </w:r>
      <w:r w:rsidRPr="00BD14B0">
        <w:t>competitive or discriminatory response</w:t>
      </w:r>
      <w:r w:rsidR="00E35C58" w:rsidRPr="00BD14B0">
        <w:t>s</w:t>
      </w:r>
      <w:r w:rsidRPr="00BD14B0">
        <w:t xml:space="preserve">. Thus, competitive interactions may disrupt the joint attention </w:t>
      </w:r>
      <w:r w:rsidRPr="00BD14B0">
        <w:fldChar w:fldCharType="begin" w:fldLock="1"/>
      </w:r>
      <w:r w:rsidR="004D2901" w:rsidRPr="00BD14B0">
        <w:instrText>ADDIN CSL_CITATION {"citationItems":[{"id":"ITEM-1","itemData":{"DOI":"10.1007/s00221-011-2651-x","ISSN":"0014-4819","abstract":"Two experiments were conducted to assess whether the emergence of shared representations, as indexed by the joint Simon effect, is modulated by perceived group membership. In both experiments, participants were required to perform a Simon task along another person who was perceived as belonging either to the same group or to a different group. In Experiment 1, ingroup–outgroup discrimination was obtained by dividing participants into two groups based on a superficial criterion; in Experiment 2, it was obtained by manipulating the interdependence experienced by the two acting individuals. The mere social categorization of co-acting participants into groups did not modulate the joint Simon effect which was observed even when participants believed to perform the task along with an individual belonging to a different social group (Experiment 1). On the contrary, the effect was modulated by perceived interdependence, with a null effect when participants experienced negative interdependence (Experiment 2). These results suggest that when acting in a social context, by default, individuals may perceive positive interdependence with co-acting individuals, even when cooperation is not explicitly requested.","author":[{"dropping-particle":"","family":"Iani","given":"Cristina","non-dropping-particle":"","parse-names":false,"suffix":""},{"dropping-particle":"","family":"Anelli","given":"Filomena","non-dropping-particle":"","parse-names":false,"suffix":""},{"dropping-particle":"","family":"Nicoletti","given":"Roberto","non-dropping-particle":"","parse-names":false,"suffix":""},{"dropping-particle":"","family":"Arcuri","given":"Luciano","non-dropping-particle":"","parse-names":false,"suffix":""},{"dropping-particle":"","family":"Rubichi","given":"Sandro","non-dropping-particle":"","parse-names":false,"suffix":""}],"container-title":"Experimental Brain Research","id":"ITEM-1","issue":"3-4","issued":{"date-parts":[["2011","6","7"]]},"page":"439-445","title":"The role of group membership on the modulation of joint action","type":"article-journal","volume":"211"},"uris":["http://www.mendeley.com/documents/?uuid=2b43ae87-cda3-4090-b7a9-26d34bf1047b"]}],"mendeley":{"formattedCitation":"(Iani et al., 2011)","plainTextFormattedCitation":"(Iani et al., 2011)","previouslyFormattedCitation":"(Iani et al., 2011)"},"properties":{"noteIndex":0},"schema":"https://github.com/citation-style-language/schema/raw/master/csl-citation.json"}</w:instrText>
      </w:r>
      <w:r w:rsidRPr="00BD14B0">
        <w:fldChar w:fldCharType="separate"/>
      </w:r>
      <w:r w:rsidR="004D2901" w:rsidRPr="00BD14B0">
        <w:rPr>
          <w:noProof/>
        </w:rPr>
        <w:t>(Iani et al., 2011)</w:t>
      </w:r>
      <w:r w:rsidRPr="00BD14B0">
        <w:fldChar w:fldCharType="end"/>
      </w:r>
      <w:r w:rsidRPr="00BD14B0">
        <w:t xml:space="preserve"> and create a difference on cooperative behaviour depending the group dynamics </w:t>
      </w:r>
      <w:r w:rsidRPr="00BD14B0">
        <w:fldChar w:fldCharType="begin" w:fldLock="1"/>
      </w:r>
      <w:r w:rsidR="004D2901" w:rsidRPr="00BD14B0">
        <w:instrText>ADDIN CSL_CITATION {"citationItems":[{"id":"ITEM-1","itemData":{"DOI":"10.1016/j.actpsy.2015.07.013","ISSN":"00016918","abstract":"The present study investigated if the gaze-cuing effect (i.e., the tendency for observers to respond faster to targets in locations that were cued by others' gaze direction than to not-cued targets) is modulated by the type of relationship (i.e., cooperative or competitive) established during a previous interaction with a cuing face. In two experiments, participants played a series of single-shot games of a modified version of the two-choice Prisoner's Dilemma against eight simulated contenders. They were shown a fictive feedback indicating if the opponents chose to cooperate or compete with them. Opponents' faces were then used as stimuli in a standard gazecuing task. In Experiment 1 females classified as average in competitiveness were tested, while in Experiment 2 females classified as high and low in competitiveness were tested. We found that only in females classified as low and average in competitiveness the gaze-cuing effect for competitive contenders was greater than for cooperative contenders. These findings suggest that competitive opponents represent a relevant source of information within the social environment and female observers with low and average levels of competition cannot prevent from keeping their eyes over them.","author":[{"dropping-particle":"","family":"Ciardo","given":"Francesca","non-dropping-particle":"","parse-names":false,"suffix":""},{"dropping-particle":"","family":"Ricciardelli","given":"Paola","non-dropping-particle":"","parse-names":false,"suffix":""},{"dropping-particle":"","family":"Lugli","given":"Luisa","non-dropping-particle":"","parse-names":false,"suffix":""},{"dropping-particle":"","family":"Rubichi","given":"Sandro","non-dropping-particle":"","parse-names":false,"suffix":""},{"dropping-particle":"","family":"Iani","given":"Cristina","non-dropping-particle":"","parse-names":false,"suffix":""}],"container-title":"Acta Psychologica","id":"ITEM-1","issued":{"date-parts":[["2015"]]},"page":"170-177","publisher":"Elsevier B.V.","title":"Eyes keep watch over you! Competition enhances joint attention in females","type":"article-journal","volume":"160"},"uris":["http://www.mendeley.com/documents/?uuid=d2a40ea0-360f-4a9e-81a4-e3cbe8cd8e0f"]}],"mendeley":{"formattedCitation":"(Ciardo et al., 2015)","plainTextFormattedCitation":"(Ciardo et al., 2015)","previouslyFormattedCitation":"(Ciardo et al., 2015)"},"properties":{"noteIndex":0},"schema":"https://github.com/citation-style-language/schema/raw/master/csl-citation.json"}</w:instrText>
      </w:r>
      <w:r w:rsidRPr="00BD14B0">
        <w:fldChar w:fldCharType="separate"/>
      </w:r>
      <w:r w:rsidR="004D2901" w:rsidRPr="00BD14B0">
        <w:rPr>
          <w:noProof/>
        </w:rPr>
        <w:t>(Ciardo et al., 2015)</w:t>
      </w:r>
      <w:r w:rsidRPr="00BD14B0">
        <w:fldChar w:fldCharType="end"/>
      </w:r>
      <w:r w:rsidRPr="00BD14B0">
        <w:t xml:space="preserve">. In </w:t>
      </w:r>
      <w:r w:rsidR="00E35C58" w:rsidRPr="00BD14B0">
        <w:t xml:space="preserve">the current </w:t>
      </w:r>
      <w:r w:rsidRPr="00BD14B0">
        <w:t xml:space="preserve">study, participants were aware of the in-group/out-group </w:t>
      </w:r>
      <w:r w:rsidR="00871ECD" w:rsidRPr="00BD14B0">
        <w:t>context,</w:t>
      </w:r>
      <w:r w:rsidRPr="00BD14B0">
        <w:t xml:space="preserve"> and they were aware which faces belong to </w:t>
      </w:r>
      <w:r w:rsidR="00E35C58" w:rsidRPr="00BD14B0">
        <w:t xml:space="preserve">the </w:t>
      </w:r>
      <w:r w:rsidRPr="00BD14B0">
        <w:t>perceived in-group</w:t>
      </w:r>
      <w:r w:rsidR="00E35C58" w:rsidRPr="00BD14B0">
        <w:t>. H</w:t>
      </w:r>
      <w:r w:rsidRPr="00BD14B0">
        <w:t>owever</w:t>
      </w:r>
      <w:r w:rsidR="00E35C58" w:rsidRPr="00BD14B0">
        <w:t>,</w:t>
      </w:r>
      <w:r w:rsidRPr="00BD14B0">
        <w:t xml:space="preserve"> there were no competition between two groups. In line with the literature when there is no competition in the environment participants did not have any motivation that would </w:t>
      </w:r>
      <w:r w:rsidR="00871ECD" w:rsidRPr="00BD14B0">
        <w:t>affect</w:t>
      </w:r>
      <w:r w:rsidRPr="00BD14B0">
        <w:t xml:space="preserve"> their responsiveness to in-group or out-group faces. Additionally, </w:t>
      </w:r>
      <w:r w:rsidRPr="00BD14B0">
        <w:fldChar w:fldCharType="begin" w:fldLock="1"/>
      </w:r>
      <w:r w:rsidR="004D2901" w:rsidRPr="00BD14B0">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2011)","manualFormatting":"Pavan, Dalmaso, Galfano, and Castelli (2011)","plainTextFormattedCitation":"(Pavan et al., 2011)","previouslyFormattedCitation":"(Pavan et al., 2011)"},"properties":{"noteIndex":0},"schema":"https://github.com/citation-style-language/schema/raw/master/csl-citation.json"}</w:instrText>
      </w:r>
      <w:r w:rsidRPr="00BD14B0">
        <w:fldChar w:fldCharType="separate"/>
      </w:r>
      <w:r w:rsidRPr="00BD14B0">
        <w:rPr>
          <w:noProof/>
        </w:rPr>
        <w:t>Pavan, Dalmaso, Galfano, and Castelli (2011)</w:t>
      </w:r>
      <w:r w:rsidRPr="00BD14B0">
        <w:fldChar w:fldCharType="end"/>
      </w:r>
      <w:r w:rsidRPr="00BD14B0">
        <w:t xml:space="preserve"> concluded that racial group membership affects social attention. They showed that black participants shifted attention to the averted gaze of both in-group and out-group faces, whereas white participants only followed eye gaze of their in-group (white faces). Interestingly, this effect was present and only occurred when group membership </w:t>
      </w:r>
      <w:r w:rsidR="00E35C58" w:rsidRPr="00BD14B0">
        <w:t xml:space="preserve">was </w:t>
      </w:r>
      <w:r w:rsidRPr="00BD14B0">
        <w:t xml:space="preserve">emphasized. Here, we showed that when the physical differences of the gazer were eliminated, the strength of gaze cues </w:t>
      </w:r>
      <w:r w:rsidRPr="00BD14B0">
        <w:lastRenderedPageBreak/>
        <w:t xml:space="preserve">diminished even when group membership was emphasized. In </w:t>
      </w:r>
      <w:r w:rsidR="00E35C58" w:rsidRPr="00BD14B0">
        <w:t xml:space="preserve">the current </w:t>
      </w:r>
      <w:r w:rsidRPr="00BD14B0">
        <w:t>study, social group belonging did not cause a stronger gaze cueing effect when physical similarity was controlled between the in-group and out-group</w:t>
      </w:r>
      <w:r w:rsidR="00E35C58" w:rsidRPr="00BD14B0">
        <w:t>.</w:t>
      </w:r>
    </w:p>
    <w:p w14:paraId="1409AFF3" w14:textId="77777777" w:rsidR="006D6F11" w:rsidRPr="00BD14B0" w:rsidRDefault="006D6F11" w:rsidP="00553E01"/>
    <w:p w14:paraId="6C64CB62" w14:textId="3F278F83" w:rsidR="001B6377" w:rsidRPr="00BD14B0" w:rsidRDefault="001B6377" w:rsidP="00553E01">
      <w:pPr>
        <w:pStyle w:val="Heading2"/>
      </w:pPr>
      <w:r w:rsidRPr="00BD14B0">
        <w:t xml:space="preserve"> </w:t>
      </w:r>
      <w:bookmarkStart w:id="53" w:name="_Toc108310772"/>
      <w:r w:rsidRPr="00BD14B0">
        <w:t>Limitations and Future Research</w:t>
      </w:r>
      <w:bookmarkEnd w:id="53"/>
    </w:p>
    <w:p w14:paraId="1D3F5603" w14:textId="0250EF89" w:rsidR="000A4E30" w:rsidRPr="00BD14B0" w:rsidRDefault="001B6377" w:rsidP="00553E01">
      <w:r w:rsidRPr="00BD14B0">
        <w:tab/>
      </w:r>
      <w:r w:rsidR="006D6F11" w:rsidRPr="00BD14B0">
        <w:t xml:space="preserve">The present study has a number of limitations that should be noted. First, colourful real face pictures were used in the experiments. In the literature, gaze cuing effect </w:t>
      </w:r>
      <w:r w:rsidR="00E35C58" w:rsidRPr="00BD14B0">
        <w:t>have been</w:t>
      </w:r>
      <w:r w:rsidR="006D6F11" w:rsidRPr="00BD14B0">
        <w:t xml:space="preserve"> observed with schematic faces, real face pictures, </w:t>
      </w:r>
      <w:r w:rsidR="00E35C58" w:rsidRPr="00BD14B0">
        <w:t xml:space="preserve">and </w:t>
      </w:r>
      <w:r w:rsidR="006D6F11" w:rsidRPr="00BD14B0">
        <w:t xml:space="preserve">3D faces. One study conducted by </w:t>
      </w:r>
      <w:r w:rsidR="006D6F11" w:rsidRPr="00BD14B0">
        <w:fldChar w:fldCharType="begin" w:fldLock="1"/>
      </w:r>
      <w:r w:rsidR="004D2901" w:rsidRPr="00BD14B0">
        <w:instrText>ADDIN CSL_CITATION {"citationItems":[{"id":"ITEM-1","itemData":{"DOI":"10.1037/0096-1523.29.6.1228","ISBN":"0096-1523 (Print)","ISSN":"1939-1277","PMID":"14640840","abstract":"In 6 experiments, the authors investigated whether attention orienting by gaze direction is modulated by the emotional expression (neutral, happy, angry, or fearful) on the face. The results showed a clear spatial cuing effect by gaze direction but no effect by facial expression. In addition, it was shown that the cuing effect was stronger with schematic faces than with real faces, that gaze cuing could be achieved at very short stimulus onset asynchronies (14 ms), and that there was no evidence for a difference in the strength of cuing triggered by static gaze cues and by cues involving apparent motion of the pupils. In sum, the results suggest that in normal, healthy adults, eye direction processing for attention shifts is independent of facial expression analysis.","author":[{"dropping-particle":"","family":"Hietanen","given":"Jari K.","non-dropping-particle":"","parse-names":false,"suffix":""},{"dropping-particle":"","family":"Leppänen","given":"Jukka M.","non-dropping-particle":"","parse-names":false,"suffix":""}],"container-title":"Journal of Experimental Psychology: Human Perception and Performance","id":"ITEM-1","issue":"6","issued":{"date-parts":[["2003"]]},"page":"1228-1243","title":"Does Facial Expression Affect Attention Orienting by Gaze Direction Cues?","type":"article-journal","volume":"29"},"uris":["http://www.mendeley.com/documents/?uuid=eacedced-5fc4-4714-ad16-918d6400bf34"]}],"mendeley":{"formattedCitation":"(Hietanen &amp; Leppänen, 2003)","manualFormatting":"Hietanen and Leppänen (2003)","plainTextFormattedCitation":"(Hietanen &amp; Leppänen, 2003)","previouslyFormattedCitation":"(Hietanen &amp; Leppänen, 2003)"},"properties":{"noteIndex":0},"schema":"https://github.com/citation-style-language/schema/raw/master/csl-citation.json"}</w:instrText>
      </w:r>
      <w:r w:rsidR="006D6F11" w:rsidRPr="00BD14B0">
        <w:fldChar w:fldCharType="separate"/>
      </w:r>
      <w:r w:rsidR="006D6F11" w:rsidRPr="00BD14B0">
        <w:rPr>
          <w:noProof/>
        </w:rPr>
        <w:t xml:space="preserve">Hietanen </w:t>
      </w:r>
      <w:r w:rsidR="00E35C58" w:rsidRPr="00BD14B0">
        <w:rPr>
          <w:noProof/>
        </w:rPr>
        <w:t>and</w:t>
      </w:r>
      <w:r w:rsidR="006D6F11" w:rsidRPr="00BD14B0">
        <w:rPr>
          <w:noProof/>
        </w:rPr>
        <w:t xml:space="preserve"> Leppänen</w:t>
      </w:r>
      <w:r w:rsidR="00E35C58" w:rsidRPr="00BD14B0">
        <w:rPr>
          <w:noProof/>
        </w:rPr>
        <w:t xml:space="preserve"> (</w:t>
      </w:r>
      <w:r w:rsidR="006D6F11" w:rsidRPr="00BD14B0">
        <w:rPr>
          <w:noProof/>
        </w:rPr>
        <w:t>2003)</w:t>
      </w:r>
      <w:r w:rsidR="006D6F11" w:rsidRPr="00BD14B0">
        <w:fldChar w:fldCharType="end"/>
      </w:r>
      <w:r w:rsidR="006D6F11" w:rsidRPr="00BD14B0">
        <w:t xml:space="preserve"> compared the gaze cueing effect to schematic faces and real faces. Their results showed that although both type of faces produced a cueing effect, schematic faces produced a larger gaze cueing effect. Additionally, research suggests viewing dynamic faces versus static faces (or video record of a real face) </w:t>
      </w:r>
      <w:r w:rsidR="00E35C58" w:rsidRPr="00BD14B0">
        <w:t>produces a</w:t>
      </w:r>
      <w:r w:rsidR="006D6F11" w:rsidRPr="00BD14B0">
        <w:t xml:space="preserve"> gaze cueing effect </w:t>
      </w:r>
      <w:r w:rsidR="006D6F11" w:rsidRPr="00BD14B0">
        <w:fldChar w:fldCharType="begin" w:fldLock="1"/>
      </w:r>
      <w:r w:rsidR="004D2901" w:rsidRPr="00BD14B0">
        <w:instrText>ADDIN CSL_CITATION {"citationItems":[{"id":"ITEM-1","itemData":{"DOI":"10.3389/fnhum.2012.00143","ISSN":"1662-5161","abstract":"Cognitive neuroscientists often study social cognition by using simple but socially relevant stimuli, such as schematic faces or images of other people. Whilst this research is valuable, important aspects of genuine social encounters are absent from these studies, a fact that has recently drawn criticism. In the present review we argue for an empirical approach to the determination of the equivalence of different social stimuli. This approach involves the systematic comparison of different types of social stimuli ranging in their approximation to a real social interaction. In garnering support for this cognitive ethological approach, we focus on recent research in social attention that has involved stimuli ranging from simple schematic faces to real social interactions. We highlight both meaningful similarities and differences in various social attentional phenomena across these different types of social stimuli thus validating the utility of the research initiative. Furthermore, we argue that exploring these similarities and differences will provide new insights into social cognition and social neuroscience.","author":[{"dropping-particle":"","family":"Risko","given":"Evan F","non-dropping-particle":"","parse-names":false,"suffix":""},{"dropping-particle":"","family":"Laidlaw","given":"Kaitlin","non-dropping-particle":"","parse-names":false,"suffix":""},{"dropping-particle":"","family":"Freeth","given":"Megan","non-dropping-particle":"","parse-names":false,"suffix":""},{"dropping-particle":"","family":"Foulsham","given":"Tom","non-dropping-particle":"","parse-names":false,"suffix":""},{"dropping-particle":"","family":"Kingstone","given":"Alan","non-dropping-particle":"","parse-names":false,"suffix":""}],"container-title":"Frontiers in Human Neuroscience","id":"ITEM-1","issued":{"date-parts":[["2012"]]},"note":"17","page":"143","title":"Social attention with real versus reel stimuli: toward an empirical approach to concerns about ecological validity","type":"article-journal","volume":"6"},"uris":["http://www.mendeley.com/documents/?uuid=4b69c46c-a09b-48c1-8224-726a20074048"]}],"mendeley":{"formattedCitation":"(Risko et al., 2012)","plainTextFormattedCitation":"(Risko et al., 2012)","previouslyFormattedCitation":"(Risko et al., 2012)"},"properties":{"noteIndex":0},"schema":"https://github.com/citation-style-language/schema/raw/master/csl-citation.json"}</w:instrText>
      </w:r>
      <w:r w:rsidR="006D6F11" w:rsidRPr="00BD14B0">
        <w:fldChar w:fldCharType="separate"/>
      </w:r>
      <w:r w:rsidR="004D2901" w:rsidRPr="00BD14B0">
        <w:rPr>
          <w:noProof/>
        </w:rPr>
        <w:t>(Risko et al., 2012)</w:t>
      </w:r>
      <w:r w:rsidR="006D6F11" w:rsidRPr="00BD14B0">
        <w:fldChar w:fldCharType="end"/>
      </w:r>
      <w:r w:rsidR="00E35C58" w:rsidRPr="00BD14B0">
        <w:t>, although</w:t>
      </w:r>
      <w:r w:rsidR="006D6F11" w:rsidRPr="00BD14B0">
        <w:t xml:space="preserve"> the effect of </w:t>
      </w:r>
      <w:r w:rsidR="00E35C58" w:rsidRPr="00BD14B0">
        <w:t xml:space="preserve">dynamic faces on gaze cueing </w:t>
      </w:r>
      <w:r w:rsidR="006D6F11" w:rsidRPr="00BD14B0">
        <w:t>was not as pronounce</w:t>
      </w:r>
      <w:r w:rsidR="00E35C58" w:rsidRPr="00BD14B0">
        <w:t>d</w:t>
      </w:r>
      <w:r w:rsidR="006D6F11" w:rsidRPr="00BD14B0">
        <w:t xml:space="preserve"> a</w:t>
      </w:r>
      <w:r w:rsidR="00E35C58" w:rsidRPr="00BD14B0">
        <w:t xml:space="preserve">s for </w:t>
      </w:r>
      <w:r w:rsidR="006D6F11" w:rsidRPr="00BD14B0">
        <w:t xml:space="preserve">static </w:t>
      </w:r>
      <w:r w:rsidR="00E35C58" w:rsidRPr="00BD14B0">
        <w:t>faces</w:t>
      </w:r>
      <w:r w:rsidR="006D6F11" w:rsidRPr="00BD14B0">
        <w:t xml:space="preserve"> </w:t>
      </w:r>
      <w:r w:rsidR="006D6F11" w:rsidRPr="00BD14B0">
        <w:fldChar w:fldCharType="begin" w:fldLock="1"/>
      </w:r>
      <w:r w:rsidR="004D2901" w:rsidRPr="00BD14B0">
        <w:instrText>ADDIN CSL_CITATION {"citationItems":[{"id":"ITEM-1","itemData":{"DOI":"10.1037/0096-1523.29.6.1228","ISBN":"0096-1523 (Print)","ISSN":"1939-1277","PMID":"14640840","abstract":"In 6 experiments, the authors investigated whether attention orienting by gaze direction is modulated by the emotional expression (neutral, happy, angry, or fearful) on the face. The results showed a clear spatial cuing effect by gaze direction but no effect by facial expression. In addition, it was shown that the cuing effect was stronger with schematic faces than with real faces, that gaze cuing could be achieved at very short stimulus onset asynchronies (14 ms), and that there was no evidence for a difference in the strength of cuing triggered by static gaze cues and by cues involving apparent motion of the pupils. In sum, the results suggest that in normal, healthy adults, eye direction processing for attention shifts is independent of facial expression analysis.","author":[{"dropping-particle":"","family":"Hietanen","given":"Jari K.","non-dropping-particle":"","parse-names":false,"suffix":""},{"dropping-particle":"","family":"Leppänen","given":"Jukka M.","non-dropping-particle":"","parse-names":false,"suffix":""}],"container-title":"Journal of Experimental Psychology: Human Perception and Performance","id":"ITEM-1","issue":"6","issued":{"date-parts":[["2003"]]},"page":"1228-1243","title":"Does Facial Expression Affect Attention Orienting by Gaze Direction Cues?","type":"article-journal","volume":"29"},"uris":["http://www.mendeley.com/documents/?uuid=eacedced-5fc4-4714-ad16-918d6400bf34"]}],"mendeley":{"formattedCitation":"(Hietanen &amp; Leppänen, 2003)","plainTextFormattedCitation":"(Hietanen &amp; Leppänen, 2003)","previouslyFormattedCitation":"(Hietanen &amp; Leppänen, 2003)"},"properties":{"noteIndex":0},"schema":"https://github.com/citation-style-language/schema/raw/master/csl-citation.json"}</w:instrText>
      </w:r>
      <w:r w:rsidR="006D6F11" w:rsidRPr="00BD14B0">
        <w:fldChar w:fldCharType="separate"/>
      </w:r>
      <w:r w:rsidR="006D6F11" w:rsidRPr="00BD14B0">
        <w:rPr>
          <w:noProof/>
        </w:rPr>
        <w:t>(Hietanen &amp; Leppänen, 2003)</w:t>
      </w:r>
      <w:r w:rsidR="006D6F11" w:rsidRPr="00BD14B0">
        <w:fldChar w:fldCharType="end"/>
      </w:r>
      <w:r w:rsidR="006D6F11" w:rsidRPr="00BD14B0">
        <w:t xml:space="preserve">. </w:t>
      </w:r>
      <w:r w:rsidR="000A4E30" w:rsidRPr="00BD14B0">
        <w:t xml:space="preserve">Although the precise nature and mechanisms of this distinction have yet to be fully investigated </w:t>
      </w:r>
      <w:r w:rsidR="000A4E30" w:rsidRPr="00BD14B0">
        <w:fldChar w:fldCharType="begin" w:fldLock="1"/>
      </w:r>
      <w:r w:rsidR="000A4E30" w:rsidRPr="00BD14B0">
        <w:instrText>ADDIN CSL_CITATION {"citationItems":[{"id":"ITEM-1","itemData":{"DOI":"10.3389/fnhum.2012.00143","ISSN":"1662-5161","abstract":"Cognitive neuroscientists often study social cognition by using simple but socially relevant stimuli, such as schematic faces or images of other people. Whilst this research is valuable, important aspects of genuine social encounters are absent from these studies, a fact that has recently drawn criticism. In the present review we argue for an empirical approach to the determination of the equivalence of different social stimuli. This approach involves the systematic comparison of different types of social stimuli ranging in their approximation to a real social interaction. In garnering support for this cognitive ethological approach, we focus on recent research in social attention that has involved stimuli ranging from simple schematic faces to real social interactions. We highlight both meaningful similarities and differences in various social attentional phenomena across these different types of social stimuli thus validating the utility of the research initiative. Furthermore, we argue that exploring these similarities and differences will provide new insights into social cognition and social neuroscience.","author":[{"dropping-particle":"","family":"Risko","given":"Evan F","non-dropping-particle":"","parse-names":false,"suffix":""},{"dropping-particle":"","family":"Laidlaw","given":"Kaitlin","non-dropping-particle":"","parse-names":false,"suffix":""},{"dropping-particle":"","family":"Freeth","given":"Megan","non-dropping-particle":"","parse-names":false,"suffix":""},{"dropping-particle":"","family":"Foulsham","given":"Tom","non-dropping-particle":"","parse-names":false,"suffix":""},{"dropping-particle":"","family":"Kingstone","given":"Alan","non-dropping-particle":"","parse-names":false,"suffix":""}],"container-title":"Frontiers in Human Neuroscience","id":"ITEM-1","issued":{"date-parts":[["2012"]]},"note":"17","page":"143","title":"Social attention with real versus reel stimuli: toward an empirical approach to concerns about ecological validity","type":"article-journal","volume":"6"},"uris":["http://www.mendeley.com/documents/?uuid=4b69c46c-a09b-48c1-8224-726a20074048"]}],"mendeley":{"formattedCitation":"(Risko et al., 2012)","plainTextFormattedCitation":"(Risko et al., 2012)","previouslyFormattedCitation":"(Risko et al., 2012)"},"properties":{"noteIndex":0},"schema":"https://github.com/citation-style-language/schema/raw/master/csl-citation.json"}</w:instrText>
      </w:r>
      <w:r w:rsidR="000A4E30" w:rsidRPr="00BD14B0">
        <w:fldChar w:fldCharType="separate"/>
      </w:r>
      <w:r w:rsidR="000A4E30" w:rsidRPr="00BD14B0">
        <w:rPr>
          <w:noProof/>
        </w:rPr>
        <w:t>(Risko et al., 2012)</w:t>
      </w:r>
      <w:r w:rsidR="000A4E30" w:rsidRPr="00BD14B0">
        <w:fldChar w:fldCharType="end"/>
      </w:r>
      <w:r w:rsidR="000A4E30" w:rsidRPr="00BD14B0">
        <w:t>. Because the social and non-social mechanisms of gaze cuing are still not fully understood, it is recommended to investigate this difference when researching the bottom-up processes driving patterns in gaze cuing. Future research would benefit from comparing images of real faces or video recordings of real faces on the gaze cueing effect, specifically as it relates to real-world social interactions, to determine whether static gaze shifts are processed similarly to dynamic ones in real-world social situations.</w:t>
      </w:r>
    </w:p>
    <w:p w14:paraId="08A158E5" w14:textId="0D19F2E8" w:rsidR="001B6377" w:rsidRPr="00BD14B0" w:rsidRDefault="001B6377" w:rsidP="00553E01">
      <w:r w:rsidRPr="00BD14B0">
        <w:tab/>
        <w:t xml:space="preserve">In </w:t>
      </w:r>
      <w:r w:rsidR="002F28FE" w:rsidRPr="00BD14B0">
        <w:t xml:space="preserve">the current </w:t>
      </w:r>
      <w:r w:rsidRPr="00BD14B0">
        <w:t xml:space="preserve">task, there was no motive to compete between the members of the in-group and out-group. For example, there was no conflicting environment that might lead to group belonging influencing social behaviour. Future research would benefit from focusing on varying social groups. Creating an in-group and out-group, </w:t>
      </w:r>
      <w:r w:rsidR="002F28FE" w:rsidRPr="00BD14B0">
        <w:t xml:space="preserve">where </w:t>
      </w:r>
      <w:r w:rsidRPr="00BD14B0">
        <w:t xml:space="preserve">there is competition between groups, could be effective on creating an in-group/ out-group difference on the strength of gaze cueing. Lastly, it is important to add that targeting a specific sample creates difficulties in generalising the results to the general population. The chosen stories and the social group manipulation were targeted for University of Sheffield undergraduate students. The present study could be replicated with a different sample, for </w:t>
      </w:r>
      <w:r w:rsidRPr="00BD14B0">
        <w:lastRenderedPageBreak/>
        <w:t>example with a sports team membership or a company. These might produce different results since the sample would include people from different age groups, gender, and race.</w:t>
      </w:r>
    </w:p>
    <w:p w14:paraId="30DC0FDA" w14:textId="63273D71" w:rsidR="001B6377" w:rsidRPr="00BD14B0" w:rsidRDefault="001B6377" w:rsidP="00553E01">
      <w:r w:rsidRPr="00BD14B0">
        <w:tab/>
      </w:r>
      <w:r w:rsidR="006D6F11" w:rsidRPr="00BD14B0">
        <w:t>In conclusion</w:t>
      </w:r>
      <w:r w:rsidR="002F28FE" w:rsidRPr="00BD14B0">
        <w:t>,</w:t>
      </w:r>
      <w:r w:rsidR="006D6F11" w:rsidRPr="00BD14B0">
        <w:t xml:space="preserve"> the social group belonging </w:t>
      </w:r>
      <w:r w:rsidR="002F28FE" w:rsidRPr="00BD14B0">
        <w:t xml:space="preserve">manipulation </w:t>
      </w:r>
      <w:r w:rsidR="006D6F11" w:rsidRPr="00BD14B0">
        <w:t xml:space="preserve">did not </w:t>
      </w:r>
      <w:r w:rsidR="002F28FE" w:rsidRPr="00BD14B0">
        <w:t xml:space="preserve">produce </w:t>
      </w:r>
      <w:r w:rsidR="006D6F11" w:rsidRPr="00BD14B0">
        <w:t xml:space="preserve">a significant difference on the strength on gaze cues. This might be related to </w:t>
      </w:r>
      <w:r w:rsidR="002F28FE" w:rsidRPr="00BD14B0">
        <w:t xml:space="preserve">the </w:t>
      </w:r>
      <w:r w:rsidR="006D6F11" w:rsidRPr="00BD14B0">
        <w:t xml:space="preserve">male/female </w:t>
      </w:r>
      <w:r w:rsidR="002F28FE" w:rsidRPr="00BD14B0">
        <w:t xml:space="preserve">profile of the sample </w:t>
      </w:r>
      <w:r w:rsidR="006D6F11" w:rsidRPr="00BD14B0">
        <w:t xml:space="preserve">and the context </w:t>
      </w:r>
      <w:r w:rsidR="002F28FE" w:rsidRPr="00BD14B0">
        <w:t xml:space="preserve">in which </w:t>
      </w:r>
      <w:r w:rsidR="006D6F11" w:rsidRPr="00BD14B0">
        <w:t>social group belonging</w:t>
      </w:r>
      <w:r w:rsidR="002F28FE" w:rsidRPr="00BD14B0">
        <w:t xml:space="preserve"> was manipulated and </w:t>
      </w:r>
      <w:r w:rsidR="00E54373" w:rsidRPr="00BD14B0">
        <w:t>assessed.</w:t>
      </w:r>
      <w:r w:rsidR="006D6F11" w:rsidRPr="00BD14B0">
        <w:t xml:space="preserve"> The next study of this thesis will investigate this finding by </w:t>
      </w:r>
      <w:r w:rsidR="002F28FE" w:rsidRPr="00BD14B0">
        <w:t>comparing</w:t>
      </w:r>
      <w:r w:rsidR="006D6F11" w:rsidRPr="00BD14B0">
        <w:t xml:space="preserve"> male and female participants as well as using the context of </w:t>
      </w:r>
      <w:r w:rsidR="002F28FE" w:rsidRPr="00BD14B0">
        <w:t xml:space="preserve">a </w:t>
      </w:r>
      <w:r w:rsidR="00E54373" w:rsidRPr="00BD14B0">
        <w:t xml:space="preserve">threatening </w:t>
      </w:r>
      <w:r w:rsidR="006D6F11" w:rsidRPr="00BD14B0">
        <w:t>situation</w:t>
      </w:r>
      <w:r w:rsidR="002F28FE" w:rsidRPr="00BD14B0">
        <w:t xml:space="preserve">. </w:t>
      </w:r>
    </w:p>
    <w:p w14:paraId="0558DCB0" w14:textId="77777777" w:rsidR="001B6377" w:rsidRPr="00BD14B0" w:rsidRDefault="001B6377" w:rsidP="00553E01"/>
    <w:p w14:paraId="4BB688E4" w14:textId="34AE68EC" w:rsidR="000A1220" w:rsidRPr="00BD14B0" w:rsidRDefault="000A1220" w:rsidP="00553E01"/>
    <w:p w14:paraId="21FBF443" w14:textId="59D66F9A" w:rsidR="000A1220" w:rsidRPr="00BD14B0" w:rsidRDefault="000A1220" w:rsidP="00553E01"/>
    <w:p w14:paraId="128448CE" w14:textId="63B1971E" w:rsidR="000A1220" w:rsidRPr="00BD14B0" w:rsidRDefault="000A1220" w:rsidP="00553E01"/>
    <w:p w14:paraId="2EFF3623" w14:textId="0FCCA732" w:rsidR="002C3C2D" w:rsidRPr="00BD14B0" w:rsidRDefault="002C3C2D" w:rsidP="00553E01"/>
    <w:p w14:paraId="3936F1C5" w14:textId="0BE5ECC9" w:rsidR="002C3C2D" w:rsidRPr="00BD14B0" w:rsidRDefault="002C3C2D" w:rsidP="00553E01"/>
    <w:p w14:paraId="0EB982CF" w14:textId="7DDC03FB" w:rsidR="002C3C2D" w:rsidRPr="00BD14B0" w:rsidRDefault="002C3C2D" w:rsidP="00553E01"/>
    <w:p w14:paraId="7C91AAA4" w14:textId="7B4C5C85" w:rsidR="002C3C2D" w:rsidRPr="00BD14B0" w:rsidRDefault="002C3C2D" w:rsidP="00553E01"/>
    <w:p w14:paraId="3B865FC4" w14:textId="2D14A903" w:rsidR="002C3C2D" w:rsidRPr="00BD14B0" w:rsidRDefault="002C3C2D" w:rsidP="00553E01"/>
    <w:p w14:paraId="0CA4A485" w14:textId="23484049" w:rsidR="002C3C2D" w:rsidRPr="00BD14B0" w:rsidRDefault="002C3C2D" w:rsidP="00553E01"/>
    <w:p w14:paraId="25D6EC50" w14:textId="413490F4" w:rsidR="002C3C2D" w:rsidRPr="00BD14B0" w:rsidRDefault="002C3C2D" w:rsidP="00553E01"/>
    <w:p w14:paraId="18A9BCF4" w14:textId="42C2AE16" w:rsidR="002C3C2D" w:rsidRPr="00BD14B0" w:rsidRDefault="002C3C2D" w:rsidP="00553E01"/>
    <w:p w14:paraId="419D6CD7" w14:textId="4F654EB1" w:rsidR="002C3C2D" w:rsidRPr="00BD14B0" w:rsidRDefault="002C3C2D" w:rsidP="00553E01"/>
    <w:p w14:paraId="7C88CD4A" w14:textId="27388CCA" w:rsidR="002C3C2D" w:rsidRPr="00BD14B0" w:rsidRDefault="002C3C2D" w:rsidP="00553E01"/>
    <w:p w14:paraId="3F7DF36E" w14:textId="5DF098D4" w:rsidR="002C3C2D" w:rsidRPr="00BD14B0" w:rsidRDefault="002C3C2D" w:rsidP="00553E01"/>
    <w:p w14:paraId="266FF1A8" w14:textId="350774A7" w:rsidR="00674202" w:rsidRPr="00BD14B0" w:rsidRDefault="00674202">
      <w:pPr>
        <w:tabs>
          <w:tab w:val="clear" w:pos="851"/>
        </w:tabs>
        <w:spacing w:before="0" w:after="0" w:line="240" w:lineRule="auto"/>
      </w:pPr>
      <w:r w:rsidRPr="00BD14B0">
        <w:br w:type="page"/>
      </w:r>
    </w:p>
    <w:p w14:paraId="7A12EBED" w14:textId="77777777" w:rsidR="000A1220" w:rsidRPr="00BD14B0" w:rsidRDefault="000A1220" w:rsidP="00553E01"/>
    <w:p w14:paraId="3A77F471" w14:textId="17709107" w:rsidR="000A1220" w:rsidRPr="00BD14B0" w:rsidRDefault="00BA2999" w:rsidP="00553E01">
      <w:pPr>
        <w:pStyle w:val="Heading1"/>
      </w:pPr>
      <w:bookmarkStart w:id="54" w:name="_Toc108310773"/>
      <w:r w:rsidRPr="00BD14B0">
        <w:t>The Effect of Gender and Social Power on Gaze Cueing in Dangerous Scenarios</w:t>
      </w:r>
      <w:bookmarkEnd w:id="54"/>
    </w:p>
    <w:p w14:paraId="610F3A83" w14:textId="4367C969" w:rsidR="000A1220" w:rsidRPr="00BD14B0" w:rsidRDefault="000D09DE" w:rsidP="00553E01">
      <w:r w:rsidRPr="00BD14B0">
        <w:rPr>
          <w:noProof/>
          <w:lang w:eastAsia="en-US"/>
        </w:rPr>
        <mc:AlternateContent>
          <mc:Choice Requires="wps">
            <w:drawing>
              <wp:anchor distT="0" distB="0" distL="114300" distR="114300" simplePos="0" relativeHeight="251661312" behindDoc="0" locked="0" layoutInCell="1" allowOverlap="1" wp14:anchorId="25329B21" wp14:editId="217611D7">
                <wp:simplePos x="0" y="0"/>
                <wp:positionH relativeFrom="column">
                  <wp:posOffset>0</wp:posOffset>
                </wp:positionH>
                <wp:positionV relativeFrom="paragraph">
                  <wp:posOffset>12065</wp:posOffset>
                </wp:positionV>
                <wp:extent cx="5762846" cy="0"/>
                <wp:effectExtent l="0" t="12700" r="15875" b="12700"/>
                <wp:wrapNone/>
                <wp:docPr id="12" name="Straight Connector 12"/>
                <wp:cNvGraphicFramePr/>
                <a:graphic xmlns:a="http://schemas.openxmlformats.org/drawingml/2006/main">
                  <a:graphicData uri="http://schemas.microsoft.com/office/word/2010/wordprocessingShape">
                    <wps:wsp>
                      <wps:cNvCnPr/>
                      <wps:spPr>
                        <a:xfrm>
                          <a:off x="0" y="0"/>
                          <a:ext cx="576284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711ACC2" id="Straight Connector 1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0,.95pt" to="453.75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" strokecolor="black [3200]" strokeweight="1.5pt">
                <v:stroke joinstyle="miter"/>
              </v:line>
            </w:pict>
          </mc:Fallback>
        </mc:AlternateContent>
      </w:r>
    </w:p>
    <w:p w14:paraId="025416BB" w14:textId="20508D1E" w:rsidR="000A1220" w:rsidRPr="00BD14B0" w:rsidRDefault="006B6F0F" w:rsidP="00553E01">
      <w:pPr>
        <w:pStyle w:val="Heading2"/>
      </w:pPr>
      <w:bookmarkStart w:id="55" w:name="_Toc108310774"/>
      <w:r w:rsidRPr="00BD14B0">
        <w:t>Introduction</w:t>
      </w:r>
      <w:bookmarkEnd w:id="55"/>
    </w:p>
    <w:p w14:paraId="7279DE17" w14:textId="53B9639A" w:rsidR="00EE5E0E" w:rsidRPr="00BD14B0" w:rsidRDefault="00240229" w:rsidP="00553E01">
      <w:r w:rsidRPr="00BD14B0">
        <w:tab/>
      </w:r>
      <w:r w:rsidR="006703C2" w:rsidRPr="00BD14B0">
        <w:t>Humans are often in environment</w:t>
      </w:r>
      <w:r w:rsidR="00EE5E0E" w:rsidRPr="00BD14B0">
        <w:t>s</w:t>
      </w:r>
      <w:r w:rsidR="006703C2" w:rsidRPr="00BD14B0">
        <w:t xml:space="preserve"> that include other people from various backgrounds and settings </w:t>
      </w:r>
      <w:r w:rsidR="006703C2" w:rsidRPr="00BD14B0">
        <w:fldChar w:fldCharType="begin" w:fldLock="1"/>
      </w:r>
      <w:r w:rsidR="006703C2" w:rsidRPr="00BD14B0">
        <w:instrText>ADDIN CSL_CITATION {"citationItems":[{"id":"ITEM-1","itemData":{"DOI":"10.1016/j.cognition.2010.09.003","ISSN":"00100277","abstract":"Human visual attention operates in a context that is complex, social and dynamic. To explore this, we recorded people taking part in a group decision-making task and then showed video clips of these situations to new participants while tracking their eye movements. Observers spent the majority of time looking at the people in the videos, and in particular at their eyes and faces. The social status of the people in the clips had been rated by their peers in the group task, and this status hierarchy strongly predicted where eye-tracker participants looked: high-status individuals were gazed at much more often, and for longer, than low-status individuals, even over short, 20-s videos. Fixation was temporally coupled to the person who was talking at any one time, but this did not account for the effect of social status on attention. These results are consistent with a gaze system that is attuned to the presence of other individuals, to their social status within a group, and to the information most useful for social interaction. (C) 2010 Elsevier B.V. All rights reserved.","author":[{"dropping-particle":"","family":"Foulsham","given":"Tom","non-dropping-particle":"","parse-names":false,"suffix":""},{"dropping-particle":"","family":"Cheng","given":"Joey T","non-dropping-particle":"","parse-names":false,"suffix":""},{"dropping-particle":"","family":"Tracy","given":"Jessica L","non-dropping-particle":"","parse-names":false,"suffix":""},{"dropping-particle":"","family":"Henrich","given":"Joseph","non-dropping-particle":"","parse-names":false,"suffix":""},{"dropping-particle":"","family":"Kingstone","given":"Alan","non-dropping-particle":"","parse-names":false,"suffix":""}],"container-title":"Cognition","id":"ITEM-1","issue":"3","issued":{"date-parts":[["2010","12"]]},"note":"Times Cited: 36\n36","page":"319-331","title":"Gaze allocation in a dynamic situation: Effects of social status and speaking","type":"article-journal","volume":"117"},"uris":["http://www.mendeley.com/documents/?uuid=f47ee137-412c-4b34-a8dd-7a5d7d9e843b"]}],"mendeley":{"formattedCitation":"(Foulsham et al., 2010)","plainTextFormattedCitation":"(Foulsham et al., 2010)","previouslyFormattedCitation":"(Foulsham et al., 2010)"},"properties":{"noteIndex":0},"schema":"https://github.com/citation-style-language/schema/raw/master/csl-citation.json"}</w:instrText>
      </w:r>
      <w:r w:rsidR="006703C2" w:rsidRPr="00BD14B0">
        <w:fldChar w:fldCharType="separate"/>
      </w:r>
      <w:r w:rsidR="006703C2" w:rsidRPr="00BD14B0">
        <w:rPr>
          <w:noProof/>
        </w:rPr>
        <w:t>(Foulsham et al., 2010)</w:t>
      </w:r>
      <w:r w:rsidR="006703C2" w:rsidRPr="00BD14B0">
        <w:fldChar w:fldCharType="end"/>
      </w:r>
      <w:r w:rsidR="006703C2" w:rsidRPr="00BD14B0">
        <w:t>. Within such environment</w:t>
      </w:r>
      <w:r w:rsidR="00EE5E0E" w:rsidRPr="00BD14B0">
        <w:t>s</w:t>
      </w:r>
      <w:r w:rsidR="006703C2" w:rsidRPr="00BD14B0">
        <w:t xml:space="preserve">, social hierarchy often influences social interactions. For instance, knowing where individuals rank in a hierarchy </w:t>
      </w:r>
      <w:r w:rsidR="00990DD9" w:rsidRPr="00BD14B0">
        <w:t xml:space="preserve">can </w:t>
      </w:r>
      <w:r w:rsidR="006703C2" w:rsidRPr="00BD14B0">
        <w:t xml:space="preserve">help one to understand their position within that hierarchy </w:t>
      </w:r>
      <w:r w:rsidR="006703C2" w:rsidRPr="00BD14B0">
        <w:fldChar w:fldCharType="begin" w:fldLock="1"/>
      </w:r>
      <w:r w:rsidR="0028287E" w:rsidRPr="00BD14B0">
        <w:instrText>ADDIN CSL_CITATION {"citationItems":[{"id":"ITEM-1","itemData":{"DOI":"10.1016/s0149-7634(00)00025-7","ISSN":"0149-7634","abstract":"Gaze is an important component of social interaction. The function, evolution and neurobiology of gaze processing are therefore of interest to a number of researchers. This review discusses the evolutionary role of social gaze in vertebrates (focusing on primates), and a hypothesis that this role has changed substantially for primates compared to other animals. This change may have been driven by morphological changes to the face and eyes of primates, limitations in the facial anatomy of other vertebrates, changes in the ecology of the environment in which primates live, and a necessity to communicate information about the environment, emotional and mental states. The eyes represent different levels of signal value depending on the status, disposition and emotional state of the sender and receiver of such signals. There are regions in the monkey and human brain which contain neurons that respond selectively to faces, bodies and eye gaze. The ability to follow another individual's gaze direction is affected in individuals with autism and other psychopathological disorders, and after particular localized brain lesions. The hypothesis that gaze following is \"hard-wired\" in the brain, and may be localized within a circuit linking the superior temporal sulcus, amygdala and orbitofrontal cortex is discussed. (C) 2000 Elsevier Science Ltd. All rights reserved.","author":[{"dropping-particle":"","family":"Emery","given":"N J","non-dropping-particle":"","parse-names":false,"suffix":""}],"container-title":"Neuroscience and Biobehavioral Reviews","id":"ITEM-1","issue":"6","issued":{"date-parts":[["2000"]]},"note":"Times Cited: 535\n547","page":"581-604","title":"The eyes have it: the neuroethology, function and evolution of social gaze","type":"article-journal","volume":"24"},"uris":["http://www.mendeley.com/documents/?uuid=5d58b576-b76a-4e08-ae1a-27007bed123f"]}],"mendeley":{"formattedCitation":"(N J Emery, 2000)","manualFormatting":"(Emery, 2000)","plainTextFormattedCitation":"(N J Emery, 2000)","previouslyFormattedCitation":"(N J Emery, 2000)"},"properties":{"noteIndex":0},"schema":"https://github.com/citation-style-language/schema/raw/master/csl-citation.json"}</w:instrText>
      </w:r>
      <w:r w:rsidR="006703C2" w:rsidRPr="00BD14B0">
        <w:fldChar w:fldCharType="separate"/>
      </w:r>
      <w:r w:rsidR="004D2901" w:rsidRPr="00BD14B0">
        <w:rPr>
          <w:noProof/>
        </w:rPr>
        <w:t>(Emery, 2000)</w:t>
      </w:r>
      <w:r w:rsidR="006703C2" w:rsidRPr="00BD14B0">
        <w:fldChar w:fldCharType="end"/>
      </w:r>
      <w:r w:rsidR="006703C2" w:rsidRPr="00BD14B0">
        <w:t xml:space="preserve"> as well as identify which individuals have access to valuable resources and information  </w:t>
      </w:r>
      <w:r w:rsidR="006703C2" w:rsidRPr="00BD14B0">
        <w:fldChar w:fldCharType="begin" w:fldLock="1"/>
      </w:r>
      <w:r w:rsidR="004D2901" w:rsidRPr="00BD14B0">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Letters","id":"ITEM-1","issue":"3","issued":{"date-parts":[["2012","6","23"]]},"page":"450-452","title":"Social status gates social attention in humans","type":"article-journal","volume":"8"},"uris":["http://www.mendeley.com/documents/?uuid=b7f6444c-76cb-4601-8187-f22420080e98"]}],"mendeley":{"formattedCitation":"(Dalmaso et al., 2012a)","manualFormatting":"(Dalmaso, Pavan, Castelli, &amp; Galfano, 2012)","plainTextFormattedCitation":"(Dalmaso et al., 2012a)","previouslyFormattedCitation":"(Dalmaso et al., 2012a)"},"properties":{"noteIndex":0},"schema":"https://github.com/citation-style-language/schema/raw/master/csl-citation.json"}</w:instrText>
      </w:r>
      <w:r w:rsidR="006703C2" w:rsidRPr="00BD14B0">
        <w:fldChar w:fldCharType="separate"/>
      </w:r>
      <w:r w:rsidR="006703C2" w:rsidRPr="00BD14B0">
        <w:rPr>
          <w:noProof/>
        </w:rPr>
        <w:t>(Dalmaso, Pavan, Castelli, &amp; Galfano, 2012)</w:t>
      </w:r>
      <w:r w:rsidR="006703C2" w:rsidRPr="00BD14B0">
        <w:fldChar w:fldCharType="end"/>
      </w:r>
      <w:r w:rsidR="006703C2" w:rsidRPr="00BD14B0">
        <w:t xml:space="preserve">. Furthermore, those who have high social status have more influence on social attention and receive </w:t>
      </w:r>
      <w:r w:rsidR="00EE5E0E" w:rsidRPr="00BD14B0">
        <w:t xml:space="preserve">greater </w:t>
      </w:r>
      <w:r w:rsidR="006703C2" w:rsidRPr="00BD14B0">
        <w:t xml:space="preserve">attention as a function of their rank </w:t>
      </w:r>
      <w:r w:rsidR="006703C2" w:rsidRPr="00BD14B0">
        <w:fldChar w:fldCharType="begin" w:fldLock="1"/>
      </w:r>
      <w:r w:rsidR="0028287E" w:rsidRPr="00BD14B0">
        <w:instrText>ADDIN CSL_CITATION {"citationItems":[{"id":"ITEM-1","itemData":{"DOI":"10.2307/2799336","ISSN":"00251496","author":[{"dropping-particle":"","family":"Chance","given":"M R A","non-dropping-particle":"","parse-names":false,"suffix":""}],"container-title":"Man","id":"ITEM-1","issue":"4","issued":{"date-parts":[["1967"]]},"page":"503-518","publisher":"[Wiley, Royal Anthropological Institute of Great Britain and Ireland]","title":"Attention Structure as the Basis of Primate Rank Orders","type":"article-journal","volume":"2"},"uris":["http://www.mendeley.com/documents/?uuid=b2364c89-7761-466e-a87d-87a76ce0fd20"]},{"id":"ITEM-2","itemData":{"DOI":"10.1016/s0149-7634(00)00025-7","ISSN":"0149-7634","abstract":"Gaze is an important component of social interaction. The function, evolution and neurobiology of gaze processing are therefore of interest to a number of researchers. This review discusses the evolutionary role of social gaze in vertebrates (focusing on primates), and a hypothesis that this role has changed substantially for primates compared to other animals. This change may have been driven by morphological changes to the face and eyes of primates, limitations in the facial anatomy of other vertebrates, changes in the ecology of the environment in which primates live, and a necessity to communicate information about the environment, emotional and mental states. The eyes represent different levels of signal value depending on the status, disposition and emotional state of the sender and receiver of such signals. There are regions in the monkey and human brain which contain neurons that respond selectively to faces, bodies and eye gaze. The ability to follow another individual's gaze direction is affected in individuals with autism and other psychopathological disorders, and after particular localized brain lesions. The hypothesis that gaze following is \"hard-wired\" in the brain, and may be localized within a circuit linking the superior temporal sulcus, amygdala and orbitofrontal cortex is discussed. (C) 2000 Elsevier Science Ltd. All rights reserved.","author":[{"dropping-particle":"","family":"Emery","given":"N J","non-dropping-particle":"","parse-names":false,"suffix":""}],"container-title":"Neuroscience and Biobehavioral Reviews","id":"ITEM-2","issue":"6","issued":{"date-parts":[["2000"]]},"note":"Times Cited: 535\n547","page":"581-604","title":"The eyes have it: the neuroethology, function and evolution of social gaze","type":"article-journal","volume":"24"},"uris":["http://www.mendeley.com/documents/?uuid=5d58b576-b76a-4e08-ae1a-27007bed123f"]}],"mendeley":{"formattedCitation":"(Chance, 1967; N J Emery, 2000)","manualFormatting":"(Chance, 1967; Emery, 2000)","plainTextFormattedCitation":"(Chance, 1967; N J Emery, 2000)","previouslyFormattedCitation":"(Chance, 1967; N J Emery, 2000)"},"properties":{"noteIndex":0},"schema":"https://github.com/citation-style-language/schema/raw/master/csl-citation.json"}</w:instrText>
      </w:r>
      <w:r w:rsidR="006703C2" w:rsidRPr="00BD14B0">
        <w:fldChar w:fldCharType="separate"/>
      </w:r>
      <w:r w:rsidR="004D2901" w:rsidRPr="00BD14B0">
        <w:rPr>
          <w:noProof/>
        </w:rPr>
        <w:t>(Chance, 1967; Emery, 2000)</w:t>
      </w:r>
      <w:r w:rsidR="006703C2" w:rsidRPr="00BD14B0">
        <w:fldChar w:fldCharType="end"/>
      </w:r>
      <w:r w:rsidR="006703C2" w:rsidRPr="00BD14B0">
        <w:t xml:space="preserve">. Evidence indicates that people are selectively more attentive towards individuals who are rated </w:t>
      </w:r>
      <w:r w:rsidR="00EE5E0E" w:rsidRPr="00BD14B0">
        <w:t xml:space="preserve">as having </w:t>
      </w:r>
      <w:r w:rsidR="006703C2" w:rsidRPr="00BD14B0">
        <w:t xml:space="preserve">higher social status </w:t>
      </w:r>
      <w:r w:rsidR="006703C2" w:rsidRPr="00BD14B0">
        <w:fldChar w:fldCharType="begin" w:fldLock="1"/>
      </w:r>
      <w:r w:rsidR="006703C2" w:rsidRPr="00BD14B0">
        <w:instrText>ADDIN CSL_CITATION {"citationItems":[{"id":"ITEM-1","itemData":{"DOI":"10.1016/j.cognition.2010.09.003","ISSN":"00100277","abstract":"Human visual attention operates in a context that is complex, social and dynamic. To explore this, we recorded people taking part in a group decision-making task and then showed video clips of these situations to new participants while tracking their eye movements. Observers spent the majority of time looking at the people in the videos, and in particular at their eyes and faces. The social status of the people in the clips had been rated by their peers in the group task, and this status hierarchy strongly predicted where eye-tracker participants looked: high-status individuals were gazed at much more often, and for longer, than low-status individuals, even over short, 20-s videos. Fixation was temporally coupled to the person who was talking at any one time, but this did not account for the effect of social status on attention. These results are consistent with a gaze system that is attuned to the presence of other individuals, to their social status within a group, and to the information most useful for social interaction. (C) 2010 Elsevier B.V. All rights reserved.","author":[{"dropping-particle":"","family":"Foulsham","given":"Tom","non-dropping-particle":"","parse-names":false,"suffix":""},{"dropping-particle":"","family":"Cheng","given":"Joey T","non-dropping-particle":"","parse-names":false,"suffix":""},{"dropping-particle":"","family":"Tracy","given":"Jessica L","non-dropping-particle":"","parse-names":false,"suffix":""},{"dropping-particle":"","family":"Henrich","given":"Joseph","non-dropping-particle":"","parse-names":false,"suffix":""},{"dropping-particle":"","family":"Kingstone","given":"Alan","non-dropping-particle":"","parse-names":false,"suffix":""}],"container-title":"Cognition","id":"ITEM-1","issue":"3","issued":{"date-parts":[["2010","12"]]},"note":"Times Cited: 36\n36","page":"319-331","title":"Gaze allocation in a dynamic situation: Effects of social status and speaking","type":"article-journal","volume":"117"},"uris":["http://www.mendeley.com/documents/?uuid=f47ee137-412c-4b34-a8dd-7a5d7d9e843b"]}],"mendeley":{"formattedCitation":"(Foulsham et al., 2010)","plainTextFormattedCitation":"(Foulsham et al., 2010)","previouslyFormattedCitation":"(Foulsham et al., 2010)"},"properties":{"noteIndex":0},"schema":"https://github.com/citation-style-language/schema/raw/master/csl-citation.json"}</w:instrText>
      </w:r>
      <w:r w:rsidR="006703C2" w:rsidRPr="00BD14B0">
        <w:fldChar w:fldCharType="separate"/>
      </w:r>
      <w:r w:rsidR="006703C2" w:rsidRPr="00BD14B0">
        <w:rPr>
          <w:noProof/>
        </w:rPr>
        <w:t>(Foulsham et al., 2010)</w:t>
      </w:r>
      <w:r w:rsidR="006703C2" w:rsidRPr="00BD14B0">
        <w:fldChar w:fldCharType="end"/>
      </w:r>
      <w:r w:rsidR="006703C2" w:rsidRPr="00BD14B0">
        <w:t>.</w:t>
      </w:r>
      <w:r w:rsidR="00EE5E0E" w:rsidRPr="00BD14B0">
        <w:t xml:space="preserve"> Moreover, this tendency to be more selectively attentive to higher status individuals may be especially pronounced in threatening situations. </w:t>
      </w:r>
    </w:p>
    <w:p w14:paraId="69828E2A" w14:textId="5884FB67" w:rsidR="006703C2" w:rsidRPr="00BD14B0" w:rsidRDefault="00240229" w:rsidP="00553E01">
      <w:r w:rsidRPr="00BD14B0">
        <w:tab/>
      </w:r>
      <w:r w:rsidR="00EE5E0E" w:rsidRPr="00BD14B0">
        <w:t>As an example,</w:t>
      </w:r>
      <w:r w:rsidR="006703C2" w:rsidRPr="00BD14B0">
        <w:t xml:space="preserve"> </w:t>
      </w:r>
      <w:proofErr w:type="spellStart"/>
      <w:r w:rsidR="006703C2" w:rsidRPr="00BD14B0">
        <w:t>Ohlsen</w:t>
      </w:r>
      <w:proofErr w:type="spellEnd"/>
      <w:r w:rsidR="006703C2" w:rsidRPr="00BD14B0">
        <w:t xml:space="preserve"> et al. (2013) primed their participants</w:t>
      </w:r>
      <w:r w:rsidR="00990DD9" w:rsidRPr="00BD14B0">
        <w:t xml:space="preserve"> </w:t>
      </w:r>
      <w:r w:rsidR="00EE5E0E" w:rsidRPr="00BD14B0">
        <w:t>in a</w:t>
      </w:r>
      <w:r w:rsidR="006703C2" w:rsidRPr="00BD14B0">
        <w:t xml:space="preserve"> threat condition by showing pictures low in pleasure, and high in dominance and arousal (such as graphic displays of attacks, fighting situations and accidents)</w:t>
      </w:r>
      <w:r w:rsidR="00EE5E0E" w:rsidRPr="00BD14B0">
        <w:t>, whereas participants in</w:t>
      </w:r>
      <w:r w:rsidR="006703C2" w:rsidRPr="00BD14B0">
        <w:t xml:space="preserve"> </w:t>
      </w:r>
      <w:r w:rsidR="00990DD9" w:rsidRPr="00BD14B0">
        <w:t>the</w:t>
      </w:r>
      <w:r w:rsidR="006703C2" w:rsidRPr="00BD14B0">
        <w:t xml:space="preserve"> non-threat condition </w:t>
      </w:r>
      <w:r w:rsidR="00EE5E0E" w:rsidRPr="00BD14B0">
        <w:t>were shown</w:t>
      </w:r>
      <w:r w:rsidR="006703C2" w:rsidRPr="00BD14B0">
        <w:t xml:space="preserve"> pictures high in pleasure, and low in dominance and arousal (such as smiling babies, pairs holding hands, beautiful scenes of nature and cute animals). </w:t>
      </w:r>
      <w:r w:rsidR="00EC5600" w:rsidRPr="00BD14B0">
        <w:t>Dominant looking male faces have been found to manipulate the social attention of the observer in both threat and non-threat conditions; in contrast, a non-dominant looking female face was only found to influence the social attention of the observer</w:t>
      </w:r>
      <w:r w:rsidR="00EC5600" w:rsidRPr="00BD14B0" w:rsidDel="00730602">
        <w:t xml:space="preserve"> </w:t>
      </w:r>
      <w:r w:rsidR="00EC5600" w:rsidRPr="00BD14B0">
        <w:t xml:space="preserve">in the non-threat condition </w:t>
      </w:r>
      <w:r w:rsidR="00EC5600" w:rsidRPr="00BD14B0">
        <w:fldChar w:fldCharType="begin" w:fldLock="1"/>
      </w:r>
      <w:r w:rsidR="00EC5600" w:rsidRPr="00BD14B0">
        <w:instrText>ADDIN CSL_CITATION {"citationItems":[{"id":"ITEM-1","itemData":{"DOI":"10.1371/journal.pone.0059471","ISSN":"1932-6203","abstract":"Gaze following is a socio-cognitive process that provides adaptive information about potential threats and opportunities in the individual's environment. The aim of the present study was to investigate the potential interaction between emotional context and facial dominance in gaze following. We used the gaze cue task to induce attention to or away from the location of a target stimulus. In the experiment, the gaze cue either belonged to a (dominant looking) male face or a (non-dominant looking) female face. Critically, prior to the task, individuals were primed with pictures of threat or no threat to induce either a dangerous or safe environment. Findings revealed that the primed emotional context critically influenced the gaze cuing effect. While a gaze cue of the dominant male face influenced performance in both the threat and no-threat conditions, the gaze cue of the non-dominant female face only influenced performance in the no-threat condition. This research suggests an implicit, context-dependent follower bias, which carries implications for research on visual attention, social cognition, and leadership.","author":[{"dropping-particle":"","family":"Ohlsen","given":"Garian","non-dropping-particle":"","parse-names":false,"suffix":""},{"dropping-particle":"","family":"Zoest","given":"Wieske","non-dropping-particle":"van","parse-names":false,"suffix":""},{"dropping-particle":"","family":"Vugt","given":"Mark","non-dropping-particle":"van","parse-names":false,"suffix":""}],"container-title":"PLoS ONE","editor":[{"dropping-particle":"","family":"Avenanti","given":"Alessio","non-dropping-particle":"","parse-names":false,"suffix":""}],"id":"ITEM-1","issue":"4","issued":{"date-parts":[["2013","4","3"]]},"note":"Times Cited: 7\n7","page":"e59471","title":"Gender and Facial Dominance in Gaze Cuing: Emotional Context Matters in the Eyes That We Follow","type":"article-journal","volume":"8"},"uris":["http://www.mendeley.com/documents/?uuid=7d99e529-16ff-4ecc-9ded-0ca936d93c3c"]}],"mendeley":{"formattedCitation":"(Ohlsen et al., 2013)","plainTextFormattedCitation":"(Ohlsen et al., 2013)","previouslyFormattedCitation":"(Ohlsen et al., 2013)"},"properties":{"noteIndex":0},"schema":"https://github.com/citation-style-language/schema/raw/master/csl-citation.json"}</w:instrText>
      </w:r>
      <w:r w:rsidR="00EC5600" w:rsidRPr="00BD14B0">
        <w:fldChar w:fldCharType="separate"/>
      </w:r>
      <w:r w:rsidR="00EC5600" w:rsidRPr="00BD14B0">
        <w:rPr>
          <w:noProof/>
        </w:rPr>
        <w:t>(Ohlsen et al., 2013)</w:t>
      </w:r>
      <w:r w:rsidR="00EC5600" w:rsidRPr="00BD14B0">
        <w:fldChar w:fldCharType="end"/>
      </w:r>
      <w:r w:rsidR="00EC5600" w:rsidRPr="00BD14B0">
        <w:t xml:space="preserve">. </w:t>
      </w:r>
      <w:r w:rsidR="006703C2" w:rsidRPr="00BD14B0">
        <w:t xml:space="preserve">They concluded that gaze cueing effects can be </w:t>
      </w:r>
      <w:r w:rsidR="00EE5E0E" w:rsidRPr="00BD14B0">
        <w:t xml:space="preserve">moderated </w:t>
      </w:r>
      <w:r w:rsidR="006703C2" w:rsidRPr="00BD14B0">
        <w:t>by facial features signal</w:t>
      </w:r>
      <w:r w:rsidR="00990DD9" w:rsidRPr="00BD14B0">
        <w:t>l</w:t>
      </w:r>
      <w:r w:rsidR="006703C2" w:rsidRPr="00BD14B0">
        <w:t>ing social attributes (i.e., dominant vs non-dominant) depending on the context that they are engaged in (i.e., threat vs. non-threat). Therefore, social status and social attention are strongly associated with one another</w:t>
      </w:r>
      <w:r w:rsidR="00EE5E0E" w:rsidRPr="00BD14B0">
        <w:t>,</w:t>
      </w:r>
      <w:r w:rsidR="006703C2" w:rsidRPr="00BD14B0">
        <w:t xml:space="preserve"> but moderated by context (e.g., threat). </w:t>
      </w:r>
    </w:p>
    <w:p w14:paraId="5094D5FF" w14:textId="00AD750A" w:rsidR="006703C2" w:rsidRPr="00BD14B0" w:rsidRDefault="00240229" w:rsidP="00553E01">
      <w:r w:rsidRPr="00BD14B0">
        <w:lastRenderedPageBreak/>
        <w:tab/>
      </w:r>
      <w:r w:rsidR="006703C2" w:rsidRPr="00BD14B0">
        <w:t xml:space="preserve">Hierarchical structuring of social groups formalizes coordination between group members and improves the group’s performance </w:t>
      </w:r>
      <w:r w:rsidR="006703C2" w:rsidRPr="00BD14B0">
        <w:fldChar w:fldCharType="begin" w:fldLock="1"/>
      </w:r>
      <w:r w:rsidR="006703C2" w:rsidRPr="00BD14B0">
        <w:instrText>ADDIN CSL_CITATION {"citationItems":[{"id":"ITEM-1","itemData":{"DOI":"10.1016/j.cub.2009.07.027","ISSN":"09609822","abstract":"How groups of individuals achieve coordination and collective action is an important topic in the natural sciences, but until recently the role of leadership in this process has been largely overlooked. In contrast, leadership is arguably one of the most important themes in the social sciences, permeating all aspects of human social affairs: the election of Barack Obama, the war in Iraq, and the collapse of the banks are all high-profile events that draw our attention to the fundamental role of leadership and followership. Converging ideas and developments in both the natural and social sciences suggest that leadership and followership share common properties across humans and other animals, pointing to ancient roots and evolutionary origins. Here, we draw upon key insights from the animal and human literature to lay the foundation for a new science of leadership inspired by an evolutionary perspective. Identifying the origins of human leadership and followership, as well as which aspects are shared with other animals and which are unique, offers ways of understanding, predicting, and improving leadership today. © 2009 Elsevier Ltd. All rights reserved.","author":[{"dropping-particle":"","family":"King","given":"Andrew J.","non-dropping-particle":"","parse-names":false,"suffix":""},{"dropping-particle":"","family":"Johnson","given":"Dominic D.P.","non-dropping-particle":"","parse-names":false,"suffix":""},{"dropping-particle":"","family":"Vugt","given":"Mark","non-dropping-particle":"Van","parse-names":false,"suffix":""}],"container-title":"Current Biology","id":"ITEM-1","issue":"19","issued":{"date-parts":[["2009","10"]]},"page":"R911-R916","publisher":"Elsevier Ltd","title":"The Origins and Evolution of Leadership","type":"article-journal","volume":"19"},"uris":["http://www.mendeley.com/documents/?uuid=e5f8fc88-4d6d-4380-90d3-711a2652bcbb"]},{"id":"ITEM-2","itemData":{"DOI":"10.1207/s15327957pspr1004_5","ISSN":"1088-8683","abstract":"Drawing upon evolutionary logic, leadership is reconceptualized in terms of the outcome of strategic interactions among individuals who are following different, yet complementary, decision rules to solve recurrent coordination problems. This article uses the vast psychological literature on leadership as a database to test several evolutionary hypotheses about the origins of leadership and followership in humans. As expected, leadership correlates with initiative taking, trait measures of intelligence, specific task competencies, and several indicators of generosity. The review finds no link between leadership and dominance. The evolutionary analysis accounts for reliable age, health, and sex differences in leadership emergence. In general, evolutionary theory provides a useful, integrative framework for studying leader-follower relationships and generates various novel research hypotheses.","author":[{"dropping-particle":"","family":"Vugt","given":"Mark","non-dropping-particle":"Van","parse-names":false,"suffix":""}],"container-title":"Personality and Social Psychology Review","id":"ITEM-2","issue":"4","issued":{"date-parts":[["2006","11","1"]]},"note":"doi: 10.1207/s15327957pspr1004_5","page":"354-371","publisher":"SAGE Publications Inc","title":"Evolutionary Origins of Leadership and Followership","type":"article-journal","volume":"10"},"uris":["http://www.mendeley.com/documents/?uuid=f779cf0f-0faa-4d51-8103-84893f69365a"]}],"mendeley":{"formattedCitation":"(King et al., 2009; Van Vugt, 2006)","plainTextFormattedCitation":"(King et al., 2009; Van Vugt, 2006)","previouslyFormattedCitation":"(King et al., 2009; Van Vugt, 2006)"},"properties":{"noteIndex":0},"schema":"https://github.com/citation-style-language/schema/raw/master/csl-citation.json"}</w:instrText>
      </w:r>
      <w:r w:rsidR="006703C2" w:rsidRPr="00BD14B0">
        <w:fldChar w:fldCharType="separate"/>
      </w:r>
      <w:r w:rsidR="006703C2" w:rsidRPr="00BD14B0">
        <w:rPr>
          <w:noProof/>
        </w:rPr>
        <w:t>(King et al., 2009; Van Vugt, 2006)</w:t>
      </w:r>
      <w:r w:rsidR="006703C2" w:rsidRPr="00BD14B0">
        <w:fldChar w:fldCharType="end"/>
      </w:r>
      <w:r w:rsidR="006703C2" w:rsidRPr="00BD14B0">
        <w:t xml:space="preserve">. The hieratical structure within a social group also leads to efficient decision making </w:t>
      </w:r>
      <w:r w:rsidR="006703C2" w:rsidRPr="00BD14B0">
        <w:fldChar w:fldCharType="begin" w:fldLock="1"/>
      </w:r>
      <w:r w:rsidR="006703C2" w:rsidRPr="00BD14B0">
        <w:instrText>ADDIN CSL_CITATION {"citationItems":[{"id":"ITEM-1","itemData":{"DOI":"10.1037/0003-066X.63.3.182","ISBN":"0003-066X (Print)\\n0003-066X (Linking)","ISSN":"1935-990X","PMID":"18377108","abstract":"This article analyzes the topic of leadership from an evolutionary perspective and proposes three conclusions that are not part of mainstream theory. First, leading and following are strategies that evolved for solving social coordination problems in ancestral environments, including in particular the problems of group movement, intragroup peacekeeping, and intergroup competition. Second, the relationship between leaders and followers is inherently ambivalent because of the potential for exploitation of followers by leaders. Third, modern organizational structures are sometimes inconsistent with aspects of our evolved leadership psychology, which might explain the alienation and frustration of many citizens and employees. The authors draw several implications of this evolutionary analysis for leadership theory, research, and practice.","author":[{"dropping-particle":"","family":"Vugt","given":"Mark","non-dropping-particle":"Van","parse-names":false,"suffix":""},{"dropping-particle":"","family":"Hogan","given":"Robert","non-dropping-particle":"","parse-names":false,"suffix":""},{"dropping-particle":"","family":"Kaiser","given":"Robert B.","non-dropping-particle":"","parse-names":false,"suffix":""}],"container-title":"American Psychologist","id":"ITEM-1","issue":"3","issued":{"date-parts":[["2008"]]},"page":"182-196","title":"Leadership, followership, and evolution: Some lessons from the past.","type":"article-journal","volume":"63"},"uris":["http://www.mendeley.com/documents/?uuid=7b7d84a2-6c53-451d-8c5e-7917f421002b"]}],"mendeley":{"formattedCitation":"(Van Vugt et al., 2008)","plainTextFormattedCitation":"(Van Vugt et al., 2008)","previouslyFormattedCitation":"(Van Vugt et al., 2008)"},"properties":{"noteIndex":0},"schema":"https://github.com/citation-style-language/schema/raw/master/csl-citation.json"}</w:instrText>
      </w:r>
      <w:r w:rsidR="006703C2" w:rsidRPr="00BD14B0">
        <w:fldChar w:fldCharType="separate"/>
      </w:r>
      <w:r w:rsidR="006703C2" w:rsidRPr="00BD14B0">
        <w:rPr>
          <w:noProof/>
        </w:rPr>
        <w:t>(Van Vugt et al., 2008)</w:t>
      </w:r>
      <w:r w:rsidR="006703C2" w:rsidRPr="00BD14B0">
        <w:fldChar w:fldCharType="end"/>
      </w:r>
      <w:r w:rsidR="006703C2" w:rsidRPr="00BD14B0">
        <w:t xml:space="preserve">, creates collective locomotion </w:t>
      </w:r>
      <w:r w:rsidR="006703C2" w:rsidRPr="00BD14B0">
        <w:fldChar w:fldCharType="begin" w:fldLock="1"/>
      </w:r>
      <w:r w:rsidR="006703C2" w:rsidRPr="00BD14B0">
        <w:instrText>ADDIN CSL_CITATION {"citationItems":[{"id":"ITEM-1","itemData":{"DOI":"10.1111/j.1475-682X.1964.tb00583.x","ISSN":"0038-0245","author":[{"dropping-particle":"","family":"Blau","given":"Peter M","non-dropping-particle":"","parse-names":false,"suffix":""}],"container-title":"Sociological Inquiry","id":"ITEM-1","issue":"2","issued":{"date-parts":[["1964","4","1"]]},"note":"doi: 10.1111/j.1475-682X.1964.tb00583.x","page":"193-206","publisher":"John Wiley &amp; Sons, Ltd (10.1111)","title":"Justice in Social Exchange","type":"article-journal","volume":"34"},"uris":["http://www.mendeley.com/documents/?uuid=0ac8d720-d00a-4e2d-947c-3e48f0f9d077"]},{"id":"ITEM-2","itemData":{"DOI":"10.1177/0146167206291006","ISSN":"0146-1672","abstract":"Three experimental studies examined the relationship between altruistic behavior and the emergence of status hierarchies within groups. In each study, group members were confronted with a social dilemma in which they could either benefit themselves or their group. Study 1 revealed that in a reputation environment when contributions were public, people were more altruistic. In both Studies 1 and 2, the most altruistic members gained the highest status in their group and were most frequently preferred as cooperative interaction partners. Study 3 showed that as the costs of altruism increase, the status rewards also increase. These results support the premise at the heart of competitive altruism: Individuals may behave altruistically for reputation reasons because selective benefits (associated with status) accrue to the generous.","author":[{"dropping-particle":"","family":"Hardy","given":"Charlie L","non-dropping-particle":"","parse-names":false,"suffix":""},{"dropping-particle":"","family":"Vugt","given":"Mark","non-dropping-particle":"Van","parse-names":false,"suffix":""}],"container-title":"Personality and Social Psychology Bulletin","id":"ITEM-2","issue":"10","issued":{"date-parts":[["2006","10","2"]]},"note":"doi: 10.1177/0146167206291006","page":"1402-1413","publisher":"SAGE Publications Inc","title":"Nice Guys Finish First: The Competitive Altruism Hypothesis","type":"article-journal","volume":"32"},"uris":["http://www.mendeley.com/documents/?uuid=10f09f63-a0b7-483f-91e2-19d6f2ed147d"]},{"id":"ITEM-3","itemData":{"DOI":"10.1016/S0065-2601(07)00003-2","ISBN":"9780120152407","ISSN":"00652601","abstract":"In the present chapter, we advance a reciprocal influence model of social power. Our model is rooted in evolutionist analyses of primate hierarchies, and notions that the capacity for subordinates to form alliances imposes important demands upon those in power, and that power heuristically reduces the likelihood of conflicts within groups. Guided by these assumptions, we posit a set of propositions regarding the reciprocal nature of power, and review recent supporting data. With respect to the acquisition of social power, we show that power is afforded to those individuals and strategic behaviors related to advancing the interests of the group. With respect to constraints upon power, we detail how group-based representations (a fellow group member's reputation), communication (gossip), and self-assessments (an individual's modest sense of power) constrain the actions of those in power according to how they advance group interests. Finally, with respect to the notion that power acts as a social interaction heuristic, we examine how social power is readily and accurately perceived by group members and gives priority to the emotions, goals, and actions of high-power individuals in shaping interdependent action. We conclude with a discussion of recent studies of the subjective sense of power and class-based ideologies. © 2008 Elsevier Inc. All rights reserved.","author":[{"dropping-particle":"","family":"Keltner","given":"Dacher","non-dropping-particle":"","parse-names":false,"suffix":""},{"dropping-particle":"","family":"Kleef","given":"Gerben A.","non-dropping-particle":"Van","parse-names":false,"suffix":""},{"dropping-particle":"","family":"Chen","given":"Serena","non-dropping-particle":"","parse-names":false,"suffix":""},{"dropping-particle":"","family":"Kraus","given":"Michael W.","non-dropping-particle":"","parse-names":false,"suffix":""}],"container-title":"Advances in Experimental Social Psychology","id":"ITEM-3","issued":{"date-parts":[["2008"]]},"page":"151-192","title":"A Reciprocal Influence Model of Social Power: Emerging Principles and Lines of Inquiry","type":"chapter","volume":"40"},"uris":["http://www.mendeley.com/documents/?uuid=49c6a605-c361-47d8-ad57-99384e025698"]},{"id":"ITEM-4","itemData":{"abstract":"An analysis of social relations in 2 parts: the properties of 2-person relations, and an extension of the chief concepts to the complex relations of larger groups. Beginning with the assumption that most social interactions must be reinforced to be repeated, the authors analyze 2-person matrices designed to express all the possible interactions and their outcomes in terms of rewards and costs to the participants. Also investigated are: the exogenous and endogenous determinants of rewards and costs, interactive interference and facilitation, formation and evaluation of the 2-person relation, power and dependence, norms and roles, tasks, and nonvoluntary relations. The chapters on larger groups take up interdependence, status, conformity, and group goals. 300-item bibliog. (PsycINFO Database Record (c) 2016 APA, all rights reserved)","author":[{"dropping-particle":"","family":"Thibaut","given":"John W","non-dropping-particle":"","parse-names":false,"suffix":""},{"dropping-particle":"","family":"Kelley","given":"Harold H","non-dropping-particle":"","parse-names":false,"suffix":""}],"container-title":"The social psychology of groups.","id":"ITEM-4","issued":{"date-parts":[["1959"]]},"number-of-pages":"xiii, 313-xiii, 313","publisher":"John Wiley","publisher-place":"Oxford,  England","title":"The social psychology of groups.","type":"book"},"uris":["http://www.mendeley.com/documents/?uuid=ee3056bd-26ec-4f63-9fbc-f8991125c6dd"]},{"id":"ITEM-5","itemData":{"DOI":"10.1177/000312240907400102","ISSN":"0003-1224","abstract":"One of sociology's classic puzzles is how groups motivate their members to set aside self-interest and contribute to collective action. This article presents a solution to the problem based on status as a selective incentive motivating contribution. Contributors to collective action signal their motivation to help the group and consequently earn diverse benefits from group members?in particular, higher status?and these rewards encourage greater giving to the group in the future. In Study 1, high contributors to collective action earned higher status, exercised more interpersonal influence, were cooperated with more, and received gifts of greater value. Studies 2 and 3 replicated these findings while discounting alternative explanations. All three studies show that giving to the group mattered because it signaled an individual's motivation to help the group. Study 4 finds that participants who received status for their contributions subsequently contributed more and viewed the group more positively. These results demonstrate how the allocation of respect to contributors shapes group productivity and solidarity, offering a solution to the collective action problem.","author":[{"dropping-particle":"","family":"Willer","given":"Robb","non-dropping-particle":"","parse-names":false,"suffix":""}],"container-title":"American Sociological Review","id":"ITEM-5","issue":"1","issued":{"date-parts":[["2009","2","1"]]},"note":"doi: 10.1177/000312240907400102","page":"23-43","publisher":"SAGE Publications Inc","title":"Groups Reward Individual Sacrifice: The Status Solution to the Collective Action Problem","type":"article-journal","volume":"74"},"uris":["http://www.mendeley.com/documents/?uuid=a361ffee-13f4-4a68-8bd7-c4d8ea0bc500"]}],"mendeley":{"formattedCitation":"(Blau, 1964; Hardy &amp; Van Vugt, 2006; Keltner et al., 2008; Thibaut &amp; Kelley, 1959; Willer, 2009)","plainTextFormattedCitation":"(Blau, 1964; Hardy &amp; Van Vugt, 2006; Keltner et al., 2008; Thibaut &amp; Kelley, 1959; Willer, 2009)","previouslyFormattedCitation":"(Blau, 1964; Hardy &amp; Van Vugt, 2006; Keltner et al., 2008; Thibaut &amp; Kelley, 1959; Willer, 2009)"},"properties":{"noteIndex":0},"schema":"https://github.com/citation-style-language/schema/raw/master/csl-citation.json"}</w:instrText>
      </w:r>
      <w:r w:rsidR="006703C2" w:rsidRPr="00BD14B0">
        <w:fldChar w:fldCharType="separate"/>
      </w:r>
      <w:r w:rsidR="006703C2" w:rsidRPr="00BD14B0">
        <w:rPr>
          <w:noProof/>
        </w:rPr>
        <w:t>(Blau, 1964; Hardy &amp; Van Vugt, 2006; Keltner et al., 2008; Thibaut &amp; Kelley, 1959; Willer, 2009)</w:t>
      </w:r>
      <w:r w:rsidR="006703C2" w:rsidRPr="00BD14B0">
        <w:fldChar w:fldCharType="end"/>
      </w:r>
      <w:r w:rsidR="006703C2" w:rsidRPr="00BD14B0">
        <w:t xml:space="preserve"> and increases performance </w:t>
      </w:r>
      <w:r w:rsidR="006703C2" w:rsidRPr="00BD14B0">
        <w:fldChar w:fldCharType="begin" w:fldLock="1"/>
      </w:r>
      <w:r w:rsidR="006703C2" w:rsidRPr="00BD14B0">
        <w:instrText>ADDIN CSL_CITATION {"citationItems":[{"id":"ITEM-1","itemData":{"DOI":"10.1073/pnas.1408800112","ISBN":"1091-6490(Electronic),0027-8424(Print)","ISSN":"0027-8424","abstract":"Functional accounts of hierarchy propose that hierarchy increases group coordination and reduces conflict. In contrast, dysfunctional accounts claim that hierarchy impairs performance by preventing low-ranking team members from voicing their potentially valuable perspectives and insights. The current research presents evidence for both the functional and dysfunctional accounts of hierarchy within the same dataset. Specifically, we offer empirical evidence that hierarchical cultural values affect the outcomes of teams in high-stakes environments through group processes. Experimental data from a sample of expert mountain climbers from 27 countries confirmed that climbers expect that a hierarchical culture leads to improved team coordination among climbing teams, but impaired psychological safety and information sharing compared with an egalitarian culture. An archival analysis of 30,625 Himalayan mountain climbers from 56 countries on 5,104 expeditions found that hierarchy both elevated and killed in the Himalayas: Expeditions from more hierarchical countries had more climbers reach the summit, but also more climbers die along the way. Importantly, we established the role of group processes by showing that these effects occurred only for group, but not solo, expeditions. These findings were robust to controlling for environmental factors, risk preferences, expedition-level characteristics, country-level characteristics, and other cultural values. Overall, this research demonstrates that endorsing cultural values related to hierarchy can simultaneously improve and undermine group performance. (PsycINFO Database Record (c) 2017 APA, all rights reserved)","author":[{"dropping-particle":"","family":"Anicich","given":"Eric M","non-dropping-particle":"","parse-names":false,"suffix":""},{"dropping-particle":"","family":"Swaab","given":"Roderick I","non-dropping-particle":"","parse-names":false,"suffix":""},{"dropping-particle":"","family":"Galinsky","given":"Adam D","non-dropping-particle":"","parse-names":false,"suffix":""}],"container-title":"Proceedings of the National Academy of Sciences","id":"ITEM-1","issue":"5","issued":{"date-parts":[["2015","2","3"]]},"page":"1338-1343","publisher":"National Academy of Sciences","publisher-place":"Galinsky, Adam D.: Management Department, Columbia Business School, New York, NY, US, 10027, adamgalinsky@columbia.edu","title":"Hierarchical cultural values predict success and mortality in high-stakes teams","type":"article-journal","volume":"112"},"uris":["http://www.mendeley.com/documents/?uuid=18165ff6-a2cf-4694-8958-f1739e00a37d"]},{"id":"ITEM-2","itemData":{"DOI":"10.1177/1948550611424225","ISSN":"1948-5506","abstract":"Past research on pay dispersion has found that hierarchy hurts commitment, cooperation, and performance. In contrast, functional theories of social hierarchy propose that hierarchy can facilitate coordination and performance. We investigated the effects of hierarchical differentiation using a sample of professional basketball teams from the National Basketball Association (NBA). Analyses of archival data revealed that hierarchical differentiation in pay and participation enhanced team performance by facilitating intragroup coordination and cooperation. The data provide the basis for a theoretical analysis which suggests that hierarchy is particularly beneficial for procedurally interdependent tasks (e.g., basketball) but can harm team performance for procedurally independent tasks (e.g., baseball; Bloom, 1999). Overall, the current data indicate that team structure (hierarchy) affects team outcomes (performance) through team processes (cooperation and coordination). Thus, under certain conditions, hierarchical differentiation helps lead groups to victory.","author":[{"dropping-particle":"","family":"Halevy","given":"Nir","non-dropping-particle":"","parse-names":false,"suffix":""},{"dropping-particle":"","family":"Chou","given":"Eileen Y","non-dropping-particle":"","parse-names":false,"suffix":""},{"dropping-particle":"","family":"Galinsky","given":"Adam D","non-dropping-particle":"","parse-names":false,"suffix":""},{"dropping-particle":"","family":"Murnighan","given":"J Keith","non-dropping-particle":"","parse-names":false,"suffix":""}],"container-title":"Social Psychological and Personality Science","id":"ITEM-2","issue":"4","issued":{"date-parts":[["2012","7","6"]]},"note":"doi: 10.1177/1948550611424225","page":"398-406","publisher":"SAGE Publications Inc","title":"When Hierarchy Wins","type":"article-journal","volume":"3"},"uris":["http://www.mendeley.com/documents/?uuid=d0d6925a-e68a-45a1-b0ac-aa62bfbc0e8b"]},{"id":"ITEM-3","itemData":{"DOI":"10.1177/0956797611433876","ISSN":"0956-7976","PMID":"22593117","abstract":"Two experiments examined the psychological and biological antecedents of hierarchical differentiation and the resulting consequences for productivity and conflict within small groups. In Experiment 1, which used a priming manipulation, hierarchically differentiated groups (i.e., groups comprising 1 high-power-primed, 1 low-power-primed, and 1 baseline individual) performed better on a procedurally interdependent task than did groups comprising exclusively either all high-power-primed or all low-power-primed individuals. There were no effects of hierarchical differentiation on performance on a procedurally independent task. Experiment 2 used a biological marker of dominance motivation (prenatal testosterone exposure as measured by a digit-length ratio) to manipulate hierarchical differentiation. The pattern of results from Experiment 1 was replicated; mixed-testosterone groups achieved greater productivity than did groups comprising all high-testosterone or all low-testosterone individuals. Furthermore, intragroup conflict mediated the productivity decrements for the high-testosterone but not the low-testosterone groups. This research suggests possible directions for future research and the need to further delineate the conditions and types of hierarchy under which hierarchical differentiation enhances rather than undermines group effectiveness.","author":[{"dropping-particle":"","family":"Ronay","given":"Richard","non-dropping-particle":"","parse-names":false,"suffix":""},{"dropping-particle":"","family":"Greenaway","given":"Katharine","non-dropping-particle":"","parse-names":false,"suffix":""},{"dropping-particle":"","family":"Anicich","given":"Eric M","non-dropping-particle":"","parse-names":false,"suffix":""},{"dropping-particle":"","family":"Galinsky","given":"Adam D","non-dropping-particle":"","parse-names":false,"suffix":""}],"container-title":"Psychological Science","id":"ITEM-3","issue":"6","issued":{"date-parts":[["2012","6","16"]]},"language":"eng","page":"669-677","publisher-place":"United States","title":"The Path to Glory Is Paved With Hierarchy","type":"article-journal","volume":"23"},"uris":["http://www.mendeley.com/documents/?uuid=257dac17-7c9a-4bb6-bbab-220178f7baae"]}],"mendeley":{"formattedCitation":"(Anicich et al., 2015; Halevy et al., 2012; Ronay et al., 2012)","plainTextFormattedCitation":"(Anicich et al., 2015; Halevy et al., 2012; Ronay et al., 2012)","previouslyFormattedCitation":"(Anicich et al., 2015; Halevy et al., 2012; Ronay et al., 2012)"},"properties":{"noteIndex":0},"schema":"https://github.com/citation-style-language/schema/raw/master/csl-citation.json"}</w:instrText>
      </w:r>
      <w:r w:rsidR="006703C2" w:rsidRPr="00BD14B0">
        <w:fldChar w:fldCharType="separate"/>
      </w:r>
      <w:r w:rsidR="006703C2" w:rsidRPr="00BD14B0">
        <w:rPr>
          <w:noProof/>
        </w:rPr>
        <w:t>(Anicich et al., 2015; Halevy et al., 2012; Ronay et al., 2012)</w:t>
      </w:r>
      <w:r w:rsidR="006703C2" w:rsidRPr="00BD14B0">
        <w:fldChar w:fldCharType="end"/>
      </w:r>
      <w:r w:rsidR="006703C2" w:rsidRPr="00BD14B0">
        <w:t xml:space="preserve">. Organizing groups hierarchically also reduces intragroup conflict and distributes resources systematically </w:t>
      </w:r>
      <w:r w:rsidR="006703C2" w:rsidRPr="00BD14B0">
        <w:fldChar w:fldCharType="begin" w:fldLock="1"/>
      </w:r>
      <w:r w:rsidR="006703C2" w:rsidRPr="00BD14B0">
        <w:instrText>ADDIN CSL_CITATION {"citationItems":[{"id":"ITEM-1","itemData":{"DOI":"10.1037/0022-3514.91.6.1094","ISBN":"1939-1315(Electronic),0022-3514(Print)","ISSN":"1939-1315","abstract":"Status is the prominence, respect, and influence individuals enjoy in the eyes of others. Theories of positive illusions suggest that individuals form overly positive perceptions of their status in face-to-face groups. In contrast, the authors argue that individuals' perceptions of their status are highly accurate--that is, they closely match the group's perception of their status--because forming overly positive status self-perceptions can damage individuals' acceptance in a group. Therefore, the authors further argue that individuals are likely to refrain from status self-enhancement to maintain their belongingness in a group. Support for their hypotheses was found in 2 studies of status in face-to-face groups, using a social relations model approach (D. A. Kenny &amp; L. La Voie, 1984). Individuals showed high accuracy in perceiving their status and even erred on the side of being overly humble. Moreover, enhancement in status self-perceptions was associated with lower levels of social acceptance.","author":[{"dropping-particle":"","family":"Anderson","given":"Cameron","non-dropping-particle":"","parse-names":false,"suffix":""},{"dropping-particle":"","family":"Srivastava","given":"Sanjay","non-dropping-particle":"","parse-names":false,"suffix":""},{"dropping-particle":"","family":"Beer","given":"Jennifer S.","non-dropping-particle":"","parse-names":false,"suffix":""},{"dropping-particle":"","family":"Spataro","given":"Sandra E.","non-dropping-particle":"","parse-names":false,"suffix":""},{"dropping-particle":"","family":"Chatman","given":"Jennifer A.","non-dropping-particle":"","parse-names":false,"suffix":""}],"container-title":"Journal of Personality and Social Psychology","id":"ITEM-1","issue":"6","issued":{"date-parts":[["2006"]]},"page":"1094-1110","title":"Knowing your place: Self-perceptions of status in face-to-face groups.","type":"article-journal","volume":"91"},"uris":["http://www.mendeley.com/documents/?uuid=eb6e590c-4194-4a78-a41c-f0a8418d0488"]},{"id":"ITEM-2","itemData":{"DOI":"10.1287/orsc.1110.0734","ISSN":"1047-7039","abstract":"We introduce status conflicts?defined as disputes over people's relative status (i.e., respect) positions in their group's social hierarchy?as a key group process that affects task group performance. Using mixed research methods, we qualitatively identify the characteristics of status conflicts, validate a four-item survey scale that distinctly measures status conflict, and investigate the relationship between status conflict and group performance. We determine that status conflict exerts a significant negative main effect, moderates the effects of task conflict on group performance, and hurts performance by undermining information sharing more than other types of conflict do.","author":[{"dropping-particle":"","family":"Bendersky","given":"Corinne","non-dropping-particle":"","parse-names":false,"suffix":""},{"dropping-particle":"","family":"Hays","given":"Nicholas A","non-dropping-particle":"","parse-names":false,"suffix":""}],"container-title":"Organization Science","id":"ITEM-2","issue":"2","issued":{"date-parts":[["2012","4","22"]]},"note":"doi: 10.1287/orsc.1110.0734","page":"323-340","publisher":"INFORMS","title":"Status Conflict in Groups","type":"article-journal","volume":"23"},"uris":["http://www.mendeley.com/documents/?uuid=f30f5e44-10ee-4ccc-80aa-12c4a96d6e58"]}],"mendeley":{"formattedCitation":"(Anderson et al., 2006; Bendersky &amp; Hays, 2012)","plainTextFormattedCitation":"(Anderson et al., 2006; Bendersky &amp; Hays, 2012)","previouslyFormattedCitation":"(Anderson et al., 2006; Bendersky &amp; Hays, 2012)"},"properties":{"noteIndex":0},"schema":"https://github.com/citation-style-language/schema/raw/master/csl-citation.json"}</w:instrText>
      </w:r>
      <w:r w:rsidR="006703C2" w:rsidRPr="00BD14B0">
        <w:fldChar w:fldCharType="separate"/>
      </w:r>
      <w:r w:rsidR="006703C2" w:rsidRPr="00BD14B0">
        <w:rPr>
          <w:noProof/>
        </w:rPr>
        <w:t>(Anderson et al., 2006; Bendersky &amp; Hays, 2012)</w:t>
      </w:r>
      <w:r w:rsidR="006703C2" w:rsidRPr="00BD14B0">
        <w:fldChar w:fldCharType="end"/>
      </w:r>
      <w:r w:rsidR="006703C2" w:rsidRPr="00BD14B0">
        <w:t>. Convers</w:t>
      </w:r>
      <w:r w:rsidR="00990DD9" w:rsidRPr="00BD14B0">
        <w:t>e</w:t>
      </w:r>
      <w:r w:rsidR="006703C2" w:rsidRPr="00BD14B0">
        <w:t xml:space="preserve">ly, a lack of structure impairs group performance </w:t>
      </w:r>
      <w:r w:rsidR="006703C2" w:rsidRPr="00BD14B0">
        <w:fldChar w:fldCharType="begin" w:fldLock="1"/>
      </w:r>
      <w:r w:rsidR="006703C2" w:rsidRPr="00BD14B0">
        <w:instrText>ADDIN CSL_CITATION {"citationItems":[{"id":"ITEM-1","itemData":{"DOI":"10.1287/orsc.1110.0734","ISSN":"1047-7039","abstract":"We introduce status conflicts?defined as disputes over people's relative status (i.e., respect) positions in their group's social hierarchy?as a key group process that affects task group performance. Using mixed research methods, we qualitatively identify the characteristics of status conflicts, validate a four-item survey scale that distinctly measures status conflict, and investigate the relationship between status conflict and group performance. We determine that status conflict exerts a significant negative main effect, moderates the effects of task conflict on group performance, and hurts performance by undermining information sharing more than other types of conflict do.","author":[{"dropping-particle":"","family":"Bendersky","given":"Corinne","non-dropping-particle":"","parse-names":false,"suffix":""},{"dropping-particle":"","family":"Hays","given":"Nicholas A","non-dropping-particle":"","parse-names":false,"suffix":""}],"container-title":"Organization Science","id":"ITEM-1","issue":"2","issued":{"date-parts":[["2012","4","22"]]},"note":"doi: 10.1287/orsc.1110.0734","page":"323-340","publisher":"INFORMS","title":"Status Conflict in Groups","type":"article-journal","volume":"23"},"uris":["http://www.mendeley.com/documents/?uuid=f30f5e44-10ee-4ccc-80aa-12c4a96d6e58"]},{"id":"ITEM-2","itemData":{"DOI":"10.1016/j.obhdp.2011.03.005","ISSN":"07495978","abstract":"Across two field studies, we investigate the impact of team power on team conflict and performance. Team power is based on the control of resources that enables a team to influence others in the company. We find across both studies that low-power teams outperform high-power teams. In both studies, higher levels of process conflict present in high-power teams explain this effect fully. In our second study, we show that team interpersonal power congruence (i.e., the degree to which team members' self-views of their individual power within the team align with the perceptions of their other team members) ameliorates the relationship between team power and process conflict, such that when team interpersonal power congruence is high, high-power teams are less likely to experience performance-detracting process conflict. © 2011 Elsevier Inc.","author":[{"dropping-particle":"","family":"Greer","given":"Lindred L.","non-dropping-particle":"","parse-names":false,"suffix":""},{"dropping-particle":"","family":"Caruso","given":"Heather M.","non-dropping-particle":"","parse-names":false,"suffix":""},{"dropping-particle":"","family":"Jehn","given":"Karen A.","non-dropping-particle":"","parse-names":false,"suffix":""}],"container-title":"Organizational Behavior and Human Decision Processes","id":"ITEM-2","issue":"1","issued":{"date-parts":[["2011","9"]]},"page":"116-128","title":"The bigger they are, the harder they fall: Linking team power, team conflict, and performance","type":"article-journal","volume":"116"},"uris":["http://www.mendeley.com/documents/?uuid=dbc44115-d2b3-4ee3-bf48-db2e9efdf3a2"]},{"id":"ITEM-3","itemData":{"DOI":"10.1037/a0020373","ISBN":"1939-1854(Electronic),0021-9010(Print)","ISSN":"1939-1854","abstract":"Power is an inherent characteristic of social interaction, yet research has yet to fully explain what power and power dispersion may mean for conflict resolution in work groups. We found in a field study of 42 organizational work groups and a laboratory study of 40 negotiating dyads that the effects of power dispersion on conflict resolution are contingent on the level of interactants' power, thereby explaining contradictory theory and findings on power dispersion. We found that when members have low power, power dispersion is positively related to conflict resolution, but when members have high power, power dispersion is negatively related to conflict resolution (i.e., power equality is better). These findings can be explained by the mediating role of intragroup power struggles. Together, these findings suggest that power hierarchies function as a heuristic solution for conflict and contribute to adaptive social dynamics in groups with low, but not high, levels of power. (PsycINFO Database Record (c) 2016 APA, all rights reserved)","author":[{"dropping-particle":"","family":"Greer","given":"Lindred L","non-dropping-particle":"","parse-names":false,"suffix":""},{"dropping-particle":"","family":"Kleef","given":"Gerben A","non-dropping-particle":"van","parse-names":false,"suffix":""}],"container-title":"Journal of Applied Psychology","id":"ITEM-3","issue":"6","issued":{"date-parts":[["2010"]]},"page":"1032-1044","publisher":"American Psychological Association","publisher-place":"Greer, Lindred L.: University of Amsterdam, Work and Organizational Psychology, Roetersstraat 15, Amsterdam, Netherlands, 1018 WB, L.L.Greer@uva.nl","title":"Equality versus differentiation: The effects of power dispersion on group interaction.","type":"article-journal","volume":"95"},"uris":["http://www.mendeley.com/documents/?uuid=d70734cf-0264-4881-a2b4-f523c69ecdfd"]}],"mendeley":{"formattedCitation":"(Bendersky &amp; Hays, 2012; Greer et al., 2011; Greer &amp; van Kleef, 2010)","plainTextFormattedCitation":"(Bendersky &amp; Hays, 2012; Greer et al., 2011; Greer &amp; van Kleef, 2010)","previouslyFormattedCitation":"(Bendersky &amp; Hays, 2012; Greer et al., 2011; Greer &amp; van Kleef, 2010)"},"properties":{"noteIndex":0},"schema":"https://github.com/citation-style-language/schema/raw/master/csl-citation.json"}</w:instrText>
      </w:r>
      <w:r w:rsidR="006703C2" w:rsidRPr="00BD14B0">
        <w:fldChar w:fldCharType="separate"/>
      </w:r>
      <w:r w:rsidR="006703C2" w:rsidRPr="00BD14B0">
        <w:rPr>
          <w:noProof/>
        </w:rPr>
        <w:t>(Bendersky &amp; Hays, 2012; Greer et al., 2011; Greer &amp; van Kleef, 2010)</w:t>
      </w:r>
      <w:r w:rsidR="006703C2" w:rsidRPr="00BD14B0">
        <w:fldChar w:fldCharType="end"/>
      </w:r>
      <w:r w:rsidR="006703C2" w:rsidRPr="00BD14B0">
        <w:t xml:space="preserve">. Furthermore, hierarchies exist across different human cultures </w:t>
      </w:r>
      <w:r w:rsidR="006703C2" w:rsidRPr="00BD14B0">
        <w:fldChar w:fldCharType="begin" w:fldLock="1"/>
      </w:r>
      <w:r w:rsidR="006703C2" w:rsidRPr="00BD14B0">
        <w:instrText>ADDIN CSL_CITATION {"citationItems":[{"id":"ITEM-1","itemData":{"DOI":"10.1017/CBO9781139175043","ISBN":"9781139175043","abstract":"Focuses on 2 questions: Why do people from 1 social group oppress and discriminate against people from other groups? Why is this oppression so difficult to eliminate? The authors approach these questions using the conceptual framework of social dominance theory. This theory argues that the major forms of intergroup conflict, such as racism, classism, and patriarchy, all derive from the basic human predisposition to form, and that, beneath major and sometimes profound differences between different human societies, there is also a grammar of social power shared by all societies. The authors use social dominance theory in an attempt to identify the elements of this grammar and to understand how these elements interact and reinforce each other to produce and maintain group-based social hierarchy. (PsycINFO Database Record (c) 2016 APA, all rights reserved)","author":[{"dropping-particle":"","family":"Sidanius","given":"Jim","non-dropping-particle":"","parse-names":false,"suffix":""},{"dropping-particle":"","family":"Pratto","given":"Felicia","non-dropping-particle":"","parse-names":false,"suffix":""}],"container-title":"Social dominance: An intergroup theory of social hierarchy and oppression.","id":"ITEM-1","issued":{"date-parts":[["1999"]]},"number-of-pages":"x, 403-x, 403","publisher":"Cambridge University Press","publisher-place":"Cambridge","title":"Social Dominance","type":"book"},"uris":["http://www.mendeley.com/documents/?uuid=cefbae5f-613c-4e95-8a13-59723401eb27"]}],"mendeley":{"formattedCitation":"(Sidanius &amp; Pratto, 1999)","plainTextFormattedCitation":"(Sidanius &amp; Pratto, 1999)","previouslyFormattedCitation":"(Sidanius &amp; Pratto, 1999)"},"properties":{"noteIndex":0},"schema":"https://github.com/citation-style-language/schema/raw/master/csl-citation.json"}</w:instrText>
      </w:r>
      <w:r w:rsidR="006703C2" w:rsidRPr="00BD14B0">
        <w:fldChar w:fldCharType="separate"/>
      </w:r>
      <w:r w:rsidR="006703C2" w:rsidRPr="00BD14B0">
        <w:rPr>
          <w:noProof/>
        </w:rPr>
        <w:t>(Sidanius &amp; Pratto, 1999)</w:t>
      </w:r>
      <w:r w:rsidR="006703C2" w:rsidRPr="00BD14B0">
        <w:fldChar w:fldCharType="end"/>
      </w:r>
      <w:r w:rsidR="006703C2" w:rsidRPr="00BD14B0">
        <w:t xml:space="preserve"> and emerge naturally </w:t>
      </w:r>
      <w:r w:rsidR="006703C2" w:rsidRPr="00BD14B0">
        <w:fldChar w:fldCharType="begin" w:fldLock="1"/>
      </w:r>
      <w:r w:rsidR="006703C2" w:rsidRPr="00BD14B0">
        <w:instrText>ADDIN CSL_CITATION {"citationItems":[{"id":"ITEM-1","itemData":{"DOI":"10.1037/0022-3514.81.1.116","ISBN":"0022-3514","ISSN":"1939-1315","PMID":"11474718","abstract":"One of the most important goals and outcomes of social life is to attain status in the groups to which we belong. Such face-to-face status is defined by the amount of respect, influence, and prominence each member enjoys in the eyes of the others. Three studies investigated personological determinants of status in social groups (fraternity, sorority, and dormitory), relating the Big Five personality traits and physical attractiveness to peer ratings of status. High Extraversion substantially predicted elevated status for both sexes. High Neuroticism, incompatible with male gender norms, predicted lower status in men. None of the other Big Five traits predicted status. These effects were independent of attractiveness, which predicted higher status only in men. Contrary to previous claims, women's status ordering was just as stable as men's but emerged later. Discussion focuses on personological pathways to attaining status and on potential mediators.","author":[{"dropping-particle":"","family":"Anderson","given":"Cameron","non-dropping-particle":"","parse-names":false,"suffix":""},{"dropping-particle":"","family":"John","given":"Oliver P.","non-dropping-particle":"","parse-names":false,"suffix":""},{"dropping-particle":"","family":"Keltner","given":"Dacher","non-dropping-particle":"","parse-names":false,"suffix":""},{"dropping-particle":"","family":"Kring","given":"Ann M.","non-dropping-particle":"","parse-names":false,"suffix":""}],"container-title":"Journal of Personality and Social Psychology","id":"ITEM-1","issue":"1","issued":{"date-parts":[["2001","7"]]},"page":"116-132","title":"Who attains social status? Effects of personality and physical attractiveness in social groups.","type":"article-journal","volume":"81"},"uris":["http://www.mendeley.com/documents/?uuid=0edc7cda-4d8e-4cbb-a333-17fb38f5715a"]},{"id":"ITEM-2","itemData":{"DOI":"10.1146/annurev.so.06.080180.002403","ISSN":"0360-0572","abstract":"Reviews theory and research on status organizing processes and interventions that have been developed to reduce undesired consequences of these processes. Topics include the translation of status definitions into how the actor functions as an information-processing mechanism by combining all units of status information to form aggregated expectation states for self and others, and the concepts of expectation advantage and power-prestige order. (4 p ref) (PsycINFO Database Record (c) 2016 APA, all rights reserved)","author":[{"dropping-particle":"","family":"Berger","given":"Joseph","non-dropping-particle":"","parse-names":false,"suffix":""},{"dropping-particle":"","family":"Rosenholtz","given":"Susan J","non-dropping-particle":"","parse-names":false,"suffix":""},{"dropping-particle":"","family":"Zelditch","given":"Morris","non-dropping-particle":"","parse-names":false,"suffix":""}],"container-title":"Annual Review of Sociology","id":"ITEM-2","issue":"1","issued":{"date-parts":[["1980","8"]]},"page":"479-508","publisher":"Annual Reviews","publisher-place":"US","title":"Status Organizing Processes","type":"article-journal","volume":"6"},"uris":["http://www.mendeley.com/documents/?uuid=6ce5a2f3-4aa9-4334-8ddc-ce44e9083e2f"]},{"id":"ITEM-3","itemData":{"DOI":"10.1073/pnas.082104199","ISSN":"0027-8424","PMID":"11960030","abstract":"Linear hierarchies, the classical pecking-order structures, are formed readily in both nature and the laboratory in a great range of species including humans. However, the probability of getting linear structures by chance alone is quite low. In this paper we investigate the two hypotheses that are proposed most often to explain linear hierarchies: they are predetermined by differences in the attributes of animals, or they are produced by the dynamics of social interaction, i.e., they are self-organizing. We evaluate these hypotheses using cichlid fish as model animals, and although differences in attributes play a significant part, we find that social interaction is necessary for high proportions of groups with linear hierarchies. Our results suggest that dominance hierarchy formation is a much richer and more complex phenomenon than previously thought, and we explore the implications of these results for evolutionary biology, the social sciences, and the use of animal models in understanding human social organization.","author":[{"dropping-particle":"","family":"Chase","given":"I. D.","non-dropping-particle":"","parse-names":false,"suffix":""},{"dropping-particle":"","family":"Tovey","given":"C.","non-dropping-particle":"","parse-names":false,"suffix":""},{"dropping-particle":"","family":"Spangler-Martin","given":"D.","non-dropping-particle":"","parse-names":false,"suffix":""},{"dropping-particle":"","family":"Manfredonia","given":"M.","non-dropping-particle":"","parse-names":false,"suffix":""}],"container-title":"Proceedings of the National Academy of Sciences","id":"ITEM-3","issue":"8","issued":{"date-parts":[["2002","4","16"]]},"page":"5744-5749","title":"Individual differences versus social dynamics in the formation of animal dominance hierarchies","type":"article-journal","volume":"99"},"uris":["http://www.mendeley.com/documents/?uuid=fcb6d23d-456f-4fa4-958c-9e3405258a15"]},{"id":"ITEM-4","itemData":{"DOI":"10.1086/341744","ISSN":"0002-9602","abstract":"This article offers a formal theoretical model of the emergence of hierarchy that bridges the division between individualistic and structuralist accounts of inequality. In the model, actors reproduce status hierarchies by adjusting their own status&amp;#x2010;conferring gestures according to collective attributions. These collective attributions are just the aggregate of individual gestures, leading to a self&amp;#x2010;reinforcing status ranking. Winner&amp;#x2010;take&amp;#x2010;all hierarchies are discouraged, however, when people prefer reciprocation of their status&amp;#x2010;conferring actions. The model therefore depicts a status ranking as an equilibrium resulting from individual responses to the trade&amp;#x2010;off between social influence and the distaste for making unreciprocated gestures. Analysis of the model generates several precise predictions about the patterns that social networks should exhibit at equilibrium. Data on interaction in task groups, friendship ratings in a fraternity, and play in a set of infant quintuplets is used to show that the formal theory makes unusually accurate predictions about network structure.","author":[{"dropping-particle":"V","family":"Gould","given":"Roger","non-dropping-particle":"","parse-names":false,"suffix":""}],"container-title":"American Journal of Sociology","id":"ITEM-4","issue":"5","issued":{"date-parts":[["2002","3"]]},"page":"1143-1178","publisher":"The University of Chicago Press","title":"The Origins of Status Hierarchies: A Formal Theory and Empirical Test","type":"article-journal","volume":"107"},"uris":["http://www.mendeley.com/documents/?uuid=a68f79fa-708e-47c3-8012-04993d62f3e8"]},{"id":"ITEM-5","itemData":{"DOI":"10.5465/19416520802211628","ISBN":"19416520","ISSN":"1941-6520","PMID":"39786579","abstract":"Abstract Hierarchy is such a defining and pervasive feature of organizations that its forms and basic functions are often taken for granted in organizational research. In this review, we revisit some basic psychological and sociological elements of hierarchy and argue that status and power are two important yet distinct bases of hierarchical differentiation. We first define power and status and distinguish our definitions from previous conceptualizations. We then integrate a number of different literatures to explain why status and power hierarchies tend to be self?reinforcing. Power, related to one?s control over valued resources, transforms individual psychology such that the powerful think and act in ways that lead to the retention and acquisition of power. Status, related to the respect one has in the eyes of others, generates expectations for behavior and opportunities for advancement that favor those with a prior status advantage. We also explore the role that hierarchy?enhancing belief systems play in stabilizing hierarchy, both from the bottom up and from the top down. Finally, we address a number of factors that we think are instrumental in explaining the conditions under which hierarchies change. Our framework suggests a number of avenues for future research on the bases, causes, and consequences of hierarchy in groups and organizations.","author":[{"dropping-particle":"","family":"Magee","given":"Joe C.","non-dropping-particle":"","parse-names":false,"suffix":""},{"dropping-particle":"","family":"Galinsky","given":"Adam D.","non-dropping-particle":"","parse-names":false,"suffix":""}],"container-title":"Academy of Management Annals","id":"ITEM-5","issue":"1","issued":{"date-parts":[["2008","1"]]},"page":"351-398","title":"8 Social Hierarchy: The Self</w:instrText>
      </w:r>
      <w:r w:rsidR="006703C2" w:rsidRPr="00BD14B0">
        <w:rPr>
          <w:rFonts w:ascii="Palatino Linotype" w:hAnsi="Palatino Linotype" w:cs="Palatino Linotype"/>
        </w:rPr>
        <w:instrText>‐</w:instrText>
      </w:r>
      <w:r w:rsidR="006703C2" w:rsidRPr="00BD14B0">
        <w:instrText>Reinforcing Nature of Power and Status","type":"article-journal","volume":"2"},"uris":["http://www.mendeley.com/documents/?uuid=8be356d2-fa95-4277-b031-770728218495"]}],"mendeley":{"formattedCitation":"(Anderson et al., 2001; Berger et al., 1980; Chase et al., 2002; Gould, 2002; Magee &amp; Galinsky, 2008)","plainTextFormattedCitation":"(Anderson et al., 2001; Berger et al., 1980; Chase et al., 2002; Gould, 2002; Magee &amp; Galinsky, 2008)","previouslyFormattedCitation":"(Anderson et al., 2001; Berger et al., 1980; Chase et al., 2002; Gould, 2002; Magee &amp; Galinsky, 2008)"},"properties":{"noteIndex":0},"schema":"https://github.com/citation-style-language/schema/raw/master/csl-citation.json"}</w:instrText>
      </w:r>
      <w:r w:rsidR="006703C2" w:rsidRPr="00BD14B0">
        <w:fldChar w:fldCharType="separate"/>
      </w:r>
      <w:r w:rsidR="006703C2" w:rsidRPr="00BD14B0">
        <w:rPr>
          <w:noProof/>
        </w:rPr>
        <w:t>(Anderson et al., 2001; Berger et al., 1980; Chase et al., 2002; Gould, 2002; Magee &amp; Galinsky, 2008)</w:t>
      </w:r>
      <w:r w:rsidR="006703C2" w:rsidRPr="00BD14B0">
        <w:fldChar w:fldCharType="end"/>
      </w:r>
      <w:r w:rsidR="006703C2" w:rsidRPr="00BD14B0">
        <w:t xml:space="preserve">. As a result, people show a high level of consistency when attributing status for themselves and other members of the groups </w:t>
      </w:r>
      <w:r w:rsidR="006703C2" w:rsidRPr="00BD14B0">
        <w:fldChar w:fldCharType="begin" w:fldLock="1"/>
      </w:r>
      <w:r w:rsidR="006703C2" w:rsidRPr="00BD14B0">
        <w:instrText>ADDIN CSL_CITATION {"citationItems":[{"id":"ITEM-1","itemData":{"DOI":"10.1037/0022-3514.91.6.1094","ISBN":"1939-1315(Electronic),0022-3514(Print)","ISSN":"1939-1315","abstract":"Status is the prominence, respect, and influence individuals enjoy in the eyes of others. Theories of positive illusions suggest that individuals form overly positive perceptions of their status in face-to-face groups. In contrast, the authors argue that individuals' perceptions of their status are highly accurate--that is, they closely match the group's perception of their status--because forming overly positive status self-perceptions can damage individuals' acceptance in a group. Therefore, the authors further argue that individuals are likely to refrain from status self-enhancement to maintain their belongingness in a group. Support for their hypotheses was found in 2 studies of status in face-to-face groups, using a social relations model approach (D. A. Kenny &amp; L. La Voie, 1984). Individuals showed high accuracy in perceiving their status and even erred on the side of being overly humble. Moreover, enhancement in status self-perceptions was associated with lower levels of social acceptance.","author":[{"dropping-particle":"","family":"Anderson","given":"Cameron","non-dropping-particle":"","parse-names":false,"suffix":""},{"dropping-particle":"","family":"Srivastava","given":"Sanjay","non-dropping-particle":"","parse-names":false,"suffix":""},{"dropping-particle":"","family":"Beer","given":"Jennifer S.","non-dropping-particle":"","parse-names":false,"suffix":""},{"dropping-particle":"","family":"Spataro","given":"Sandra E.","non-dropping-particle":"","parse-names":false,"suffix":""},{"dropping-particle":"","family":"Chatman","given":"Jennifer A.","non-dropping-particle":"","parse-names":false,"suffix":""}],"container-title":"Journal of Personality and Social Psychology","id":"ITEM-1","issue":"6","issued":{"date-parts":[["2006"]]},"page":"1094-1110","title":"Knowing your place: Self-perceptions of status in face-to-face groups.","type":"article-journal","volume":"91"},"uris":["http://www.mendeley.com/documents/?uuid=eb6e590c-4194-4a78-a41c-f0a8418d0488"]}],"mendeley":{"formattedCitation":"(Anderson et al., 2006)","plainTextFormattedCitation":"(Anderson et al., 2006)","previouslyFormattedCitation":"(Anderson et al., 2006)"},"properties":{"noteIndex":0},"schema":"https://github.com/citation-style-language/schema/raw/master/csl-citation.json"}</w:instrText>
      </w:r>
      <w:r w:rsidR="006703C2" w:rsidRPr="00BD14B0">
        <w:fldChar w:fldCharType="separate"/>
      </w:r>
      <w:r w:rsidR="006703C2" w:rsidRPr="00BD14B0">
        <w:rPr>
          <w:noProof/>
        </w:rPr>
        <w:t>(Anderson et al., 2006)</w:t>
      </w:r>
      <w:r w:rsidR="006703C2" w:rsidRPr="00BD14B0">
        <w:fldChar w:fldCharType="end"/>
      </w:r>
      <w:r w:rsidR="006703C2" w:rsidRPr="00BD14B0">
        <w:t xml:space="preserve">. The ability to rapidly perceive status information is an important skill for the individual to be able to function in everyday life. Indeed, humans rapidly perceive status information about other members of the group </w:t>
      </w:r>
      <w:r w:rsidR="006703C2" w:rsidRPr="00BD14B0">
        <w:fldChar w:fldCharType="begin" w:fldLock="1"/>
      </w:r>
      <w:r w:rsidR="006703C2" w:rsidRPr="00BD14B0">
        <w:instrText>ADDIN CSL_CITATION {"citationItems":[{"id":"ITEM-1","itemData":{"DOI":"10.1027/1618-3169.52.4.296","ISSN":"1618-3169","PMID":"16302538","abstract":"We investigated whether people are able to detect in a relatively automatic manner the dominant or submissive status of persons engaged in social interactions. We used a nonaffective variant of the affective Simon paradigm of De Houwer and Eelen (1998) in which participants responded by saying either \"dominant\" or \"submissive\" depending on the right or left spatial position of a target person who was engaged as either the dominant or the submissive agent in a social interaction. We observed that responses were facilitated when the status connotation of the target person and the correct response corresponded. These results provide new information about the automatic nature of information related to emotion-antecedent appraisals.","author":[{"dropping-particle":"","family":"Moors","given":"Agnes","non-dropping-particle":"","parse-names":false,"suffix":""},{"dropping-particle":"","family":"Houwer","given":"Jan","non-dropping-particle":"De","parse-names":false,"suffix":""}],"container-title":"Experimental Psychology","id":"ITEM-1","issue":"4","issued":{"date-parts":[["2005","1"]]},"language":"eng","page":"296-302","publisher-place":"Germany","title":"Automatic Processing of Dominance and Submissiveness","type":"article-journal","volume":"52"},"uris":["http://www.mendeley.com/documents/?uuid=a4f2ba69-12a3-4418-8f7a-d5859f130a57"]}],"mendeley":{"formattedCitation":"(Moors &amp; De Houwer, 2005)","plainTextFormattedCitation":"(Moors &amp; De Houwer, 2005)","previouslyFormattedCitation":"(Moors &amp; De Houwer, 2005)"},"properties":{"noteIndex":0},"schema":"https://github.com/citation-style-language/schema/raw/master/csl-citation.json"}</w:instrText>
      </w:r>
      <w:r w:rsidR="006703C2" w:rsidRPr="00BD14B0">
        <w:fldChar w:fldCharType="separate"/>
      </w:r>
      <w:r w:rsidR="006703C2" w:rsidRPr="00BD14B0">
        <w:rPr>
          <w:noProof/>
        </w:rPr>
        <w:t>(Moors &amp; De Houwer, 2005)</w:t>
      </w:r>
      <w:r w:rsidR="006703C2" w:rsidRPr="00BD14B0">
        <w:fldChar w:fldCharType="end"/>
      </w:r>
      <w:r w:rsidR="006703C2" w:rsidRPr="00BD14B0">
        <w:t xml:space="preserve"> and organize themselves into a hierarchical structure </w:t>
      </w:r>
      <w:r w:rsidR="006703C2" w:rsidRPr="00BD14B0">
        <w:fldChar w:fldCharType="begin" w:fldLock="1"/>
      </w:r>
      <w:r w:rsidR="006703C2" w:rsidRPr="00BD14B0">
        <w:instrText>ADDIN CSL_CITATION {"citationItems":[{"id":"ITEM-1","itemData":{"DOI":"10.1146/annurev.so.06.080180.002403","ISSN":"0360-0572","abstract":"Reviews theory and research on status organizing processes and interventions that have been developed to reduce undesired consequences of these processes. Topics include the translation of status definitions into how the actor functions as an information-processing mechanism by combining all units of status information to form aggregated expectation states for self and others, and the concepts of expectation advantage and power-prestige order. (4 p ref) (PsycINFO Database Record (c) 2016 APA, all rights reserved)","author":[{"dropping-particle":"","family":"Berger","given":"Joseph","non-dropping-particle":"","parse-names":false,"suffix":""},{"dropping-particle":"","family":"Rosenholtz","given":"Susan J","non-dropping-particle":"","parse-names":false,"suffix":""},{"dropping-particle":"","family":"Zelditch","given":"Morris","non-dropping-particle":"","parse-names":false,"suffix":""}],"container-title":"Annual Review of Sociology","id":"ITEM-1","issue":"1","issued":{"date-parts":[["1980","8"]]},"page":"479-508","publisher":"Annual Reviews","publisher-place":"US","title":"Status Organizing Processes","type":"article-journal","volume":"6"},"uris":["http://www.mendeley.com/documents/?uuid=6ce5a2f3-4aa9-4334-8ddc-ce44e9083e2f"]},{"id":"ITEM-2","itemData":{"DOI":"10.1086/341744","ISSN":"0002-9602","abstract":"This article offers a formal theoretical model of the emergence of hierarchy that bridges the division between individualistic and structuralist accounts of inequality. In the model, actors reproduce status hierarchies by adjusting their own status&amp;#x2010;conferring gestures according to collective attributions. These collective attributions are just the aggregate of individual gestures, leading to a self&amp;#x2010;reinforcing status ranking. Winner&amp;#x2010;take&amp;#x2010;all hierarchies are discouraged, however, when people prefer reciprocation of their status&amp;#x2010;conferring actions. The model therefore depicts a status ranking as an equilibrium resulting from individual responses to the trade&amp;#x2010;off between social influence and the distaste for making unreciprocated gestures. Analysis of the model generates several precise predictions about the patterns that social networks should exhibit at equilibrium. Data on interaction in task groups, friendship ratings in a fraternity, and play in a set of infant quintuplets is used to show that the formal theory makes unusually accurate predictions about network structure.","author":[{"dropping-particle":"V","family":"Gould","given":"Roger","non-dropping-particle":"","parse-names":false,"suffix":""}],"container-title":"American Journal of Sociology","id":"ITEM-2","issue":"5","issued":{"date-parts":[["2002","3"]]},"page":"1143-1178","publisher":"The University of Chicago Press","title":"The Origins of Status Hierarchies: A Formal Theory and Empirical Test","type":"article-journal","volume":"107"},"uris":["http://www.mendeley.com/documents/?uuid=a68f79fa-708e-47c3-8012-04993d62f3e8"]}],"mendeley":{"formattedCitation":"(Berger et al., 1980; Gould, 2002)","plainTextFormattedCitation":"(Berger et al., 1980; Gould, 2002)","previouslyFormattedCitation":"(Berger et al., 1980; Gould, 2002)"},"properties":{"noteIndex":0},"schema":"https://github.com/citation-style-language/schema/raw/master/csl-citation.json"}</w:instrText>
      </w:r>
      <w:r w:rsidR="006703C2" w:rsidRPr="00BD14B0">
        <w:fldChar w:fldCharType="separate"/>
      </w:r>
      <w:r w:rsidR="006703C2" w:rsidRPr="00BD14B0">
        <w:rPr>
          <w:noProof/>
        </w:rPr>
        <w:t>(Berger et al., 1980; Gould, 2002)</w:t>
      </w:r>
      <w:r w:rsidR="006703C2" w:rsidRPr="00BD14B0">
        <w:fldChar w:fldCharType="end"/>
      </w:r>
      <w:r w:rsidR="006703C2" w:rsidRPr="00BD14B0">
        <w:t>. A strong hierarchy serves as an adaptive function for structuring social groups to benefit as a whole and to function better.</w:t>
      </w:r>
    </w:p>
    <w:p w14:paraId="78E27153" w14:textId="4960BB7D" w:rsidR="006703C2" w:rsidRPr="00BD14B0" w:rsidRDefault="00240229" w:rsidP="00553E01">
      <w:r w:rsidRPr="00BD14B0">
        <w:tab/>
      </w:r>
      <w:r w:rsidR="006703C2" w:rsidRPr="00BD14B0">
        <w:t xml:space="preserve">Individuals in social groups may have different statuses based on </w:t>
      </w:r>
      <w:r w:rsidR="00DE0DC3" w:rsidRPr="00BD14B0">
        <w:t xml:space="preserve">their </w:t>
      </w:r>
      <w:r w:rsidR="006703C2" w:rsidRPr="00BD14B0">
        <w:t>roles within specific social group</w:t>
      </w:r>
      <w:r w:rsidR="00DE0DC3" w:rsidRPr="00BD14B0">
        <w:t>s</w:t>
      </w:r>
      <w:r w:rsidR="006703C2" w:rsidRPr="00BD14B0">
        <w:t xml:space="preserve">. Social status is an indicator of the specific role of that individual within the group. </w:t>
      </w:r>
      <w:r w:rsidR="00990DD9" w:rsidRPr="00BD14B0">
        <w:t>T</w:t>
      </w:r>
      <w:r w:rsidR="006703C2" w:rsidRPr="00BD14B0">
        <w:t xml:space="preserve">o establish communication and collaboration, information about the different roles and status must be recognizable. Understanding status information is an important ability for each member so that the group can function better and improve the chance of survival. The perception of social status can be gathered by visual information such as the dominance of face </w:t>
      </w:r>
      <w:r w:rsidR="006703C2" w:rsidRPr="00BD14B0">
        <w:fldChar w:fldCharType="begin" w:fldLock="1"/>
      </w:r>
      <w:r w:rsidR="004D2901" w:rsidRPr="00BD14B0">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Letters","id":"ITEM-1","issue":"3","issued":{"date-parts":[["2012","6","23"]]},"note":"From Duplicate 2 (Social status gates social attention in humans - Dalmaso, Mario; Pavan, Giulia; Castelli, Luigi; Galfano, Giovanni)\n\nTimes Cited: 16\nGalfano, Giovanni/B-7582-2008\n16","page":"450-452","title":"Social status gates social attention in humans","type":"article-journal","volume":"8"},"uris":["http://www.mendeley.com/documents/?uuid=261a4feb-ab80-4609-9cc4-52869ea8889c"]}],"mendeley":{"formattedCitation":"(Dalmaso et al., 2012b)","manualFormatting":"(Dalmaso et al., 2012)","plainTextFormattedCitation":"(Dalmaso et al., 2012b)","previouslyFormattedCitation":"(Dalmaso et al., 2012b)"},"properties":{"noteIndex":0},"schema":"https://github.com/citation-style-language/schema/raw/master/csl-citation.json"}</w:instrText>
      </w:r>
      <w:r w:rsidR="006703C2" w:rsidRPr="00BD14B0">
        <w:fldChar w:fldCharType="separate"/>
      </w:r>
      <w:r w:rsidR="006703C2" w:rsidRPr="00BD14B0">
        <w:rPr>
          <w:noProof/>
        </w:rPr>
        <w:t>(Dalmaso et al., 2012)</w:t>
      </w:r>
      <w:r w:rsidR="006703C2" w:rsidRPr="00BD14B0">
        <w:fldChar w:fldCharType="end"/>
      </w:r>
      <w:r w:rsidR="006703C2" w:rsidRPr="00BD14B0">
        <w:t xml:space="preserve">, body size </w:t>
      </w:r>
      <w:r w:rsidR="006703C2" w:rsidRPr="00BD14B0">
        <w:fldChar w:fldCharType="begin" w:fldLock="1"/>
      </w:r>
      <w:r w:rsidR="004D2901" w:rsidRPr="00BD14B0">
        <w:instrText>ADDIN CSL_CITATION {"citationItems":[{"id":"ITEM-1","itemData":{"DOI":"10.1037/0022-3514.40.4.615","ISSN":"0022-3514","abstract":"Eyebrow and mouth gestures were tested in a series of cross-cultural experiments involving 1,797 Ss. Pairs of human portrait photographs were shown to Ss in 11 national/cultural settings, and Ss were asked to make judgments of dominance or happiness. Results strongly support a universal association between smiles and happiness and weakly support a universal nonsmiling/dominance association, but restrict a lowered-brow/dominance association to relatively more Westernized samples. (47 ref) (PsycINFO Database Record (c) 2016 APA, all rights reserved)","author":[{"dropping-particle":"","family":"Keating","given":"Caroline F","non-dropping-particle":"","parse-names":false,"suffix":""},{"dropping-particle":"","family":"et al","given":"","non-dropping-particle":"","parse-names":false,"suffix":""}],"container-title":"Journal of Personality and Social Psychology","id":"ITEM-1","issue":"4","issued":{"date-parts":[["1981"]]},"page":"615-626","publisher":"American Psychological Association","publisher-place":"US","title":"Culture and the perception of social dominance from facial expression.","type":"article-journal","volume":"40"},"uris":["http://www.mendeley.com/documents/?uuid=c96c3b39-4b28-489a-b420-39490b2ce6ff"]},{"id":"ITEM-2","itemData":{"DOI":"10.1093/sf/74.3.823","ISSN":"0037-7732","abstract":"Facial dominance of West Point cadets, measured from their graduation portraits, is known to be related to cadets' ranks at the military academy, but it has been reported to be unrelated to their ranks in later career (Mazur, Mazur &amp;amp; Keating 1984). With improved methods of data collection and analysis, we show that cadets' facial dominance, while still unrelated to their ranks at midcareer, is related to promotions in late career, 20 or more years after the portraits were taken. These results suggest that the absence of physical features from current models of status attainment is a serious omission.","author":[{"dropping-particle":"","family":"Mueller","given":"Ulrich","non-dropping-particle":"","parse-names":false,"suffix":""},{"dropping-particle":"","family":"Mazur","given":"Allan","non-dropping-particle":"","parse-names":false,"suffix":""}],"container-title":"Social Forces","id":"ITEM-2","issue":"3","issued":{"date-parts":[["1996","3","1"]]},"page":"823-850","title":"Facial Dominance of West Point Cadets as a Predictor of Later Military Rank","type":"article-journal","volume":"74"},"uris":["http://www.mendeley.com/documents/?uuid=117c0ff6-3d0c-45c2-904d-1818b494199d"]}],"mendeley":{"formattedCitation":"(Keating &amp; et al, 1981; Mueller &amp; Mazur, 1996)","manualFormatting":"(Keating et al, 1981; Mueller &amp; Mazur, 1996)","plainTextFormattedCitation":"(Keating &amp; et al, 1981; Mueller &amp; Mazur, 1996)","previouslyFormattedCitation":"(Keating &amp; et al, 1981; Mueller &amp; Mazur, 1996)"},"properties":{"noteIndex":0},"schema":"https://github.com/citation-style-language/schema/raw/master/csl-citation.json"}</w:instrText>
      </w:r>
      <w:r w:rsidR="006703C2" w:rsidRPr="00BD14B0">
        <w:fldChar w:fldCharType="separate"/>
      </w:r>
      <w:r w:rsidR="006703C2" w:rsidRPr="00BD14B0">
        <w:rPr>
          <w:noProof/>
        </w:rPr>
        <w:t>(Keating et al, 1981; Mueller &amp; Mazur, 1996)</w:t>
      </w:r>
      <w:r w:rsidR="006703C2" w:rsidRPr="00BD14B0">
        <w:fldChar w:fldCharType="end"/>
      </w:r>
      <w:r w:rsidR="006703C2" w:rsidRPr="00BD14B0">
        <w:t xml:space="preserve"> and upper body strength </w:t>
      </w:r>
      <w:r w:rsidR="006703C2" w:rsidRPr="00BD14B0">
        <w:fldChar w:fldCharType="begin" w:fldLock="1"/>
      </w:r>
      <w:r w:rsidR="006703C2" w:rsidRPr="00BD14B0">
        <w:instrText>ADDIN CSL_CITATION {"citationItems":[{"id":"ITEM-1","itemData":{"DOI":"10.1016/j.evolhumbehav.2008.05.001","ISSN":"10905138","abstract":"While social-status hierarchies are common to all human societies, status acquisition is relatively understudied in small-scale societies lacking significant material wealth or intergenerational inheritance. Among the Tsimane of Bolivia, a small-scale Amazonian society, we employ a photo-ranking methodology to determine the important predictors of four measures of male social status: success in dyadic physical confrontation, getting one's way in a group, community-wide influence, and respect. The predictors evaluated include age, physical size, skill in food production, level of acculturation, prosocial personality, and social support. We find that physical size best predicts rankings of dyadic fighting ability while social support best predicts getting one's way in a group, community-wide influence, and respect. Level of acculturation, furthermore, is an independent predictor of influence but not respect, and skill in food production is an independent predictor of respect but not influence. The lack of a linear relationship between age and the polyadic social-status measures is evaluated in light of the increasing exposure of the Tsimane to market economies and public education among recent age cohorts. To our knowledge, this study is the first multivariate analysis of social status that considers different determinants of status simultaneously.","author":[{"dropping-particle":"","family":"VONRUEDEN","given":"C","non-dropping-particle":"","parse-names":false,"suffix":""},{"dropping-particle":"","family":"Gurven","given":"M","non-dropping-particle":"","parse-names":false,"suffix":""},{"dropping-particle":"","family":"Kaplan","given":"H","non-dropping-particle":"","parse-names":false,"suffix":""}],"container-title":"Evolution and Human Behavior","id":"ITEM-1","issue":"6","issued":{"date-parts":[["2008","11"]]},"page":"402-415","title":"The multiple dimensions of male social status in an Amazonian society</w:instrText>
      </w:r>
      <w:r w:rsidR="006703C2" w:rsidRPr="00BD14B0">
        <w:rPr>
          <w:rFonts w:ascii="MS Reference Sans Serif" w:hAnsi="MS Reference Sans Serif" w:cs="MS Reference Sans Serif"/>
        </w:rPr>
        <w:instrText>☆</w:instrText>
      </w:r>
      <w:r w:rsidR="006703C2" w:rsidRPr="00BD14B0">
        <w:instrText>","type":"article-journal","volume":"29"},"uris":["http://www.mendeley.com/documents/?uuid=9d1649ec-8442-43f1-8942-7ce19b5dd00c"]}],"mendeley":{"formattedCitation":"(VONRUEDEN et al., 2008)","manualFormatting":"(Vonrueden et al., 2008)","plainTextFormattedCitation":"(VONRUEDEN et al., 2008)","previouslyFormattedCitation":"(VONRUEDEN et al., 2008)"},"properties":{"noteIndex":0},"schema":"https://github.com/citation-style-language/schema/raw/master/csl-citation.json"}</w:instrText>
      </w:r>
      <w:r w:rsidR="006703C2" w:rsidRPr="00BD14B0">
        <w:fldChar w:fldCharType="separate"/>
      </w:r>
      <w:r w:rsidR="006703C2" w:rsidRPr="00BD14B0">
        <w:rPr>
          <w:noProof/>
        </w:rPr>
        <w:t>(Vonrueden et al., 2008)</w:t>
      </w:r>
      <w:r w:rsidR="006703C2" w:rsidRPr="00BD14B0">
        <w:fldChar w:fldCharType="end"/>
      </w:r>
      <w:r w:rsidR="006703C2" w:rsidRPr="00BD14B0">
        <w:t xml:space="preserve">. Additionally, information about social status </w:t>
      </w:r>
      <w:r w:rsidR="0053601E" w:rsidRPr="00BD14B0">
        <w:t xml:space="preserve">affects </w:t>
      </w:r>
      <w:r w:rsidR="006703C2" w:rsidRPr="00BD14B0">
        <w:t>the social attention shared between members of the group in humans, and previous research has shown that status</w:t>
      </w:r>
      <w:r w:rsidR="0053601E" w:rsidRPr="00BD14B0">
        <w:t xml:space="preserve"> affects</w:t>
      </w:r>
      <w:r w:rsidR="006703C2" w:rsidRPr="00BD14B0">
        <w:t xml:space="preserve"> the social attention of humans </w:t>
      </w:r>
      <w:r w:rsidR="006703C2" w:rsidRPr="00BD14B0">
        <w:fldChar w:fldCharType="begin" w:fldLock="1"/>
      </w:r>
      <w:r w:rsidR="0028287E" w:rsidRPr="00BD14B0">
        <w:instrText>ADDIN CSL_CITATION {"citationItems":[{"id":"ITEM-1","itemData":{"DOI":"10.1024/1421-0185/a000056","ISSN":"1421-0185","abstract":"Many studies have demonstrated a gaze-cuing effect in humans, whereby observers are quicker to respond to targets in locations cued by others' gaze direction than they are to respond to uncued targets. Although researchers have generally suggested that this gaze-cuing effect is unaffected by facial cues other than gaze direction, recent work has challenged this view: Both human and macaque observers demonstrate greater gaze cuing when viewing conspecifics' faces that possess physical cues associated with high dominance than when viewing those that possess physical cues associated with low dominance. In the current study, we tested for further evidence of dominance-contingent gaze cuing in women. We conducted a gaze-cuing experiment in which different individual female faces were used as cues and calculated the strength of the gaze-cuing effect for each face. Composite (i.e., average) faces manufactured from images of women who elicited particularly large gaze-cuing effects were perceived as more dominant than composites manufactured from images of women who elicited particularly small gaze-cuing effects. This result supports (1) the existence of dominance-contingent gaze-cuing in human observers and (2) the proposal that the gaze-cuing system is sensitive to facial cues other than gaze direction.","author":[{"dropping-particle":"","family":"Jones","given":"Benedict C","non-dropping-particle":"","parse-names":false,"suffix":""},{"dropping-particle":"","family":"Main","given":"Julie C","non-dropping-particle":"","parse-names":false,"suffix":""},{"dropping-particle":"","family":"Little","given":"Anthony C","non-dropping-particle":"","parse-names":false,"suffix":""},{"dropping-particle":"","family":"DeBruine","given":"Lisa M","non-dropping-particle":"","parse-names":false,"suffix":""}],"container-title":"Swiss Journal of Psychology","id":"ITEM-1","issue":"4","issued":{"date-parts":[["2011","12"]]},"note":"Times Cited: 1\nLittle, Anthony/B-8497-2009; Jones, Benedict/A-7850-2008; DeBruine, Lisa/A-6990-2008\nLittle, Anthony/0000-0001-9100-1903; Jones, Benedict/0000-0001-7777-0220; DeBruine, Lisa/0000-0002-7523-5539\n1","page":"193-197","title":"Further Evidence That Facial Cues of Dominance Modulate Gaze Cuing in Human Observers","type":"article-journal","volume":"70"},"uris":["http://www.mendeley.com/documents/?uuid=c67516f8-8952-439d-87c5-c87786ba3c82"]},{"id":"ITEM-2","itemData":{"DOI":"10.1098/rspb.2009.1575","ISSN":"0962-8452","abstract":"Responding appropriately to gaze cues is essential for fluent social interaction, playing a crucial role in social learning, collaboration, threat assessment and understanding others' intentions. Previous research has shown that responses to gaze cues can be studied by investigating the gaze-cuing effect (i.e. the tendency for observers to respond more quickly to targets in locations that were cued by others' gaze than to uncued targets). A recent study demonstrating that macaques demonstrate larger gaze-cuing effects when viewing dominant conspecifics than when viewing subordinate conspecifics suggests that cues of dominance modulate the gaze-cuing effect in at least one primate species. Here, we show a similar effect of facial cues associated with dominance on gaze cuing in human observers: at short viewing times, observers demonstrated a greater cuing effect for gaze cues from masculinized (i.e. dominant) faces than from feminized (i.e. subordinate) faces. Moreover, this effect of facial masculinity on gaze cuing decreased as viewing time was increased, suggesting that the effect is driven by involuntary responses. Our findings suggest that the mechanisms that underpin reflexive gaze cuing evolved to be sensitive to facial cues of others' dominance, potentially because such differential gaze cuing promoted desirable outcomes from encounters with dominant individuals.","author":[{"dropping-particle":"","family":"Jones","given":"Benedict C","non-dropping-particle":"","parse-names":false,"suffix":""},{"dropping-particle":"","family":"DeBruine","given":"Lisa M","non-dropping-particle":"","parse-names":false,"suffix":""},{"dropping-particle":"","family":"Main","given":"Julie C","non-dropping-particle":"","parse-names":false,"suffix":""},{"dropping-particle":"","family":"Little","given":"Anthony C","non-dropping-particle":"","parse-names":false,"suffix":""},{"dropping-particle":"","family":"Welling","given":"Lisa L M","non-dropping-particle":"","parse-names":false,"suffix":""},{"dropping-particle":"","family":"Feinberg","given":"David R","non-dropping-particle":"","parse-names":false,"suffix":""},{"dropping-particle":"","family":"Tiddeman","given":"Bernard P","non-dropping-particle":"","parse-names":false,"suffix":""}],"container-title":"Proceedings of the Royal Society B: Biological Sciences","id":"ITEM-2","issue":"1681","issued":{"date-parts":[["2010","2","22"]]},"note":"Times Cited: 54\nJones, Benedict/A-7850-2008; DeBruine, Lisa/A-6990-2008; Little, Anthony/B-8497-2009; Feinberg, David/C-1249-2009\nJones, Benedict/0000-0001-7777-0220; DeBruine, Lisa/0000-0002-7523-5539; Little, Anthony/0000-0001-9100-1903; Feinberg, David/0000-0003-4179-1446\n56","page":"617-624","title":"Facial cues of dominance modulate the short-term gaze-cuing effect in human observers","type":"article-journal","volume":"277"},"uris":["http://www.mendeley.com/documents/?uuid=64bfee74-1a8b-412c-b705-07f9a61342c4"]},{"id":"ITEM-3","itemData":{"DOI":"10.1080/17470218.2012.663765","ISSN":"1747-0218","abstract":"Recent studies have tried to shed light on the automaticity of attentional shifts triggered by gaze and arrows with mixed results. In the present research, we aimed at testing a strong definition of resistance to suppression for orienting of attention elicited by these two cues. In five experiments, participants were informed with 100% certainty about the future location of a target they had to react to by presentation of either a direction word at the beginning of each trial or instructions at the beginning of each block. Gaze and arrows were presented before the target as uninformative distractors irrelevant for the task. The results showed similar patterns for gaze and arrows-namely, an interference effect when the distractors were incongruent with the upcoming target location. This suggests that the orienting of attention mediated by gaze and arrows can be considered as strongly automatic.","author":[{"dropping-particle":"","family":"Galfano","given":"Giovanni","non-dropping-particle":"","parse-names":false,"suffix":""},{"dropping-particle":"","family":"Dalmaso","given":"Mario","non-dropping-particle":"","parse-names":false,"suffix":""},{"dropping-particle":"","family":"Marzoli","given":"Daniele","non-dropping-particle":"","parse-names":false,"suffix":""},{"dropping-particle":"","family":"Pavan","given":"Giulia","non-dropping-particle":"","parse-names":false,"suffix":""},{"dropping-particle":"","family":"Coricelli","given":"Carol","non-dropping-particle":"","parse-names":false,"suffix":""},{"dropping-particle":"","family":"Castelli","given":"Luigi","non-dropping-particle":"","parse-names":false,"suffix":""}],"container-title":"Quarterly Journal of Experimental Psychology","id":"ITEM-3","issue":"10","issued":{"date-parts":[["2012"]]},"note":"Times Cited: 12\nGalfano, Giovanni/B-7582-2008\n12","page":"1895-1910","title":"Eye gaze cannot be ignored (but neither can arrows)","type":"article-journal","volume":"65"},"uris":["http://www.mendeley.com/documents/?uuid=d3c2e3e4-9352-46d2-a794-ba6bd9f7f5f3"]}],"mendeley":{"formattedCitation":"(Galfano et al., 2012; B. C. Jones et al., 2010, 2011)","manualFormatting":"(Galfano et al., 2012; Jones et al., 2010, 2011)","plainTextFormattedCitation":"(Galfano et al., 2012; B. C. Jones et al., 2010, 2011)","previouslyFormattedCitation":"(Galfano et al., 2012; B. C. Jones et al., 2010, 2011)"},"properties":{"noteIndex":0},"schema":"https://github.com/citation-style-language/schema/raw/master/csl-citation.json"}</w:instrText>
      </w:r>
      <w:r w:rsidR="006703C2" w:rsidRPr="00BD14B0">
        <w:fldChar w:fldCharType="separate"/>
      </w:r>
      <w:r w:rsidR="004D2901" w:rsidRPr="00BD14B0">
        <w:rPr>
          <w:noProof/>
        </w:rPr>
        <w:t>(Galfano et al., 2012; Jones et al., 2010, 2011)</w:t>
      </w:r>
      <w:r w:rsidR="006703C2" w:rsidRPr="00BD14B0">
        <w:fldChar w:fldCharType="end"/>
      </w:r>
      <w:r w:rsidR="006703C2" w:rsidRPr="00BD14B0">
        <w:t xml:space="preserve"> as well as monkeys </w:t>
      </w:r>
      <w:r w:rsidR="006703C2" w:rsidRPr="00BD14B0">
        <w:fldChar w:fldCharType="begin" w:fldLock="1"/>
      </w:r>
      <w:r w:rsidR="006703C2" w:rsidRPr="00BD14B0">
        <w:instrText>ADDIN CSL_CITATION {"citationItems":[{"id":"ITEM-1","itemData":{"DOI":"10.1016/j.cub.2003.08.025","ISSN":"0960-9822","author":[{"dropping-particle":"","family":"Deaner","given":"Ro","non-dropping-particle":"","parse-names":false,"suffix":""},{"dropping-particle":"","family":"Platt","given":"Ml","non-dropping-particle":"","parse-names":false,"suffix":""}],"container-title":"Curr. Biol.","id":"ITEM-1","issue":"18","issued":{"date-parts":[["2003"]]},"page":"1609-1613","title":"Reflexive social attention in monkeys and humans","type":"article-journal","volume":"13"},"uris":["http://www.mendeley.com/documents/?uuid=7a071f7f-99a7-4226-9b2d-fd7265c60551"]}],"mendeley":{"formattedCitation":"(R. Deaner &amp; Platt, 2003)","manualFormatting":"(Deaner &amp; Platt, 2003)","plainTextFormattedCitation":"(R. Deaner &amp; Platt, 2003)","previouslyFormattedCitation":"(R. Deaner &amp; Platt, 2003)"},"properties":{"noteIndex":0},"schema":"https://github.com/citation-style-language/schema/raw/master/csl-citation.json"}</w:instrText>
      </w:r>
      <w:r w:rsidR="006703C2" w:rsidRPr="00BD14B0">
        <w:fldChar w:fldCharType="separate"/>
      </w:r>
      <w:r w:rsidR="006703C2" w:rsidRPr="00BD14B0">
        <w:rPr>
          <w:noProof/>
        </w:rPr>
        <w:t>(Deaner &amp; Platt, 2003)</w:t>
      </w:r>
      <w:r w:rsidR="006703C2" w:rsidRPr="00BD14B0">
        <w:fldChar w:fldCharType="end"/>
      </w:r>
      <w:r w:rsidR="006703C2" w:rsidRPr="00BD14B0">
        <w:t xml:space="preserve">. For instance, a study conducted with an eye tracker showed that males with high </w:t>
      </w:r>
      <w:r w:rsidR="006703C2" w:rsidRPr="00BD14B0">
        <w:lastRenderedPageBreak/>
        <w:t xml:space="preserve">status attracted more attention than low-status males </w:t>
      </w:r>
      <w:r w:rsidR="006703C2" w:rsidRPr="00BD14B0">
        <w:fldChar w:fldCharType="begin" w:fldLock="1"/>
      </w:r>
      <w:r w:rsidR="006703C2" w:rsidRPr="00BD14B0">
        <w:instrText>ADDIN CSL_CITATION {"citationItems":[{"id":"ITEM-1","itemData":{"DOI":"10.1177/0146167207311910","ISSN":"0146-1672","PMID":"18192434","abstract":"Results from two experiments suggest that observers selectively attend to male, but not female, targets displaying signs of social dominance. Participants overestimated the frequency of dominant men in rapidly presented stimulus arrays (Study 1) and visually fixated on dominant men in an eyetracking experiment (Study 2). When viewing female targets, participants attended to signs of physical attractiveness rather than social dominance. Findings fit with evolutionary models of mating, which imply that dominance and physical attractiveness sometimes tend to be prioritized preferentially in judgments of men versus women, respectively. Findings suggest that sex differences in human mating are observed not only at the level of overt mating preferences and choices but also at early stages of interpersonal perception. This research demonstrates the utility of examining early-in-the-stream social cognition through the functionalist lens of adaptive thinking.","author":[{"dropping-particle":"","family":"Maner","given":"Jon K","non-dropping-particle":"","parse-names":false,"suffix":""},{"dropping-particle":"","family":"DeWall","given":"C Nathan","non-dropping-particle":"","parse-names":false,"suffix":""},{"dropping-particle":"","family":"Gailliot","given":"Matthew T","non-dropping-particle":"","parse-names":false,"suffix":""}],"container-title":"Personality and Social Psychology Bulletin","id":"ITEM-1","issue":"4","issued":{"date-parts":[["2008","4"]]},"language":"eng","page":"488-501","publisher-place":"United States","title":"Selective Attention to Signs of Success: Social Dominance and Early Stage Interpersonal Perception","type":"article-journal","volume":"34"},"uris":["http://www.mendeley.com/documents/?uuid=7ea98c4b-8e83-4331-bd64-bd67386248a1"]}],"mendeley":{"formattedCitation":"(Maner et al., 2008)","plainTextFormattedCitation":"(Maner et al., 2008)","previouslyFormattedCitation":"(Maner et al., 2008)"},"properties":{"noteIndex":0},"schema":"https://github.com/citation-style-language/schema/raw/master/csl-citation.json"}</w:instrText>
      </w:r>
      <w:r w:rsidR="006703C2" w:rsidRPr="00BD14B0">
        <w:fldChar w:fldCharType="separate"/>
      </w:r>
      <w:r w:rsidR="006703C2" w:rsidRPr="00BD14B0">
        <w:rPr>
          <w:noProof/>
        </w:rPr>
        <w:t>(Maner et al., 2008)</w:t>
      </w:r>
      <w:r w:rsidR="006703C2" w:rsidRPr="00BD14B0">
        <w:fldChar w:fldCharType="end"/>
      </w:r>
      <w:r w:rsidR="006703C2" w:rsidRPr="00BD14B0">
        <w:t xml:space="preserve">. High social status attracts more attention across species. It has been shown that humans also prefer to look at higher status individuals compared to low-status individuals more often and for longer periods </w:t>
      </w:r>
      <w:r w:rsidR="006703C2" w:rsidRPr="00BD14B0">
        <w:fldChar w:fldCharType="begin" w:fldLock="1"/>
      </w:r>
      <w:r w:rsidR="006703C2" w:rsidRPr="00BD14B0">
        <w:instrText>ADDIN CSL_CITATION {"citationItems":[{"id":"ITEM-1","itemData":{"DOI":"10.1016/j.cognition.2010.09.003","ISSN":"00100277","abstract":"Human visual attention operates in a context that is complex, social and dynamic. To explore this, we recorded people taking part in a group decision-making task and then showed video clips of these situations to new participants while tracking their eye movements. Observers spent the majority of time looking at the people in the videos, and in particular at their eyes and faces. The social status of the people in the clips had been rated by their peers in the group task, and this status hierarchy strongly predicted where eye-tracker participants looked: high-status individuals were gazed at much more often, and for longer, than low-status individuals, even over short, 20-s videos. Fixation was temporally coupled to the person who was talking at any one time, but this did not account for the effect of social status on attention. These results are consistent with a gaze system that is attuned to the presence of other individuals, to their social status within a group, and to the information most useful for social interaction. (C) 2010 Elsevier B.V. All rights reserved.","author":[{"dropping-particle":"","family":"Foulsham","given":"Tom","non-dropping-particle":"","parse-names":false,"suffix":""},{"dropping-particle":"","family":"Cheng","given":"Joey T","non-dropping-particle":"","parse-names":false,"suffix":""},{"dropping-particle":"","family":"Tracy","given":"Jessica L","non-dropping-particle":"","parse-names":false,"suffix":""},{"dropping-particle":"","family":"Henrich","given":"Joseph","non-dropping-particle":"","parse-names":false,"suffix":""},{"dropping-particle":"","family":"Kingstone","given":"Alan","non-dropping-particle":"","parse-names":false,"suffix":""}],"container-title":"Cognition","id":"ITEM-1","issue":"3","issued":{"date-parts":[["2010","12"]]},"note":"Times Cited: 36\n36","page":"319-331","title":"Gaze allocation in a dynamic situation: Effects of social status and speaking","type":"article-journal","volume":"117"},"uris":["http://www.mendeley.com/documents/?uuid=f47ee137-412c-4b34-a8dd-7a5d7d9e843b"]}],"mendeley":{"formattedCitation":"(Foulsham et al., 2010)","plainTextFormattedCitation":"(Foulsham et al., 2010)","previouslyFormattedCitation":"(Foulsham et al., 2010)"},"properties":{"noteIndex":0},"schema":"https://github.com/citation-style-language/schema/raw/master/csl-citation.json"}</w:instrText>
      </w:r>
      <w:r w:rsidR="006703C2" w:rsidRPr="00BD14B0">
        <w:fldChar w:fldCharType="separate"/>
      </w:r>
      <w:r w:rsidR="006703C2" w:rsidRPr="00BD14B0">
        <w:rPr>
          <w:noProof/>
        </w:rPr>
        <w:t>(Foulsham et al., 2010)</w:t>
      </w:r>
      <w:r w:rsidR="006703C2" w:rsidRPr="00BD14B0">
        <w:fldChar w:fldCharType="end"/>
      </w:r>
      <w:r w:rsidR="006703C2" w:rsidRPr="00BD14B0">
        <w:t xml:space="preserve">. Additionally, faces with higher status are better encoded in memory </w:t>
      </w:r>
      <w:r w:rsidR="006703C2" w:rsidRPr="00BD14B0">
        <w:fldChar w:fldCharType="begin" w:fldLock="1"/>
      </w:r>
      <w:r w:rsidR="006703C2" w:rsidRPr="00BD14B0">
        <w:instrText>ADDIN CSL_CITATION {"citationItems":[{"id":"ITEM-1","itemData":{"DOI":"10.1177/0146167211407210","ISSN":"0146-1672","abstract":"The current research tests the hypothesis that face processing is attuned to high-status faces. Across three experiments, faces of high-status targets were better recognized than faces of low-status targets. In Experiment 2, this memory advantage for high-status targets also extended to an attentional bias toward high-status targets and to stronger sociospatial memory (identity-location link) for high-status targets. Finally, Experiment 3 finds that high-status faces received more expert-style holistic processing than did low-status faces. This suggests that high-status faces also benefit more from the strategic deployment of expert face processing resources than low-status faces. Taken together, these data indicate that perceivers strategically allocate face processing resources to targets perceived to be high in status.","author":[{"dropping-particle":"","family":"Ratcliff","given":"Nathaniel J.","non-dropping-particle":"","parse-names":false,"suffix":""},{"dropping-particle":"","family":"Hugenberg","given":"Kurt","non-dropping-particle":"","parse-names":false,"suffix":""},{"dropping-particle":"","family":"Shriver","given":"Edwin R.","non-dropping-particle":"","parse-names":false,"suffix":""},{"dropping-particle":"","family":"Bernstein","given":"Michael J.","non-dropping-particle":"","parse-names":false,"suffix":""}],"container-title":"Personality and Social Psychology Bulletin","id":"ITEM-1","issue":"8","issued":{"date-parts":[["2011","8","23"]]},"page":"1003-1015","title":"The Allure of Status: High-Status Targets Are Privileged in Face Processing and Memory","type":"article-journal","volume":"37"},"uris":["http://www.mendeley.com/documents/?uuid=1a12905a-8be0-4c03-b8f7-c129364d30d5"]}],"mendeley":{"formattedCitation":"(Ratcliff et al., 2011)","plainTextFormattedCitation":"(Ratcliff et al., 2011)","previouslyFormattedCitation":"(Ratcliff et al., 2011)"},"properties":{"noteIndex":0},"schema":"https://github.com/citation-style-language/schema/raw/master/csl-citation.json"}</w:instrText>
      </w:r>
      <w:r w:rsidR="006703C2" w:rsidRPr="00BD14B0">
        <w:fldChar w:fldCharType="separate"/>
      </w:r>
      <w:r w:rsidR="006703C2" w:rsidRPr="00BD14B0">
        <w:rPr>
          <w:noProof/>
        </w:rPr>
        <w:t>(Ratcliff et al., 2011)</w:t>
      </w:r>
      <w:r w:rsidR="006703C2" w:rsidRPr="00BD14B0">
        <w:fldChar w:fldCharType="end"/>
      </w:r>
      <w:r w:rsidR="006703C2" w:rsidRPr="00BD14B0">
        <w:t xml:space="preserve">. People </w:t>
      </w:r>
      <w:r w:rsidR="0053601E" w:rsidRPr="00BD14B0">
        <w:t>tend</w:t>
      </w:r>
      <w:r w:rsidR="006703C2" w:rsidRPr="00BD14B0">
        <w:t xml:space="preserve"> to look at high</w:t>
      </w:r>
      <w:r w:rsidR="0053601E" w:rsidRPr="00BD14B0">
        <w:t>-</w:t>
      </w:r>
      <w:r w:rsidR="006703C2" w:rsidRPr="00BD14B0">
        <w:t>status individuals more than low</w:t>
      </w:r>
      <w:r w:rsidR="0053601E" w:rsidRPr="00BD14B0">
        <w:t>-</w:t>
      </w:r>
      <w:r w:rsidR="006703C2" w:rsidRPr="00BD14B0">
        <w:t xml:space="preserve">status individuals </w:t>
      </w:r>
      <w:r w:rsidR="006703C2" w:rsidRPr="00BD14B0">
        <w:fldChar w:fldCharType="begin" w:fldLock="1"/>
      </w:r>
      <w:r w:rsidR="006703C2" w:rsidRPr="00BD14B0">
        <w:instrText>ADDIN CSL_CITATION {"citationItems":[{"id":"ITEM-1","itemData":{"DOI":"10.1037/a0030398","ISSN":"1939-1315","PMID":"23163747","abstract":"The pursuit of social rank is a recurrent and pervasive challenge faced by individuals in all human societies. Yet, the precise means through which individuals compete for social standing remains unclear. In 2 studies, we investigated the impact of 2 fundamental strategies-Dominance (the use of force and intimidation to induce fear) and Prestige (the sharing of expertise or know-how to gain respect)-on the attainment of social rank, which we conceptualized as the acquisition of (a) perceived influence over others (Study 1), (b) actual influence over others' behaviors (Study 1), and (c) others' visual attention (Study 2). Study 1 examined the process of hierarchy formation among a group of previously unacquainted individuals, who provided round-robin judgments of each other after completing a group task. Results indicated that the adoption of either a Dominance or Prestige strategy promoted perceptions of greater influence, by both group members and outside observers, and higher levels of actual influence, based on a behavioral measure. These effects were not driven by popularity; in fact, those who adopted a Prestige strategy were viewed as likable, whereas those who adopted a Dominance strategy were not well liked. In Study 2, participants viewed brief video clips of group interactions from Study 1 while their gaze was monitored with an eye tracker. Dominant and Prestigious targets each received greater visual attention than targets low on either dimension. Together, these findings demonstrate that Dominance and Prestige are distinct yet viable strategies for ascending the social hierarchy, consistent with evolutionary theory.","author":[{"dropping-particle":"","family":"Cheng","given":"Joey T","non-dropping-particle":"","parse-names":false,"suffix":""},{"dropping-particle":"","family":"Tracy","given":"Jessica L","non-dropping-particle":"","parse-names":false,"suffix":""},{"dropping-particle":"","family":"Foulsham","given":"Tom","non-dropping-particle":"","parse-names":false,"suffix":""},{"dropping-particle":"","family":"Kingstone","given":"Alan","non-dropping-particle":"","parse-names":false,"suffix":""},{"dropping-particle":"","family":"Henrich","given":"Joseph","non-dropping-particle":"","parse-names":false,"suffix":""}],"container-title":"Journal of Personality and Social Psychology","id":"ITEM-1","issue":"1","issued":{"date-parts":[["2013","1"]]},"language":"eng","page":"103-125","publisher-place":"United States","title":"Two ways to the top: Evidence that dominance and prestige are distinct yet viable avenues to social rank and influence.","type":"article-journal","volume":"104"},"uris":["http://www.mendeley.com/documents/?uuid=93d69c6d-b4b1-4e17-9f16-583ce29e2ddb"]}],"mendeley":{"formattedCitation":"(Cheng et al., 2013)","plainTextFormattedCitation":"(Cheng et al., 2013)","previouslyFormattedCitation":"(Cheng et al., 2013)"},"properties":{"noteIndex":0},"schema":"https://github.com/citation-style-language/schema/raw/master/csl-citation.json"}</w:instrText>
      </w:r>
      <w:r w:rsidR="006703C2" w:rsidRPr="00BD14B0">
        <w:fldChar w:fldCharType="separate"/>
      </w:r>
      <w:r w:rsidR="006703C2" w:rsidRPr="00BD14B0">
        <w:rPr>
          <w:noProof/>
        </w:rPr>
        <w:t>(Cheng et al., 2013)</w:t>
      </w:r>
      <w:r w:rsidR="006703C2" w:rsidRPr="00BD14B0">
        <w:fldChar w:fldCharType="end"/>
      </w:r>
      <w:r w:rsidR="006703C2" w:rsidRPr="00BD14B0">
        <w:t xml:space="preserve"> specifically to the eye region </w:t>
      </w:r>
      <w:r w:rsidR="006703C2" w:rsidRPr="00BD14B0">
        <w:fldChar w:fldCharType="begin" w:fldLock="1"/>
      </w:r>
      <w:r w:rsidR="006703C2" w:rsidRPr="00BD14B0">
        <w:instrText>ADDIN CSL_CITATION {"citationItems":[{"id":"ITEM-1","itemData":{"DOI":"10.1016/j.cognition.2010.09.003","ISSN":"00100277","abstract":"Human visual attention operates in a context that is complex, social and dynamic. To explore this, we recorded people taking part in a group decision-making task and then showed video clips of these situations to new participants while tracking their eye movements. Observers spent the majority of time looking at the people in the videos, and in particular at their eyes and faces. The social status of the people in the clips had been rated by their peers in the group task, and this status hierarchy strongly predicted where eye-tracker participants looked: high-status individuals were gazed at much more often, and for longer, than low-status individuals, even over short, 20-s videos. Fixation was temporally coupled to the person who was talking at any one time, but this did not account for the effect of social status on attention. These results are consistent with a gaze system that is attuned to the presence of other individuals, to their social status within a group, and to the information most useful for social interaction. (C) 2010 Elsevier B.V. All rights reserved.","author":[{"dropping-particle":"","family":"Foulsham","given":"Tom","non-dropping-particle":"","parse-names":false,"suffix":""},{"dropping-particle":"","family":"Cheng","given":"Joey T","non-dropping-particle":"","parse-names":false,"suffix":""},{"dropping-particle":"","family":"Tracy","given":"Jessica L","non-dropping-particle":"","parse-names":false,"suffix":""},{"dropping-particle":"","family":"Henrich","given":"Joseph","non-dropping-particle":"","parse-names":false,"suffix":""},{"dropping-particle":"","family":"Kingstone","given":"Alan","non-dropping-particle":"","parse-names":false,"suffix":""}],"container-title":"Cognition","id":"ITEM-1","issue":"3","issued":{"date-parts":[["2010","12"]]},"note":"Times Cited: 36\n36","page":"319-331","title":"Gaze allocation in a dynamic situation: Effects of social status and speaking","type":"article-journal","volume":"117"},"uris":["http://www.mendeley.com/documents/?uuid=f47ee137-412c-4b34-a8dd-7a5d7d9e843b"]}],"mendeley":{"formattedCitation":"(Foulsham et al., 2010)","plainTextFormattedCitation":"(Foulsham et al., 2010)","previouslyFormattedCitation":"(Foulsham et al., 2010)"},"properties":{"noteIndex":0},"schema":"https://github.com/citation-style-language/schema/raw/master/csl-citation.json"}</w:instrText>
      </w:r>
      <w:r w:rsidR="006703C2" w:rsidRPr="00BD14B0">
        <w:fldChar w:fldCharType="separate"/>
      </w:r>
      <w:r w:rsidR="006703C2" w:rsidRPr="00BD14B0">
        <w:rPr>
          <w:noProof/>
        </w:rPr>
        <w:t>(Foulsham et al., 2010)</w:t>
      </w:r>
      <w:r w:rsidR="006703C2" w:rsidRPr="00BD14B0">
        <w:fldChar w:fldCharType="end"/>
      </w:r>
      <w:r w:rsidR="006703C2" w:rsidRPr="00BD14B0">
        <w:t xml:space="preserve"> and follow the eye gaze of high-status individuals more compared to low</w:t>
      </w:r>
      <w:r w:rsidR="0053601E" w:rsidRPr="00BD14B0">
        <w:t>-</w:t>
      </w:r>
      <w:r w:rsidR="006703C2" w:rsidRPr="00BD14B0">
        <w:t xml:space="preserve">status individuals </w:t>
      </w:r>
      <w:r w:rsidR="006703C2" w:rsidRPr="00BD14B0">
        <w:fldChar w:fldCharType="begin" w:fldLock="1"/>
      </w:r>
      <w:r w:rsidR="004D2901" w:rsidRPr="00BD14B0">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Letters","id":"ITEM-1","issue":"3","issued":{"date-parts":[["2012","6","23"]]},"note":"From Duplicate 2 (Social status gates social attention in humans - Dalmaso, Mario; Pavan, Giulia; Castelli, Luigi; Galfano, Giovanni)\n\nTimes Cited: 16\nGalfano, Giovanni/B-7582-2008\n16","page":"450-452","title":"Social status gates social attention in humans","type":"article-journal","volume":"8"},"uris":["http://www.mendeley.com/documents/?uuid=261a4feb-ab80-4609-9cc4-52869ea8889c"]}],"mendeley":{"formattedCitation":"(Dalmaso et al., 2012b)","manualFormatting":"(Dalmaso et al., 2012)","plainTextFormattedCitation":"(Dalmaso et al., 2012b)","previouslyFormattedCitation":"(Dalmaso et al., 2012b)"},"properties":{"noteIndex":0},"schema":"https://github.com/citation-style-language/schema/raw/master/csl-citation.json"}</w:instrText>
      </w:r>
      <w:r w:rsidR="006703C2" w:rsidRPr="00BD14B0">
        <w:fldChar w:fldCharType="separate"/>
      </w:r>
      <w:r w:rsidR="006703C2" w:rsidRPr="00BD14B0">
        <w:rPr>
          <w:noProof/>
        </w:rPr>
        <w:t>(Dalmaso et al., 2012)</w:t>
      </w:r>
      <w:r w:rsidR="006703C2" w:rsidRPr="00BD14B0">
        <w:fldChar w:fldCharType="end"/>
      </w:r>
      <w:r w:rsidR="006703C2" w:rsidRPr="00BD14B0">
        <w:t xml:space="preserve">. When the dominance of the observed face is used as a visual cue of social status, humans show enhanced gaze-cuing effects for masculinized faces compared to feminized faces </w:t>
      </w:r>
      <w:r w:rsidR="006703C2" w:rsidRPr="00BD14B0">
        <w:fldChar w:fldCharType="begin" w:fldLock="1"/>
      </w:r>
      <w:r w:rsidR="0028287E" w:rsidRPr="00BD14B0">
        <w:instrText>ADDIN CSL_CITATION {"citationItems":[{"id":"ITEM-1","itemData":{"DOI":"10.1098/rspb.2009.1575","ISSN":"0962-8452","abstract":"Responding appropriately to gaze cues is essential for fluent social interaction, playing a crucial role in social learning, collaboration, threat assessment and understanding others' intentions. Previous research has shown that responses to gaze cues can be studied by investigating the gaze-cuing effect (i.e. the tendency for observers to respond more quickly to targets in locations that were cued by others' gaze than to uncued targets). A recent study demonstrating that macaques demonstrate larger gaze-cuing effects when viewing dominant conspecifics than when viewing subordinate conspecifics suggests that cues of dominance modulate the gaze-cuing effect in at least one primate species. Here, we show a similar effect of facial cues associated with dominance on gaze cuing in human observers: at short viewing times, observers demonstrated a greater cuing effect for gaze cues from masculinized (i.e. dominant) faces than from feminized (i.e. subordinate) faces. Moreover, this effect of facial masculinity on gaze cuing decreased as viewing time was increased, suggesting that the effect is driven by involuntary responses. Our findings suggest that the mechanisms that underpin reflexive gaze cuing evolved to be sensitive to facial cues of others' dominance, potentially because such differential gaze cuing promoted desirable outcomes from encounters with dominant individuals.","author":[{"dropping-particle":"","family":"Jones","given":"Benedict C","non-dropping-particle":"","parse-names":false,"suffix":""},{"dropping-particle":"","family":"DeBruine","given":"Lisa M","non-dropping-particle":"","parse-names":false,"suffix":""},{"dropping-particle":"","family":"Main","given":"Julie C","non-dropping-particle":"","parse-names":false,"suffix":""},{"dropping-particle":"","family":"Little","given":"Anthony C","non-dropping-particle":"","parse-names":false,"suffix":""},{"dropping-particle":"","family":"Welling","given":"Lisa L M","non-dropping-particle":"","parse-names":false,"suffix":""},{"dropping-particle":"","family":"Feinberg","given":"David R","non-dropping-particle":"","parse-names":false,"suffix":""},{"dropping-particle":"","family":"Tiddeman","given":"Bernard P","non-dropping-particle":"","parse-names":false,"suffix":""}],"container-title":"Proceedings of the Royal Society B: Biological Sciences","id":"ITEM-1","issue":"1681","issued":{"date-parts":[["2010","2","22"]]},"note":"Times Cited: 54\nJones, Benedict/A-7850-2008; DeBruine, Lisa/A-6990-2008; Little, Anthony/B-8497-2009; Feinberg, David/C-1249-2009\nJones, Benedict/0000-0001-7777-0220; DeBruine, Lisa/0000-0002-7523-5539; Little, Anthony/0000-0001-9100-1903; Feinberg, David/0000-0003-4179-1446\n56","page":"617-624","title":"Facial cues of dominance modulate the short-term gaze-cuing effect in human observers","type":"article-journal","volume":"277"},"uris":["http://www.mendeley.com/documents/?uuid=64bfee74-1a8b-412c-b705-07f9a61342c4"]}],"mendeley":{"formattedCitation":"(B. C. Jones et al., 2010)","manualFormatting":"(Jones et al., 2010)","plainTextFormattedCitation":"(B. C. Jones et al., 2010)","previouslyFormattedCitation":"(B. C. Jones et al., 2010)"},"properties":{"noteIndex":0},"schema":"https://github.com/citation-style-language/schema/raw/master/csl-citation.json"}</w:instrText>
      </w:r>
      <w:r w:rsidR="006703C2" w:rsidRPr="00BD14B0">
        <w:fldChar w:fldCharType="separate"/>
      </w:r>
      <w:r w:rsidR="004D2901" w:rsidRPr="00BD14B0">
        <w:rPr>
          <w:noProof/>
        </w:rPr>
        <w:t>(Jones et al., 2010)</w:t>
      </w:r>
      <w:r w:rsidR="006703C2" w:rsidRPr="00BD14B0">
        <w:fldChar w:fldCharType="end"/>
      </w:r>
      <w:r w:rsidR="006703C2" w:rsidRPr="00BD14B0">
        <w:t xml:space="preserve">. Additionally, people with high status were gazed more often and for a longer period even in video clips as short as 20 seconds </w:t>
      </w:r>
      <w:r w:rsidR="006703C2" w:rsidRPr="00BD14B0">
        <w:fldChar w:fldCharType="begin" w:fldLock="1"/>
      </w:r>
      <w:r w:rsidR="006703C2" w:rsidRPr="00BD14B0">
        <w:instrText>ADDIN CSL_CITATION {"citationItems":[{"id":"ITEM-1","itemData":{"DOI":"10.1016/j.cognition.2010.09.003","ISSN":"00100277","abstract":"Human visual attention operates in a context that is complex, social and dynamic. To explore this, we recorded people taking part in a group decision-making task and then showed video clips of these situations to new participants while tracking their eye movements. Observers spent the majority of time looking at the people in the videos, and in particular at their eyes and faces. The social status of the people in the clips had been rated by their peers in the group task, and this status hierarchy strongly predicted where eye-tracker participants looked: high-status individuals were gazed at much more often, and for longer, than low-status individuals, even over short, 20-s videos. Fixation was temporally coupled to the person who was talking at any one time, but this did not account for the effect of social status on attention. These results are consistent with a gaze system that is attuned to the presence of other individuals, to their social status within a group, and to the information most useful for social interaction. (C) 2010 Elsevier B.V. All rights reserved.","author":[{"dropping-particle":"","family":"Foulsham","given":"Tom","non-dropping-particle":"","parse-names":false,"suffix":""},{"dropping-particle":"","family":"Cheng","given":"Joey T","non-dropping-particle":"","parse-names":false,"suffix":""},{"dropping-particle":"","family":"Tracy","given":"Jessica L","non-dropping-particle":"","parse-names":false,"suffix":""},{"dropping-particle":"","family":"Henrich","given":"Joseph","non-dropping-particle":"","parse-names":false,"suffix":""},{"dropping-particle":"","family":"Kingstone","given":"Alan","non-dropping-particle":"","parse-names":false,"suffix":""}],"container-title":"Cognition","id":"ITEM-1","issue":"3","issued":{"date-parts":[["2010","12"]]},"note":"Times Cited: 36\n36","page":"319-331","title":"Gaze allocation in a dynamic situation: Effects of social status and speaking","type":"article-journal","volume":"117"},"uris":["http://www.mendeley.com/documents/?uuid=f47ee137-412c-4b34-a8dd-7a5d7d9e843b"]}],"mendeley":{"formattedCitation":"(Foulsham et al., 2010)","plainTextFormattedCitation":"(Foulsham et al., 2010)","previouslyFormattedCitation":"(Foulsham et al., 2010)"},"properties":{"noteIndex":0},"schema":"https://github.com/citation-style-language/schema/raw/master/csl-citation.json"}</w:instrText>
      </w:r>
      <w:r w:rsidR="006703C2" w:rsidRPr="00BD14B0">
        <w:fldChar w:fldCharType="separate"/>
      </w:r>
      <w:r w:rsidR="006703C2" w:rsidRPr="00BD14B0">
        <w:rPr>
          <w:noProof/>
        </w:rPr>
        <w:t>(Foulsham et al., 2010)</w:t>
      </w:r>
      <w:r w:rsidR="006703C2" w:rsidRPr="00BD14B0">
        <w:fldChar w:fldCharType="end"/>
      </w:r>
      <w:r w:rsidR="006703C2" w:rsidRPr="00BD14B0">
        <w:t xml:space="preserve">. While the hierarchy within a group of nonhuman primates can be seen by how dominant the monkey´s face is </w:t>
      </w:r>
      <w:r w:rsidR="006703C2" w:rsidRPr="00BD14B0">
        <w:fldChar w:fldCharType="begin" w:fldLock="1"/>
      </w:r>
      <w:r w:rsidR="006703C2" w:rsidRPr="00BD14B0">
        <w:instrText>ADDIN CSL_CITATION {"citationItems":[{"id":"ITEM-1","itemData":{"DOI":"10.3389/fnint.2010.00005","ISSN":"16625145","author":[{"dropping-particle":"V","family":"Shepherd","given":"Stephen","non-dropping-particle":"","parse-names":false,"suffix":""}],"container-title":"Frontiers in Integrative Neuroscience","id":"ITEM-1","issue":"2010","issued":{"date-parts":[["2010"]]},"title":"Following gaze: Gaze- following behavior as a window into social cognition","type":"article-journal"},"uris":["http://www.mendeley.com/documents/?uuid=7bae92c5-698a-4f64-aafa-f18b876da125"]}],"mendeley":{"formattedCitation":"(Stephen V Shepherd, 2010)","manualFormatting":"(Shepherd, 2010)","plainTextFormattedCitation":"(Stephen V Shepherd, 2010)","previouslyFormattedCitation":"(Stephen V Shepherd, 2010)"},"properties":{"noteIndex":0},"schema":"https://github.com/citation-style-language/schema/raw/master/csl-citation.json"}</w:instrText>
      </w:r>
      <w:r w:rsidR="006703C2" w:rsidRPr="00BD14B0">
        <w:fldChar w:fldCharType="separate"/>
      </w:r>
      <w:r w:rsidR="006703C2" w:rsidRPr="00BD14B0">
        <w:rPr>
          <w:noProof/>
        </w:rPr>
        <w:t>(Shepherd, 2010)</w:t>
      </w:r>
      <w:r w:rsidR="006703C2" w:rsidRPr="00BD14B0">
        <w:fldChar w:fldCharType="end"/>
      </w:r>
      <w:r w:rsidR="006703C2" w:rsidRPr="00BD14B0">
        <w:t xml:space="preserve">, among humans, social interactions are more complex. </w:t>
      </w:r>
    </w:p>
    <w:p w14:paraId="22226741" w14:textId="6B56B39B" w:rsidR="006703C2" w:rsidRPr="00BD14B0" w:rsidRDefault="00240229" w:rsidP="00553E01">
      <w:r w:rsidRPr="00BD14B0">
        <w:tab/>
      </w:r>
      <w:r w:rsidR="006703C2" w:rsidRPr="00BD14B0">
        <w:t xml:space="preserve">The perception of social status can be derived </w:t>
      </w:r>
      <w:r w:rsidR="00810BAA" w:rsidRPr="00BD14B0">
        <w:t>from</w:t>
      </w:r>
      <w:r w:rsidR="006703C2" w:rsidRPr="00BD14B0">
        <w:t xml:space="preserve"> verbal as well as social information about the specific roles within a social group. Dominance in monkeys can be established by physical features of the face whereas, for humans, we need to look at status, education level, income as well as position within the group, because social power positions are not necessarily occupied by the physically strongest individuals. In human social groups, the social hierarchy reflects an understanding of the level of members’ skills and intellectual capacities rather than just their perceived physical strength. Humans occupy many different social groups in daily life, hence different strategies may be necessary to navigate or assess social information among them. Unlike nonhuman primates, humans gather non-perceptual cues based on knowledge and use this information to navigate and assess status within the group. Labels and reputations about income, occupation, intelligence, popularity, and prestige are commonly used to assess status </w:t>
      </w:r>
      <w:r w:rsidR="006703C2" w:rsidRPr="00BD14B0">
        <w:fldChar w:fldCharType="begin" w:fldLock="1"/>
      </w:r>
      <w:r w:rsidR="004D2901" w:rsidRPr="00BD14B0">
        <w:instrText>ADDIN CSL_CITATION {"citationItems":[{"id":"ITEM-1","itemData":{"DOI":"10.1037/a0030398","ISSN":"1939-1315","PMID":"23163747","abstract":"The pursuit of social rank is a recurrent and pervasive challenge faced by individuals in all human societies. Yet, the precise means through which individuals compete for social standing remains unclear. In 2 studies, we investigated the impact of 2 fundamental strategies-Dominance (the use of force and intimidation to induce fear) and Prestige (the sharing of expertise or know-how to gain respect)-on the attainment of social rank, which we conceptualized as the acquisition of (a) perceived influence over others (Study 1), (b) actual influence over others' behaviors (Study 1), and (c) others' visual attention (Study 2). Study 1 examined the process of hierarchy formation among a group of previously unacquainted individuals, who provided round-robin judgments of each other after completing a group task. Results indicated that the adoption of either a Dominance or Prestige strategy promoted perceptions of greater influence, by both group members and outside observers, and higher levels of actual influence, based on a behavioral measure. These effects were not driven by popularity; in fact, those who adopted a Prestige strategy were viewed as likable, whereas those who adopted a Dominance strategy were not well liked. In Study 2, participants viewed brief video clips of group interactions from Study 1 while their gaze was monitored with an eye tracker. Dominant and Prestigious targets each received greater visual attention than targets low on either dimension. Together, these findings demonstrate that Dominance and Prestige are distinct yet viable strategies for ascending the social hierarchy, consistent with evolutionary theory.","author":[{"dropping-particle":"","family":"Cheng","given":"Joey T","non-dropping-particle":"","parse-names":false,"suffix":""},{"dropping-particle":"","family":"Tracy","given":"Jessica L","non-dropping-particle":"","parse-names":false,"suffix":""},{"dropping-particle":"","family":"Foulsham","given":"Tom","non-dropping-particle":"","parse-names":false,"suffix":""},{"dropping-particle":"","family":"Kingstone","given":"Alan","non-dropping-particle":"","parse-names":false,"suffix":""},{"dropping-particle":"","family":"Henrich","given":"Joseph","non-dropping-particle":"","parse-names":false,"suffix":""}],"container-title":"Journal of Personality and Social Psychology","id":"ITEM-1","issue":"1","issued":{"date-parts":[["2013","1"]]},"language":"eng","page":"103-125","publisher-place":"United States","title":"Two ways to the top: Evidence that dominance and prestige are distinct yet viable avenues to social rank and influence.","type":"article-journal","volume":"104"},"uris":["http://www.mendeley.com/documents/?uuid=93d69c6d-b4b1-4e17-9f16-583ce29e2ddb"]},{"id":"ITEM-2","itemData":{"DOI":"10.1002/9781444390933.ch20","ISBN":"9781444390933","abstract":"Summary This chapter contains sections titled: From Attraction to Peer Acceptance From Peer Acceptance to Perceived Popularity Methodological Issues in Assessing Perceived Popularity Perceived Popularity Versus Sociometric Popularity: Distinct Constructs? Considering the Long Term Acknowledgments References","author":[{"dropping-particle":"","family":"Hymel","given":"Shelley","non-dropping-particle":"","parse-names":false,"suffix":""},{"dropping-particle":"","family":"Closson","given":"Leanna M","non-dropping-particle":"","parse-names":false,"suffix":""},{"dropping-particle":"","family":"Caravita","given":"Simona C S","non-dropping-particle":"","parse-names":false,"suffix":""},{"dropping-particle":"","family":"Vaillancourt","given":"Tracy","non-dropping-particle":"","parse-names":false,"suffix":""}],"collection-title":"Wiley Online Books","container-title":"The Wiley-Blackwell Handbook of Childhood Social Development","id":"ITEM-2","issued":{"date-parts":[["2011","2","22"]]},"note":"doi:10.1002/9781444390933.ch20","page":"375-392","publisher":"Wiley-Blackwell","publisher-place":"Oxford, UK","title":"Social Status Among Peers: From Sociometric Attraction to Peer Acceptance to Perceived Popularity","type":"chapter"},"uris":["http://www.mendeley.com/documents/?uuid=22006bfe-74fa-4537-a043-669d4733df69"]},{"id":"ITEM-3","itemData":{"DOI":"10.1016/j.neuron.2008.01.025","ISSN":"08966273","PMID":"18439411","abstract":"Social hierarchies guide behavior in many species, including humans, where status also has an enormous impact on motivation and health. However, little is known about the underlying neural representation of social hierarchies in humans. In the present study, we identify dissociable neural responses to perceived social rank using functional magnetic resonance imaging (fMRI) in an interactive, simulated social context. In both stable and unstable social hierarchies, viewing a superior individual differentially engaged perceptual-attentional, saliency, and cognitive systems, notably dorsolateral prefrontal cortex. In the unstable hierarchy setting, additional regions related to emotional processing (amygdala), social cognition (medial prefrontal cortex), and behavioral readiness were recruited. Furthermore, social hierarchical consequences of performance were neurally dissociable and of comparable salience to monetary reward, providing a neural basis for the high motivational value of status. Our results identify neural mechanisms that may mediate the enormous influence of social status on human behavior and health.","author":[{"dropping-particle":"","family":"Zink","given":"Caroline F","non-dropping-particle":"","parse-names":false,"suffix":""},{"dropping-particle":"","family":"Tong","given":"Yunxia","non-dropping-particle":"","parse-names":false,"suffix":""},{"dropping-particle":"","family":"Chen","given":"Qiang","non-dropping-particle":"","parse-names":false,"suffix":""},{"dropping-particle":"","family":"Bassett","given":"Danielle S","non-dropping-particle":"","parse-names":false,"suffix":""},{"dropping-particle":"","family":"Stein","given":"Jason L","non-dropping-particle":"","parse-names":false,"suffix":""},{"dropping-particle":"","family":"Meyer-Lindenberg","given":"Andreas","non-dropping-particle":"","parse-names":false,"suffix":""}],"container-title":"Neuron","id":"ITEM-3","issue":"2","issued":{"date-parts":[["2008","4"]]},"language":"eng","page":"273-283","publisher-place":"United States","title":"Know Your Place: Neural Processing of Social Hierarchy in Humans","type":"article-journal","volume":"58"},"uris":["http://www.mendeley.com/documents/?uuid=96497e2d-e262-42d1-89b5-543ea3c8c2ed"]},{"id":"ITEM-4","itemData":{"DOI":"10.1098/rsbl.2011.0881","ISBN":"0960-9822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Letters","id":"ITEM-4","issue":"3","issued":{"date-parts":[["2012","6","23"]]},"note":"From Duplicate 2 (Social status gates social attention in humans - Dalmaso, Mario; Pavan, Giulia; Castelli, Luigi; Galfano, Giovanni)\n\nTimes Cited: 16\nGalfano, Giovanni/B-7582-2008\n16","page":"450-452","title":"Social status gates social attention in humans","type":"article-journal","volume":"8"},"uris":["http://www.mendeley.com/documents/?uuid=261a4feb-ab80-4609-9cc4-52869ea8889c"]}],"mendeley":{"formattedCitation":"(Cheng et al., 2013; Dalmaso et al., 2012b; Hymel et al., 2011; Zink et al., 2008)","manualFormatting":"(Cheng et al., 2013; Dalmaso et al., 2012; Hymel, Closson, Caravita, &amp; Vaillancourt, 2011; Zink et al., 2008)","plainTextFormattedCitation":"(Cheng et al., 2013; Dalmaso et al., 2012b; Hymel et al., 2011; Zink et al., 2008)","previouslyFormattedCitation":"(Cheng et al., 2013; Dalmaso et al., 2012b; Hymel et al., 2011; Zink et al., 2008)"},"properties":{"noteIndex":0},"schema":"https://github.com/citation-style-language/schema/raw/master/csl-citation.json"}</w:instrText>
      </w:r>
      <w:r w:rsidR="006703C2" w:rsidRPr="00BD14B0">
        <w:fldChar w:fldCharType="separate"/>
      </w:r>
      <w:r w:rsidR="006703C2" w:rsidRPr="00BD14B0">
        <w:rPr>
          <w:noProof/>
        </w:rPr>
        <w:t>(Cheng et al., 2013; Dalmaso et al., 2012; Hymel, Closson, Caravita, &amp; Vaillancourt, 2011; Zink et al., 2008)</w:t>
      </w:r>
      <w:r w:rsidR="006703C2" w:rsidRPr="00BD14B0">
        <w:fldChar w:fldCharType="end"/>
      </w:r>
      <w:r w:rsidR="006703C2" w:rsidRPr="00BD14B0">
        <w:t xml:space="preserve">. Indeed, </w:t>
      </w:r>
      <w:r w:rsidR="006703C2" w:rsidRPr="00BD14B0">
        <w:fldChar w:fldCharType="begin" w:fldLock="1"/>
      </w:r>
      <w:r w:rsidR="004D2901" w:rsidRPr="00BD14B0">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Letters","id":"ITEM-1","issue":"3","issued":{"date-parts":[["2012","6","23"]]},"note":"From Duplicate 2 (Social status gates social attention in humans - Dalmaso, Mario; Pavan, Giulia; Castelli, Luigi; Galfano, Giovanni)\n\nTimes Cited: 16\nGalfano, Giovanni/B-7582-2008\n16","page":"450-452","title":"Social status gates social attention in humans","type":"article-journal","volume":"8"},"uris":["http://www.mendeley.com/documents/?uuid=261a4feb-ab80-4609-9cc4-52869ea8889c"]}],"mendeley":{"formattedCitation":"(Dalmaso et al., 2012b)","manualFormatting":"Dalmaso et al. (2012)","plainTextFormattedCitation":"(Dalmaso et al., 2012b)","previouslyFormattedCitation":"(Dalmaso et al., 2012b)"},"properties":{"noteIndex":0},"schema":"https://github.com/citation-style-language/schema/raw/master/csl-citation.json"}</w:instrText>
      </w:r>
      <w:r w:rsidR="006703C2" w:rsidRPr="00BD14B0">
        <w:fldChar w:fldCharType="separate"/>
      </w:r>
      <w:r w:rsidR="006703C2" w:rsidRPr="00BD14B0">
        <w:rPr>
          <w:noProof/>
        </w:rPr>
        <w:t>Dalmaso et al. (2012)</w:t>
      </w:r>
      <w:r w:rsidR="006703C2" w:rsidRPr="00BD14B0">
        <w:fldChar w:fldCharType="end"/>
      </w:r>
      <w:r w:rsidR="006703C2" w:rsidRPr="00BD14B0">
        <w:t xml:space="preserve"> showed that individuals paid more attention to spatial locations gazed </w:t>
      </w:r>
      <w:r w:rsidR="00810BAA" w:rsidRPr="00BD14B0">
        <w:t xml:space="preserve">at </w:t>
      </w:r>
      <w:r w:rsidR="006703C2" w:rsidRPr="00BD14B0">
        <w:t>by high-status individuals compared to low-status individuals even when the information of status were gathered from “</w:t>
      </w:r>
      <w:r w:rsidR="006703C2" w:rsidRPr="00BD14B0">
        <w:rPr>
          <w:i/>
          <w:iCs/>
        </w:rPr>
        <w:t>episodic knowledge</w:t>
      </w:r>
      <w:r w:rsidR="006703C2" w:rsidRPr="00BD14B0">
        <w:t xml:space="preserve">”. In their design, </w:t>
      </w:r>
      <w:r w:rsidR="006703C2" w:rsidRPr="00BD14B0">
        <w:fldChar w:fldCharType="begin" w:fldLock="1"/>
      </w:r>
      <w:r w:rsidR="004D2901" w:rsidRPr="00BD14B0">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Letters","id":"ITEM-1","issue":"3","issued":{"date-parts":[["2012","6","23"]]},"note":"From Duplicate 2 (Social status gates social attention in humans - Dalmaso, Mario; Pavan, Giulia; Castelli, Luigi; Galfano, Giovanni)\n\nTimes Cited: 16\nGalfano, Giovanni/B-7582-2008\n16","page":"450-452","title":"Social status gates social attention in humans","type":"article-journal","volume":"8"},"uris":["http://www.mendeley.com/documents/?uuid=261a4feb-ab80-4609-9cc4-52869ea8889c"]}],"mendeley":{"formattedCitation":"(Dalmaso et al., 2012b)","manualFormatting":"Dalmaso et al. (2012)","plainTextFormattedCitation":"(Dalmaso et al., 2012b)","previouslyFormattedCitation":"(Dalmaso et al., 2012b)"},"properties":{"noteIndex":0},"schema":"https://github.com/citation-style-language/schema/raw/master/csl-citation.json"}</w:instrText>
      </w:r>
      <w:r w:rsidR="006703C2" w:rsidRPr="00BD14B0">
        <w:fldChar w:fldCharType="separate"/>
      </w:r>
      <w:r w:rsidR="006703C2" w:rsidRPr="00BD14B0">
        <w:rPr>
          <w:noProof/>
        </w:rPr>
        <w:t>Dalmaso et al. (2012)</w:t>
      </w:r>
      <w:r w:rsidR="006703C2" w:rsidRPr="00BD14B0">
        <w:fldChar w:fldCharType="end"/>
      </w:r>
      <w:r w:rsidR="006703C2" w:rsidRPr="00BD14B0">
        <w:t xml:space="preserve"> asked participants to look at 16 faces and read CVs associated with </w:t>
      </w:r>
      <w:r w:rsidR="006703C2" w:rsidRPr="00BD14B0">
        <w:lastRenderedPageBreak/>
        <w:t>the faces. The CVs described participants to have either high (university</w:t>
      </w:r>
      <w:r w:rsidR="00810BAA" w:rsidRPr="00BD14B0">
        <w:t>-</w:t>
      </w:r>
      <w:r w:rsidR="006703C2" w:rsidRPr="00BD14B0">
        <w:t>educated</w:t>
      </w:r>
      <w:r w:rsidR="00810BAA" w:rsidRPr="00BD14B0">
        <w:t>/</w:t>
      </w:r>
      <w:r w:rsidR="006703C2" w:rsidRPr="00BD14B0">
        <w:t xml:space="preserve">CEO) or low social status (high school dropout/do not have a regular job). In condition one, young faces had a high-status CV, but the old faces did not. In condition two, old faces had a high-status CV and young faces did not. Later, the same faces </w:t>
      </w:r>
      <w:r w:rsidR="00810BAA" w:rsidRPr="00BD14B0">
        <w:t xml:space="preserve">were </w:t>
      </w:r>
      <w:r w:rsidR="006703C2" w:rsidRPr="00BD14B0">
        <w:t xml:space="preserve">used in a classical gaze cueing task. The results showed that regardless of face age, participants showed </w:t>
      </w:r>
      <w:r w:rsidR="00C8158E" w:rsidRPr="00BD14B0">
        <w:t xml:space="preserve">a </w:t>
      </w:r>
      <w:r w:rsidR="006703C2" w:rsidRPr="00BD14B0">
        <w:t xml:space="preserve">greater gaze cueing effect to high-status faces compared to low-status faces. These results demonstrate that the gaze cueing can be affected by top-down influences such as episodic knowledge about the observed face </w:t>
      </w:r>
      <w:r w:rsidR="006703C2" w:rsidRPr="00BD14B0">
        <w:fldChar w:fldCharType="begin" w:fldLock="1"/>
      </w:r>
      <w:r w:rsidR="004D2901" w:rsidRPr="00BD14B0">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Letters","id":"ITEM-1","issue":"3","issued":{"date-parts":[["2012","6","23"]]},"note":"From Duplicate 2 (Social status gates social attention in humans - Dalmaso, Mario; Pavan, Giulia; Castelli, Luigi; Galfano, Giovanni)\n\nTimes Cited: 16\nGalfano, Giovanni/B-7582-2008\n16","page":"450-452","title":"Social status gates social attention in humans","type":"article-journal","volume":"8"},"uris":["http://www.mendeley.com/documents/?uuid=261a4feb-ab80-4609-9cc4-52869ea8889c"]}],"mendeley":{"formattedCitation":"(Dalmaso et al., 2012b)","manualFormatting":"(Dalmaso et al., 2012)","plainTextFormattedCitation":"(Dalmaso et al., 2012b)","previouslyFormattedCitation":"(Dalmaso et al., 2012b)"},"properties":{"noteIndex":0},"schema":"https://github.com/citation-style-language/schema/raw/master/csl-citation.json"}</w:instrText>
      </w:r>
      <w:r w:rsidR="006703C2" w:rsidRPr="00BD14B0">
        <w:fldChar w:fldCharType="separate"/>
      </w:r>
      <w:r w:rsidR="006703C2" w:rsidRPr="00BD14B0">
        <w:rPr>
          <w:noProof/>
        </w:rPr>
        <w:t>(Dalmaso et al., 2012)</w:t>
      </w:r>
      <w:r w:rsidR="006703C2" w:rsidRPr="00BD14B0">
        <w:fldChar w:fldCharType="end"/>
      </w:r>
      <w:r w:rsidR="006703C2" w:rsidRPr="00BD14B0">
        <w:t xml:space="preserve">. However, in their design, </w:t>
      </w:r>
      <w:r w:rsidR="006703C2" w:rsidRPr="00BD14B0">
        <w:fldChar w:fldCharType="begin" w:fldLock="1"/>
      </w:r>
      <w:r w:rsidR="004D2901" w:rsidRPr="00BD14B0">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Letters","id":"ITEM-1","issue":"3","issued":{"date-parts":[["2012","6","23"]]},"note":"From Duplicate 2 (Social status gates social attention in humans - Dalmaso, Mario; Pavan, Giulia; Castelli, Luigi; Galfano, Giovanni)\n\nTimes Cited: 16\nGalfano, Giovanni/B-7582-2008\n16","page":"450-452","title":"Social status gates social attention in humans","type":"article-journal","volume":"8"},"uris":["http://www.mendeley.com/documents/?uuid=261a4feb-ab80-4609-9cc4-52869ea8889c"]}],"mendeley":{"formattedCitation":"(Dalmaso et al., 2012b)","manualFormatting":"Dalmaso et al. (2012)","plainTextFormattedCitation":"(Dalmaso et al., 2012b)","previouslyFormattedCitation":"(Dalmaso et al., 2012b)"},"properties":{"noteIndex":0},"schema":"https://github.com/citation-style-language/schema/raw/master/csl-citation.json"}</w:instrText>
      </w:r>
      <w:r w:rsidR="006703C2" w:rsidRPr="00BD14B0">
        <w:fldChar w:fldCharType="separate"/>
      </w:r>
      <w:r w:rsidR="006703C2" w:rsidRPr="00BD14B0">
        <w:rPr>
          <w:noProof/>
        </w:rPr>
        <w:t>Dalmaso et al. (2012)</w:t>
      </w:r>
      <w:r w:rsidR="006703C2" w:rsidRPr="00BD14B0">
        <w:fldChar w:fldCharType="end"/>
      </w:r>
      <w:r w:rsidR="006703C2" w:rsidRPr="00BD14B0">
        <w:t xml:space="preserve"> had a visual reminder of face age categorization in addition to social status information. The faces chosen from different age levels and status information in combination with the age categorization might have helped to build the episodic knowledge. In summary, these results show that there is a greater gaze-cuing effect for high-status faces than for low-status faces, regardless of the specific identity of the face, which means modulation of gaze cuing can be observed even when knowledge about social status is acquired through episodic learning. Still, most of the studies in the literature have overlooked social information about the gazer face and </w:t>
      </w:r>
      <w:r w:rsidR="0088180A" w:rsidRPr="00BD14B0">
        <w:t>only</w:t>
      </w:r>
      <w:r w:rsidR="006703C2" w:rsidRPr="00BD14B0">
        <w:t xml:space="preserve"> focused on physical features. </w:t>
      </w:r>
      <w:r w:rsidR="00DE0DC3" w:rsidRPr="00BD14B0">
        <w:t>However, s</w:t>
      </w:r>
      <w:r w:rsidR="006703C2" w:rsidRPr="00BD14B0">
        <w:t>ocial status information has been shown to moderate the gaze cueing effect even when it was gathered through episodic knowledge. In previous research</w:t>
      </w:r>
      <w:r w:rsidR="00C8158E" w:rsidRPr="00BD14B0">
        <w:t>,</w:t>
      </w:r>
      <w:r w:rsidR="006703C2" w:rsidRPr="00BD14B0">
        <w:t xml:space="preserve"> participants were typically presented with a visible social cue from a face. It is not clear whether the gaze cueing effect </w:t>
      </w:r>
      <w:r w:rsidR="00C8158E" w:rsidRPr="00BD14B0">
        <w:t>was</w:t>
      </w:r>
      <w:r w:rsidR="006703C2" w:rsidRPr="00BD14B0">
        <w:t xml:space="preserve"> driven by the appearance of the social cue or the knowledge about the gazer’s social role. </w:t>
      </w:r>
    </w:p>
    <w:p w14:paraId="1CDFE3E2" w14:textId="4F62F42F" w:rsidR="006703C2" w:rsidRPr="00BD14B0" w:rsidRDefault="00240229" w:rsidP="00553E01">
      <w:r w:rsidRPr="00BD14B0">
        <w:tab/>
      </w:r>
      <w:r w:rsidR="006703C2" w:rsidRPr="00BD14B0">
        <w:t xml:space="preserve">It has been shown that one’s status </w:t>
      </w:r>
      <w:r w:rsidR="000909ED" w:rsidRPr="00BD14B0">
        <w:t>influences one’s</w:t>
      </w:r>
      <w:r w:rsidR="006703C2" w:rsidRPr="00BD14B0">
        <w:t xml:space="preserve"> perception of </w:t>
      </w:r>
      <w:r w:rsidR="000909ED" w:rsidRPr="00BD14B0">
        <w:t xml:space="preserve">the status of </w:t>
      </w:r>
      <w:r w:rsidR="006703C2" w:rsidRPr="00BD14B0">
        <w:t>other</w:t>
      </w:r>
      <w:r w:rsidR="00B83A67" w:rsidRPr="00BD14B0">
        <w:t>s</w:t>
      </w:r>
      <w:r w:rsidR="006703C2" w:rsidRPr="00BD14B0">
        <w:t xml:space="preserve">. Males who score higher on </w:t>
      </w:r>
      <w:r w:rsidR="00B83A67" w:rsidRPr="00BD14B0">
        <w:t xml:space="preserve">the </w:t>
      </w:r>
      <w:r w:rsidR="006703C2" w:rsidRPr="00BD14B0">
        <w:t xml:space="preserve">self-report dominance scale </w:t>
      </w:r>
      <w:r w:rsidR="000909ED" w:rsidRPr="00BD14B0">
        <w:t>perform</w:t>
      </w:r>
      <w:r w:rsidR="006703C2" w:rsidRPr="00BD14B0">
        <w:t xml:space="preserve"> worse at perceiving the dominance of others, </w:t>
      </w:r>
      <w:r w:rsidR="000909ED" w:rsidRPr="00BD14B0">
        <w:t>than</w:t>
      </w:r>
      <w:r w:rsidR="006703C2" w:rsidRPr="00BD14B0">
        <w:t xml:space="preserve"> males who score lower </w:t>
      </w:r>
      <w:r w:rsidR="000909ED" w:rsidRPr="00BD14B0">
        <w:t>on the</w:t>
      </w:r>
      <w:r w:rsidR="006703C2" w:rsidRPr="00BD14B0">
        <w:t xml:space="preserve"> dominance</w:t>
      </w:r>
      <w:r w:rsidR="000909ED" w:rsidRPr="00BD14B0">
        <w:t xml:space="preserve"> scale</w:t>
      </w:r>
      <w:r w:rsidR="006703C2" w:rsidRPr="00BD14B0">
        <w:t xml:space="preserve"> </w:t>
      </w:r>
      <w:r w:rsidR="006703C2" w:rsidRPr="00BD14B0">
        <w:fldChar w:fldCharType="begin" w:fldLock="1"/>
      </w:r>
      <w:r w:rsidR="006703C2" w:rsidRPr="00BD14B0">
        <w:instrText>ADDIN CSL_CITATION {"citationItems":[{"id":"ITEM-1","itemData":{"DOI":"10.1093/beheco/arq091","ISSN":"1045-2249","abstract":"Male dominance rank, physical strength, indices of reproductive success, and indices of reproductive potential are correlated with masculine characteristics in many animal species, including humans. Accordingly, men generally perceive masculinized versions of men's faces and voices to be more dominant than feminized versions. Less dominant men incur greater costs when they incorrectly perceive the dominance of rivals. Consequently, it may be adaptive for less dominant men to be particularly sensitive to cues of dominance in other men. Because height is a reliable index of men's dominance, we investigated the relationship between own height and men's sensitivity to masculine characteristics when judging the dominance of other men's faces and voices. Although men generally perceived masculinized faces and voices to be more dominant than feminized versions, this effect of masculinity on dominance perceptions was significantly greater among shorter men than among taller men. These findings suggest that differences among men in the potential costs of incorrectly perceiving the dominance of rivals have shaped systematic variation in men's perceptions of the dominance of potential rivals.","author":[{"dropping-particle":"","family":"Watkins","given":"Christopher D.","non-dropping-particle":"","parse-names":false,"suffix":""},{"dropping-particle":"","family":"Fraccaro","given":"Paul J.","non-dropping-particle":"","parse-names":false,"suffix":""},{"dropping-particle":"","family":"Smith","given":"Finlay G.","non-dropping-particle":"","parse-names":false,"suffix":""},{"dropping-particle":"","family":"Vukovic","given":"Jovana","non-dropping-particle":"","parse-names":false,"suffix":""},{"dropping-particle":"","family":"Feinberg","given":"David R.","non-dropping-particle":"","parse-names":false,"suffix":""},{"dropping-particle":"","family":"DeBruine","given":"L. M.","non-dropping-particle":"","parse-names":false,"suffix":""},{"dropping-particle":"","family":"Jones","given":"Benedict C.","non-dropping-particle":"","parse-names":false,"suffix":""}],"container-title":"Behavioral Ecology","id":"ITEM-1","issue":"5","issued":{"date-parts":[["2010","9","1"]]},"page":"943-947","title":"Taller men are less sensitive to cues of dominance in other men","type":"article-journal","volume":"21"},"uris":["http://www.mendeley.com/documents/?uuid=ce7a08d9-f478-4c80-8b06-0ff9267b9a85"]}],"mendeley":{"formattedCitation":"(Watkins et al., 2010)","plainTextFormattedCitation":"(Watkins et al., 2010)","previouslyFormattedCitation":"(Watkins et al., 2010)"},"properties":{"noteIndex":0},"schema":"https://github.com/citation-style-language/schema/raw/master/csl-citation.json"}</w:instrText>
      </w:r>
      <w:r w:rsidR="006703C2" w:rsidRPr="00BD14B0">
        <w:fldChar w:fldCharType="separate"/>
      </w:r>
      <w:r w:rsidR="006703C2" w:rsidRPr="00BD14B0">
        <w:rPr>
          <w:noProof/>
        </w:rPr>
        <w:t>(Watkins et al., 2010)</w:t>
      </w:r>
      <w:r w:rsidR="006703C2" w:rsidRPr="00BD14B0">
        <w:fldChar w:fldCharType="end"/>
      </w:r>
      <w:r w:rsidR="006703C2" w:rsidRPr="00BD14B0">
        <w:t xml:space="preserve">. It has been suggested that humans </w:t>
      </w:r>
      <w:r w:rsidR="000909ED" w:rsidRPr="00BD14B0">
        <w:t>pay</w:t>
      </w:r>
      <w:r w:rsidR="006703C2" w:rsidRPr="00BD14B0">
        <w:t xml:space="preserve"> more attention </w:t>
      </w:r>
      <w:r w:rsidR="000909ED" w:rsidRPr="00BD14B0">
        <w:t>to</w:t>
      </w:r>
      <w:r w:rsidR="006703C2" w:rsidRPr="00BD14B0">
        <w:t xml:space="preserve"> high-status individuals </w:t>
      </w:r>
      <w:r w:rsidR="006703C2" w:rsidRPr="00BD14B0">
        <w:fldChar w:fldCharType="begin" w:fldLock="1"/>
      </w:r>
      <w:r w:rsidR="004D2901" w:rsidRPr="00BD14B0">
        <w:instrText>ADDIN CSL_CITATION {"citationItems":[{"id":"ITEM-1","itemData":{"DOI":"10.1016/j.cub.2005.01.044","ISSN":"09609822","PMID":"15797023","abstract":"Individuals value information that improves decision making. When social interactions complicate the decision process, acquiring information about others should be particularly valuable. In primate societies, kinship, dominance, and reproductive status regulate social interactions and should therefore systematically influence the value of social information, but this has never been demonstrated. Here, we show that monkeys differentially value the opportunity to acquire visual information about particular classes of social images. Male rhesus macaques sacrificed fluid for the opportunity to view female perinea and the faces of high-status monkeys but required fluid overpayment to view the faces of low-status monkeys. Social value was highly consistent across subjects, independent of particular images displayed, and only partially predictive of how long subjects chose to view each image. These data demonstrate that visual orienting decisions reflect the specific social content of visual information and provide the first experimental evidence that monkeys spontaneously discriminate images of others based on social status.","author":[{"dropping-particle":"","family":"Deaner","given":"Robert O","non-dropping-particle":"","parse-names":false,"suffix":""},{"dropping-particle":"V","family":"Khera","given":"Amit","non-dropping-particle":"","parse-names":false,"suffix":""},{"dropping-particle":"","family":"Platt","given":"Michael L","non-dropping-particle":"","parse-names":false,"suffix":""}],"container-title":"Current Biology","id":"ITEM-1","issue":"6","issued":{"date-parts":[["2005","3"]]},"language":"eng","page":"543-548","publisher-place":"England","title":"Monkeys Pay Per View: Adaptive Valuation of Social Images by Rhesus Macaques","type":"article-journal","volume":"15"},"uris":["http://www.mendeley.com/documents/?uuid=c256c488-a85e-4e11-9d54-dc8874dd640c"]},{"id":"ITEM-2","itemData":{"DOI":"10.1098/rspb.2009.1575","ISSN":"0962-8452","abstract":"Responding appropriately to gaze cues is essential for fluent social interaction, playing a crucial role in social learning, collaboration, threat assessment and understanding others' intentions. Previous research has shown that responses to gaze cues can be studied by investigating the gaze-cuing effect (i.e. the tendency for observers to respond more quickly to targets in locations that were cued by others' gaze than to uncued targets). A recent study demonstrating that macaques demonstrate larger gaze-cuing effects when viewing dominant conspecifics than when viewing subordinate conspecifics suggests that cues of dominance modulate the gaze-cuing effect in at least one primate species. Here, we show a similar effect of facial cues associated with dominance on gaze cuing in human observers: at short viewing times, observers demonstrated a greater cuing effect for gaze cues from masculinized (i.e. dominant) faces than from feminized (i.e. subordinate) faces. Moreover, this effect of facial masculinity on gaze cuing decreased as viewing time was increased, suggesting that the effect is driven by involuntary responses. Our findings suggest that the mechanisms that underpin reflexive gaze cuing evolved to be sensitive to facial cues of others' dominance, potentially because such differential gaze cuing promoted desirable outcomes from encounters with dominant individuals.","author":[{"dropping-particle":"","family":"Jones","given":"Benedict C","non-dropping-particle":"","parse-names":false,"suffix":""},{"dropping-particle":"","family":"DeBruine","given":"Lisa M","non-dropping-particle":"","parse-names":false,"suffix":""},{"dropping-particle":"","family":"Main","given":"Julie C","non-dropping-particle":"","parse-names":false,"suffix":""},{"dropping-particle":"","family":"Little","given":"Anthony C","non-dropping-particle":"","parse-names":false,"suffix":""},{"dropping-particle":"","family":"Welling","given":"Lisa L M","non-dropping-particle":"","parse-names":false,"suffix":""},{"dropping-particle":"","family":"Feinberg","given":"David R","non-dropping-particle":"","parse-names":false,"suffix":""},{"dropping-particle":"","family":"Tiddeman","given":"Bernard P","non-dropping-particle":"","parse-names":false,"suffix":""}],"container-title":"Proceedings of the Royal Society B: Biological Sciences","id":"ITEM-2","issue":"1681","issued":{"date-parts":[["2010","2","22"]]},"note":"Times Cited: 54\nJones, Benedict/A-7850-2008; DeBruine, Lisa/A-6990-2008; Little, Anthony/B-8497-2009; Feinberg, David/C-1249-2009\nJones, Benedict/0000-0001-7777-0220; DeBruine, Lisa/0000-0002-7523-5539; Little, Anthony/0000-0001-9100-1903; Feinberg, David/0000-0003-4179-1446\n56","page":"617-624","title":"Facial cues of dominance modulate the short-term gaze-cuing effect in human observers","type":"article-journal","volume":"277"},"uris":["http://www.mendeley.com/documents/?uuid=64bfee74-1a8b-412c-b705-07f9a61342c4"]},{"id":"ITEM-3","itemData":{"DOI":"10.1016/j.cub.2006.02.013","ISSN":"0960-9822","author":[{"dropping-particle":"V","family":"Shepherd","given":"S","non-dropping-particle":"","parse-names":false,"suffix":""},{"dropping-particle":"","family":"Deaner","given":"R O","non-dropping-particle":"","parse-names":false,"suffix":""},{"dropping-particle":"","family":"Platt","given":"M L","non-dropping-particle":"","parse-names":false,"suffix":""}],"container-title":"Current Biology","id":"ITEM-3","issue":"4","issued":{"date-parts":[["2006"]]},"note":"Times Cited: 56\n56","page":"R119-R120","title":"Social status gates social attention in monkeys","type":"article-journal","volume":"16"},"uris":["http://www.mendeley.com/documents/?uuid=b072f528-1bec-4ee9-a72f-dc51b8d8f893"]}],"mendeley":{"formattedCitation":"(R. O. Deaner et al., 2005; B. C. Jones et al., 2010; S V Shepherd et al., 2006)","manualFormatting":"(Deaner, Khera, &amp; Platt, 2005; Jones et al., 2010; Shepherd, Deaner, &amp; Platt, 2006)","plainTextFormattedCitation":"(R. O. Deaner et al., 2005; B. C. Jones et al., 2010; S V Shepherd et al., 2006)","previouslyFormattedCitation":"(R. O. Deaner et al., 2005; B. C. Jones et al., 2010; S V Shepherd et al., 2006)"},"properties":{"noteIndex":0},"schema":"https://github.com/citation-style-language/schema/raw/master/csl-citation.json"}</w:instrText>
      </w:r>
      <w:r w:rsidR="006703C2" w:rsidRPr="00BD14B0">
        <w:fldChar w:fldCharType="separate"/>
      </w:r>
      <w:r w:rsidR="006703C2" w:rsidRPr="00BD14B0">
        <w:rPr>
          <w:noProof/>
        </w:rPr>
        <w:t>(Deaner, Khera, &amp; Platt, 2005; Jones et al., 2010; Shepherd, Deaner, &amp; Platt, 2006)</w:t>
      </w:r>
      <w:r w:rsidR="006703C2" w:rsidRPr="00BD14B0">
        <w:fldChar w:fldCharType="end"/>
      </w:r>
      <w:r w:rsidR="006703C2" w:rsidRPr="00BD14B0">
        <w:t xml:space="preserve"> because </w:t>
      </w:r>
      <w:r w:rsidR="000909ED" w:rsidRPr="00BD14B0">
        <w:t xml:space="preserve">misinterpreting </w:t>
      </w:r>
      <w:r w:rsidR="006703C2" w:rsidRPr="00BD14B0">
        <w:t xml:space="preserve">status </w:t>
      </w:r>
      <w:r w:rsidR="000909ED" w:rsidRPr="00BD14B0">
        <w:t>cues</w:t>
      </w:r>
      <w:r w:rsidR="006703C2" w:rsidRPr="00BD14B0">
        <w:t xml:space="preserve"> cost humans</w:t>
      </w:r>
      <w:r w:rsidR="000909ED" w:rsidRPr="00BD14B0">
        <w:t xml:space="preserve"> more</w:t>
      </w:r>
      <w:r w:rsidR="006703C2" w:rsidRPr="00BD14B0">
        <w:t xml:space="preserve">, specifically to those with lower status. </w:t>
      </w:r>
      <w:r w:rsidR="000909ED" w:rsidRPr="00BD14B0">
        <w:t>Furthermore</w:t>
      </w:r>
      <w:r w:rsidR="006703C2" w:rsidRPr="00BD14B0">
        <w:t xml:space="preserve">, subjective low social status was significantly associated with mentalizing regions of the brain while looking at social images </w:t>
      </w:r>
      <w:r w:rsidR="006703C2" w:rsidRPr="00BD14B0">
        <w:fldChar w:fldCharType="begin" w:fldLock="1"/>
      </w:r>
      <w:r w:rsidR="006703C2" w:rsidRPr="00BD14B0">
        <w:instrText>ADDIN CSL_CITATION {"citationItems":[{"id":"ITEM-1","itemData":{"DOI":"10.1016/j.neuroimage.2012.01.080","ISSN":"10538119","abstract":"The current research explored the neural mechanisms linking social status to perceptions of the social world. Two fMRI studies provide converging evidence that individuals lower in social status are more likely to engage neural circuitry often involved in ‘mentalizing’ or thinking about others' thoughts and feelings. Study 1 found that college students' perception of their social status in the university community was related to neural activity in the mentalizing network (e.g., DMPFC, MPFC, precuneus/PCC) while encoding social information, with lower social status predicting greater neural activity in this network. Study 2 demonstrated that socioeconomic status, an objective indicator of global standing, predicted adolescents' neural activity during the processing of threatening faces, with individuals lower in social status displaying greater activity in the DMPFC, previously associated with mentalizing, and the amygdala, previously associated with emotion/salience processing. These studies demonstrate that social status is fundamentally and neurocognitively linked to how people process and navigate their social worlds.","author":[{"dropping-particle":"","family":"Muscatell","given":"Keely A","non-dropping-particle":"","parse-names":false,"suffix":""},{"dropping-particle":"","family":"Morelli","given":"Sylvia A","non-dropping-particle":"","parse-names":false,"suffix":""},{"dropping-particle":"","family":"Falk","given":"Emily B","non-dropping-particle":"","parse-names":false,"suffix":""},{"dropping-particle":"","family":"Way","given":"Baldwin M","non-dropping-particle":"","parse-names":false,"suffix":""},{"dropping-particle":"","family":"Pfeifer","given":"Jennifer H","non-dropping-particle":"","parse-names":false,"suffix":""},{"dropping-particle":"","family":"Galinsky","given":"Adam D","non-dropping-particle":"","parse-names":false,"suffix":""},{"dropping-particle":"","family":"Lieberman","given":"Matthew D","non-dropping-particle":"","parse-names":false,"suffix":""},{"dropping-particle":"","family":"Dapretto","given":"Mirella","non-dropping-particle":"","parse-names":false,"suffix":""},{"dropping-particle":"","family":"Eisenberger","given":"Naomi I","non-dropping-particle":"","parse-names":false,"suffix":""}],"container-title":"NeuroImage","id":"ITEM-1","issue":"3","issued":{"date-parts":[["2012","4"]]},"page":"1771-1777","title":"Social status modulates neural activity in the mentalizing network","type":"article-journal","volume":"60"},"uris":["http://www.mendeley.com/documents/?uuid=f20600e9-7ebb-4b6b-87cf-8f162819bb96"]}],"mendeley":{"formattedCitation":"(Muscatell et al., 2012)","plainTextFormattedCitation":"(Muscatell et al., 2012)","previouslyFormattedCitation":"(Muscatell et al., 2012)"},"properties":{"noteIndex":0},"schema":"https://github.com/citation-style-language/schema/raw/master/csl-citation.json"}</w:instrText>
      </w:r>
      <w:r w:rsidR="006703C2" w:rsidRPr="00BD14B0">
        <w:fldChar w:fldCharType="separate"/>
      </w:r>
      <w:r w:rsidR="006703C2" w:rsidRPr="00BD14B0">
        <w:rPr>
          <w:noProof/>
        </w:rPr>
        <w:t>(Muscatell et al., 2012)</w:t>
      </w:r>
      <w:r w:rsidR="006703C2" w:rsidRPr="00BD14B0">
        <w:fldChar w:fldCharType="end"/>
      </w:r>
      <w:r w:rsidR="006703C2" w:rsidRPr="00BD14B0">
        <w:t xml:space="preserve">. </w:t>
      </w:r>
      <w:r w:rsidR="006703C2" w:rsidRPr="00BD14B0">
        <w:fldChar w:fldCharType="begin" w:fldLock="1"/>
      </w:r>
      <w:r w:rsidR="006703C2" w:rsidRPr="00BD14B0">
        <w:instrText>ADDIN CSL_CITATION {"citationItems":[{"id":"ITEM-1","itemData":{"DOI":"10.1111/j.1467-9280.2006.01824.x","ISSN":"0956-7976","abstract":"Four experiments and a correlational study explored the relationship between power and perspective taking. In Experiment 1, participants primed with high power were more likely than those primed with low power to draw an E on their forehead in a self-oriented direction, demonstrating less of an inclination to spontaneously adopt another person's visual perspective. In Experiments 2a and 2b, high-power participants were less likely than low-power participants to take into account that other people did not possess their privileged knowledge, a result suggesting that power leads individuals to anchor too heavily on their own vantage point, insufficiently adjusting to others' perspectives. In Experiment 3, high-power participants were less accurate than control participants in determining other people's emotion expressions; these results suggest a power-induced impediment to experiencing empathy. An additional study found a negative relationship between individual difference measures of power and perspective taking. Across these studies, power was associated with a reduced tendency to comprehend how other people see, think, and feel.","author":[{"dropping-particle":"","family":"Galinsky","given":"Adam D","non-dropping-particle":"","parse-names":false,"suffix":""},{"dropping-particle":"","family":"Magee","given":"Joe C","non-dropping-particle":"","parse-names":false,"suffix":""},{"dropping-particle":"","family":"Inesi","given":"M Ena","non-dropping-particle":"","parse-names":false,"suffix":""},{"dropping-particle":"","family":"Gruenfeld","given":"Deborah H","non-dropping-particle":"","parse-names":false,"suffix":""}],"container-title":"Psychological Science","id":"ITEM-1","issue":"12","issued":{"date-parts":[["2006","12","6"]]},"note":"doi: 10.1111/j.1467-9280.2006.01824.x","page":"1068-1074","publisher":"SAGE Publications Inc","title":"Power and Perspectives Not Taken","type":"article-journal","volume":"17"},"uris":["http://www.mendeley.com/documents/?uuid=95a82a2c-e71b-49f7-9d53-9291fc772f7a"]}],"mendeley":{"formattedCitation":"(Galinsky et al., 2006)","manualFormatting":"Galinsky, Magee, Inesi, and Gruenfeld (2006)","plainTextFormattedCitation":"(Galinsky et al., 2006)","previouslyFormattedCitation":"(Galinsky et al., 2006)"},"properties":{"noteIndex":0},"schema":"https://github.com/citation-style-language/schema/raw/master/csl-citation.json"}</w:instrText>
      </w:r>
      <w:r w:rsidR="006703C2" w:rsidRPr="00BD14B0">
        <w:fldChar w:fldCharType="separate"/>
      </w:r>
      <w:r w:rsidR="006703C2" w:rsidRPr="00BD14B0">
        <w:rPr>
          <w:noProof/>
        </w:rPr>
        <w:t>Galinsky, Magee, Inesi, and Gruenfeld (2006)</w:t>
      </w:r>
      <w:r w:rsidR="006703C2" w:rsidRPr="00BD14B0">
        <w:fldChar w:fldCharType="end"/>
      </w:r>
      <w:r w:rsidR="006703C2" w:rsidRPr="00BD14B0">
        <w:t xml:space="preserve"> showed that when primed with high social power, participants drew the letter “E” on their forehead in the orientation of their own </w:t>
      </w:r>
      <w:r w:rsidR="006703C2" w:rsidRPr="00BD14B0">
        <w:lastRenderedPageBreak/>
        <w:t>perspective whereas, when primed with low social power they drew the letter ‘‘E’’ on their forehead in the orientation as seen from an observer’s perspective. Gazing at another and gazing with other members of the group is a way to check social rank within the group. Social status is a</w:t>
      </w:r>
      <w:r w:rsidR="002360CA" w:rsidRPr="00BD14B0">
        <w:t xml:space="preserve"> dynamic</w:t>
      </w:r>
      <w:r w:rsidR="006703C2" w:rsidRPr="00BD14B0">
        <w:t xml:space="preserve"> concept </w:t>
      </w:r>
      <w:r w:rsidR="002360CA" w:rsidRPr="00BD14B0">
        <w:t xml:space="preserve">that is </w:t>
      </w:r>
      <w:r w:rsidR="006703C2" w:rsidRPr="00BD14B0">
        <w:t xml:space="preserve">perceived during social interactions. The observer’s own interpretation of where they are in the social rank is as important as understanding the observed person’s status (the object of social interaction). </w:t>
      </w:r>
      <w:r w:rsidR="002360CA" w:rsidRPr="00BD14B0">
        <w:t>Understanding the effect of perceived social power in social attention research is critical for addressing the dual processes of eye gaze following and joint attention.</w:t>
      </w:r>
      <w:r w:rsidR="006703C2" w:rsidRPr="00BD14B0">
        <w:t xml:space="preserve"> Together these studies show that social attention between humans is moderated by the beliefs of social relevance and the mental representations of those with social relevance. </w:t>
      </w:r>
    </w:p>
    <w:p w14:paraId="54362294" w14:textId="63C47102" w:rsidR="006703C2" w:rsidRPr="00BD14B0" w:rsidRDefault="006703C2" w:rsidP="00553E01">
      <w:r w:rsidRPr="00BD14B0">
        <w:tab/>
        <w:t xml:space="preserve">One’s relative social status might </w:t>
      </w:r>
      <w:r w:rsidR="00DE0DC3" w:rsidRPr="00BD14B0">
        <w:t xml:space="preserve">affect </w:t>
      </w:r>
      <w:r w:rsidRPr="00BD14B0">
        <w:t xml:space="preserve">receiving information from threatening facial expressions. </w:t>
      </w:r>
      <w:r w:rsidR="00DE0DC3" w:rsidRPr="00BD14B0">
        <w:t>For example, o</w:t>
      </w:r>
      <w:r w:rsidRPr="00BD14B0">
        <w:t xml:space="preserve">bjective status has been shown to be associated with mentalizing networks when participants are looking at threatening facial expressions </w:t>
      </w:r>
      <w:r w:rsidRPr="00BD14B0">
        <w:fldChar w:fldCharType="begin" w:fldLock="1"/>
      </w:r>
      <w:r w:rsidRPr="00BD14B0">
        <w:instrText>ADDIN CSL_CITATION {"citationItems":[{"id":"ITEM-1","itemData":{"DOI":"10.1016/j.neuroimage.2012.01.080","ISSN":"10538119","abstract":"The current research explored the neural mechanisms linking social status to perceptions of the social world. Two fMRI studies provide converging evidence that individuals lower in social status are more likely to engage neural circuitry often involved in ‘mentalizing’ or thinking about others' thoughts and feelings. Study 1 found that college students' perception of their social status in the university community was related to neural activity in the mentalizing network (e.g., DMPFC, MPFC, precuneus/PCC) while encoding social information, with lower social status predicting greater neural activity in this network. Study 2 demonstrated that socioeconomic status, an objective indicator of global standing, predicted adolescents' neural activity during the processing of threatening faces, with individuals lower in social status displaying greater activity in the DMPFC, previously associated with mentalizing, and the amygdala, previously associated with emotion/salience processing. These studies demonstrate that social status is fundamentally and neurocognitively linked to how people process and navigate their social worlds.","author":[{"dropping-particle":"","family":"Muscatell","given":"Keely A","non-dropping-particle":"","parse-names":false,"suffix":""},{"dropping-particle":"","family":"Morelli","given":"Sylvia A","non-dropping-particle":"","parse-names":false,"suffix":""},{"dropping-particle":"","family":"Falk","given":"Emily B","non-dropping-particle":"","parse-names":false,"suffix":""},{"dropping-particle":"","family":"Way","given":"Baldwin M","non-dropping-particle":"","parse-names":false,"suffix":""},{"dropping-particle":"","family":"Pfeifer","given":"Jennifer H","non-dropping-particle":"","parse-names":false,"suffix":""},{"dropping-particle":"","family":"Galinsky","given":"Adam D","non-dropping-particle":"","parse-names":false,"suffix":""},{"dropping-particle":"","family":"Lieberman","given":"Matthew D","non-dropping-particle":"","parse-names":false,"suffix":""},{"dropping-particle":"","family":"Dapretto","given":"Mirella","non-dropping-particle":"","parse-names":false,"suffix":""},{"dropping-particle":"","family":"Eisenberger","given":"Naomi I","non-dropping-particle":"","parse-names":false,"suffix":""}],"container-title":"NeuroImage","id":"ITEM-1","issue":"3","issued":{"date-parts":[["2012","4"]]},"page":"1771-1777","title":"Social status modulates neural activity in the mentalizing network","type":"article-journal","volume":"60"},"uris":["http://www.mendeley.com/documents/?uuid=f20600e9-7ebb-4b6b-87cf-8f162819bb96"]}],"mendeley":{"formattedCitation":"(Muscatell et al., 2012)","plainTextFormattedCitation":"(Muscatell et al., 2012)","previouslyFormattedCitation":"(Muscatell et al., 2012)"},"properties":{"noteIndex":0},"schema":"https://github.com/citation-style-language/schema/raw/master/csl-citation.json"}</w:instrText>
      </w:r>
      <w:r w:rsidRPr="00BD14B0">
        <w:fldChar w:fldCharType="separate"/>
      </w:r>
      <w:r w:rsidRPr="00BD14B0">
        <w:rPr>
          <w:noProof/>
        </w:rPr>
        <w:t>(Muscatell et al., 2012)</w:t>
      </w:r>
      <w:r w:rsidRPr="00BD14B0">
        <w:fldChar w:fldCharType="end"/>
      </w:r>
      <w:r w:rsidRPr="00BD14B0">
        <w:t xml:space="preserve">. </w:t>
      </w:r>
      <w:r w:rsidR="00DE0DC3" w:rsidRPr="00BD14B0">
        <w:t>S</w:t>
      </w:r>
      <w:r w:rsidRPr="00BD14B0">
        <w:t xml:space="preserve">ubjective social status may </w:t>
      </w:r>
      <w:r w:rsidR="002360CA" w:rsidRPr="00BD14B0">
        <w:t>influence</w:t>
      </w:r>
      <w:r w:rsidRPr="00BD14B0">
        <w:t xml:space="preserve"> social perception in multiple ways. For example, it has been shown that people follow the eye gaze of fearful faces, compared to happy faces, but only when the context is threatening </w:t>
      </w:r>
      <w:r w:rsidRPr="00BD14B0">
        <w:fldChar w:fldCharType="begin" w:fldLock="1"/>
      </w:r>
      <w:r w:rsidR="004D2901" w:rsidRPr="00BD14B0">
        <w:instrText>ADDIN CSL_CITATION {"citationItems":[{"id":"ITEM-1","itemData":{"DOI":"10.1080/13506285.2010.484657","ISSN":"1350-6285","abstract":"When we observe someone shift their gaze to a peripheral event or object, a corresponding shift in our own attention often follows. This social orienting response, joint attention, has been studied in the laboratory using the gaze cueing paradigm. Here, we investigate the combined influence of the emotional content displayed in two critical components of a joint attention episode: The facial expression of the cue face, and the affective nature of the to-be-localized target object. Hence, we presented participants with happy and disgusted faces as cueing stimuli, and neutral (Experiment 1), pleasant and unpleasant (Experiment 2) pictures as target stimuli. The findings demonstrate an effect of ‘emotional context’ confined to participants viewing pleasant pictures. Specifically, gaze cueing was boosted when the emotion of the gazing face (i.e., happy) matched that of the targets (pleasant). Demonstrating modulation by emotional context highlights the vital flexibility that a successful joint attention system requires in order to assist our navigation of the social world.","author":[{"dropping-particle":"","family":"Bayliss","given":"Andrew P.","non-dropping-particle":"","parse-names":false,"suffix":""},{"dropping-particle":"","family":"Schuch","given":"Stefanie","non-dropping-particle":"","parse-names":false,"suffix":""},{"dropping-particle":"","family":"Tipper","given":"Steven P.","non-dropping-particle":"","parse-names":false,"suffix":""}],"container-title":"Visual Cognition","id":"ITEM-1","issue":"8","issued":{"date-parts":[["2010","9","19"]]},"page":"1214-1232","title":"Gaze cueing elicited by emotional faces is influenced by affective context","type":"article-journal","volume":"18"},"uris":["http://www.mendeley.com/documents/?uuid=53d127b9-6a86-4ad5-ab7c-64330f85d367"]},{"id":"ITEM-2","itemData":{"DOI":"10.3758/s13423-010-0033-1","ISSN":"1069-9384","abstract":"An oculomotor visual search task was used to investigate how participants follow the gaze of a non-predictive and task irrelevant distractor gaze, and the way in which this gaze following is influenced by the emotional expression (fearful vs. happy) as well as participants' goal. Previous research has suggested that fearful emotions should result in stronger cueing effects than happy faces. Our results demonstrated that the degree to which the emotional expression influenced this gaze following varied as a function of the search target. When searching for a threatening target, participants were more likely to look in the direction of eye gaze on a fearful compared to a happy face. However, when searching for a pleasant target, this stronger cueing effect for fearful faces disappeared. Therefore, gaze following is influenced by contextual factors such as the emotional expression, as well as the participant's goal.","author":[{"dropping-particle":"","family":"Kuhn","given":"Gustav","non-dropping-particle":"","parse-names":false,"suffix":""},{"dropping-particle":"","family":"Tipples","given":"Jason","non-dropping-particle":"","parse-names":false,"suffix":""}],"container-title":"Psychonomic Bulletin &amp; Review","id":"ITEM-2","issue":"1","issued":{"date-parts":[["2011","2","16"]]},"page":"89-95","title":"Increased gaze following for fearful faces. It depends on what you’re looking for!","type":"article-journal","volume":"18"},"uris":["http://www.mendeley.com/documents/?uuid=ed7e264b-4b4a-432b-af88-b6f41df450ad"]},{"id":"ITEM-3","itemData":{"DOI":"10.1080/02699931003672381","ISSN":"0269-9931","abstract":"Studies investigating the effect of emotional expression on spatial orienting to a gazed-at location have produced mixed results. The present study investigated the role of affective context in the integration of emotion processing and gaze-triggered orienting. In three experiments, a face gazed non-predictively to the left or right, and then its expression became fearful or happy. Participants identified (Experiments 1 and 2) or detected (Experiment 3) a peripheral target presented 225 or 525 ms after the gaze cue onset. In Experiments 1 and 3 the targets were either threatening (a snarling dog) or non-threatening (a smiling baby); in Experiment 2 the targets were neutral. With emotionally valenced targets, the gaze-cuing effect was larger when the face was fearful compared to happy?but only with the longer cue?target interval. With neutral targets, there was no interaction between gaze and expression. Our results indicate that a meaningful context optimises attentional integration of gaze and expression information.","author":[{"dropping-particle":"","family":"Friesen","given":"Chris Kelland","non-dropping-particle":"","parse-names":false,"suffix":""},{"dropping-particle":"","family":"Halvorson","given":"Kimberly M","non-dropping-particle":"","parse-names":false,"suffix":""},{"dropping-particle":"","family":"Graham","given":"Reiko","non-dropping-particle":"","parse-names":false,"suffix":""}],"container-title":"Cognition &amp; Emotion","id":"ITEM-3","issue":"1","issued":{"date-parts":[["2011","1","1"]]},"note":"doi: 10.1080/02699931003672381","page":"73-88","publisher":"Routledge","title":"Emotionally meaningful targets enhance orienting triggered by a fearful gazing face","type":"article-journal","volume":"25"},"uris":["http://www.mendeley.com/documents/?uuid=edbd5896-c47d-4b0a-9683-f2ab39b1881d"]}],"mendeley":{"formattedCitation":"(Andrew P. Bayliss et al., 2010; C. K. Friesen et al., 2011; Kuhn &amp; Tipples, 2011)","manualFormatting":"(Bayliss, Schuch, &amp; Tipper, 2010; Friesen, Halvorson, &amp; Graham, 2011; Kuhn &amp; Tipples, 2011)","plainTextFormattedCitation":"(Andrew P. Bayliss et al., 2010; C. K. Friesen et al., 2011; Kuhn &amp; Tipples, 2011)","previouslyFormattedCitation":"(Andrew P. Bayliss et al., 2010; C. K. Friesen et al., 2011; Kuhn &amp; Tipples, 2011)"},"properties":{"noteIndex":0},"schema":"https://github.com/citation-style-language/schema/raw/master/csl-citation.json"}</w:instrText>
      </w:r>
      <w:r w:rsidRPr="00BD14B0">
        <w:fldChar w:fldCharType="separate"/>
      </w:r>
      <w:r w:rsidRPr="00BD14B0">
        <w:rPr>
          <w:noProof/>
        </w:rPr>
        <w:t>(Bayliss, Schuch, &amp; Tipper, 2010; Friesen, Halvorson, &amp; Graham, 2011; Kuhn &amp; Tipples, 2011)</w:t>
      </w:r>
      <w:r w:rsidRPr="00BD14B0">
        <w:fldChar w:fldCharType="end"/>
      </w:r>
      <w:r w:rsidRPr="00BD14B0">
        <w:t xml:space="preserve">. Research suggests that the visible cues of threat </w:t>
      </w:r>
      <w:r w:rsidR="006A3785" w:rsidRPr="00BD14B0">
        <w:t>a</w:t>
      </w:r>
      <w:r w:rsidRPr="00BD14B0">
        <w:t xml:space="preserve">ffect the strength of gaze cueing when the level of threat or danger in the context is ‘sufficient’.  Extensive research has demonstrated that especially at the time of crisis or danger </w:t>
      </w:r>
      <w:r w:rsidRPr="00BD14B0">
        <w:fldChar w:fldCharType="begin" w:fldLock="1"/>
      </w:r>
      <w:r w:rsidRPr="00BD14B0">
        <w:instrText>ADDIN CSL_CITATION {"citationItems":[{"id":"ITEM-1","itemData":{"DOI":"10.1016/j.leaqua.2011.08.006","ISSN":"10489843","abstract":"Using an evolutionary psychology framework we propose that leadership and followership are evolved traits to solve recurrent group coordination problems. We argue that adaptive problems such as those concerning intergroup conflict or cooperation activate different cognitive leadership prototypes, and the face conveys diagnostic information about the suitability and emergence of intergroup leadership. Consistent with hypotheses we find that followers expect masculine-faced leaders to behave competitively and feminine-faced leaders cooperatively in intergroup relations. Furthermore, individuals prefer leaders whose facial cues match the adaptive problem. For example, a masculine-looking leader is preferred in a competitive intergroup setting. Also, this match between face and situation is reinforced with a consistent leadership message such as a masculine-looking leader expressing the need for competition. An evolutionary perspective provides a deeper understanding of the biological aspects of leadership and generates many novel hypotheses about how markers such as the human face affect leadership emergence and effectiveness.","author":[{"dropping-particle":"","family":"Spisak","given":"Brian R","non-dropping-particle":"","parse-names":false,"suffix":""},{"dropping-particle":"","family":"Homan","given":"Astrid C","non-dropping-particle":"","parse-names":false,"suffix":""},{"dropping-particle":"","family":"Grabo","given":"Allen","non-dropping-particle":"","parse-names":false,"suffix":""},{"dropping-particle":"","family":"Vugt","given":"Mark","non-dropping-particle":"Van","parse-names":false,"suffix":""}],"container-title":"The Leadership Quarterly","id":"ITEM-1","issue":"2","issued":{"date-parts":[["2012","4"]]},"page":"273-280","title":"Facing the situation: Testing a biosocial contingency model of leadership in intergroup relations using masculine and feminine faces","type":"article-journal","volume":"23"},"uris":["http://www.mendeley.com/documents/?uuid=6894ca80-30a1-46ad-89dd-7834a5300a0b"]}],"mendeley":{"formattedCitation":"(Spisak, Homan, et al., 2012)","plainTextFormattedCitation":"(Spisak, Homan, et al., 2012)","previouslyFormattedCitation":"(Spisak, Homan, et al., 2012)"},"properties":{"noteIndex":0},"schema":"https://github.com/citation-style-language/schema/raw/master/csl-citation.json"}</w:instrText>
      </w:r>
      <w:r w:rsidRPr="00BD14B0">
        <w:fldChar w:fldCharType="separate"/>
      </w:r>
      <w:r w:rsidRPr="00BD14B0">
        <w:rPr>
          <w:noProof/>
        </w:rPr>
        <w:t>(Spisak, Homan, et al., 2012)</w:t>
      </w:r>
      <w:r w:rsidRPr="00BD14B0">
        <w:fldChar w:fldCharType="end"/>
      </w:r>
      <w:r w:rsidRPr="00BD14B0">
        <w:t xml:space="preserve"> male leaders grab more attention </w:t>
      </w:r>
      <w:r w:rsidRPr="00BD14B0">
        <w:fldChar w:fldCharType="begin" w:fldLock="1"/>
      </w:r>
      <w:r w:rsidRPr="00BD14B0">
        <w:instrText>ADDIN CSL_CITATION {"citationItems":[{"id":"ITEM-1","itemData":{"DOI":"10.1016/j.evolhumbehav.2006.09.002","ISSN":"10905138","abstract":"Human groups are unusual among primates in that our leaders are often democratically selected. Faces affect hiring decisions and could influence voting behavior. Here, we show that facial appearance has important effects on choice of leader. We show that differences in facial shape alone between candidates can predict who wins or loses in an election (Study 1) and that changing context from war time to peace time can affect which face receives the most votes (Study 2). Our studies highlight the role of face shape in voting behavior and the role of personal attributions in face perception. We also show that there may be no general characteristics of faces that can win votes, demonstrating that face traits and information about the environment interact in choice of leader. (PsycINFO Database Record (c) 2017 APA, all rights reserved)","author":[{"dropping-particle":"","family":"Little","given":"Anthony C","non-dropping-particle":"","parse-names":false,"suffix":""},{"dropping-particle":"","family":"Burriss","given":"Robert P","non-dropping-particle":"","parse-names":false,"suffix":""},{"dropping-particle":"","family":"Jones","given":"Benedict C","non-dropping-particle":"","parse-names":false,"suffix":""},{"dropping-particle":"","family":"Roberts","given":"S Craig","non-dropping-particle":"","parse-names":false,"suffix":""}],"container-title":"Evolution and Human Behavior","id":"ITEM-1","issue":"1","issued":{"date-parts":[["2007","1"]]},"page":"18-27","publisher":"Elsevier Science","publisher-place":"Little, Anthony C.: School of Psychology, University of Stirling, Stirling, United Kingdom, FK9 4LA, anthony.little@stir.ac.uk","title":"Facial appearance affects voting decisions","type":"article-journal","volume":"28"},"uris":["http://www.mendeley.com/documents/?uuid=4cc8fe6c-abc8-410a-9e06-45c29fc9c8ed"]}],"mendeley":{"formattedCitation":"(Little et al., 2007)","plainTextFormattedCitation":"(Little et al., 2007)","previouslyFormattedCitation":"(Little et al., 2007)"},"properties":{"noteIndex":0},"schema":"https://github.com/citation-style-language/schema/raw/master/csl-citation.json"}</w:instrText>
      </w:r>
      <w:r w:rsidRPr="00BD14B0">
        <w:fldChar w:fldCharType="separate"/>
      </w:r>
      <w:r w:rsidRPr="00BD14B0">
        <w:rPr>
          <w:noProof/>
        </w:rPr>
        <w:t>(Little et al., 2007)</w:t>
      </w:r>
      <w:r w:rsidRPr="00BD14B0">
        <w:fldChar w:fldCharType="end"/>
      </w:r>
      <w:r w:rsidRPr="00BD14B0">
        <w:t xml:space="preserve"> by activating implicit leadership prototypes </w:t>
      </w:r>
      <w:r w:rsidRPr="00BD14B0">
        <w:fldChar w:fldCharType="begin" w:fldLock="1"/>
      </w:r>
      <w:r w:rsidRPr="00BD14B0">
        <w:instrText>ADDIN CSL_CITATION {"citationItems":[{"id":"ITEM-1","itemData":{"DOI":"10.1371/journal.pone.0030399","ISSN":"1932-6203","abstract":"This paper examines the impact of facial cues on leadership emergence. Using evolutionary social psychology, we expand upon implicit and contingent theories of leadership and propose that different types of intergroup relations elicit different implicit cognitive leadership prototypes. It is argued that a biologically based hormonal connection between behavior and corresponding facial characteristics interacts with evolutionarily consistent social dynamics to influence leadership emergence. We predict that masculine-looking leaders are selected during intergroup conflict (war) and feminine-looking leaders during intergroup cooperation (peace). Across two experiments we show that a general categorization of leader versus nonleader is an initial implicit requirement for emergence, and at a context-specific level facial cues of masculinity and femininity contingently affect war versus peace leadership emergence in the predicted direction. In addition, we replicate our findings in Experiment 1 across culture using Western and East Asian samples. In Experiment 2, we also show that masculine-feminine facial cues are better predictors of leadership than male-female cues. Collectively, our results indicate a multi-level classification of context-specific leadership based on visual cues imbedded in the human face and challenge traditional distinctions of male and female leadership.","author":[{"dropping-particle":"","family":"Spisak","given":"Brian R.","non-dropping-particle":"","parse-names":false,"suffix":""},{"dropping-particle":"","family":"Dekker","given":"Peter H.","non-dropping-particle":"","parse-names":false,"suffix":""},{"dropping-particle":"","family":"Krüger","given":"Max","non-dropping-particle":"","parse-names":false,"suffix":""},{"dropping-particle":"","family":"Vugt","given":"Mark","non-dropping-particle":"van","parse-names":false,"suffix":""}],"container-title":"PLoS ONE","editor":[{"dropping-particle":"","family":"Tsakiris","given":"Manos","non-dropping-particle":"","parse-names":false,"suffix":""}],"id":"ITEM-1","issue":"1","issued":{"date-parts":[["2012","1","20"]]},"page":"e30399","title":"Warriors and Peacekeepers: Testing a Biosocial Implicit Leadership Hypothesis of Intergroup Relations Using Masculine and Feminine Faces","type":"article-journal","volume":"7"},"uris":["http://www.mendeley.com/documents/?uuid=b7ac922e-4dfc-4cbb-906b-849e314758d4"]}],"mendeley":{"formattedCitation":"(Spisak, Dekker, et al., 2012)","plainTextFormattedCitation":"(Spisak, Dekker, et al., 2012)","previouslyFormattedCitation":"(Spisak, Dekker, et al., 2012)"},"properties":{"noteIndex":0},"schema":"https://github.com/citation-style-language/schema/raw/master/csl-citation.json"}</w:instrText>
      </w:r>
      <w:r w:rsidRPr="00BD14B0">
        <w:fldChar w:fldCharType="separate"/>
      </w:r>
      <w:r w:rsidRPr="00BD14B0">
        <w:rPr>
          <w:noProof/>
        </w:rPr>
        <w:t>(Spisak, Dekker, et al., 2012)</w:t>
      </w:r>
      <w:r w:rsidRPr="00BD14B0">
        <w:fldChar w:fldCharType="end"/>
      </w:r>
      <w:r w:rsidRPr="00BD14B0">
        <w:t xml:space="preserve">. To investigate the relationship between threat and facial dominance (which was used as a signifier of status) in gaze following, </w:t>
      </w:r>
      <w:r w:rsidRPr="00BD14B0">
        <w:fldChar w:fldCharType="begin" w:fldLock="1"/>
      </w:r>
      <w:r w:rsidRPr="00BD14B0">
        <w:instrText>ADDIN CSL_CITATION {"citationItems":[{"id":"ITEM-1","itemData":{"DOI":"10.1371/journal.pone.0059471","ISSN":"1932-6203","abstract":"Gaze following is a socio-cognitive process that provides adaptive information about potential threats and opportunities in the individual's environment. The aim of the present study was to investigate the potential interaction between emotional context and facial dominance in gaze following. We used the gaze cue task to induce attention to or away from the location of a target stimulus. In the experiment, the gaze cue either belonged to a (dominant looking) male face or a (non-dominant looking) female face. Critically, prior to the task, individuals were primed with pictures of threat or no threat to induce either a dangerous or safe environment. Findings revealed that the primed emotional context critically influenced the gaze cuing effect. While a gaze cue of the dominant male face influenced performance in both the threat and no-threat conditions, the gaze cue of the non-dominant female face only influenced performance in the no-threat condition. This research suggests an implicit, context-dependent follower bias, which carries implications for research on visual attention, social cognition, and leadership.","author":[{"dropping-particle":"","family":"Ohlsen","given":"Garian","non-dropping-particle":"","parse-names":false,"suffix":""},{"dropping-particle":"","family":"Zoest","given":"Wieske","non-dropping-particle":"van","parse-names":false,"suffix":""},{"dropping-particle":"","family":"Vugt","given":"Mark","non-dropping-particle":"van","parse-names":false,"suffix":""}],"container-title":"PLoS ONE","editor":[{"dropping-particle":"","family":"Avenanti","given":"Alessio","non-dropping-particle":"","parse-names":false,"suffix":""}],"id":"ITEM-1","issue":"4","issued":{"date-parts":[["2013","4","3"]]},"note":"Times Cited: 7\n7","page":"e59471","title":"Gender and Facial Dominance in Gaze Cuing: Emotional Context Matters in the Eyes That We Follow","type":"article-journal","volume":"8"},"uris":["http://www.mendeley.com/documents/?uuid=7d99e529-16ff-4ecc-9ded-0ca936d93c3c"]}],"mendeley":{"formattedCitation":"(Ohlsen et al., 2013)","manualFormatting":"Ohlsen, van Zoest, and van Vugt (2013)","plainTextFormattedCitation":"(Ohlsen et al., 2013)","previouslyFormattedCitation":"(Ohlsen et al., 2013)"},"properties":{"noteIndex":0},"schema":"https://github.com/citation-style-language/schema/raw/master/csl-citation.json"}</w:instrText>
      </w:r>
      <w:r w:rsidRPr="00BD14B0">
        <w:fldChar w:fldCharType="separate"/>
      </w:r>
      <w:r w:rsidRPr="00BD14B0">
        <w:rPr>
          <w:noProof/>
        </w:rPr>
        <w:t>Ohlsen, van Zoest, and van Vugt (2013)</w:t>
      </w:r>
      <w:r w:rsidRPr="00BD14B0">
        <w:fldChar w:fldCharType="end"/>
      </w:r>
      <w:r w:rsidRPr="00BD14B0">
        <w:t xml:space="preserve"> primed their participants with a threat or non-threat condition prior to a gaze cueing task. In their experiment, the gazers were either a dominant looking male or a non-dominant looking female. The results indicated that gaze cues of dominant males influenced the eye gaze-following behaviour both in the threat and non-threat conditions. However, the non-dominant looking female gazer only influenced eye-gaze following in the non-threat condition. </w:t>
      </w:r>
      <w:r w:rsidR="002360CA" w:rsidRPr="00BD14B0">
        <w:t>The results showed that dominant male gaze cues influenced eye gaze-following behavio</w:t>
      </w:r>
      <w:r w:rsidR="00DE0DC3" w:rsidRPr="00BD14B0">
        <w:t>u</w:t>
      </w:r>
      <w:r w:rsidR="002360CA" w:rsidRPr="00BD14B0">
        <w:t xml:space="preserve">r in both threat and non-threat conditions whereas, the non-dominant looking female gazer only influenced eye-gaze following in the absence of a </w:t>
      </w:r>
      <w:r w:rsidR="002360CA" w:rsidRPr="00BD14B0">
        <w:lastRenderedPageBreak/>
        <w:t xml:space="preserve">threat. </w:t>
      </w:r>
      <w:r w:rsidRPr="00BD14B0">
        <w:t xml:space="preserve">Thus, when the context of the threat was salient, the non-dominant looking females did not have a significant effect on the strength of gaze following and participants only paid attention to dominant looking male gazers </w:t>
      </w:r>
      <w:r w:rsidRPr="00BD14B0">
        <w:fldChar w:fldCharType="begin" w:fldLock="1"/>
      </w:r>
      <w:r w:rsidRPr="00BD14B0">
        <w:instrText>ADDIN CSL_CITATION {"citationItems":[{"id":"ITEM-1","itemData":{"DOI":"10.1371/journal.pone.0059471","ISSN":"1932-6203","abstract":"Gaze following is a socio-cognitive process that provides adaptive information about potential threats and opportunities in the individual's environment. The aim of the present study was to investigate the potential interaction between emotional context and facial dominance in gaze following. We used the gaze cue task to induce attention to or away from the location of a target stimulus. In the experiment, the gaze cue either belonged to a (dominant looking) male face or a (non-dominant looking) female face. Critically, prior to the task, individuals were primed with pictures of threat or no threat to induce either a dangerous or safe environment. Findings revealed that the primed emotional context critically influenced the gaze cuing effect. While a gaze cue of the dominant male face influenced performance in both the threat and no-threat conditions, the gaze cue of the non-dominant female face only influenced performance in the no-threat condition. This research suggests an implicit, context-dependent follower bias, which carries implications for research on visual attention, social cognition, and leadership.","author":[{"dropping-particle":"","family":"Ohlsen","given":"Garian","non-dropping-particle":"","parse-names":false,"suffix":""},{"dropping-particle":"","family":"Zoest","given":"Wieske","non-dropping-particle":"van","parse-names":false,"suffix":""},{"dropping-particle":"","family":"Vugt","given":"Mark","non-dropping-particle":"van","parse-names":false,"suffix":""}],"container-title":"PLoS ONE","editor":[{"dropping-particle":"","family":"Avenanti","given":"Alessio","non-dropping-particle":"","parse-names":false,"suffix":""}],"id":"ITEM-1","issue":"4","issued":{"date-parts":[["2013","4","3"]]},"note":"Times Cited: 7\n7","page":"e59471","title":"Gender and Facial Dominance in Gaze Cuing: Emotional Context Matters in the Eyes That We Follow","type":"article-journal","volume":"8"},"uris":["http://www.mendeley.com/documents/?uuid=7d99e529-16ff-4ecc-9ded-0ca936d93c3c"]}],"mendeley":{"formattedCitation":"(Ohlsen et al., 2013)","plainTextFormattedCitation":"(Ohlsen et al., 2013)","previouslyFormattedCitation":"(Ohlsen et al., 2013)"},"properties":{"noteIndex":0},"schema":"https://github.com/citation-style-language/schema/raw/master/csl-citation.json"}</w:instrText>
      </w:r>
      <w:r w:rsidRPr="00BD14B0">
        <w:fldChar w:fldCharType="separate"/>
      </w:r>
      <w:r w:rsidRPr="00BD14B0">
        <w:rPr>
          <w:noProof/>
        </w:rPr>
        <w:t>(Ohlsen et al., 2013)</w:t>
      </w:r>
      <w:r w:rsidRPr="00BD14B0">
        <w:fldChar w:fldCharType="end"/>
      </w:r>
      <w:r w:rsidRPr="00BD14B0">
        <w:t xml:space="preserve">. However, it is </w:t>
      </w:r>
      <w:r w:rsidR="002360CA" w:rsidRPr="00BD14B0">
        <w:t>un</w:t>
      </w:r>
      <w:r w:rsidRPr="00BD14B0">
        <w:t>clear whether the effect of this social information is related to low</w:t>
      </w:r>
      <w:r w:rsidR="006A3785" w:rsidRPr="00BD14B0">
        <w:t>-</w:t>
      </w:r>
      <w:r w:rsidRPr="00BD14B0">
        <w:t>level biases (such as the physical condition of the stimuli face-stimuli driven) or more high</w:t>
      </w:r>
      <w:r w:rsidR="006A3785" w:rsidRPr="00BD14B0">
        <w:t>-</w:t>
      </w:r>
      <w:r w:rsidRPr="00BD14B0">
        <w:t>level cognitive biases (such as mental representations about intention and attitude of the observed face - i.e., goal</w:t>
      </w:r>
      <w:r w:rsidR="006A3785" w:rsidRPr="00BD14B0">
        <w:t>-</w:t>
      </w:r>
      <w:r w:rsidRPr="00BD14B0">
        <w:t xml:space="preserve">driven) or combination of both factors depending on context </w:t>
      </w:r>
      <w:r w:rsidRPr="00BD14B0">
        <w:fldChar w:fldCharType="begin" w:fldLock="1"/>
      </w:r>
      <w:r w:rsidRPr="00BD14B0">
        <w:instrText>ADDIN CSL_CITATION {"citationItems":[{"id":"ITEM-1","itemData":{"DOI":"10.1068/p6347","ISSN":"0301-0066","abstract":"Although gaze direction and face shape have each been shown to affect perceptions of the dominance of others, the question whether gaze direction and face shape have independent main effects on perceptions of dominance, and whether these effects interact, has not yet been studied. To investigate this issue, we compared dominance ratings of faces with masculinised shapes and direct gaze, masculinised shapes and averted gaze, feminised shapes and direct gaze, and feminised shapes and averted gaze. While races with direct gaze were generally rated as more dominant than those with averted gaze, this effect of gaze direction was greater when judging faces with masculinised shapes than when judging faces with feminised shapes. Additionally, faces with masculinised shapes were rated as more dominant than those with feminised shapes when faces were presented with direct gaze, but not when faces were presented with averted gaze. Collectively, these findings reveal an interaction between the effects of gaze direction and sexually dimorphic facial cues on judgments of the dominance of others, presenting novel evidence for the existence of complex integrative processes that underpin social perception of faces. Integrating information from face shape and gaze cues may increase the efficiency with which we perceive the dominance of others.","author":[{"dropping-particle":"","family":"Main","given":"Julie C","non-dropping-particle":"","parse-names":false,"suffix":""},{"dropping-particle":"","family":"Jones","given":"Benedict C","non-dropping-particle":"","parse-names":false,"suffix":""},{"dropping-particle":"","family":"DeBruine","given":"Lisa M","non-dropping-particle":"","parse-names":false,"suffix":""},{"dropping-particle":"","family":"Little","given":"Anthony C","non-dropping-particle":"","parse-names":false,"suffix":""}],"container-title":"Perception","id":"ITEM-1","issue":"9","issued":{"date-parts":[["2009","9"]]},"note":"Times Cited: 20\nJones, Benedict/A-7850-2008; DeBruine, Lisa/A-6990-2008; Little, Anthony/B-8497-2009\nJones, Benedict/0000-0001-7777-0220; DeBruine, Lisa/0000-0002-7523-5539; Little, Anthony/0000-0001-9100-1903\n21","page":"1275-1283","title":"Integrating Gaze Direction and Sexual Dimorphism of Face Shape When Perceiving the Dominance of Others","type":"article-journal","volume":"38"},"uris":["http://www.mendeley.com/documents/?uuid=f2507f3a-c58f-4a33-97e2-6fd81a2774c4"]}],"mendeley":{"formattedCitation":"(Main et al., 2009)","plainTextFormattedCitation":"(Main et al., 2009)","previouslyFormattedCitation":"(Main et al., 2009)"},"properties":{"noteIndex":0},"schema":"https://github.com/citation-style-language/schema/raw/master/csl-citation.json"}</w:instrText>
      </w:r>
      <w:r w:rsidRPr="00BD14B0">
        <w:fldChar w:fldCharType="separate"/>
      </w:r>
      <w:r w:rsidRPr="00BD14B0">
        <w:rPr>
          <w:noProof/>
        </w:rPr>
        <w:t>(Main et al., 2009)</w:t>
      </w:r>
      <w:r w:rsidRPr="00BD14B0">
        <w:fldChar w:fldCharType="end"/>
      </w:r>
      <w:r w:rsidRPr="00BD14B0">
        <w:t xml:space="preserve">. Additionally, it is still unknown whether this effect can be generalized to the real-world social environment since the level of dominance of the face is not the only indicator of social hierarchy in humans. </w:t>
      </w:r>
    </w:p>
    <w:p w14:paraId="3BD95A90" w14:textId="412554DF" w:rsidR="006703C2" w:rsidRPr="00BD14B0" w:rsidRDefault="00E06A1C" w:rsidP="00553E01">
      <w:r w:rsidRPr="00BD14B0">
        <w:tab/>
      </w:r>
      <w:r w:rsidR="002360CA" w:rsidRPr="00BD14B0">
        <w:t>When</w:t>
      </w:r>
      <w:r w:rsidR="006703C2" w:rsidRPr="00BD14B0">
        <w:t xml:space="preserve"> there is a </w:t>
      </w:r>
      <w:r w:rsidR="002360CA" w:rsidRPr="00BD14B0">
        <w:t>threat</w:t>
      </w:r>
      <w:r w:rsidR="006703C2" w:rsidRPr="00BD14B0">
        <w:t xml:space="preserve"> to the well-being of the individual, this creates overall alertness in people’s social attention systems. Evolutionarily, operating as a coherent social group would be beneficial in the possibility of danger. It would be beneficial for the overall survival of the group to be able to react fast and </w:t>
      </w:r>
      <w:r w:rsidR="00460370" w:rsidRPr="00BD14B0">
        <w:t>appropriately</w:t>
      </w:r>
      <w:r w:rsidR="006703C2" w:rsidRPr="00BD14B0">
        <w:t xml:space="preserve">. In </w:t>
      </w:r>
      <w:r w:rsidR="002360CA" w:rsidRPr="00BD14B0">
        <w:t>such</w:t>
      </w:r>
      <w:r w:rsidR="006703C2" w:rsidRPr="00BD14B0">
        <w:t xml:space="preserve"> </w:t>
      </w:r>
      <w:r w:rsidR="002360CA" w:rsidRPr="00BD14B0">
        <w:t>cases</w:t>
      </w:r>
      <w:r w:rsidR="006703C2" w:rsidRPr="00BD14B0">
        <w:t xml:space="preserve">, minimalizing the conflict </w:t>
      </w:r>
      <w:r w:rsidR="002360CA" w:rsidRPr="00BD14B0">
        <w:t>among</w:t>
      </w:r>
      <w:r w:rsidR="006703C2" w:rsidRPr="00BD14B0">
        <w:t xml:space="preserve"> group members and increasing the collaboration would </w:t>
      </w:r>
      <w:r w:rsidR="002360CA" w:rsidRPr="00BD14B0">
        <w:t>improve</w:t>
      </w:r>
      <w:r w:rsidR="006703C2" w:rsidRPr="00BD14B0">
        <w:t xml:space="preserve"> </w:t>
      </w:r>
      <w:r w:rsidR="002360CA" w:rsidRPr="00BD14B0">
        <w:t>both the individual's and the group's chances of survival</w:t>
      </w:r>
      <w:r w:rsidR="006703C2" w:rsidRPr="00BD14B0">
        <w:t xml:space="preserve">. </w:t>
      </w:r>
      <w:r w:rsidR="006703C2" w:rsidRPr="00BD14B0">
        <w:fldChar w:fldCharType="begin" w:fldLock="1"/>
      </w:r>
      <w:r w:rsidR="006703C2" w:rsidRPr="00BD14B0">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Zhang, and Geng (2014)","plainTextFormattedCitation":"(Cui et al., 2014)","previouslyFormattedCitation":"(Cui et al., 2014)"},"properties":{"noteIndex":0},"schema":"https://github.com/citation-style-language/schema/raw/master/csl-citation.json"}</w:instrText>
      </w:r>
      <w:r w:rsidR="006703C2" w:rsidRPr="00BD14B0">
        <w:fldChar w:fldCharType="separate"/>
      </w:r>
      <w:r w:rsidR="006703C2" w:rsidRPr="00BD14B0">
        <w:rPr>
          <w:noProof/>
        </w:rPr>
        <w:t>Cui, Zhang, and Geng (2014)</w:t>
      </w:r>
      <w:r w:rsidR="006703C2" w:rsidRPr="00BD14B0">
        <w:fldChar w:fldCharType="end"/>
      </w:r>
      <w:r w:rsidR="006703C2" w:rsidRPr="00BD14B0">
        <w:t xml:space="preserve"> used a well-known priming task, shown to work by </w:t>
      </w:r>
      <w:r w:rsidR="006703C2" w:rsidRPr="00BD14B0">
        <w:fldChar w:fldCharType="begin" w:fldLock="1"/>
      </w:r>
      <w:r w:rsidR="004D2901" w:rsidRPr="00BD14B0">
        <w:instrText>ADDIN CSL_CITATION {"citationItems":[{"id":"ITEM-1","itemData":{"DOI":"10.1177/0956797613482943","ISSN":"0956-7976","author":[{"dropping-particle":"","family":"Galinsky","given":"Adam D.","non-dropping-particle":"","parse-names":false,"suffix":""},{"dropping-particle":"","family":"Wang","given":"Cynthia S.","non-dropping-particle":"","parse-names":false,"suffix":""},{"dropping-particle":"","family":"Whitson","given":"Jennifer A.","non-dropping-particle":"","parse-names":false,"suffix":""},{"dropping-particle":"","family":"Anicich","given":"Eric M.","non-dropping-particle":"","parse-names":false,"suffix":""},{"dropping-particle":"","family":"Hugenberg","given":"Kurt","non-dropping-particle":"","parse-names":false,"suffix":""},{"dropping-particle":"V.","family":"Bodenhausen","given":"Galen","non-dropping-particle":"","parse-names":false,"suffix":""}],"container-title":"Psychological Science","id":"ITEM-1","issue":"10","issued":{"date-parts":[["2013","10","16"]]},"page":"2020-2029","title":"The Reappropriation of Stigmatizing Labels","type":"article-journal","volume":"24"},"uris":["http://www.mendeley.com/documents/?uuid=ffc70b4a-17f5-4c4a-8029-40a43ff1cff5"]},{"id":"ITEM-2","itemData":{"DOI":"10.1037/a0015437","ISSN":"1939-1315","abstract":"The authors conducted 5 studies to test the idea that both thinking about and having power affects the way in which people resolve moral dilemmas. It is shown that high power increases the use of rule-based (deontological) moral thinking styles, whereas low power increases reliance on outcome-based (consequentialist) moral thinking. Stated differently, in determining whether an act is right or wrong, the powerful focus on whether rules and principles are violated, whereas the powerless focus on the consequences. For this reason, the powerful are also more inclined to stick to the rules, irrespective of whether this has positive or negative effects, whereas the powerless are more inclined to make exceptions. The first 3 experiments show that thinking about power increases rule-based thinking and decreases outcome-based thinking in participants' moral decision making. A 4th experiment shows the mediating role of moral orientation in the effect of power on moral decisions. The 5th experiment demonstrates the role of self-interest by showing that the power-moral link is reversed when rule-based decisions threaten participants' own self-interests.","author":[{"dropping-particle":"","family":"Lammers","given":"Joris","non-dropping-particle":"","parse-names":false,"suffix":""},{"dropping-particle":"","family":"Stapel","given":"Diederik A.","non-dropping-particle":"","parse-names":false,"suffix":""}],"container-title":"Journal of Personality and Social Psychology","id":"ITEM-2","issue":"2","issued":{"date-parts":[["2009"]]},"page":"279-289","title":"How power influences moral thinking.","type":"article-journal","volume":"97"},"uris":["http://www.mendeley.com/documents/?uuid=01da29f7-5a13-475d-9108-6b3850f4931a"]}],"mendeley":{"formattedCitation":"(Galinsky et al., 2013; Lammers &amp; Stapel, 2009)","manualFormatting":"Galinsky et al. (2013) and Lammers and Stapel (2009)","plainTextFormattedCitation":"(Galinsky et al., 2013; Lammers &amp; Stapel, 2009)","previouslyFormattedCitation":"(Galinsky et al., 2013; Lammers &amp; Stapel, 2009)"},"properties":{"noteIndex":0},"schema":"https://github.com/citation-style-language/schema/raw/master/csl-citation.json"}</w:instrText>
      </w:r>
      <w:r w:rsidR="006703C2" w:rsidRPr="00BD14B0">
        <w:fldChar w:fldCharType="separate"/>
      </w:r>
      <w:r w:rsidR="006703C2" w:rsidRPr="00BD14B0">
        <w:rPr>
          <w:noProof/>
        </w:rPr>
        <w:t>Galinsky et al. (2013) and Lammers and Stapel (2009)</w:t>
      </w:r>
      <w:r w:rsidR="006703C2" w:rsidRPr="00BD14B0">
        <w:fldChar w:fldCharType="end"/>
      </w:r>
      <w:r w:rsidR="006703C2" w:rsidRPr="00BD14B0">
        <w:t>, to prime participants’ perception</w:t>
      </w:r>
      <w:r w:rsidR="006D4F65" w:rsidRPr="00BD14B0">
        <w:t>s</w:t>
      </w:r>
      <w:r w:rsidR="006703C2" w:rsidRPr="00BD14B0">
        <w:t xml:space="preserve"> of their own social status. They achieved this by asking their participants to recall a personal experience </w:t>
      </w:r>
      <w:r w:rsidR="006D4F65" w:rsidRPr="00BD14B0">
        <w:t xml:space="preserve">in which </w:t>
      </w:r>
      <w:r w:rsidR="006703C2" w:rsidRPr="00BD14B0">
        <w:t xml:space="preserve">they felt in charge and </w:t>
      </w:r>
      <w:r w:rsidR="006D4F65" w:rsidRPr="00BD14B0">
        <w:t xml:space="preserve">were </w:t>
      </w:r>
      <w:r w:rsidR="006703C2" w:rsidRPr="00BD14B0">
        <w:t xml:space="preserve">not manipulated (high social status) or a past experience where they were controlled and manipulated (low social status). Later they asked their participants to complete a gaze cueing task. </w:t>
      </w:r>
      <w:r w:rsidR="006D4F65" w:rsidRPr="00BD14B0">
        <w:t>In the presence of high perceived social power, the gender difference in gaze cueing vanished</w:t>
      </w:r>
      <w:r w:rsidR="006703C2" w:rsidRPr="00BD14B0">
        <w:t xml:space="preserve">. The gender difference in the reaction to perceived social power might indicate that males and females </w:t>
      </w:r>
      <w:r w:rsidR="006D4F65" w:rsidRPr="00BD14B0">
        <w:t>employ</w:t>
      </w:r>
      <w:r w:rsidR="006703C2" w:rsidRPr="00BD14B0">
        <w:t xml:space="preserve"> different techniques</w:t>
      </w:r>
      <w:r w:rsidR="00D54B0B" w:rsidRPr="00BD14B0">
        <w:t>,</w:t>
      </w:r>
      <w:r w:rsidR="006703C2" w:rsidRPr="00BD14B0">
        <w:t xml:space="preserve"> </w:t>
      </w:r>
      <w:r w:rsidR="006D4F65" w:rsidRPr="00BD14B0">
        <w:t>particularly</w:t>
      </w:r>
      <w:r w:rsidR="006703C2" w:rsidRPr="00BD14B0">
        <w:t xml:space="preserve"> in threatening situations. The source of danger can be natural disasters or facial expression stimuli. A fearful looking face can be </w:t>
      </w:r>
      <w:r w:rsidR="00460370" w:rsidRPr="00BD14B0">
        <w:t xml:space="preserve">considered </w:t>
      </w:r>
      <w:r w:rsidR="006703C2" w:rsidRPr="00BD14B0">
        <w:t xml:space="preserve">as a facial expression </w:t>
      </w:r>
      <w:r w:rsidR="00D54B0B" w:rsidRPr="00BD14B0">
        <w:t>that</w:t>
      </w:r>
      <w:r w:rsidR="006703C2" w:rsidRPr="00BD14B0">
        <w:t xml:space="preserve"> signals danger. Danger from </w:t>
      </w:r>
      <w:r w:rsidR="00460370" w:rsidRPr="00BD14B0">
        <w:t xml:space="preserve">the </w:t>
      </w:r>
      <w:r w:rsidR="006703C2" w:rsidRPr="00BD14B0">
        <w:t xml:space="preserve">environment </w:t>
      </w:r>
      <w:r w:rsidR="006D4F65" w:rsidRPr="00BD14B0">
        <w:t>(i.e., earthquakes or natural disasters) that</w:t>
      </w:r>
      <w:r w:rsidR="006703C2" w:rsidRPr="00BD14B0">
        <w:t xml:space="preserve"> is not </w:t>
      </w:r>
      <w:r w:rsidR="006D4F65" w:rsidRPr="00BD14B0">
        <w:t>detected</w:t>
      </w:r>
      <w:r w:rsidR="006703C2" w:rsidRPr="00BD14B0">
        <w:t xml:space="preserve"> by social-visual attention system creates an environment where </w:t>
      </w:r>
      <w:r w:rsidR="004D4BC7" w:rsidRPr="00BD14B0">
        <w:t xml:space="preserve">the </w:t>
      </w:r>
      <w:r w:rsidR="006703C2" w:rsidRPr="00BD14B0">
        <w:t xml:space="preserve">individual is </w:t>
      </w:r>
      <w:r w:rsidR="006D4F65" w:rsidRPr="00BD14B0">
        <w:t>on</w:t>
      </w:r>
      <w:r w:rsidR="006703C2" w:rsidRPr="00BD14B0">
        <w:t xml:space="preserve"> high alert mode. </w:t>
      </w:r>
    </w:p>
    <w:p w14:paraId="1C741524" w14:textId="6729BF1F" w:rsidR="006703C2" w:rsidRPr="00BD14B0" w:rsidRDefault="00E06A1C" w:rsidP="00553E01">
      <w:r w:rsidRPr="00BD14B0">
        <w:lastRenderedPageBreak/>
        <w:tab/>
      </w:r>
      <w:r w:rsidR="006703C2" w:rsidRPr="00BD14B0">
        <w:t xml:space="preserve">Previous studies have </w:t>
      </w:r>
      <w:r w:rsidR="008A5A5C" w:rsidRPr="00BD14B0">
        <w:t>investigated</w:t>
      </w:r>
      <w:r w:rsidR="006703C2" w:rsidRPr="00BD14B0">
        <w:t xml:space="preserve"> the effect of danger on social attention by manipulating the level of danger with</w:t>
      </w:r>
      <w:r w:rsidR="00D90821" w:rsidRPr="00BD14B0">
        <w:t xml:space="preserve"> the</w:t>
      </w:r>
      <w:r w:rsidR="006703C2" w:rsidRPr="00BD14B0">
        <w:t xml:space="preserve"> facial expressions of the gazer. </w:t>
      </w:r>
      <w:r w:rsidR="00460370" w:rsidRPr="00BD14B0">
        <w:t>For example</w:t>
      </w:r>
      <w:r w:rsidR="008A5A5C" w:rsidRPr="00BD14B0">
        <w:t xml:space="preserve">, the threatening stimulus in these studies was a face expressing anger or fear (strong negative emotions). </w:t>
      </w:r>
      <w:r w:rsidR="006703C2" w:rsidRPr="00BD14B0">
        <w:t>It sho</w:t>
      </w:r>
      <w:r w:rsidR="00D90821" w:rsidRPr="00BD14B0">
        <w:t>u</w:t>
      </w:r>
      <w:r w:rsidR="006703C2" w:rsidRPr="00BD14B0">
        <w:t>ld be noted that it has been suggested that strong negative emotional expression</w:t>
      </w:r>
      <w:r w:rsidR="00460370" w:rsidRPr="00BD14B0">
        <w:t>s</w:t>
      </w:r>
      <w:r w:rsidR="006703C2" w:rsidRPr="00BD14B0">
        <w:t xml:space="preserve"> cause </w:t>
      </w:r>
      <w:r w:rsidR="00D90821" w:rsidRPr="00BD14B0">
        <w:t xml:space="preserve">a </w:t>
      </w:r>
      <w:r w:rsidR="006703C2" w:rsidRPr="00BD14B0">
        <w:t xml:space="preserve">reaction and </w:t>
      </w:r>
      <w:r w:rsidR="00460370" w:rsidRPr="00BD14B0">
        <w:t>are</w:t>
      </w:r>
      <w:r w:rsidR="006703C2" w:rsidRPr="00BD14B0">
        <w:t xml:space="preserve"> strongly related to anxiety traits of the observer </w:t>
      </w:r>
      <w:r w:rsidR="006703C2" w:rsidRPr="00BD14B0">
        <w:fldChar w:fldCharType="begin" w:fldLock="1"/>
      </w:r>
      <w:r w:rsidR="006703C2" w:rsidRPr="00BD14B0">
        <w:instrText>ADDIN CSL_CITATION {"citationItems":[{"id":"ITEM-1","itemData":{"DOI":"10.3758/s13423-010-0033-1","ISSN":"1069-9384","abstract":"An oculomotor visual search task was used to investigate how participants follow the gaze of a non-predictive and task irrelevant distractor gaze, and the way in which this gaze following is influenced by the emotional expression (fearful vs. happy) as well as participants' goal. Previous research has suggested that fearful emotions should result in stronger cueing effects than happy faces. Our results demonstrated that the degree to which the emotional expression influenced this gaze following varied as a function of the search target. When searching for a threatening target, participants were more likely to look in the direction of eye gaze on a fearful compared to a happy face. However, when searching for a pleasant target, this stronger cueing effect for fearful faces disappeared. Therefore, gaze following is influenced by contextual factors such as the emotional expression, as well as the participant's goal.","author":[{"dropping-particle":"","family":"Kuhn","given":"Gustav","non-dropping-particle":"","parse-names":false,"suffix":""},{"dropping-particle":"","family":"Tipples","given":"Jason","non-dropping-particle":"","parse-names":false,"suffix":""}],"container-title":"Psychonomic Bulletin &amp; Review","id":"ITEM-1","issue":"1","issued":{"date-parts":[["2011","2","16"]]},"page":"89-95","title":"Increased gaze following for fearful faces. It depends on what you’re looking for!","type":"article-journal","volume":"18"},"uris":["http://www.mendeley.com/documents/?uuid=ed7e264b-4b4a-432b-af88-b6f41df450ad"]}],"mendeley":{"formattedCitation":"(Kuhn &amp; Tipples, 2011)","plainTextFormattedCitation":"(Kuhn &amp; Tipples, 2011)","previouslyFormattedCitation":"(Kuhn &amp; Tipples, 2011)"},"properties":{"noteIndex":0},"schema":"https://github.com/citation-style-language/schema/raw/master/csl-citation.json"}</w:instrText>
      </w:r>
      <w:r w:rsidR="006703C2" w:rsidRPr="00BD14B0">
        <w:fldChar w:fldCharType="separate"/>
      </w:r>
      <w:r w:rsidR="006703C2" w:rsidRPr="00BD14B0">
        <w:rPr>
          <w:noProof/>
        </w:rPr>
        <w:t>(Kuhn &amp; Tipples, 2011)</w:t>
      </w:r>
      <w:r w:rsidR="006703C2" w:rsidRPr="00BD14B0">
        <w:fldChar w:fldCharType="end"/>
      </w:r>
      <w:r w:rsidR="006703C2" w:rsidRPr="00BD14B0">
        <w:t xml:space="preserve">. Hence, studies using facial expression as an indication of danger might be affected by some participants having high traits of anxiety or not. Most importantly, levels of anxiety have not been controlled for with statistical procedures in previous studies. </w:t>
      </w:r>
      <w:r w:rsidR="008A5A5C" w:rsidRPr="00BD14B0">
        <w:t xml:space="preserve">To our </w:t>
      </w:r>
      <w:r w:rsidR="00804DC1" w:rsidRPr="00BD14B0">
        <w:t>knowledge</w:t>
      </w:r>
      <w:r w:rsidR="008A5A5C" w:rsidRPr="00BD14B0">
        <w:t xml:space="preserve">, none of the </w:t>
      </w:r>
      <w:r w:rsidR="00460370" w:rsidRPr="00BD14B0">
        <w:t xml:space="preserve">above </w:t>
      </w:r>
      <w:r w:rsidR="008A5A5C" w:rsidRPr="00BD14B0">
        <w:t xml:space="preserve">studies investigated </w:t>
      </w:r>
      <w:r w:rsidR="006703C2" w:rsidRPr="00BD14B0">
        <w:t xml:space="preserve">how people respond to social stimuli when they are </w:t>
      </w:r>
      <w:r w:rsidR="008A5A5C" w:rsidRPr="00BD14B0">
        <w:t xml:space="preserve">already </w:t>
      </w:r>
      <w:r w:rsidR="00EE5422" w:rsidRPr="00BD14B0">
        <w:t>o</w:t>
      </w:r>
      <w:r w:rsidR="006703C2" w:rsidRPr="00BD14B0">
        <w:t xml:space="preserve">n high alert </w:t>
      </w:r>
      <w:r w:rsidR="008A5A5C" w:rsidRPr="00BD14B0">
        <w:t xml:space="preserve">mode because of </w:t>
      </w:r>
      <w:r w:rsidR="006703C2" w:rsidRPr="00BD14B0">
        <w:t xml:space="preserve">a threatening environment. An environmental threat </w:t>
      </w:r>
      <w:r w:rsidR="00EE5422" w:rsidRPr="00BD14B0">
        <w:t>(</w:t>
      </w:r>
      <w:r w:rsidR="006703C2" w:rsidRPr="00BD14B0">
        <w:t xml:space="preserve">that is a threat </w:t>
      </w:r>
      <w:r w:rsidR="00EE5422" w:rsidRPr="00BD14B0">
        <w:t>to an</w:t>
      </w:r>
      <w:r w:rsidR="006703C2" w:rsidRPr="00BD14B0">
        <w:t xml:space="preserve"> individual’s well-being</w:t>
      </w:r>
      <w:r w:rsidR="00EE5422" w:rsidRPr="00BD14B0">
        <w:t>)</w:t>
      </w:r>
      <w:r w:rsidR="006703C2" w:rsidRPr="00BD14B0">
        <w:t xml:space="preserve"> has not been tested to date in any context in lab studies </w:t>
      </w:r>
      <w:r w:rsidR="00460370" w:rsidRPr="00BD14B0">
        <w:t xml:space="preserve">or, </w:t>
      </w:r>
      <w:r w:rsidR="006703C2" w:rsidRPr="00BD14B0">
        <w:t>specifically</w:t>
      </w:r>
      <w:r w:rsidR="00460370" w:rsidRPr="00BD14B0">
        <w:t>,</w:t>
      </w:r>
      <w:r w:rsidR="006703C2" w:rsidRPr="00BD14B0">
        <w:t xml:space="preserve"> in </w:t>
      </w:r>
      <w:r w:rsidR="00460370" w:rsidRPr="00BD14B0">
        <w:t>W</w:t>
      </w:r>
      <w:r w:rsidR="006703C2" w:rsidRPr="00BD14B0">
        <w:t xml:space="preserve">estern cultures. Only one study by </w:t>
      </w:r>
      <w:r w:rsidR="006703C2" w:rsidRPr="00BD14B0">
        <w:fldChar w:fldCharType="begin" w:fldLock="1"/>
      </w:r>
      <w:r w:rsidR="006703C2" w:rsidRPr="00BD14B0">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Zhang, and Geng (2014)","plainTextFormattedCitation":"(Cui et al., 2014)","previouslyFormattedCitation":"(Cui et al., 2014)"},"properties":{"noteIndex":0},"schema":"https://github.com/citation-style-language/schema/raw/master/csl-citation.json"}</w:instrText>
      </w:r>
      <w:r w:rsidR="006703C2" w:rsidRPr="00BD14B0">
        <w:fldChar w:fldCharType="separate"/>
      </w:r>
      <w:r w:rsidR="006703C2" w:rsidRPr="00BD14B0">
        <w:rPr>
          <w:noProof/>
        </w:rPr>
        <w:t>Cui, Zhang, and Geng (2014)</w:t>
      </w:r>
      <w:r w:rsidR="006703C2" w:rsidRPr="00BD14B0">
        <w:fldChar w:fldCharType="end"/>
      </w:r>
      <w:r w:rsidR="006703C2" w:rsidRPr="00BD14B0">
        <w:t xml:space="preserve"> used a scenario of an earthquake because at the time of the experiment a recent earthquake had happened in China and this threat was an object of repeated exposure by </w:t>
      </w:r>
      <w:r w:rsidR="00460370" w:rsidRPr="00BD14B0">
        <w:t xml:space="preserve">the </w:t>
      </w:r>
      <w:r w:rsidR="006703C2" w:rsidRPr="00BD14B0">
        <w:t xml:space="preserve">media and news channels. The participants were familiar with news and conversations about an earthquake. As a result, it is not clear whether the same results would be found in </w:t>
      </w:r>
      <w:r w:rsidR="00460370" w:rsidRPr="00BD14B0">
        <w:t>a W</w:t>
      </w:r>
      <w:r w:rsidR="006703C2" w:rsidRPr="00BD14B0">
        <w:t xml:space="preserve">estern culture with low daily exposure </w:t>
      </w:r>
      <w:r w:rsidR="00EE5422" w:rsidRPr="00BD14B0">
        <w:t>to</w:t>
      </w:r>
      <w:r w:rsidR="006703C2" w:rsidRPr="00BD14B0">
        <w:t xml:space="preserve"> environmental disasters. If the people of that culture are not exposed to environmental dangers daily and not primed to be highly vigilant to danger, then they may not be affected as much </w:t>
      </w:r>
      <w:r w:rsidR="00B93EE1" w:rsidRPr="00BD14B0">
        <w:t>by</w:t>
      </w:r>
      <w:r w:rsidR="006703C2" w:rsidRPr="00BD14B0">
        <w:t xml:space="preserve"> cues of environmental danger. </w:t>
      </w:r>
    </w:p>
    <w:p w14:paraId="2C5BBCDA" w14:textId="40FCC66F" w:rsidR="006703C2" w:rsidRPr="00BD14B0" w:rsidRDefault="00E06A1C" w:rsidP="00553E01">
      <w:r w:rsidRPr="00BD14B0">
        <w:tab/>
      </w:r>
      <w:r w:rsidR="006703C2" w:rsidRPr="00BD14B0">
        <w:t xml:space="preserve">Two important issues should be carefully addressed here; namely, daily exposure of </w:t>
      </w:r>
      <w:r w:rsidR="002D04B2" w:rsidRPr="00BD14B0">
        <w:t>the</w:t>
      </w:r>
      <w:r w:rsidR="008A5A5C" w:rsidRPr="00BD14B0">
        <w:t xml:space="preserve"> </w:t>
      </w:r>
      <w:r w:rsidR="006703C2" w:rsidRPr="00BD14B0">
        <w:t xml:space="preserve">possibility of danger and culture. </w:t>
      </w:r>
      <w:r w:rsidR="006703C2" w:rsidRPr="00BD14B0">
        <w:fldChar w:fldCharType="begin" w:fldLock="1"/>
      </w:r>
      <w:r w:rsidR="006703C2" w:rsidRPr="00BD14B0">
        <w:instrText>ADDIN CSL_CITATION {"citationItems":[{"id":"ITEM-1","itemData":{"DOI":"10.1016/j.cognition.2014.11.016","ISSN":"00100277","abstract":"Does theory of mind depend on a capacity to reason about representations generally or on mechanisms selective for the processing of mental state representations? In four experiments, participants reasoned about beliefs (mental representations) and notes (non-mental, linguistic representations), which according to two prominent theories are closely matched representations because both are represented propositionally. Reaction times were faster and accuracies higher when participants endorsed or rejected statements about false beliefs than about false notes (Experiment 1), even when statements emphasized representational format (Experiment 2), which should have favored the activation of representation concepts. Experiments 3 and 4 ruled out a counterhypothesis that differences in task demands were responsible for the advantage in belief processing. These results demonstrate for the first time that understanding of mental and linguistic representations can be dissociated even though both may carry propositional content, supporting the theory that mechanisms governing theory of mind reasoning are narrowly specialized to process mental states, not representations more broadly. Extending this theory, we discuss whether less efficient processing of non-mental representations may be a by-product of mechanisms specialized for processing mental states.","author":[{"dropping-particle":"","family":"Cohen","given":"Adam S.","non-dropping-particle":"","parse-names":false,"suffix":""},{"dropping-particle":"","family":"Sasaki","given":"Joni Y.","non-dropping-particle":"","parse-names":false,"suffix":""},{"dropping-particle":"","family":"German","given":"Tamsin C.","non-dropping-particle":"","parse-names":false,"suffix":""}],"container-title":"Cognition","id":"ITEM-1","issued":{"date-parts":[["2015","3"]]},"page":"49-63","publisher":"Elsevier B.V.","title":"Specialized mechanisms for theory of mind: Are mental representations special because they are mental or because they are representations?","type":"article-journal","volume":"136"},"uris":["http://www.mendeley.com/documents/?uuid=a50decbe-1cba-4d6b-92f0-0995fc685462"]}],"mendeley":{"formattedCitation":"(Cohen et al., 2015)","manualFormatting":"Cohen, Sasaki, and German (2015)","plainTextFormattedCitation":"(Cohen et al., 2015)","previouslyFormattedCitation":"(Cohen et al., 2015)"},"properties":{"noteIndex":0},"schema":"https://github.com/citation-style-language/schema/raw/master/csl-citation.json"}</w:instrText>
      </w:r>
      <w:r w:rsidR="006703C2" w:rsidRPr="00BD14B0">
        <w:fldChar w:fldCharType="separate"/>
      </w:r>
      <w:r w:rsidR="006703C2" w:rsidRPr="00BD14B0">
        <w:rPr>
          <w:noProof/>
        </w:rPr>
        <w:t>Cohen, Sasaki, and German (2015)</w:t>
      </w:r>
      <w:r w:rsidR="006703C2" w:rsidRPr="00BD14B0">
        <w:fldChar w:fldCharType="end"/>
      </w:r>
      <w:r w:rsidR="006703C2" w:rsidRPr="00BD14B0">
        <w:t xml:space="preserve"> showed that cultural background influences the processing of gaze cues by shifting the focus into a more narrow or b</w:t>
      </w:r>
      <w:r w:rsidR="002D04B2" w:rsidRPr="00BD14B0">
        <w:t>roa</w:t>
      </w:r>
      <w:r w:rsidR="006703C2" w:rsidRPr="00BD14B0">
        <w:t xml:space="preserve">d perspective. Interesting results from cultural psychology research have shown that cultural differences can also influence basic cognitive processes </w:t>
      </w:r>
      <w:r w:rsidR="006703C2" w:rsidRPr="00BD14B0">
        <w:fldChar w:fldCharType="begin" w:fldLock="1"/>
      </w:r>
      <w:r w:rsidR="006703C2" w:rsidRPr="00BD14B0">
        <w:instrText>ADDIN CSL_CITATION {"citationItems":[{"id":"ITEM-1","itemData":{"DOI":"10.1037/0033-295X.108.2.291","ISBN":"1939-1471(Electronic),0033-295X(Print)","ISSN":"1939-1471","abstract":"The authors find East Asians to be holistic, attending to the entire field and assigning causality to it, making relatively little use of categories and formal logic, and relying on \"dialectical\" reasoning, whereas Westerners, are more analytic, paying attention primarily to the object and the categories to which it belongs and using rules, including formal logic, to understand its behavior. The 2 types of cognitive processes are embedded in different naive metaphysical systems and tacit epistemologies. The authors speculate that the origin of these differences is traceable to markedly different social systems. The theory and the evidence presented call into question long-held assumptions about basic cognitive processes and even about the appropriateness of the process–content distinction. (PsycINFO Database Record (c) 2016 APA, all rights reserved)","author":[{"dropping-particle":"","family":"Nisbett","given":"Richard E","non-dropping-particle":"","parse-names":false,"suffix":""},{"dropping-particle":"","family":"Peng","given":"Kaiping","non-dropping-particle":"","parse-names":false,"suffix":""},{"dropping-particle":"","family":"Choi","given":"Incheol","non-dropping-particle":"","parse-names":false,"suffix":""},{"dropping-particle":"","family":"Norenzayan","given":"Ara","non-dropping-particle":"","parse-names":false,"suffix":""}],"container-title":"Psychological Review","id":"ITEM-1","issue":"2","issued":{"date-parts":[["2001"]]},"page":"291-310","publisher":"American Psychological Association","publisher-place":"US","title":"Culture and systems of thought: Holistic versus analytic cognition.","type":"article-journal","volume":"108"},"uris":["http://www.mendeley.com/documents/?uuid=8b19d3df-a48f-4b98-9d64-5c2e9cfdd37c"]}],"mendeley":{"formattedCitation":"(Nisbett et al., 2001)","plainTextFormattedCitation":"(Nisbett et al., 2001)","previouslyFormattedCitation":"(Nisbett et al., 2001)"},"properties":{"noteIndex":0},"schema":"https://github.com/citation-style-language/schema/raw/master/csl-citation.json"}</w:instrText>
      </w:r>
      <w:r w:rsidR="006703C2" w:rsidRPr="00BD14B0">
        <w:fldChar w:fldCharType="separate"/>
      </w:r>
      <w:r w:rsidR="006703C2" w:rsidRPr="00BD14B0">
        <w:rPr>
          <w:noProof/>
        </w:rPr>
        <w:t>(Nisbett et al., 2001)</w:t>
      </w:r>
      <w:r w:rsidR="006703C2" w:rsidRPr="00BD14B0">
        <w:fldChar w:fldCharType="end"/>
      </w:r>
      <w:r w:rsidR="006703C2" w:rsidRPr="00BD14B0">
        <w:t xml:space="preserve">. Such differences include the social attention system. For example, an interdependent culture requires people to be more conscious of individuals and the interaction between them, and they are better able to remember faces and objects than people from individualistic cultures </w:t>
      </w:r>
      <w:r w:rsidR="006703C2" w:rsidRPr="00BD14B0">
        <w:fldChar w:fldCharType="begin" w:fldLock="1"/>
      </w:r>
      <w:r w:rsidR="006703C2" w:rsidRPr="00BD14B0">
        <w:instrText>ADDIN CSL_CITATION {"citationItems":[{"id":"ITEM-1","itemData":{"DOI":"10.1037/0022-3514.94.3.365","ISBN":"1939-1315(Electronic),0022-3514(Print)","ISSN":"1939-1315","abstract":"[Correction Notice: An Erratum for this article was reported in Vol 108(3) of Journal of Personality and Social Psychology (see record 2015-09924-005). Various corrections are needed for several subsections in Study 2 and Figure 3. The corrections are present in the erratum.] Two studies tested the hypothesis that in judging people's emotions from their facial expressions, Japanese, more than Westerners, incorporate information from the social context. In Study 1, participants viewed cartoons depicting a happy, sad, angry, or neutral person surrounded by other people expressing the same emotion as the central person or a different one. The surrounding people's emotions influenced Japanese but not Westerners' perceptions of the central person. These differences reflect differences in attention, as indicated by eye-tracking data (Study 2): Japanese looked at the surrounding people more than did Westerners. Previous findings on East-West differences in contextual sensitivity generalize to social contexts, suggesting that Westerners see emotions as individual feelings, whereas Japanese see them as inseparable from the feelings of the group. (PsycINFO Database Record (c) 2016 APA, all rights reserved)","author":[{"dropping-particle":"","family":"Masuda","given":"Takahiko","non-dropping-particle":"","parse-names":false,"suffix":""},{"dropping-particle":"","family":"Ellsworth","given":"Phoebe C","non-dropping-particle":"","parse-names":false,"suffix":""},{"dropping-particle":"","family":"Mesquita","given":"Batja","non-dropping-particle":"","parse-names":false,"suffix":""},{"dropping-particle":"","family":"Leu","given":"Janxin","non-dropping-particle":"","parse-names":false,"suffix":""},{"dropping-particle":"","family":"Tanida","given":"Shigehito","non-dropping-particle":"","parse-names":false,"suffix":""},{"dropping-particle":"","family":"Veerdonk","given":"Ellen","non-dropping-particle":"Van de","parse-names":false,"suffix":""}],"container-title":"Journal of Personality and Social Psychology","id":"ITEM-1","issue":"3","issued":{"date-parts":[["2008"]]},"page":"365-381","publisher":"American Psychological Association","publisher-place":"Masuda, Takahiko: Department of Psychology, University of Alberta, P-355, Biological Sciences Building, Edmonton, AB, Canada, T6G 2E9, tmasuda@ualberta.ca","title":"Placing the face in context: Cultural differences in the perception of facial emotion.","type":"article-journal","volume":"94"},"uris":["http://www.mendeley.com/documents/?uuid=23160698-9996-481f-89c7-0500789cbdb3"]}],"mendeley":{"formattedCitation":"(Masuda et al., 2008)","plainTextFormattedCitation":"(Masuda et al., 2008)","previouslyFormattedCitation":"(Masuda et al., 2008)"},"properties":{"noteIndex":0},"schema":"https://github.com/citation-style-language/schema/raw/master/csl-citation.json"}</w:instrText>
      </w:r>
      <w:r w:rsidR="006703C2" w:rsidRPr="00BD14B0">
        <w:fldChar w:fldCharType="separate"/>
      </w:r>
      <w:r w:rsidR="006703C2" w:rsidRPr="00BD14B0">
        <w:rPr>
          <w:noProof/>
        </w:rPr>
        <w:t>(Masuda et al., 2008)</w:t>
      </w:r>
      <w:r w:rsidR="006703C2" w:rsidRPr="00BD14B0">
        <w:fldChar w:fldCharType="end"/>
      </w:r>
      <w:r w:rsidR="006703C2" w:rsidRPr="00BD14B0">
        <w:t xml:space="preserve">. </w:t>
      </w:r>
      <w:r w:rsidR="00402245" w:rsidRPr="00BD14B0">
        <w:t xml:space="preserve">The social attention system can automatically process gaze cues, but only to the extent that the connections between the cues are relevant to the person receiving the stimulus </w:t>
      </w:r>
      <w:r w:rsidR="006703C2" w:rsidRPr="00BD14B0">
        <w:t xml:space="preserve">(called perceptual readiness; see, </w:t>
      </w:r>
      <w:r w:rsidR="006703C2" w:rsidRPr="00BD14B0">
        <w:fldChar w:fldCharType="begin" w:fldLock="1"/>
      </w:r>
      <w:r w:rsidR="006703C2" w:rsidRPr="00BD14B0">
        <w:instrText>ADDIN CSL_CITATION {"citationItems":[{"id":"ITEM-1","itemData":{"DOI":"10.1037/h0043805","ISBN":"1939-1471(Electronic),0033-295X(Print)","ISSN":"1939-1471","abstract":"Readiness depends on how accessible categories are to the stimulated organism. Accessibility is a function of the likehood of occurrence of previously learned events, and one's need states and habits of daily living. Lack of perceptual readiness can be rectified by relearning the categories, or by constant close inspection of events and objects. Sensory stimuli are \"sorted\" to appropriate categories by searching for and using cues. 4 mechanisms are proposed: \"grouping and integration, access ordering, match-mismatch signal utilization, and gating.\" Failure of perceptual readiness may occur because of inability to learn appropriate categories or through interference of accessible categories. These ideas may shed light on \"perceptual defense.\" 88 references. (PsycINFO Database Record (c) 2016 APA, all rights reserved)","author":[{"dropping-particle":"","family":"Bruner","given":"Jerome S","non-dropping-particle":"","parse-names":false,"suffix":""}],"container-title":"Psychological Review","id":"ITEM-1","issue":"2","issued":{"date-parts":[["1957"]]},"number-of-pages":"123-152","publisher":"American Psychological Association","publisher-place":"US","title":"On perceptual readiness.","type":"book","volume":"64"},"uris":["http://www.mendeley.com/documents/?uuid=ee9fb98d-b35c-4566-91e7-952145a14e91"]}],"mendeley":{"formattedCitation":"(Bruner, 1957)","manualFormatting":"Bruner, 1957)","plainTextFormattedCitation":"(Bruner, 1957)","previouslyFormattedCitation":"(Bruner, 1957)"},"properties":{"noteIndex":0},"schema":"https://github.com/citation-style-language/schema/raw/master/csl-citation.json"}</w:instrText>
      </w:r>
      <w:r w:rsidR="006703C2" w:rsidRPr="00BD14B0">
        <w:fldChar w:fldCharType="separate"/>
      </w:r>
      <w:r w:rsidR="006703C2" w:rsidRPr="00BD14B0">
        <w:rPr>
          <w:noProof/>
        </w:rPr>
        <w:t>Bruner, 1957)</w:t>
      </w:r>
      <w:r w:rsidR="006703C2" w:rsidRPr="00BD14B0">
        <w:fldChar w:fldCharType="end"/>
      </w:r>
      <w:r w:rsidR="006703C2" w:rsidRPr="00BD14B0">
        <w:t xml:space="preserve">. </w:t>
      </w:r>
      <w:r w:rsidR="00402245" w:rsidRPr="00BD14B0">
        <w:t xml:space="preserve">In </w:t>
      </w:r>
      <w:r w:rsidR="00402245" w:rsidRPr="00BD14B0">
        <w:lastRenderedPageBreak/>
        <w:t xml:space="preserve">response to specific "bottom-up" stimuli, "top-down" interactions can calibrate social attention to engage more broadly or narrowly </w:t>
      </w:r>
      <w:r w:rsidR="006703C2" w:rsidRPr="00BD14B0">
        <w:fldChar w:fldCharType="begin" w:fldLock="1"/>
      </w:r>
      <w:r w:rsidR="006703C2" w:rsidRPr="00BD14B0">
        <w:instrText>ADDIN CSL_CITATION {"citationItems":[{"id":"ITEM-1","itemData":{"DOI":"10.1111/cogs.12329","ISSN":"15516709","PMID":"26671451","abstract":"Are mechanisms for social attention influenced by culture? Evidence that social attention is triggered automatically by bottom-up gaze cues and is uninfluenced by top-down verbal instructions may suggest it operates in the same way everywhere. Yet considerations from evolutionary and cultural psychology suggest that specific aspects of one's cultural background may have consequence for the way mechanisms for social attention develop and operate. In more interdependent cultures, the scope of social attention may be broader, focusing on more individuals and relations between those individuals. We administered a multi-gaze cueing task requiring participants to fixate a foreground face flanked by background faces and measured shifts in attention using eye tracking. For European Americans, gaze cueing did not depend on the direction of background gaze cues, suggesting foreground gaze alone drives automatic attention shifting; for East Asians, cueing patterns differed depending on whether the foreground cue matched or mismatched background cues, suggesting foreground and background gaze information were integrated. These results demonstrate that cultural background influences the social attention system by shifting it into a narrow or broad mode of operation and, importantly, provides evidence challenging the assumption that mechanisms underlying automatic social attention are necessarily rigid and impenetrable to culture.","author":[{"dropping-particle":"","family":"Cohen","given":"Adam S.","non-dropping-particle":"","parse-names":false,"suffix":""},{"dropping-particle":"","family":"Sasaki","given":"Joni Y.","non-dropping-particle":"","parse-names":false,"suffix":""},{"dropping-particle":"","family":"German","given":"Tamsin C.","non-dropping-particle":"","parse-names":false,"suffix":""},{"dropping-particle":"","family":"Kim","given":"Heejung S.","non-dropping-particle":"","parse-names":false,"suffix":""}],"container-title":"Cognitive Science","id":"ITEM-1","issue":"1","issued":{"date-parts":[["2017"]]},"page":"242-258","title":"Automatic Mechanisms for Social Attention Are Culturally Penetrable","type":"article-journal","volume":"41"},"uris":["http://www.mendeley.com/documents/?uuid=8ed15a49-d447-4103-9927-2abada222480"]}],"mendeley":{"formattedCitation":"(Cohen et al., 2017)","plainTextFormattedCitation":"(Cohen et al., 2017)","previouslyFormattedCitation":"(Cohen et al., 2017)"},"properties":{"noteIndex":0},"schema":"https://github.com/citation-style-language/schema/raw/master/csl-citation.json"}</w:instrText>
      </w:r>
      <w:r w:rsidR="006703C2" w:rsidRPr="00BD14B0">
        <w:fldChar w:fldCharType="separate"/>
      </w:r>
      <w:r w:rsidR="006703C2" w:rsidRPr="00BD14B0">
        <w:rPr>
          <w:noProof/>
        </w:rPr>
        <w:t>(Cohen et al., 2017)</w:t>
      </w:r>
      <w:r w:rsidR="006703C2" w:rsidRPr="00BD14B0">
        <w:fldChar w:fldCharType="end"/>
      </w:r>
      <w:r w:rsidR="006703C2" w:rsidRPr="00BD14B0">
        <w:t>. The social attention mechanism can be sensitive to contextual knowledge that is culturally significant such as the status of one group relative to another (</w:t>
      </w:r>
      <w:proofErr w:type="spellStart"/>
      <w:r w:rsidR="006703C2" w:rsidRPr="00BD14B0">
        <w:t>Dalmaso</w:t>
      </w:r>
      <w:proofErr w:type="spellEnd"/>
      <w:r w:rsidR="006703C2" w:rsidRPr="00BD14B0">
        <w:t xml:space="preserve"> et al., 2012) or one's social status relative to another individual </w:t>
      </w:r>
      <w:r w:rsidR="006703C2" w:rsidRPr="00BD14B0">
        <w:fldChar w:fldCharType="begin" w:fldLock="1"/>
      </w:r>
      <w:r w:rsidR="006703C2" w:rsidRPr="00BD14B0">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2014)","plainTextFormattedCitation":"(Cui et al., 2014)","previouslyFormattedCitation":"(Cui et al., 2014)"},"properties":{"noteIndex":0},"schema":"https://github.com/citation-style-language/schema/raw/master/csl-citation.json"}</w:instrText>
      </w:r>
      <w:r w:rsidR="006703C2" w:rsidRPr="00BD14B0">
        <w:fldChar w:fldCharType="separate"/>
      </w:r>
      <w:r w:rsidR="006703C2" w:rsidRPr="00BD14B0">
        <w:rPr>
          <w:noProof/>
        </w:rPr>
        <w:t>(Cui et al., 2014)</w:t>
      </w:r>
      <w:r w:rsidR="006703C2" w:rsidRPr="00BD14B0">
        <w:fldChar w:fldCharType="end"/>
      </w:r>
      <w:r w:rsidR="006703C2" w:rsidRPr="00BD14B0">
        <w:t xml:space="preserve">. Most importantly, </w:t>
      </w:r>
      <w:r w:rsidR="006703C2" w:rsidRPr="00BD14B0">
        <w:fldChar w:fldCharType="begin" w:fldLock="1"/>
      </w:r>
      <w:r w:rsidR="004D2901" w:rsidRPr="00BD14B0">
        <w:instrText>ADDIN CSL_CITATION {"citationItems":[{"id":"ITEM-1","itemData":{"DOI":"10.1111/cogs.12329","ISSN":"15516709","PMID":"26671451","abstract":"Are mechanisms for social attention influenced by culture? Evidence that social attention is triggered automatically by bottom-up gaze cues and is uninfluenced by top-down verbal instructions may suggest it operates in the same way everywhere. Yet considerations from evolutionary and cultural psychology suggest that specific aspects of one's cultural background may have consequence for the way mechanisms for social attention develop and operate. In more interdependent cultures, the scope of social attention may be broader, focusing on more individuals and relations between those individuals. We administered a multi-gaze cueing task requiring participants to fixate a foreground face flanked by background faces and measured shifts in attention using eye tracking. For European Americans, gaze cueing did not depend on the direction of background gaze cues, suggesting foreground gaze alone drives automatic attention shifting; for East Asians, cueing patterns differed depending on whether the foreground cue matched or mismatched background cues, suggesting foreground and background gaze information were integrated. These results demonstrate that cultural background influences the social attention system by shifting it into a narrow or broad mode of operation and, importantly, provides evidence challenging the assumption that mechanisms underlying automatic social attention are necessarily rigid and impenetrable to culture.","author":[{"dropping-particle":"","family":"Cohen","given":"Adam S.","non-dropping-particle":"","parse-names":false,"suffix":""},{"dropping-particle":"","family":"Sasaki","given":"Joni Y.","non-dropping-particle":"","parse-names":false,"suffix":""},{"dropping-particle":"","family":"German","given":"Tamsin C.","non-dropping-particle":"","parse-names":false,"suffix":""},{"dropping-particle":"","family":"Kim","given":"Heejung S.","non-dropping-particle":"","parse-names":false,"suffix":""}],"container-title":"Cognitive Science","id":"ITEM-1","issue":"1","issued":{"date-parts":[["2017"]]},"page":"242-258","title":"Automatic Mechanisms for Social Attention Are Culturally Penetrable","type":"article-journal","volume":"41"},"uris":["http://www.mendeley.com/documents/?uuid=8ed15a49-d447-4103-9927-2abada222480"]}],"mendeley":{"formattedCitation":"(Cohen et al., 2017)","manualFormatting":"Cohen et al. (2017)","plainTextFormattedCitation":"(Cohen et al., 2017)","previouslyFormattedCitation":"(Cohen et al., 2017)"},"properties":{"noteIndex":0},"schema":"https://github.com/citation-style-language/schema/raw/master/csl-citation.json"}</w:instrText>
      </w:r>
      <w:r w:rsidR="006703C2" w:rsidRPr="00BD14B0">
        <w:fldChar w:fldCharType="separate"/>
      </w:r>
      <w:r w:rsidR="006703C2" w:rsidRPr="00BD14B0">
        <w:rPr>
          <w:noProof/>
        </w:rPr>
        <w:t>Cohen et al. (2017)</w:t>
      </w:r>
      <w:r w:rsidR="006703C2" w:rsidRPr="00BD14B0">
        <w:fldChar w:fldCharType="end"/>
      </w:r>
      <w:r w:rsidR="006703C2" w:rsidRPr="00BD14B0">
        <w:t xml:space="preserve"> provide evidence that differences in culture can shape habitual ways of attending to others. </w:t>
      </w:r>
      <w:r w:rsidR="00402245" w:rsidRPr="00BD14B0">
        <w:t>E</w:t>
      </w:r>
      <w:r w:rsidR="006703C2" w:rsidRPr="00BD14B0">
        <w:t xml:space="preserve">volutionary and cultural psychology suggest that in more interdependent cultures attention might be more focused on relations between individuals. The effect of threat has only been examined in </w:t>
      </w:r>
      <w:r w:rsidR="00460370" w:rsidRPr="00BD14B0">
        <w:t>E</w:t>
      </w:r>
      <w:r w:rsidR="006703C2" w:rsidRPr="00BD14B0">
        <w:t xml:space="preserve">astern cultures and not </w:t>
      </w:r>
      <w:r w:rsidR="00460370" w:rsidRPr="00BD14B0">
        <w:t>in W</w:t>
      </w:r>
      <w:r w:rsidR="006703C2" w:rsidRPr="00BD14B0">
        <w:t xml:space="preserve">estern cultures. As a result, it is </w:t>
      </w:r>
      <w:r w:rsidR="00402245" w:rsidRPr="00BD14B0">
        <w:t>un</w:t>
      </w:r>
      <w:r w:rsidR="006703C2" w:rsidRPr="00BD14B0">
        <w:t xml:space="preserve">known whether similar results would be </w:t>
      </w:r>
      <w:r w:rsidR="00402245" w:rsidRPr="00BD14B0">
        <w:t>obtained</w:t>
      </w:r>
      <w:r w:rsidR="006703C2" w:rsidRPr="00BD14B0">
        <w:t xml:space="preserve"> in a </w:t>
      </w:r>
      <w:r w:rsidR="00460370" w:rsidRPr="00BD14B0">
        <w:t>W</w:t>
      </w:r>
      <w:r w:rsidR="006703C2" w:rsidRPr="00BD14B0">
        <w:t>estern context.</w:t>
      </w:r>
    </w:p>
    <w:p w14:paraId="5668C891" w14:textId="3578290B" w:rsidR="006703C2" w:rsidRPr="00BD14B0" w:rsidRDefault="00E06A1C" w:rsidP="00553E01">
      <w:r w:rsidRPr="00BD14B0">
        <w:tab/>
      </w:r>
      <w:r w:rsidR="006703C2" w:rsidRPr="00BD14B0">
        <w:t xml:space="preserve">The generalizability of social cognition studies, in some ways, </w:t>
      </w:r>
      <w:r w:rsidR="00460370" w:rsidRPr="00BD14B0">
        <w:t>are</w:t>
      </w:r>
      <w:r w:rsidR="006703C2" w:rsidRPr="00BD14B0">
        <w:t xml:space="preserve"> limited</w:t>
      </w:r>
      <w:r w:rsidR="00402245" w:rsidRPr="00BD14B0">
        <w:t xml:space="preserve"> b</w:t>
      </w:r>
      <w:r w:rsidR="00460370" w:rsidRPr="00BD14B0">
        <w:t>e</w:t>
      </w:r>
      <w:r w:rsidR="00402245" w:rsidRPr="00BD14B0">
        <w:t>cause</w:t>
      </w:r>
      <w:r w:rsidR="006703C2" w:rsidRPr="00BD14B0">
        <w:t xml:space="preserve"> </w:t>
      </w:r>
      <w:r w:rsidR="00402245" w:rsidRPr="00BD14B0">
        <w:t>majority</w:t>
      </w:r>
      <w:r w:rsidR="006703C2" w:rsidRPr="00BD14B0">
        <w:t xml:space="preserve"> of them </w:t>
      </w:r>
      <w:r w:rsidR="00460370" w:rsidRPr="00BD14B0">
        <w:t xml:space="preserve">have been </w:t>
      </w:r>
      <w:r w:rsidR="006703C2" w:rsidRPr="00BD14B0">
        <w:t xml:space="preserve">conducted in a laboratory </w:t>
      </w:r>
      <w:r w:rsidR="00402245" w:rsidRPr="00BD14B0">
        <w:t>setting</w:t>
      </w:r>
      <w:r w:rsidR="006703C2" w:rsidRPr="00BD14B0">
        <w:t>.</w:t>
      </w:r>
      <w:r w:rsidR="00402245" w:rsidRPr="00BD14B0">
        <w:t xml:space="preserve"> According to</w:t>
      </w:r>
      <w:r w:rsidR="006703C2" w:rsidRPr="00BD14B0">
        <w:t xml:space="preserve"> </w:t>
      </w:r>
      <w:r w:rsidR="006703C2" w:rsidRPr="00BD14B0">
        <w:fldChar w:fldCharType="begin" w:fldLock="1"/>
      </w:r>
      <w:r w:rsidR="006703C2" w:rsidRPr="00BD14B0">
        <w:instrText>ADDIN CSL_CITATION {"citationItems":[{"id":"ITEM-1","itemData":{"DOI":"10.1177/0963721415617806","ISBN":"0963721415617","ISSN":"0963-7214","abstract":"Research in cognitive science typically places a boundary between participants and the stimuli they are asked to process. While this separation affords experimental control, it can also severely limit the generalizability of the conclusions that are drawn. Here, we review new evidence that some conclusions that have been drawn about social attention do not extend beyond the laboratory. They fundamentally misrepresent how social attention operates in natural social contexts. Critically, these difficulties have led to renewed interest in the dual function of gaze—when in authentic social situations, the eyes both collect information from the environment (an encoding function) and communicate one’s mental states to others (a signaling function)—which traditional social-attention paradigms arguably have failed to capture. We review this recent work and discuss the utility of adopting more naturalistic methods in cognitive science.","author":[{"dropping-particle":"","family":"Risko","given":"Evan F.","non-dropping-particle":"","parse-names":false,"suffix":""},{"dropping-particle":"","family":"Richardson","given":"Daniel C.","non-dropping-particle":"","parse-names":false,"suffix":""},{"dropping-particle":"","family":"Kingstone","given":"Alan","non-dropping-particle":"","parse-names":false,"suffix":""}],"container-title":"Current Directions in Psychological Science","id":"ITEM-1","issue":"1","issued":{"date-parts":[["2016","2","10"]]},"page":"70-74","title":"Breaking the Fourth Wall of Cognitive Science","type":"article-journal","volume":"25"},"uris":["http://www.mendeley.com/documents/?uuid=42d6d7f4-3f67-4aff-b475-b74b3035bb1b"]}],"mendeley":{"formattedCitation":"(Risko et al., 2016)","manualFormatting":"Risko, Richardson, and Kingstone (2016)","plainTextFormattedCitation":"(Risko et al., 2016)","previouslyFormattedCitation":"(Risko et al., 2016)"},"properties":{"noteIndex":0},"schema":"https://github.com/citation-style-language/schema/raw/master/csl-citation.json"}</w:instrText>
      </w:r>
      <w:r w:rsidR="006703C2" w:rsidRPr="00BD14B0">
        <w:fldChar w:fldCharType="separate"/>
      </w:r>
      <w:r w:rsidR="006703C2" w:rsidRPr="00BD14B0">
        <w:rPr>
          <w:noProof/>
        </w:rPr>
        <w:t>Risko, Richardson, and Kingstone (2016)</w:t>
      </w:r>
      <w:r w:rsidR="006703C2" w:rsidRPr="00BD14B0">
        <w:fldChar w:fldCharType="end"/>
      </w:r>
      <w:r w:rsidR="004F6D2B" w:rsidRPr="00BD14B0">
        <w:t>,</w:t>
      </w:r>
      <w:r w:rsidR="006703C2" w:rsidRPr="00BD14B0">
        <w:t xml:space="preserve"> social cognition research puts a boundary between the participant and the stimuli they are observing. While this separation </w:t>
      </w:r>
      <w:r w:rsidR="004F6D2B" w:rsidRPr="00BD14B0">
        <w:t>allows for</w:t>
      </w:r>
      <w:r w:rsidR="006703C2" w:rsidRPr="00BD14B0">
        <w:t xml:space="preserve"> experimental control, it also limits the generali</w:t>
      </w:r>
      <w:r w:rsidR="004F6D2B" w:rsidRPr="00BD14B0">
        <w:t>z</w:t>
      </w:r>
      <w:r w:rsidR="006703C2" w:rsidRPr="00BD14B0">
        <w:t xml:space="preserve">ability of the research findings. Indeed, it has been shown that people were less likely to look at a provocative swimsuit calendar when they believed their eye gaze was being monitored </w:t>
      </w:r>
      <w:r w:rsidR="006703C2" w:rsidRPr="00BD14B0">
        <w:fldChar w:fldCharType="begin" w:fldLock="1"/>
      </w:r>
      <w:r w:rsidR="006703C2" w:rsidRPr="00BD14B0">
        <w:instrText>ADDIN CSL_CITATION {"citationItems":[{"id":"ITEM-1","itemData":{"DOI":"10.3758/s13414-010-0042-1","ISSN":"1943-3921","abstract":"People often behave differently when they know they are being watched. Here, we report the first investigation of whether such social presence effects also influence looking behavior--a popular measure of attention allocation. We demonstrate that wearing an eye tracker, an implied social presence, leads individuals to avoid looking at particular stimuli. These results demonstrate that an implied social presence, here an eye tracker, can alter looking behavior. These data provide a new manipulation of social attention, as well as presenting a methodological challenge to researchers using eye tracking.","author":[{"dropping-particle":"","family":"Risko","given":"Evan F.","non-dropping-particle":"","parse-names":false,"suffix":""},{"dropping-particle":"","family":"Kingstone","given":"Alan","non-dropping-particle":"","parse-names":false,"suffix":""}],"container-title":"Attention, Perception, &amp; Psychophysics","id":"ITEM-1","issue":"2","issued":{"date-parts":[["2011","2","19"]]},"page":"291-296","title":"Eyes wide shut: implied social presence, eye tracking and attention","type":"article-journal","volume":"73"},"uris":["http://www.mendeley.com/documents/?uuid=b9ea9a68-4423-45be-91f7-c062f9fa600b"]}],"mendeley":{"formattedCitation":"(Risko &amp; Kingstone, 2011)","plainTextFormattedCitation":"(Risko &amp; Kingstone, 2011)","previouslyFormattedCitation":"(Risko &amp; Kingstone, 2011)"},"properties":{"noteIndex":0},"schema":"https://github.com/citation-style-language/schema/raw/master/csl-citation.json"}</w:instrText>
      </w:r>
      <w:r w:rsidR="006703C2" w:rsidRPr="00BD14B0">
        <w:fldChar w:fldCharType="separate"/>
      </w:r>
      <w:r w:rsidR="006703C2" w:rsidRPr="00BD14B0">
        <w:rPr>
          <w:noProof/>
        </w:rPr>
        <w:t>(Risko &amp; Kingstone, 2011)</w:t>
      </w:r>
      <w:r w:rsidR="006703C2" w:rsidRPr="00BD14B0">
        <w:fldChar w:fldCharType="end"/>
      </w:r>
      <w:r w:rsidR="004F6D2B" w:rsidRPr="00BD14B0">
        <w:t xml:space="preserve"> in real life</w:t>
      </w:r>
      <w:r w:rsidR="006703C2" w:rsidRPr="00BD14B0">
        <w:t xml:space="preserve">. In another study, </w:t>
      </w:r>
      <w:r w:rsidR="006703C2" w:rsidRPr="00BD14B0">
        <w:fldChar w:fldCharType="begin" w:fldLock="1"/>
      </w:r>
      <w:r w:rsidR="004D2901" w:rsidRPr="00BD14B0">
        <w:instrText>ADDIN CSL_CITATION {"citationItems":[{"id":"ITEM-1","itemData":{"DOI":"10.1371/journal.pone.0053286","ISSN":"1932-6203","abstract":"Social understanding is facilitated by effectively attending to other people and the subtle social cues they generate. In order to more fully appreciate the nature of social attention and what drives people to attend to social aspects of the world, one must investigate the factors that influence social attention. This is especially important when attempting to create models of disordered social attention, e.g. a model of social attention in autism. Here we analysed participants' viewing behaviour during one-to-one social interactions with an experimenter. Interactions were conducted either live or via video (social presence manipulation). The participant was asked and then required to answer questions. Experimenter eye-contact was either direct or averted. Additionally, the influence of participant self-reported autistic traits was also investigated. We found that regardless of whether the interaction was conducted live or via a video, participants frequently looked at the experimenter's face, and they did this more often when being asked a question than when answering. Critical differences in social attention between the live and video interactions were also observed. Modifications of experimenter eye contact influenced participants' eye movements in the live interaction only; and increased autistic traits were associated with less looking at the experimenter for video interactions only. We conclude that analysing patterns of eye-movements in response to strictly controlled video stimuli and natural real-world stimuli furthers the field's understanding of the factors that influence social attention.","author":[{"dropping-particle":"","family":"Freeth","given":"Megan","non-dropping-particle":"","parse-names":false,"suffix":""},{"dropping-particle":"","family":"Foulsham","given":"Tom","non-dropping-particle":"","parse-names":false,"suffix":""},{"dropping-particle":"","family":"Kingstone","given":"Alan","non-dropping-particle":"","parse-names":false,"suffix":""}],"container-title":"Plos One","id":"ITEM-1","issue":"1","issued":{"date-parts":[["2013"]]},"note":"Times Cited: 7\n7","title":"What Affects Social Attention? Social Presence, Eye Contact and Autistic Traits","type":"article-journal","volume":"8"},"uris":["http://www.mendeley.com/documents/?uuid=f6d66173-773d-42d2-adb6-34aa87867aab"]}],"mendeley":{"formattedCitation":"(Megan Freeth et al., 2013)","manualFormatting":"Freeth, Foulsham, and Kingstone (2013)","plainTextFormattedCitation":"(Megan Freeth et al., 2013)","previouslyFormattedCitation":"(Megan Freeth et al., 2013)"},"properties":{"noteIndex":0},"schema":"https://github.com/citation-style-language/schema/raw/master/csl-citation.json"}</w:instrText>
      </w:r>
      <w:r w:rsidR="006703C2" w:rsidRPr="00BD14B0">
        <w:fldChar w:fldCharType="separate"/>
      </w:r>
      <w:r w:rsidR="006703C2" w:rsidRPr="00BD14B0">
        <w:rPr>
          <w:noProof/>
        </w:rPr>
        <w:t>Freeth, Foulsham, and Kingstone (2013)</w:t>
      </w:r>
      <w:r w:rsidR="006703C2" w:rsidRPr="00BD14B0">
        <w:fldChar w:fldCharType="end"/>
      </w:r>
      <w:r w:rsidR="006703C2" w:rsidRPr="00BD14B0">
        <w:t xml:space="preserve"> </w:t>
      </w:r>
      <w:r w:rsidR="004F6D2B" w:rsidRPr="00BD14B0">
        <w:t>discovered</w:t>
      </w:r>
      <w:r w:rsidR="006703C2" w:rsidRPr="00BD14B0">
        <w:t xml:space="preserve"> significant differences in social attention when viewing the same task in a live versus video recorded condition. In the live condition, the experimenter was physically in the room with the participants. In video record condition </w:t>
      </w:r>
      <w:r w:rsidR="00601643" w:rsidRPr="00BD14B0">
        <w:t xml:space="preserve">the </w:t>
      </w:r>
      <w:r w:rsidR="006703C2" w:rsidRPr="00BD14B0">
        <w:t xml:space="preserve">same experiment was repeated but it was pre-recorded and </w:t>
      </w:r>
      <w:r w:rsidR="004F6D2B" w:rsidRPr="00BD14B0">
        <w:t>viewed</w:t>
      </w:r>
      <w:r w:rsidR="006703C2" w:rsidRPr="00BD14B0">
        <w:t xml:space="preserve"> </w:t>
      </w:r>
      <w:r w:rsidR="004F6D2B" w:rsidRPr="00BD14B0">
        <w:t>on</w:t>
      </w:r>
      <w:r w:rsidR="006703C2" w:rsidRPr="00BD14B0">
        <w:t xml:space="preserve"> a computer screen. It has been shown that participants were more likely to look at the face rather than the body of the experimenter when eye contact was made compared to when eye contact was not made; however, this difference did not emerge in pre-recorded video condition </w:t>
      </w:r>
      <w:r w:rsidR="006703C2" w:rsidRPr="00BD14B0">
        <w:fldChar w:fldCharType="begin" w:fldLock="1"/>
      </w:r>
      <w:r w:rsidR="0028287E" w:rsidRPr="00BD14B0">
        <w:instrText>ADDIN CSL_CITATION {"citationItems":[{"id":"ITEM-1","itemData":{"DOI":"10.1371/journal.pone.0053286","ISSN":"1932-6203","abstract":"Social understanding is facilitated by effectively attending to other people and the subtle social cues they generate. In order to more fully appreciate the nature of social attention and what drives people to attend to social aspects of the world, one must investigate the factors that influence social attention. This is especially important when attempting to create models of disordered social attention, e.g. a model of social attention in autism. Here we analysed participants' viewing behaviour during one-to-one social interactions with an experimenter. Interactions were conducted either live or via video (social presence manipulation). The participant was asked and then required to answer questions. Experimenter eye-contact was either direct or averted. Additionally, the influence of participant self-reported autistic traits was also investigated. We found that regardless of whether the interaction was conducted live or via a video, participants frequently looked at the experimenter's face, and they did this more often when being asked a question than when answering. Critical differences in social attention between the live and video interactions were also observed. Modifications of experimenter eye contact influenced participants' eye movements in the live interaction only; and increased autistic traits were associated with less looking at the experimenter for video interactions only. We conclude that analysing patterns of eye-movements in response to strictly controlled video stimuli and natural real-world stimuli furthers the field's understanding of the factors that influence social attention.","author":[{"dropping-particle":"","family":"Freeth","given":"Megan","non-dropping-particle":"","parse-names":false,"suffix":""},{"dropping-particle":"","family":"Foulsham","given":"Tom","non-dropping-particle":"","parse-names":false,"suffix":""},{"dropping-particle":"","family":"Kingstone","given":"Alan","non-dropping-particle":"","parse-names":false,"suffix":""}],"container-title":"Plos One","id":"ITEM-1","issue":"1","issued":{"date-parts":[["2013"]]},"note":"Times Cited: 7\n7","title":"What Affects Social Attention? Social Presence, Eye Contact and Autistic Traits","type":"article-journal","volume":"8"},"uris":["http://www.mendeley.com/documents/?uuid=f6d66173-773d-42d2-adb6-34aa87867aab"]}],"mendeley":{"formattedCitation":"(Megan Freeth et al., 2013)","manualFormatting":"(Freeth et al., 2013)","plainTextFormattedCitation":"(Megan Freeth et al., 2013)","previouslyFormattedCitation":"(Megan Freeth et al., 2013)"},"properties":{"noteIndex":0},"schema":"https://github.com/citation-style-language/schema/raw/master/csl-citation.json"}</w:instrText>
      </w:r>
      <w:r w:rsidR="006703C2" w:rsidRPr="00BD14B0">
        <w:fldChar w:fldCharType="separate"/>
      </w:r>
      <w:r w:rsidR="004D2901" w:rsidRPr="00BD14B0">
        <w:rPr>
          <w:noProof/>
        </w:rPr>
        <w:t>(Freeth et al., 2013)</w:t>
      </w:r>
      <w:r w:rsidR="006703C2" w:rsidRPr="00BD14B0">
        <w:fldChar w:fldCharType="end"/>
      </w:r>
      <w:r w:rsidR="006703C2" w:rsidRPr="00BD14B0">
        <w:t>. These results demonstrated that eye contact had a more profound effect on the attention of the observer in a real</w:t>
      </w:r>
      <w:r w:rsidR="00601643" w:rsidRPr="00BD14B0">
        <w:t>-</w:t>
      </w:r>
      <w:r w:rsidR="006703C2" w:rsidRPr="00BD14B0">
        <w:t xml:space="preserve">life condition than in the pre-recorded condition. On the other hand, ingroup-outgroup studies have shown that the effect of group belonging occurs even in </w:t>
      </w:r>
      <w:r w:rsidR="00601643" w:rsidRPr="00BD14B0">
        <w:t xml:space="preserve">the </w:t>
      </w:r>
      <w:r w:rsidR="006703C2" w:rsidRPr="00BD14B0">
        <w:t>lab environment with a minimal group paradigm. Hence, it is important to keep in mind that in some</w:t>
      </w:r>
      <w:r w:rsidR="00460370" w:rsidRPr="00BD14B0">
        <w:t>,</w:t>
      </w:r>
      <w:r w:rsidR="006703C2" w:rsidRPr="00BD14B0">
        <w:t xml:space="preserve"> but not all contexts</w:t>
      </w:r>
      <w:r w:rsidR="00460370" w:rsidRPr="00BD14B0">
        <w:t>,</w:t>
      </w:r>
      <w:r w:rsidR="006703C2" w:rsidRPr="00BD14B0">
        <w:t xml:space="preserve"> the generalisability of findings may be limited when conducting social attention research in controlled experimental settings.</w:t>
      </w:r>
    </w:p>
    <w:p w14:paraId="0CE3468F" w14:textId="2866D42C" w:rsidR="006703C2" w:rsidRPr="00BD14B0" w:rsidRDefault="00E06A1C" w:rsidP="00553E01">
      <w:r w:rsidRPr="00BD14B0">
        <w:lastRenderedPageBreak/>
        <w:tab/>
      </w:r>
      <w:r w:rsidR="006703C2" w:rsidRPr="00BD14B0">
        <w:t>Most of the laboratory</w:t>
      </w:r>
      <w:r w:rsidR="00601643" w:rsidRPr="00BD14B0">
        <w:t>-</w:t>
      </w:r>
      <w:r w:rsidR="006703C2" w:rsidRPr="00BD14B0">
        <w:t xml:space="preserve">based social cognition studies are conducted at psychology departments in different institutions. The samples in these studies are generally female weighted (i.e., more female participants than male participants are tested) because psychology departments tend to have more female students than male students in undergraduate level education </w:t>
      </w:r>
      <w:r w:rsidR="006703C2" w:rsidRPr="00BD14B0">
        <w:fldChar w:fldCharType="begin" w:fldLock="1"/>
      </w:r>
      <w:r w:rsidR="006703C2" w:rsidRPr="00BD14B0">
        <w:instrText>ADDIN CSL_CITATION {"citationItems":[{"id":"ITEM-1","itemData":{"author":[{"dropping-particle":"","family":"Turpin","given":"G","non-dropping-particle":"","parse-names":false,"suffix":""},{"dropping-particle":"","family":"Fensom","given":"P","non-dropping-particle":"","parse-names":false,"suffix":""}],"container-title":"Report published by The British Psychological Society, Division of Clinical Psychology","id":"ITEM-1","issued":{"date-parts":[["2004"]]},"title":"Widening access within undergraduate psychology education and its implications for professional psychology: Gender, disability and ethnic diversity","type":"article-journal"},"uris":["http://www.mendeley.com/documents/?uuid=b19875df-de52-4258-a6fb-dd6f94e4bd95"]}],"mendeley":{"formattedCitation":"(Turpin &amp; Fensom, 2004)","plainTextFormattedCitation":"(Turpin &amp; Fensom, 2004)","previouslyFormattedCitation":"(Turpin &amp; Fensom, 2004)"},"properties":{"noteIndex":0},"schema":"https://github.com/citation-style-language/schema/raw/master/csl-citation.json"}</w:instrText>
      </w:r>
      <w:r w:rsidR="006703C2" w:rsidRPr="00BD14B0">
        <w:fldChar w:fldCharType="separate"/>
      </w:r>
      <w:r w:rsidR="006703C2" w:rsidRPr="00BD14B0">
        <w:rPr>
          <w:noProof/>
        </w:rPr>
        <w:t>(Turpin &amp; Fensom, 2004)</w:t>
      </w:r>
      <w:r w:rsidR="006703C2" w:rsidRPr="00BD14B0">
        <w:fldChar w:fldCharType="end"/>
      </w:r>
      <w:r w:rsidR="006703C2" w:rsidRPr="00BD14B0">
        <w:t>. In social attention studies</w:t>
      </w:r>
      <w:r w:rsidR="008A2569" w:rsidRPr="00BD14B0">
        <w:t>,</w:t>
      </w:r>
      <w:r w:rsidR="006703C2" w:rsidRPr="00BD14B0">
        <w:t xml:space="preserve"> different sensitivity to social stimuli in males and females has been shown repeatedly. Females tend to show enhanced sensitivity to social cues perceived by eye gaze compared to males </w:t>
      </w:r>
      <w:r w:rsidR="006703C2" w:rsidRPr="00BD14B0">
        <w:fldChar w:fldCharType="begin" w:fldLock="1"/>
      </w:r>
      <w:r w:rsidR="004D2901" w:rsidRPr="00BD14B0">
        <w:instrText>ADDIN CSL_CITATION {"citationItems":[{"id":"ITEM-1","itemData":{"DOI":"10.1098/rsbl.2006.0564","ISSN":"1744-9561","abstract":"Gaze cuing, the tendency to shift attention in the direction other individuals are looking, is hypothesized to depend on a distinct neural module. One expectation of such a module is that information processing should be encapsulated within it. Here, we tested whether familiarity, a type of social knowledge, penetrates the neural circuits governing gaze cuing. Male and female subjects viewed the face of an adult male looking left or right and then pressed a keypad to indicate the location of a target appearing randomly left or right. Responses were faster for targets congruent with gaze direction. Moreover, gaze cuing was stronger in females than males. Contrary to the modularity hypothesis, familiarity enhanced gaze cuing, but only in females. Sex differences in the effects of familiarity on gaze cuing may reflect greater adaptive significance of social information for females than males.","author":[{"dropping-particle":"","family":"Deaner","given":"Robert O","non-dropping-particle":"","parse-names":false,"suffix":""},{"dropping-particle":"V","family":"Shepherd","given":"Stephen","non-dropping-particle":"","parse-names":false,"suffix":""},{"dropping-particle":"","family":"Platt","given":"Michael L","non-dropping-particle":"","parse-names":false,"suffix":""}],"container-title":"Biology Letters","id":"ITEM-1","issue":"1","issued":{"date-parts":[["2007","2","22"]]},"note":"Times Cited: 31\n32","page":"65-68","title":"Familiarity accentuates gaze cuing in women but not men","type":"article-journal","volume":"3"},"uris":["http://www.mendeley.com/documents/?uuid=c40566fa-2045-42e8-8818-c7b3fd74af89"]}],"mendeley":{"formattedCitation":"(R. O. Deaner et al., 2007)","manualFormatting":"(Deaner, Shepherd, &amp; Platt, 2007)","plainTextFormattedCitation":"(R. O. Deaner et al., 2007)","previouslyFormattedCitation":"(R. O. Deaner et al., 2007)"},"properties":{"noteIndex":0},"schema":"https://github.com/citation-style-language/schema/raw/master/csl-citation.json"}</w:instrText>
      </w:r>
      <w:r w:rsidR="006703C2" w:rsidRPr="00BD14B0">
        <w:fldChar w:fldCharType="separate"/>
      </w:r>
      <w:r w:rsidR="006703C2" w:rsidRPr="00BD14B0">
        <w:rPr>
          <w:noProof/>
        </w:rPr>
        <w:t>(Deaner, Shepherd, &amp; Platt, 2007)</w:t>
      </w:r>
      <w:r w:rsidR="006703C2" w:rsidRPr="00BD14B0">
        <w:fldChar w:fldCharType="end"/>
      </w:r>
      <w:r w:rsidR="006703C2" w:rsidRPr="00BD14B0">
        <w:t xml:space="preserve">. Females also show an enhanced gaze cuing effect compared to males specifically at short viewing times (300 </w:t>
      </w:r>
      <w:proofErr w:type="spellStart"/>
      <w:r w:rsidR="00A35ECD" w:rsidRPr="00BD14B0">
        <w:t>m</w:t>
      </w:r>
      <w:r w:rsidR="006703C2" w:rsidRPr="00BD14B0">
        <w:t>s</w:t>
      </w:r>
      <w:proofErr w:type="spellEnd"/>
      <w:r w:rsidR="006703C2" w:rsidRPr="00BD14B0">
        <w:t xml:space="preserve">) </w:t>
      </w:r>
      <w:r w:rsidR="006703C2" w:rsidRPr="00BD14B0">
        <w:fldChar w:fldCharType="begin" w:fldLock="1"/>
      </w:r>
      <w:r w:rsidR="004D2901" w:rsidRPr="00BD14B0">
        <w:instrText>ADDIN CSL_CITATION {"citationItems":[{"id":"ITEM-1","itemData":{"DOI":"10.1080/02724980443000124","ISSN":"0272-4987","author":[{"dropping-particle":"","family":"Bayliss","given":"A P","non-dropping-particle":"","parse-names":false,"suffix":""},{"dropping-particle":"","family":"Pellegrino","given":"G","non-dropping-particle":"Di","parse-names":false,"suffix":""},{"dropping-particle":"","family":"Tipper","given":"Sr.","non-dropping-particle":"","parse-names":false,"suffix":""}],"container-title":"Q. J. Exp. Psychol. Sect A-Hum. Exp. Psychol.","id":"ITEM-1","issue":"4","issued":{"date-parts":[["2005"]]},"page":"631-650","title":"Sex differences in eye gaze and symbolic cueing of attention","type":"article-journal","volume":"58"},"uris":["http://www.mendeley.com/documents/?uuid=7b881ecf-5260-4917-87e0-0a239da8d4e2"]}],"mendeley":{"formattedCitation":"(A P Bayliss et al., 2005)","manualFormatting":"(Bayliss, Di Pellegrino, &amp; Tipper, 2005)","plainTextFormattedCitation":"(A P Bayliss et al., 2005)","previouslyFormattedCitation":"(A P Bayliss et al., 2005)"},"properties":{"noteIndex":0},"schema":"https://github.com/citation-style-language/schema/raw/master/csl-citation.json"}</w:instrText>
      </w:r>
      <w:r w:rsidR="006703C2" w:rsidRPr="00BD14B0">
        <w:fldChar w:fldCharType="separate"/>
      </w:r>
      <w:r w:rsidR="006703C2" w:rsidRPr="00BD14B0">
        <w:rPr>
          <w:noProof/>
        </w:rPr>
        <w:t>(Bayliss, Di Pellegrino, &amp; Tipper, 2005)</w:t>
      </w:r>
      <w:r w:rsidR="006703C2" w:rsidRPr="00BD14B0">
        <w:fldChar w:fldCharType="end"/>
      </w:r>
      <w:r w:rsidR="006703C2" w:rsidRPr="00BD14B0">
        <w:t xml:space="preserve">. Finally, females show enhanced gaze cueing to personally familiar faces whereas this difference has not been observed for males </w:t>
      </w:r>
      <w:r w:rsidR="006703C2" w:rsidRPr="00BD14B0">
        <w:fldChar w:fldCharType="begin" w:fldLock="1"/>
      </w:r>
      <w:r w:rsidR="004D2901" w:rsidRPr="00BD14B0">
        <w:instrText>ADDIN CSL_CITATION {"citationItems":[{"id":"ITEM-1","itemData":{"DOI":"10.1098/rsbl.2006.0564","ISSN":"1744-9561","abstract":"Gaze cuing, the tendency to shift attention in the direction other individuals are looking, is hypothesized to depend on a distinct neural module. One expectation of such a module is that information processing should be encapsulated within it. Here, we tested whether familiarity, a type of social knowledge, penetrates the neural circuits governing gaze cuing. Male and female subjects viewed the face of an adult male looking left or right and then pressed a keypad to indicate the location of a target appearing randomly left or right. Responses were faster for targets congruent with gaze direction. Moreover, gaze cuing was stronger in females than males. Contrary to the modularity hypothesis, familiarity enhanced gaze cuing, but only in females. Sex differences in the effects of familiarity on gaze cuing may reflect greater adaptive significance of social information for females than males.","author":[{"dropping-particle":"","family":"Deaner","given":"Robert O","non-dropping-particle":"","parse-names":false,"suffix":""},{"dropping-particle":"V","family":"Shepherd","given":"Stephen","non-dropping-particle":"","parse-names":false,"suffix":""},{"dropping-particle":"","family":"Platt","given":"Michael L","non-dropping-particle":"","parse-names":false,"suffix":""}],"container-title":"Biology Letters","id":"ITEM-1","issue":"1","issued":{"date-parts":[["2007","2","22"]]},"note":"Times Cited: 31\n32","page":"65-68","title":"Familiarity accentuates gaze cuing in women but not men","type":"article-journal","volume":"3"},"uris":["http://www.mendeley.com/documents/?uuid=c40566fa-2045-42e8-8818-c7b3fd74af89"]}],"mendeley":{"formattedCitation":"(R. O. Deaner et al., 2007)","manualFormatting":"(Deaner et al., 2007)","plainTextFormattedCitation":"(R. O. Deaner et al., 2007)","previouslyFormattedCitation":"(R. O. Deaner et al., 2007)"},"properties":{"noteIndex":0},"schema":"https://github.com/citation-style-language/schema/raw/master/csl-citation.json"}</w:instrText>
      </w:r>
      <w:r w:rsidR="006703C2" w:rsidRPr="00BD14B0">
        <w:fldChar w:fldCharType="separate"/>
      </w:r>
      <w:r w:rsidR="006703C2" w:rsidRPr="00BD14B0">
        <w:rPr>
          <w:noProof/>
        </w:rPr>
        <w:t>(Deaner et al., 2007)</w:t>
      </w:r>
      <w:r w:rsidR="006703C2" w:rsidRPr="00BD14B0">
        <w:fldChar w:fldCharType="end"/>
      </w:r>
      <w:r w:rsidR="006703C2" w:rsidRPr="00BD14B0">
        <w:t xml:space="preserve">. The conditions in which this difference between genders is observed provide information about the mechanisms of </w:t>
      </w:r>
      <w:r w:rsidR="008A2569" w:rsidRPr="00BD14B0">
        <w:t xml:space="preserve">the </w:t>
      </w:r>
      <w:r w:rsidR="006703C2" w:rsidRPr="00BD14B0">
        <w:t xml:space="preserve">social attention system. Hence, it is </w:t>
      </w:r>
      <w:r w:rsidR="002275A1" w:rsidRPr="00BD14B0">
        <w:t xml:space="preserve">an </w:t>
      </w:r>
      <w:r w:rsidR="006703C2" w:rsidRPr="00BD14B0">
        <w:t xml:space="preserve">essential component of social attention research. Despite the clear evidence from </w:t>
      </w:r>
      <w:r w:rsidR="008A2569" w:rsidRPr="00BD14B0">
        <w:t xml:space="preserve">the </w:t>
      </w:r>
      <w:r w:rsidR="006703C2" w:rsidRPr="00BD14B0">
        <w:t xml:space="preserve">literature showing that males and females </w:t>
      </w:r>
      <w:proofErr w:type="gramStart"/>
      <w:r w:rsidR="006703C2" w:rsidRPr="00BD14B0">
        <w:t>have a tendency to</w:t>
      </w:r>
      <w:proofErr w:type="gramEnd"/>
      <w:r w:rsidR="006703C2" w:rsidRPr="00BD14B0">
        <w:t xml:space="preserve"> show differences </w:t>
      </w:r>
      <w:r w:rsidR="00F13A64" w:rsidRPr="00BD14B0">
        <w:t>in</w:t>
      </w:r>
      <w:r w:rsidR="006703C2" w:rsidRPr="00BD14B0">
        <w:t xml:space="preserve"> the sensitivity to social stimuli, most studies have overlooked this by not having</w:t>
      </w:r>
      <w:r w:rsidR="00F13A64" w:rsidRPr="00BD14B0">
        <w:t xml:space="preserve"> an</w:t>
      </w:r>
      <w:r w:rsidR="006703C2" w:rsidRPr="00BD14B0">
        <w:t xml:space="preserve"> equal number of males and females or not controlling for gender. Given that sensitivity to social information differs according to gender </w:t>
      </w:r>
      <w:r w:rsidR="006703C2" w:rsidRPr="00BD14B0">
        <w:fldChar w:fldCharType="begin" w:fldLock="1"/>
      </w:r>
      <w:r w:rsidR="006703C2" w:rsidRPr="00BD14B0">
        <w:instrText>ADDIN CSL_CITATION {"citationItems":[{"id":"ITEM-1","itemData":{"ISBN":"1433806827","author":[{"dropping-particle":"","family":"Geary","given":"David C","non-dropping-particle":"","parse-names":false,"suffix":""}],"id":"ITEM-1","issued":{"date-parts":[["2010"]]},"publisher":"American Psychological Association","title":"Male, female: The evolution of human sex differences","type":"book"},"uris":["http://www.mendeley.com/documents/?uuid=15d553f5-1e7e-4c2e-8867-43c528197584"]}],"mendeley":{"formattedCitation":"(Geary, 2010)","plainTextFormattedCitation":"(Geary, 2010)","previouslyFormattedCitation":"(Geary, 2010)"},"properties":{"noteIndex":0},"schema":"https://github.com/citation-style-language/schema/raw/master/csl-citation.json"}</w:instrText>
      </w:r>
      <w:r w:rsidR="006703C2" w:rsidRPr="00BD14B0">
        <w:fldChar w:fldCharType="separate"/>
      </w:r>
      <w:r w:rsidR="006703C2" w:rsidRPr="00BD14B0">
        <w:rPr>
          <w:noProof/>
        </w:rPr>
        <w:t>(Geary, 2010)</w:t>
      </w:r>
      <w:r w:rsidR="006703C2" w:rsidRPr="00BD14B0">
        <w:fldChar w:fldCharType="end"/>
      </w:r>
      <w:r w:rsidR="006703C2" w:rsidRPr="00BD14B0">
        <w:t xml:space="preserve">, the lack of attention on this topic may have led to misleading results regarding the generalisation of the gaze cueing effect. </w:t>
      </w:r>
    </w:p>
    <w:p w14:paraId="0616944D" w14:textId="7BA5417A" w:rsidR="006703C2" w:rsidRPr="00BD14B0" w:rsidRDefault="00E06A1C" w:rsidP="00553E01">
      <w:r w:rsidRPr="00BD14B0">
        <w:tab/>
      </w:r>
      <w:r w:rsidR="002275A1" w:rsidRPr="00BD14B0">
        <w:t>Finally, t</w:t>
      </w:r>
      <w:r w:rsidR="006703C2" w:rsidRPr="00BD14B0">
        <w:t xml:space="preserve">he type of face stimuli that </w:t>
      </w:r>
      <w:r w:rsidR="00F13A64" w:rsidRPr="00BD14B0">
        <w:t>are</w:t>
      </w:r>
      <w:r w:rsidR="006703C2" w:rsidRPr="00BD14B0">
        <w:t xml:space="preserve"> used in eye gaze cueing studies also varies. There is no standard procedure for the stimuli </w:t>
      </w:r>
      <w:r w:rsidR="00804DC1" w:rsidRPr="00BD14B0">
        <w:t>face, such</w:t>
      </w:r>
      <w:r w:rsidR="002275A1" w:rsidRPr="00BD14B0">
        <w:t xml:space="preserve"> as</w:t>
      </w:r>
      <w:r w:rsidR="006703C2" w:rsidRPr="00BD14B0">
        <w:t xml:space="preserve"> whether it should be in colour or black and white, the</w:t>
      </w:r>
      <w:r w:rsidR="002275A1" w:rsidRPr="00BD14B0">
        <w:t xml:space="preserve"> colour of</w:t>
      </w:r>
      <w:r w:rsidR="006703C2" w:rsidRPr="00BD14B0">
        <w:t xml:space="preserve"> background</w:t>
      </w:r>
      <w:r w:rsidR="002275A1" w:rsidRPr="00BD14B0">
        <w:t xml:space="preserve"> or</w:t>
      </w:r>
      <w:r w:rsidR="006703C2" w:rsidRPr="00BD14B0">
        <w:t xml:space="preserve"> the type of the target (whether a dot or a letter). Additionally, some studies have only included male faces whereas in other studies both male and female faces have been used as stimuli. Differences in face stimuli may produce significant effects on eye gaze following, given the results of social power studies. For example, </w:t>
      </w:r>
      <w:proofErr w:type="spellStart"/>
      <w:r w:rsidR="006703C2" w:rsidRPr="00BD14B0">
        <w:t>Dalmaso</w:t>
      </w:r>
      <w:proofErr w:type="spellEnd"/>
      <w:r w:rsidR="006703C2" w:rsidRPr="00BD14B0">
        <w:t xml:space="preserve"> et al. (2012) showed that face pictures associated with high social power produced a stronger gaze cueing effect. In contrast, </w:t>
      </w:r>
      <w:r w:rsidR="006703C2" w:rsidRPr="00BD14B0">
        <w:fldChar w:fldCharType="begin" w:fldLock="1"/>
      </w:r>
      <w:r w:rsidR="004D2901" w:rsidRPr="00BD14B0">
        <w:instrText>ADDIN CSL_CITATION {"citationItems":[{"id":"ITEM-1","itemData":{"DOI":"10.1038/srep04746","ISSN":"20452322","PMID":"24752250","abstract":"Gaze-following behaviour is considered crucial for social interactions which are influenced by social similarity. We investigated whether the degree of similarity, as indicated by the perceived age of another person, can modulate gaze following. Participants of three different age-groups (18-25; 35-45; over 65) performed an eye movement (a saccade) towards an instructed target while ignoring the gaze-shift of distracters of different age-ranges (6-10; 18-25; 35-45; over 70). The results show that gaze following was modulated by the distracter face age only for young adults. Particularly, the over 70 year-old distracters exerted the least interference effect. The distracters of a similar age-range as the young adults (18-25; 35-45) had the most effect, indicating a blurred own-age bias (OAB) only for the young age group. These findings suggest that face age can modulate gaze following, but this modulation could be due to factors other than just OAB (e.g., familiarity).","author":[{"dropping-particle":"","family":"Ciardo","given":"Francesca","non-dropping-particle":"","parse-names":false,"suffix":""},{"dropping-particle":"","family":"Marino","given":"Barbara F M","non-dropping-particle":"","parse-names":false,"suffix":""},{"dropping-particle":"","family":"Actis-Grosso","given":"Rossana","non-dropping-particle":"","parse-names":false,"suffix":""},{"dropping-particle":"","family":"Rossetti","given":"Angela","non-dropping-particle":"","parse-names":false,"suffix":""},{"dropping-particle":"","family":"Ricciardelli","given":"Paola","non-dropping-particle":"","parse-names":false,"suffix":""}],"container-title":"Scientific Reports","id":"ITEM-1","issue":"1","issued":{"date-parts":[["2014","5","22"]]},"note":"From Duplicate 2 (Face age modulates gaze following in young adults - Ciardo, Francesca; Marino, Barbara F M; Actis-Grosso, Rossana; Rossetti, Angela; Ricciardelli, Paola)\n\nTimes Cited: 1\n1","page":"4746","title":"Face age modulates gaze following in young adults","type":"article-journal","volume":"4"},"uris":["http://www.mendeley.com/documents/?uuid=367b0eac-3631-40b2-b368-ecad7ed0c403"]}],"mendeley":{"formattedCitation":"(Ciardo et al., 2014)","manualFormatting":"Ciardo, Marino, Actis-Grosso, Rossetti, and Ricciardell (2014)","plainTextFormattedCitation":"(Ciardo et al., 2014)","previouslyFormattedCitation":"(Ciardo et al., 2014)"},"properties":{"noteIndex":0},"schema":"https://github.com/citation-style-language/schema/raw/master/csl-citation.json"}</w:instrText>
      </w:r>
      <w:r w:rsidR="006703C2" w:rsidRPr="00BD14B0">
        <w:fldChar w:fldCharType="separate"/>
      </w:r>
      <w:r w:rsidR="006703C2" w:rsidRPr="00BD14B0">
        <w:rPr>
          <w:noProof/>
        </w:rPr>
        <w:t>Ciardo, Marino, Actis-Grosso, Rossetti, and Ricciardell (2014)</w:t>
      </w:r>
      <w:r w:rsidR="006703C2" w:rsidRPr="00BD14B0">
        <w:fldChar w:fldCharType="end"/>
      </w:r>
      <w:r w:rsidR="006703C2" w:rsidRPr="00BD14B0">
        <w:t xml:space="preserve"> </w:t>
      </w:r>
      <w:r w:rsidR="00271AC4" w:rsidRPr="00BD14B0">
        <w:t>reported</w:t>
      </w:r>
      <w:r w:rsidR="002275A1" w:rsidRPr="00BD14B0">
        <w:t xml:space="preserve"> that visually observable social status had an effect on saccadic eye movements with higher latencies but had no effect on reaction time measures. </w:t>
      </w:r>
      <w:r w:rsidR="006703C2" w:rsidRPr="00BD14B0">
        <w:fldChar w:fldCharType="begin" w:fldLock="1"/>
      </w:r>
      <w:r w:rsidR="004D2901" w:rsidRPr="00BD14B0">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Letters","id":"ITEM-1","issue":"3","issued":{"date-parts":[["2012","6","23"]]},"note":"From Duplicate 2 (Social status gates social attention in humans - Dalmaso, Mario; Pavan, Giulia; Castelli, Luigi; Galfano, Giovanni)\n\nTimes Cited: 16\nGalfano, Giovanni/B-7582-2008\n16","page":"450-452","title":"Social status gates social attention in humans","type":"article-journal","volume":"8"},"uris":["http://www.mendeley.com/documents/?uuid=261a4feb-ab80-4609-9cc4-52869ea8889c"]}],"mendeley":{"formattedCitation":"(Dalmaso et al., 2012b)","manualFormatting":"Dalmaso et al. (2012)","plainTextFormattedCitation":"(Dalmaso et al., 2012b)","previouslyFormattedCitation":"(Dalmaso et al., 2012b)"},"properties":{"noteIndex":0},"schema":"https://github.com/citation-style-language/schema/raw/master/csl-citation.json"}</w:instrText>
      </w:r>
      <w:r w:rsidR="006703C2" w:rsidRPr="00BD14B0">
        <w:fldChar w:fldCharType="separate"/>
      </w:r>
      <w:r w:rsidR="006703C2" w:rsidRPr="00BD14B0">
        <w:rPr>
          <w:noProof/>
        </w:rPr>
        <w:t>Dalmaso et al. (2012)</w:t>
      </w:r>
      <w:r w:rsidR="006703C2" w:rsidRPr="00BD14B0">
        <w:fldChar w:fldCharType="end"/>
      </w:r>
      <w:r w:rsidR="006703C2" w:rsidRPr="00BD14B0">
        <w:t xml:space="preserve"> only used male pictures as a stimulus whereas </w:t>
      </w:r>
      <w:r w:rsidR="006703C2" w:rsidRPr="00BD14B0">
        <w:fldChar w:fldCharType="begin" w:fldLock="1"/>
      </w:r>
      <w:r w:rsidR="006703C2" w:rsidRPr="00BD14B0">
        <w:instrText>ADDIN CSL_CITATION {"citationItems":[{"id":"ITEM-1","itemData":{"DOI":"10.1038/srep04746","ISSN":"20452322","PMID":"24752250","abstract":"Gaze-following behaviour is considered crucial for social interactions which are influenced by social similarity. We investigated whether the degree of similarity, as indicated by the perceived age of another person, can modulate gaze following. Participants of three different age-groups (18-25; 35-45; over 65) performed an eye movement (a saccade) towards an instructed target while ignoring the gaze-shift of distracters of different age-ranges (6-10; 18-25; 35-45; over 70). The results show that gaze following was modulated by the distracter face age only for young adults. Particularly, the over 70 year-old distracters exerted the least interference effect. The distracters of a similar age-range as the young adults (18-25; 35-45) had the most effect, indicating a blurred own-age bias (OAB) only for the young age group. These findings suggest that face age can modulate gaze following, but this modulation could be due to factors other than just OAB (e.g., familiarity).","author":[{"dropping-particle":"","family":"Ciardo","given":"Francesca","non-dropping-particle":"","parse-names":false,"suffix":""},{"dropping-particle":"","family":"Marino","given":"Barbara F M","non-dropping-particle":"","parse-names":false,"suffix":""},{"dropping-particle":"","family":"Actis-Grosso","given":"Rossana","non-dropping-particle":"","parse-names":false,"suffix":""},{"dropping-particle":"","family":"Rossetti","given":"Angela","non-dropping-particle":"","parse-names":false,"suffix":""},{"dropping-particle":"","family":"Ricciardelli","given":"Paola","non-dropping-particle":"","parse-names":false,"suffix":""}],"container-title":"Scientific Reports","id":"ITEM-1","issue":"1","issued":{"date-parts":[["2014","5","22"]]},"note":"From Duplicate 2 (Face age modulates gaze following in young adults - Ciardo, Francesca; Marino, Barbara F M; Actis-Grosso, Rossana; Rossetti, Angela; Ricciardelli, Paola)\n\nTimes Cited: 1\n1","page":"4746","title":"Face age modulates gaze following in young adults","type":"article-journal","volume":"4"},"uris":["http://www.mendeley.com/documents/?uuid=367b0eac-3631-40b2-b368-ecad7ed0c403"]}],"mendeley":{"formattedCitation":"(Ciardo et al., 2014)","manualFormatting":"Ciardo et al. (2014)","plainTextFormattedCitation":"(Ciardo et al., 2014)","previouslyFormattedCitation":"(Ciardo et al., 2014)"},"properties":{"noteIndex":0},"schema":"https://github.com/citation-style-language/schema/raw/master/csl-citation.json"}</w:instrText>
      </w:r>
      <w:r w:rsidR="006703C2" w:rsidRPr="00BD14B0">
        <w:fldChar w:fldCharType="separate"/>
      </w:r>
      <w:r w:rsidR="006703C2" w:rsidRPr="00BD14B0">
        <w:rPr>
          <w:noProof/>
        </w:rPr>
        <w:t>Ciardo et al. (2014)</w:t>
      </w:r>
      <w:r w:rsidR="006703C2" w:rsidRPr="00BD14B0">
        <w:fldChar w:fldCharType="end"/>
      </w:r>
      <w:r w:rsidR="006703C2" w:rsidRPr="00BD14B0">
        <w:t xml:space="preserve"> used both male and female pictures. </w:t>
      </w:r>
      <w:r w:rsidR="002275A1" w:rsidRPr="00BD14B0">
        <w:t xml:space="preserve">The differences in these results might be </w:t>
      </w:r>
      <w:r w:rsidR="002275A1" w:rsidRPr="00BD14B0">
        <w:lastRenderedPageBreak/>
        <w:t xml:space="preserve">related to differences in the stimuli used. </w:t>
      </w:r>
      <w:r w:rsidR="006703C2" w:rsidRPr="00BD14B0">
        <w:t xml:space="preserve">Importantly, the gender of the pictures might </w:t>
      </w:r>
      <w:r w:rsidR="00BC4C4D" w:rsidRPr="00BD14B0">
        <w:t>affect</w:t>
      </w:r>
      <w:r w:rsidR="006703C2" w:rsidRPr="00BD14B0">
        <w:t xml:space="preserve"> social status which is perceived implicitly. Indeed, it has been shown that male faces tend to be perceived to be more dominant (i.e., higher social status) than female faces </w:t>
      </w:r>
      <w:r w:rsidR="006703C2" w:rsidRPr="00BD14B0">
        <w:fldChar w:fldCharType="begin" w:fldLock="1"/>
      </w:r>
      <w:r w:rsidR="0028287E" w:rsidRPr="00BD14B0">
        <w:instrText>ADDIN CSL_CITATION {"citationItems":[{"id":"ITEM-1","itemData":{"DOI":"10.1098/rspb.2009.1575","ISSN":"0962-8452","abstract":"Responding appropriately to gaze cues is essential for fluent social interaction, playing a crucial role in social learning, collaboration, threat assessment and understanding others' intentions. Previous research has shown that responses to gaze cues can be studied by investigating the gaze-cuing effect (i.e. the tendency for observers to respond more quickly to targets in locations that were cued by others' gaze than to uncued targets). A recent study demonstrating that macaques demonstrate larger gaze-cuing effects when viewing dominant conspecifics than when viewing subordinate conspecifics suggests that cues of dominance modulate the gaze-cuing effect in at least one primate species. Here, we show a similar effect of facial cues associated with dominance on gaze cuing in human observers: at short viewing times, observers demonstrated a greater cuing effect for gaze cues from masculinized (i.e. dominant) faces than from feminized (i.e. subordinate) faces. Moreover, this effect of facial masculinity on gaze cuing decreased as viewing time was increased, suggesting that the effect is driven by involuntary responses. Our findings suggest that the mechanisms that underpin reflexive gaze cuing evolved to be sensitive to facial cues of others' dominance, potentially because such differential gaze cuing promoted desirable outcomes from encounters with dominant individuals.","author":[{"dropping-particle":"","family":"Jones","given":"Benedict C","non-dropping-particle":"","parse-names":false,"suffix":""},{"dropping-particle":"","family":"DeBruine","given":"Lisa M","non-dropping-particle":"","parse-names":false,"suffix":""},{"dropping-particle":"","family":"Main","given":"Julie C","non-dropping-particle":"","parse-names":false,"suffix":""},{"dropping-particle":"","family":"Little","given":"Anthony C","non-dropping-particle":"","parse-names":false,"suffix":""},{"dropping-particle":"","family":"Welling","given":"Lisa L M","non-dropping-particle":"","parse-names":false,"suffix":""},{"dropping-particle":"","family":"Feinberg","given":"David R","non-dropping-particle":"","parse-names":false,"suffix":""},{"dropping-particle":"","family":"Tiddeman","given":"Bernard P","non-dropping-particle":"","parse-names":false,"suffix":""}],"container-title":"Proceedings of the Royal Society B: Biological Sciences","id":"ITEM-1","issue":"1681","issued":{"date-parts":[["2010","2","22"]]},"note":"Times Cited: 54\nJones, Benedict/A-7850-2008; DeBruine, Lisa/A-6990-2008; Little, Anthony/B-8497-2009; Feinberg, David/C-1249-2009\nJones, Benedict/0000-0001-7777-0220; DeBruine, Lisa/0000-0002-7523-5539; Little, Anthony/0000-0001-9100-1903; Feinberg, David/0000-0003-4179-1446\n56","page":"617-624","title":"Facial cues of dominance modulate the short-term gaze-cuing effect in human observers","type":"article-journal","volume":"277"},"uris":["http://www.mendeley.com/documents/?uuid=64bfee74-1a8b-412c-b705-07f9a61342c4"]}],"mendeley":{"formattedCitation":"(B. C. Jones et al., 2010)","manualFormatting":"(Jones et al., 2010)","plainTextFormattedCitation":"(B. C. Jones et al., 2010)","previouslyFormattedCitation":"(B. C. Jones et al., 2010)"},"properties":{"noteIndex":0},"schema":"https://github.com/citation-style-language/schema/raw/master/csl-citation.json"}</w:instrText>
      </w:r>
      <w:r w:rsidR="006703C2" w:rsidRPr="00BD14B0">
        <w:fldChar w:fldCharType="separate"/>
      </w:r>
      <w:r w:rsidR="004D2901" w:rsidRPr="00BD14B0">
        <w:rPr>
          <w:noProof/>
        </w:rPr>
        <w:t>(Jones et al., 2010)</w:t>
      </w:r>
      <w:r w:rsidR="006703C2" w:rsidRPr="00BD14B0">
        <w:fldChar w:fldCharType="end"/>
      </w:r>
      <w:r w:rsidR="006703C2" w:rsidRPr="00BD14B0">
        <w:t xml:space="preserve">. The effect of social status on gaze following may </w:t>
      </w:r>
      <w:r w:rsidR="002275A1" w:rsidRPr="00BD14B0">
        <w:t xml:space="preserve">vary </w:t>
      </w:r>
      <w:r w:rsidR="006703C2" w:rsidRPr="00BD14B0">
        <w:t>depend</w:t>
      </w:r>
      <w:r w:rsidR="002275A1" w:rsidRPr="00BD14B0">
        <w:t>ing</w:t>
      </w:r>
      <w:r w:rsidR="006703C2" w:rsidRPr="00BD14B0">
        <w:t xml:space="preserve"> on how it is </w:t>
      </w:r>
      <w:r w:rsidR="002275A1" w:rsidRPr="00BD14B0">
        <w:t>presented</w:t>
      </w:r>
      <w:r w:rsidR="006703C2" w:rsidRPr="00BD14B0">
        <w:t xml:space="preserve"> to the observer (implicit or explicit). Taken together, the effect of the gender of the stimuli on gaze following is an issue that has not been </w:t>
      </w:r>
      <w:r w:rsidR="00271AC4" w:rsidRPr="00BD14B0">
        <w:t xml:space="preserve">fully </w:t>
      </w:r>
      <w:r w:rsidR="006703C2" w:rsidRPr="00BD14B0">
        <w:t>addressed in social cognition research.</w:t>
      </w:r>
    </w:p>
    <w:p w14:paraId="3DE28DE9" w14:textId="024C824C" w:rsidR="006703C2" w:rsidRPr="00BD14B0" w:rsidRDefault="00E06A1C" w:rsidP="00553E01">
      <w:r w:rsidRPr="00BD14B0">
        <w:tab/>
      </w:r>
      <w:r w:rsidR="006703C2" w:rsidRPr="00BD14B0">
        <w:t xml:space="preserve">The present study will investigate the effect of social power on social attention and how this effect interacts with gender (both of the participant and of the faces the participant is viewing). The study will replicate and extend </w:t>
      </w:r>
      <w:r w:rsidR="006703C2" w:rsidRPr="00BD14B0">
        <w:fldChar w:fldCharType="begin" w:fldLock="1"/>
      </w:r>
      <w:r w:rsidR="004D2901" w:rsidRPr="00BD14B0">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et al.'s (2014)","plainTextFormattedCitation":"(Cui et al., 2014)","previouslyFormattedCitation":"(Cui et al., 2014)"},"properties":{"noteIndex":0},"schema":"https://github.com/citation-style-language/schema/raw/master/csl-citation.json"}</w:instrText>
      </w:r>
      <w:r w:rsidR="006703C2" w:rsidRPr="00BD14B0">
        <w:fldChar w:fldCharType="separate"/>
      </w:r>
      <w:r w:rsidR="006703C2" w:rsidRPr="00BD14B0">
        <w:rPr>
          <w:noProof/>
        </w:rPr>
        <w:t>Cui et al.'s (2014)</w:t>
      </w:r>
      <w:r w:rsidR="006703C2" w:rsidRPr="00BD14B0">
        <w:fldChar w:fldCharType="end"/>
      </w:r>
      <w:r w:rsidR="006703C2" w:rsidRPr="00BD14B0">
        <w:t xml:space="preserve"> study. First, social power will be experimentally manipulated by asking participants to imagine they are either a member of a group (low social power) or a group leader (high social power) in an office fire situation. In contrast</w:t>
      </w:r>
      <w:r w:rsidR="005667D2" w:rsidRPr="00BD14B0">
        <w:t>,</w:t>
      </w:r>
      <w:r w:rsidR="006703C2" w:rsidRPr="00BD14B0">
        <w:t xml:space="preserve"> </w:t>
      </w:r>
      <w:r w:rsidR="006703C2" w:rsidRPr="00BD14B0">
        <w:fldChar w:fldCharType="begin" w:fldLock="1"/>
      </w:r>
      <w:r w:rsidR="004D2901" w:rsidRPr="00BD14B0">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et al.'s (2014)","plainTextFormattedCitation":"(Cui et al., 2014)","previouslyFormattedCitation":"(Cui et al., 2014)"},"properties":{"noteIndex":0},"schema":"https://github.com/citation-style-language/schema/raw/master/csl-citation.json"}</w:instrText>
      </w:r>
      <w:r w:rsidR="006703C2" w:rsidRPr="00BD14B0">
        <w:fldChar w:fldCharType="separate"/>
      </w:r>
      <w:r w:rsidR="006703C2" w:rsidRPr="00BD14B0">
        <w:rPr>
          <w:noProof/>
        </w:rPr>
        <w:t>Cui et al.'s (2014)</w:t>
      </w:r>
      <w:r w:rsidR="006703C2" w:rsidRPr="00BD14B0">
        <w:fldChar w:fldCharType="end"/>
      </w:r>
      <w:r w:rsidR="006703C2" w:rsidRPr="00BD14B0">
        <w:t xml:space="preserve"> asked their participants to imagine that they were running from a mountain with their team, and their role was either the leader or a member. </w:t>
      </w:r>
      <w:r w:rsidR="003F2E51" w:rsidRPr="00BD14B0">
        <w:t>Second</w:t>
      </w:r>
      <w:r w:rsidR="006703C2" w:rsidRPr="00BD14B0">
        <w:t xml:space="preserve">, social attention will then be measured with a gaze cueing task. In this task, participants see a face on a screen looking either to the left or the right and then they need to detect a target black dot either on the left or the right as soon as possible. Reaction times will </w:t>
      </w:r>
      <w:r w:rsidR="00BC4C4D" w:rsidRPr="00BD14B0">
        <w:t xml:space="preserve">be </w:t>
      </w:r>
      <w:r w:rsidR="006703C2" w:rsidRPr="00BD14B0">
        <w:t xml:space="preserve">compared for congruent trials (black dot on the same side of the screen that the face had looked towards) and incongruent trials (black dot on the opposite side of the screen). Additional independent variables are </w:t>
      </w:r>
      <w:r w:rsidR="003F2E51" w:rsidRPr="00BD14B0">
        <w:t xml:space="preserve">the </w:t>
      </w:r>
      <w:r w:rsidR="006703C2" w:rsidRPr="00BD14B0">
        <w:t xml:space="preserve">gender </w:t>
      </w:r>
      <w:r w:rsidR="003F2E51" w:rsidRPr="00BD14B0">
        <w:t xml:space="preserve">of the viewer as well as the gender of the faces being viewed </w:t>
      </w:r>
      <w:r w:rsidR="006703C2" w:rsidRPr="00BD14B0">
        <w:t>(</w:t>
      </w:r>
      <w:r w:rsidR="003F2E51" w:rsidRPr="00BD14B0">
        <w:t xml:space="preserve">i.e., </w:t>
      </w:r>
      <w:r w:rsidR="006703C2" w:rsidRPr="00BD14B0">
        <w:t>male/female participants viewing male/female faces). The addition of gender manipulation for the viewed faces is the extension o</w:t>
      </w:r>
      <w:r w:rsidR="00BC4C4D" w:rsidRPr="00BD14B0">
        <w:t>f</w:t>
      </w:r>
      <w:r w:rsidR="006703C2" w:rsidRPr="00BD14B0">
        <w:t xml:space="preserve"> </w:t>
      </w:r>
      <w:r w:rsidR="006703C2" w:rsidRPr="00BD14B0">
        <w:fldChar w:fldCharType="begin" w:fldLock="1"/>
      </w:r>
      <w:r w:rsidR="006703C2" w:rsidRPr="00BD14B0">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et al.'s (2014)","plainTextFormattedCitation":"(Cui et al., 2014)","previouslyFormattedCitation":"(Cui et al., 2014)"},"properties":{"noteIndex":0},"schema":"https://github.com/citation-style-language/schema/raw/master/csl-citation.json"}</w:instrText>
      </w:r>
      <w:r w:rsidR="006703C2" w:rsidRPr="00BD14B0">
        <w:fldChar w:fldCharType="separate"/>
      </w:r>
      <w:r w:rsidR="006703C2" w:rsidRPr="00BD14B0">
        <w:rPr>
          <w:noProof/>
        </w:rPr>
        <w:t>Cui et al.'s (2014)</w:t>
      </w:r>
      <w:r w:rsidR="006703C2" w:rsidRPr="00BD14B0">
        <w:fldChar w:fldCharType="end"/>
      </w:r>
      <w:r w:rsidR="006703C2" w:rsidRPr="00BD14B0">
        <w:t xml:space="preserve"> study. </w:t>
      </w:r>
      <w:r w:rsidR="003F2E51" w:rsidRPr="00BD14B0">
        <w:t>Third</w:t>
      </w:r>
      <w:r w:rsidR="006703C2" w:rsidRPr="00BD14B0">
        <w:t>, the present study will</w:t>
      </w:r>
      <w:r w:rsidR="003F2E51" w:rsidRPr="00BD14B0">
        <w:t>,</w:t>
      </w:r>
      <w:r w:rsidR="006703C2" w:rsidRPr="00BD14B0">
        <w:t xml:space="preserve"> for the first time, use a scenario that investigates the effect of environmental danger in a </w:t>
      </w:r>
      <w:r w:rsidR="003F2E51" w:rsidRPr="00BD14B0">
        <w:t>W</w:t>
      </w:r>
      <w:r w:rsidR="006703C2" w:rsidRPr="00BD14B0">
        <w:t>estern context. The participants will be primed with high danger context by asking them to imagine a fire scen</w:t>
      </w:r>
      <w:r w:rsidR="00BC4C4D" w:rsidRPr="00BD14B0">
        <w:t>a</w:t>
      </w:r>
      <w:r w:rsidR="006703C2" w:rsidRPr="00BD14B0">
        <w:t>rio in their office building while listen</w:t>
      </w:r>
      <w:r w:rsidR="003F2E51" w:rsidRPr="00BD14B0">
        <w:t>ing</w:t>
      </w:r>
      <w:r w:rsidR="00BC4C4D" w:rsidRPr="00BD14B0">
        <w:t xml:space="preserve"> to</w:t>
      </w:r>
      <w:r w:rsidR="006703C2" w:rsidRPr="00BD14B0">
        <w:t xml:space="preserve"> fire sounds. After, participants will be asked to write down what they have imagined. The present experiment will include an equal number of male and female faces as stimuli, and all will be Caucasian and in a similar age range. Physical differences in faces </w:t>
      </w:r>
      <w:r w:rsidR="00BC4C4D" w:rsidRPr="00BD14B0">
        <w:t>have</w:t>
      </w:r>
      <w:r w:rsidR="006703C2" w:rsidRPr="00BD14B0">
        <w:t xml:space="preserve"> been shown to act as categorisation cues </w:t>
      </w:r>
      <w:r w:rsidR="006703C2" w:rsidRPr="00BD14B0">
        <w:fldChar w:fldCharType="begin" w:fldLock="1"/>
      </w:r>
      <w:r w:rsidR="004D2901" w:rsidRPr="00BD14B0">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Letters","id":"ITEM-1","issue":"3","issued":{"date-parts":[["2012","6","23"]]},"page":"450-452","title":"Social status gates social attention in humans","type":"article-journal","volume":"8"},"uris":["http://www.mendeley.com/documents/?uuid=b7f6444c-76cb-4601-8187-f22420080e98"]}],"mendeley":{"formattedCitation":"(Dalmaso et al., 2012a)","manualFormatting":"(Dalmaso et al., 2012)","plainTextFormattedCitation":"(Dalmaso et al., 2012a)","previouslyFormattedCitation":"(Dalmaso et al., 2012a)"},"properties":{"noteIndex":0},"schema":"https://github.com/citation-style-language/schema/raw/master/csl-citation.json"}</w:instrText>
      </w:r>
      <w:r w:rsidR="006703C2" w:rsidRPr="00BD14B0">
        <w:fldChar w:fldCharType="separate"/>
      </w:r>
      <w:r w:rsidR="006703C2" w:rsidRPr="00BD14B0">
        <w:rPr>
          <w:noProof/>
        </w:rPr>
        <w:t>(Dalmaso et al., 2012)</w:t>
      </w:r>
      <w:r w:rsidR="006703C2" w:rsidRPr="00BD14B0">
        <w:fldChar w:fldCharType="end"/>
      </w:r>
      <w:r w:rsidR="006703C2" w:rsidRPr="00BD14B0">
        <w:t xml:space="preserve">; hence, similar faces will be used in the present experiment to prevent this. </w:t>
      </w:r>
    </w:p>
    <w:p w14:paraId="376AF0AC" w14:textId="7109ADB0" w:rsidR="006703C2" w:rsidRPr="00BD14B0" w:rsidRDefault="00C30E58" w:rsidP="00553E01">
      <w:r w:rsidRPr="00BD14B0">
        <w:lastRenderedPageBreak/>
        <w:tab/>
      </w:r>
      <w:r w:rsidR="005667D2" w:rsidRPr="00BD14B0">
        <w:t>The purpose of this study was to</w:t>
      </w:r>
      <w:r w:rsidR="006703C2" w:rsidRPr="00BD14B0">
        <w:t xml:space="preserve"> investigate the potential interaction between social power and gender in gaze following. The relationship between the participants and the cuing face was altered with a priming task </w:t>
      </w:r>
      <w:r w:rsidR="006703C2" w:rsidRPr="00BD14B0">
        <w:fldChar w:fldCharType="begin" w:fldLock="1"/>
      </w:r>
      <w:r w:rsidR="006703C2" w:rsidRPr="00BD14B0">
        <w:instrText>ADDIN CSL_CITATION {"citationItems":[{"id":"ITEM-1","itemData":{"DOI":"10.1177/0956797613482943","ISSN":"0956-7976","author":[{"dropping-particle":"","family":"Galinsky","given":"Adam D.","non-dropping-particle":"","parse-names":false,"suffix":""},{"dropping-particle":"","family":"Wang","given":"Cynthia S.","non-dropping-particle":"","parse-names":false,"suffix":""},{"dropping-particle":"","family":"Whitson","given":"Jennifer A.","non-dropping-particle":"","parse-names":false,"suffix":""},{"dropping-particle":"","family":"Anicich","given":"Eric M.","non-dropping-particle":"","parse-names":false,"suffix":""},{"dropping-particle":"","family":"Hugenberg","given":"Kurt","non-dropping-particle":"","parse-names":false,"suffix":""},{"dropping-particle":"V.","family":"Bodenhausen","given":"Galen","non-dropping-particle":"","parse-names":false,"suffix":""}],"container-title":"Psychological Science","id":"ITEM-1","issue":"10","issued":{"date-parts":[["2013","10","16"]]},"page":"2020-2029","title":"The Reappropriation of Stigmatizing Labels","type":"article-journal","volume":"24"},"uris":["http://www.mendeley.com/documents/?uuid=ffc70b4a-17f5-4c4a-8029-40a43ff1cff5"]},{"id":"ITEM-2","itemData":{"DOI":"10.1037/a0015437","ISSN":"1939-1315","abstract":"The authors conducted 5 studies to test the idea that both thinking about and having power affects the way in which people resolve moral dilemmas. It is shown that high power increases the use of rule-based (deontological) moral thinking styles, whereas low power increases reliance on outcome-based (consequentialist) moral thinking. Stated differently, in determining whether an act is right or wrong, the powerful focus on whether rules and principles are violated, whereas the powerless focus on the consequences. For this reason, the powerful are also more inclined to stick to the rules, irrespective of whether this has positive or negative effects, whereas the powerless are more inclined to make exceptions. The first 3 experiments show that thinking about power increases rule-based thinking and decreases outcome-based thinking in participants' moral decision making. A 4th experiment shows the mediating role of moral orientation in the effect of power on moral decisions. The 5th experiment demonstrates the role of self-interest by showing that the power-moral link is reversed when rule-based decisions threaten participants' own self-interests.","author":[{"dropping-particle":"","family":"Lammers","given":"Joris","non-dropping-particle":"","parse-names":false,"suffix":""},{"dropping-particle":"","family":"Stapel","given":"Diederik A.","non-dropping-particle":"","parse-names":false,"suffix":""}],"container-title":"Journal of Personality and Social Psychology","id":"ITEM-2","issue":"2","issued":{"date-parts":[["2009"]]},"page":"279-289","title":"How power influences moral thinking.","type":"article-journal","volume":"97"},"uris":["http://www.mendeley.com/documents/?uuid=01da29f7-5a13-475d-9108-6b3850f4931a"]},{"id":"ITEM-3","itemData":{"DOI":"10.1371/journal.pone.0114077","ISSN":"1932-6203","abstract":"Past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ONE","editor":[{"dropping-particle":"","family":"Zalla","given":"Tiziana","non-dropping-particle":"","parse-names":false,"suffix":""}],"id":"ITEM-3","issue":"12","issued":{"date-parts":[["2014","12","2"]]},"note":"Times Cited: 0\n0","page":"e114077","title":"The Impact of Perceived Social Power and Dangerous Context on Social Attention","type":"article-journal","volume":"9"},"uris":["http://www.mendeley.com/documents/?uuid=12c9a307-1e51-4e35-a067-dc8dad89bc35"]}],"mendeley":{"formattedCitation":"(Cui et al., 2014; Galinsky et al., 2013; Lammers &amp; Stapel, 2009)","plainTextFormattedCitation":"(Cui et al., 2014; Galinsky et al., 2013; Lammers &amp; Stapel, 2009)","previouslyFormattedCitation":"(Cui et al., 2014; Galinsky et al., 2013; Lammers &amp; Stapel, 2009)"},"properties":{"noteIndex":0},"schema":"https://github.com/citation-style-language/schema/raw/master/csl-citation.json"}</w:instrText>
      </w:r>
      <w:r w:rsidR="006703C2" w:rsidRPr="00BD14B0">
        <w:fldChar w:fldCharType="separate"/>
      </w:r>
      <w:r w:rsidR="006703C2" w:rsidRPr="00BD14B0">
        <w:rPr>
          <w:noProof/>
        </w:rPr>
        <w:t>(Cui et al., 2014; Galinsky et al., 2013; Lammers &amp; Stapel, 2009)</w:t>
      </w:r>
      <w:r w:rsidR="006703C2" w:rsidRPr="00BD14B0">
        <w:fldChar w:fldCharType="end"/>
      </w:r>
      <w:r w:rsidR="006703C2" w:rsidRPr="00BD14B0">
        <w:t xml:space="preserve"> by assigning them to low or high social power before a standard gaze cu</w:t>
      </w:r>
      <w:r w:rsidR="00BC4C4D" w:rsidRPr="00BD14B0">
        <w:t>e</w:t>
      </w:r>
      <w:r w:rsidR="006703C2" w:rsidRPr="00BD14B0">
        <w:t xml:space="preserve">ing task was employed. Whereas previous studies have manipulated social power by changing the physical features of the gazer’s face, the present study focused on social aspects of social power. The influence of social power was investigated in </w:t>
      </w:r>
      <w:r w:rsidR="003F2E51" w:rsidRPr="00BD14B0">
        <w:t xml:space="preserve">a </w:t>
      </w:r>
      <w:r w:rsidR="006703C2" w:rsidRPr="00BD14B0">
        <w:t xml:space="preserve">dangerous situation </w:t>
      </w:r>
      <w:r w:rsidR="003F2E51" w:rsidRPr="00BD14B0">
        <w:t xml:space="preserve">(i.e., </w:t>
      </w:r>
      <w:r w:rsidR="006703C2" w:rsidRPr="00BD14B0">
        <w:t>a fire scenario</w:t>
      </w:r>
      <w:r w:rsidR="003F2E51" w:rsidRPr="00BD14B0">
        <w:t>)</w:t>
      </w:r>
      <w:r w:rsidR="006703C2" w:rsidRPr="00BD14B0">
        <w:t xml:space="preserve">. Lastly, </w:t>
      </w:r>
      <w:r w:rsidR="00BC4C4D" w:rsidRPr="00BD14B0">
        <w:t>to</w:t>
      </w:r>
      <w:r w:rsidR="006703C2" w:rsidRPr="00BD14B0">
        <w:t xml:space="preserve"> address the problems about generalisability, similar numbers of male and female participants were recruited.</w:t>
      </w:r>
    </w:p>
    <w:p w14:paraId="74E9B3D6" w14:textId="77777777" w:rsidR="006D6F11" w:rsidRPr="00BD14B0" w:rsidRDefault="006D6F11" w:rsidP="00553E01"/>
    <w:p w14:paraId="0140FD4D" w14:textId="49BBC84C" w:rsidR="000A1220" w:rsidRPr="00BD14B0" w:rsidRDefault="006B6F0F" w:rsidP="00553E01">
      <w:pPr>
        <w:pStyle w:val="Heading2"/>
      </w:pPr>
      <w:r w:rsidRPr="00BD14B0">
        <w:t xml:space="preserve"> </w:t>
      </w:r>
      <w:bookmarkStart w:id="56" w:name="_Toc108310775"/>
      <w:r w:rsidRPr="00BD14B0">
        <w:t>Aims and hypothesis</w:t>
      </w:r>
      <w:bookmarkEnd w:id="56"/>
    </w:p>
    <w:p w14:paraId="2BE45530" w14:textId="27E868DB" w:rsidR="00D82E3D" w:rsidRPr="00BD14B0" w:rsidRDefault="0002405D" w:rsidP="00553E01">
      <w:pPr>
        <w:rPr>
          <w:lang w:eastAsia="en-US"/>
        </w:rPr>
      </w:pPr>
      <w:r w:rsidRPr="00BD14B0">
        <w:rPr>
          <w:lang w:eastAsia="en-US"/>
        </w:rPr>
        <w:tab/>
      </w:r>
      <w:r w:rsidR="00D82E3D" w:rsidRPr="00BD14B0">
        <w:rPr>
          <w:lang w:eastAsia="en-US"/>
        </w:rPr>
        <w:t>The current study first</w:t>
      </w:r>
      <w:r w:rsidR="003F2E51" w:rsidRPr="00BD14B0">
        <w:rPr>
          <w:lang w:eastAsia="en-US"/>
        </w:rPr>
        <w:t>ly</w:t>
      </w:r>
      <w:r w:rsidR="00D82E3D" w:rsidRPr="00BD14B0">
        <w:rPr>
          <w:lang w:eastAsia="en-US"/>
        </w:rPr>
        <w:t xml:space="preserve"> aimed to replicate </w:t>
      </w:r>
      <w:r w:rsidR="00D82E3D" w:rsidRPr="00BD14B0">
        <w:rPr>
          <w:lang w:eastAsia="en-US"/>
        </w:rPr>
        <w:fldChar w:fldCharType="begin" w:fldLock="1"/>
      </w:r>
      <w:r w:rsidR="004D2901" w:rsidRPr="00BD14B0">
        <w:rPr>
          <w:lang w:eastAsia="en-US"/>
        </w:rPr>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et al. (2014)","plainTextFormattedCitation":"(Cui et al., 2014)","previouslyFormattedCitation":"(Cui et al., 2014)"},"properties":{"noteIndex":0},"schema":"https://github.com/citation-style-language/schema/raw/master/csl-citation.json"}</w:instrText>
      </w:r>
      <w:r w:rsidR="00D82E3D" w:rsidRPr="00BD14B0">
        <w:rPr>
          <w:lang w:eastAsia="en-US"/>
        </w:rPr>
        <w:fldChar w:fldCharType="separate"/>
      </w:r>
      <w:r w:rsidR="00D82E3D" w:rsidRPr="00BD14B0">
        <w:rPr>
          <w:noProof/>
          <w:lang w:eastAsia="en-US"/>
        </w:rPr>
        <w:t>Cui et al. (2014)</w:t>
      </w:r>
      <w:r w:rsidR="00D82E3D" w:rsidRPr="00BD14B0">
        <w:rPr>
          <w:lang w:eastAsia="en-US"/>
        </w:rPr>
        <w:fldChar w:fldCharType="end"/>
      </w:r>
      <w:r w:rsidR="00D82E3D" w:rsidRPr="00BD14B0">
        <w:rPr>
          <w:lang w:eastAsia="en-US"/>
        </w:rPr>
        <w:t xml:space="preserve"> which showed that  perceived social power influences social attention evoked by gaze. </w:t>
      </w:r>
      <w:r w:rsidR="003F2E51" w:rsidRPr="00BD14B0">
        <w:rPr>
          <w:lang w:eastAsia="en-US"/>
        </w:rPr>
        <w:t>The current study also</w:t>
      </w:r>
      <w:r w:rsidR="00D82E3D" w:rsidRPr="00BD14B0">
        <w:rPr>
          <w:lang w:eastAsia="en-US"/>
        </w:rPr>
        <w:t xml:space="preserve"> aimed to extend </w:t>
      </w:r>
      <w:r w:rsidR="00D82E3D" w:rsidRPr="00BD14B0">
        <w:rPr>
          <w:lang w:eastAsia="en-US"/>
        </w:rPr>
        <w:fldChar w:fldCharType="begin" w:fldLock="1"/>
      </w:r>
      <w:r w:rsidR="004D2901" w:rsidRPr="00BD14B0">
        <w:rPr>
          <w:lang w:eastAsia="en-US"/>
        </w:rPr>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et al.'s (2014)","plainTextFormattedCitation":"(Cui et al., 2014)","previouslyFormattedCitation":"(Cui et al., 2014)"},"properties":{"noteIndex":0},"schema":"https://github.com/citation-style-language/schema/raw/master/csl-citation.json"}</w:instrText>
      </w:r>
      <w:r w:rsidR="00D82E3D" w:rsidRPr="00BD14B0">
        <w:rPr>
          <w:lang w:eastAsia="en-US"/>
        </w:rPr>
        <w:fldChar w:fldCharType="separate"/>
      </w:r>
      <w:r w:rsidR="00D82E3D" w:rsidRPr="00BD14B0">
        <w:rPr>
          <w:noProof/>
          <w:lang w:eastAsia="en-US"/>
        </w:rPr>
        <w:t>Cui et al.'s (2014)</w:t>
      </w:r>
      <w:r w:rsidR="00D82E3D" w:rsidRPr="00BD14B0">
        <w:rPr>
          <w:lang w:eastAsia="en-US"/>
        </w:rPr>
        <w:fldChar w:fldCharType="end"/>
      </w:r>
      <w:r w:rsidR="00D82E3D" w:rsidRPr="00BD14B0">
        <w:rPr>
          <w:lang w:eastAsia="en-US"/>
        </w:rPr>
        <w:t xml:space="preserve"> work in several ways. First, while </w:t>
      </w:r>
      <w:r w:rsidR="00D82E3D" w:rsidRPr="00BD14B0">
        <w:rPr>
          <w:lang w:eastAsia="en-US"/>
        </w:rPr>
        <w:fldChar w:fldCharType="begin" w:fldLock="1"/>
      </w:r>
      <w:r w:rsidR="004D2901" w:rsidRPr="00BD14B0">
        <w:rPr>
          <w:lang w:eastAsia="en-US"/>
        </w:rPr>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et al. (2014)","plainTextFormattedCitation":"(Cui et al., 2014)","previouslyFormattedCitation":"(Cui et al., 2014)"},"properties":{"noteIndex":0},"schema":"https://github.com/citation-style-language/schema/raw/master/csl-citation.json"}</w:instrText>
      </w:r>
      <w:r w:rsidR="00D82E3D" w:rsidRPr="00BD14B0">
        <w:rPr>
          <w:lang w:eastAsia="en-US"/>
        </w:rPr>
        <w:fldChar w:fldCharType="separate"/>
      </w:r>
      <w:r w:rsidR="00D82E3D" w:rsidRPr="00BD14B0">
        <w:rPr>
          <w:noProof/>
          <w:lang w:eastAsia="en-US"/>
        </w:rPr>
        <w:t>Cui et al. (2014)</w:t>
      </w:r>
      <w:r w:rsidR="00D82E3D" w:rsidRPr="00BD14B0">
        <w:rPr>
          <w:lang w:eastAsia="en-US"/>
        </w:rPr>
        <w:fldChar w:fldCharType="end"/>
      </w:r>
      <w:r w:rsidR="00D82E3D" w:rsidRPr="00BD14B0">
        <w:rPr>
          <w:lang w:eastAsia="en-US"/>
        </w:rPr>
        <w:t xml:space="preserve"> examined the effects of social power on social attention in a dangerous context, </w:t>
      </w:r>
      <w:r w:rsidR="00D82E3D" w:rsidRPr="00BD14B0">
        <w:t>they did not investigate whether males and female participants would respond differently and under what conditions these differences would occur.</w:t>
      </w:r>
      <w:r w:rsidR="00D82E3D" w:rsidRPr="00BD14B0">
        <w:rPr>
          <w:lang w:eastAsia="en-US"/>
        </w:rPr>
        <w:t xml:space="preserve"> Second, </w:t>
      </w:r>
      <w:r w:rsidR="00D82E3D" w:rsidRPr="00BD14B0">
        <w:rPr>
          <w:lang w:eastAsia="en-US"/>
        </w:rPr>
        <w:fldChar w:fldCharType="begin" w:fldLock="1"/>
      </w:r>
      <w:r w:rsidR="004D2901" w:rsidRPr="00BD14B0">
        <w:rPr>
          <w:lang w:eastAsia="en-US"/>
        </w:rPr>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2014)","manualFormatting":"Cui et al. (2014)","plainTextFormattedCitation":"(Cui et al., 2014)","previouslyFormattedCitation":"(Cui et al., 2014)"},"properties":{"noteIndex":0},"schema":"https://github.com/citation-style-language/schema/raw/master/csl-citation.json"}</w:instrText>
      </w:r>
      <w:r w:rsidR="00D82E3D" w:rsidRPr="00BD14B0">
        <w:rPr>
          <w:lang w:eastAsia="en-US"/>
        </w:rPr>
        <w:fldChar w:fldCharType="separate"/>
      </w:r>
      <w:r w:rsidR="00D82E3D" w:rsidRPr="00BD14B0">
        <w:rPr>
          <w:noProof/>
          <w:lang w:eastAsia="en-US"/>
        </w:rPr>
        <w:t>Cui et al. (2014)</w:t>
      </w:r>
      <w:r w:rsidR="00D82E3D" w:rsidRPr="00BD14B0">
        <w:rPr>
          <w:lang w:eastAsia="en-US"/>
        </w:rPr>
        <w:fldChar w:fldCharType="end"/>
      </w:r>
      <w:r w:rsidR="00D82E3D" w:rsidRPr="00BD14B0">
        <w:rPr>
          <w:lang w:eastAsia="en-US"/>
        </w:rPr>
        <w:t xml:space="preserve"> primed their participant with danger by asking their participants to imagine an earthquake. While the earthquake scenario was relevant for the culture in which the experimental procedure was initiated, it is not clear if the same reaction would be observed in another culture where</w:t>
      </w:r>
      <w:r w:rsidR="00EA2344" w:rsidRPr="00BD14B0">
        <w:rPr>
          <w:lang w:eastAsia="en-US"/>
        </w:rPr>
        <w:t xml:space="preserve"> the</w:t>
      </w:r>
      <w:r w:rsidR="00D82E3D" w:rsidRPr="00BD14B0">
        <w:rPr>
          <w:lang w:eastAsia="en-US"/>
        </w:rPr>
        <w:t xml:space="preserve"> active emphasis of danger is different. Lastly, this study will examine the gender difference of the participants. </w:t>
      </w:r>
    </w:p>
    <w:p w14:paraId="71A4CF34" w14:textId="2028A161" w:rsidR="00D82E3D" w:rsidRPr="00BD14B0" w:rsidRDefault="0002405D" w:rsidP="00553E01">
      <w:pPr>
        <w:rPr>
          <w:lang w:eastAsia="en-US"/>
        </w:rPr>
      </w:pPr>
      <w:r w:rsidRPr="00BD14B0">
        <w:rPr>
          <w:lang w:eastAsia="en-US"/>
        </w:rPr>
        <w:tab/>
      </w:r>
      <w:r w:rsidR="00D82E3D" w:rsidRPr="00BD14B0">
        <w:rPr>
          <w:lang w:eastAsia="en-US"/>
        </w:rPr>
        <w:t xml:space="preserve">Studies have consistently shown that females tend to have higher overall sensitivity to social cues than males. It was hypothesised that the same pattern would occur regardless of the social power condition. </w:t>
      </w:r>
      <w:r w:rsidR="00D82E3D" w:rsidRPr="00BD14B0">
        <w:t xml:space="preserve">The study will replicate and extend Cui et al.'s (2014) study. </w:t>
      </w:r>
      <w:r w:rsidR="00D82E3D" w:rsidRPr="00BD14B0">
        <w:rPr>
          <w:lang w:eastAsia="en-US"/>
        </w:rPr>
        <w:t>Cui et al. (2014) showed that female participants</w:t>
      </w:r>
      <w:r w:rsidR="0094023A" w:rsidRPr="00BD14B0">
        <w:rPr>
          <w:lang w:eastAsia="en-US"/>
        </w:rPr>
        <w:t>,</w:t>
      </w:r>
      <w:r w:rsidR="00D82E3D" w:rsidRPr="00BD14B0">
        <w:rPr>
          <w:lang w:eastAsia="en-US"/>
        </w:rPr>
        <w:t xml:space="preserve"> who were primed with lower social power</w:t>
      </w:r>
      <w:r w:rsidR="0094023A" w:rsidRPr="00BD14B0">
        <w:rPr>
          <w:lang w:eastAsia="en-US"/>
        </w:rPr>
        <w:t>,</w:t>
      </w:r>
      <w:r w:rsidR="00D82E3D" w:rsidRPr="00BD14B0">
        <w:rPr>
          <w:lang w:eastAsia="en-US"/>
        </w:rPr>
        <w:t xml:space="preserve"> showed a stronger gaze-cueing effect compared to male participants in the no danger context</w:t>
      </w:r>
      <w:r w:rsidR="0094023A" w:rsidRPr="00BD14B0">
        <w:rPr>
          <w:lang w:eastAsia="en-US"/>
        </w:rPr>
        <w:t xml:space="preserve"> compared to high danger context</w:t>
      </w:r>
      <w:r w:rsidR="00D82E3D" w:rsidRPr="00BD14B0">
        <w:rPr>
          <w:lang w:eastAsia="en-US"/>
        </w:rPr>
        <w:t>. Again, in low danger context, participants who were primed with high social power did not show any difference according to their gender. This effect, however, did not occur for high danger condition</w:t>
      </w:r>
      <w:r w:rsidR="001C0863" w:rsidRPr="00BD14B0">
        <w:rPr>
          <w:lang w:eastAsia="en-US"/>
        </w:rPr>
        <w:t>s</w:t>
      </w:r>
      <w:r w:rsidR="00D82E3D" w:rsidRPr="00BD14B0">
        <w:rPr>
          <w:lang w:eastAsia="en-US"/>
        </w:rPr>
        <w:t xml:space="preserve">. </w:t>
      </w:r>
      <w:r w:rsidR="00D82E3D" w:rsidRPr="00BD14B0">
        <w:rPr>
          <w:lang w:eastAsia="en-US"/>
        </w:rPr>
        <w:lastRenderedPageBreak/>
        <w:t xml:space="preserve">Thus, in the high danger context, females who were primed with low social power did not show enhanced gaze cueing </w:t>
      </w:r>
      <w:r w:rsidR="00D82E3D" w:rsidRPr="00BD14B0">
        <w:rPr>
          <w:lang w:eastAsia="en-US"/>
        </w:rPr>
        <w:fldChar w:fldCharType="begin" w:fldLock="1"/>
      </w:r>
      <w:r w:rsidR="00D82E3D" w:rsidRPr="00BD14B0">
        <w:rPr>
          <w:lang w:eastAsia="en-US"/>
        </w:rPr>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2014)","plainTextFormattedCitation":"(Cui et al., 2014)","previouslyFormattedCitation":"(Cui et al., 2014)"},"properties":{"noteIndex":0},"schema":"https://github.com/citation-style-language/schema/raw/master/csl-citation.json"}</w:instrText>
      </w:r>
      <w:r w:rsidR="00D82E3D" w:rsidRPr="00BD14B0">
        <w:rPr>
          <w:lang w:eastAsia="en-US"/>
        </w:rPr>
        <w:fldChar w:fldCharType="separate"/>
      </w:r>
      <w:r w:rsidR="00D82E3D" w:rsidRPr="00BD14B0">
        <w:rPr>
          <w:noProof/>
          <w:lang w:eastAsia="en-US"/>
        </w:rPr>
        <w:t>(Cui et al., 2014)</w:t>
      </w:r>
      <w:r w:rsidR="00D82E3D" w:rsidRPr="00BD14B0">
        <w:rPr>
          <w:lang w:eastAsia="en-US"/>
        </w:rPr>
        <w:fldChar w:fldCharType="end"/>
      </w:r>
      <w:r w:rsidR="00D82E3D" w:rsidRPr="00BD14B0">
        <w:rPr>
          <w:lang w:eastAsia="en-US"/>
        </w:rPr>
        <w:t xml:space="preserve">. The context of danger may create overall alertness in the attention system for their environment with lower resources for their own social factors, which could explain the lack of effect of these social factors. We hypothesized that we will be able to replicate this result showing that </w:t>
      </w:r>
      <w:r w:rsidR="00302AC0" w:rsidRPr="00BD14B0">
        <w:rPr>
          <w:lang w:eastAsia="en-US"/>
        </w:rPr>
        <w:t xml:space="preserve">the </w:t>
      </w:r>
      <w:r w:rsidR="00D82E3D" w:rsidRPr="00BD14B0">
        <w:rPr>
          <w:lang w:eastAsia="en-US"/>
        </w:rPr>
        <w:t>effect was not cultur</w:t>
      </w:r>
      <w:r w:rsidR="00302AC0" w:rsidRPr="00BD14B0">
        <w:rPr>
          <w:lang w:eastAsia="en-US"/>
        </w:rPr>
        <w:t>ally</w:t>
      </w:r>
      <w:r w:rsidR="00D82E3D" w:rsidRPr="00BD14B0">
        <w:rPr>
          <w:lang w:eastAsia="en-US"/>
        </w:rPr>
        <w:t xml:space="preserve"> biased. In the current study, participants were exposed to high danger (fire in their office building) to manipulate the context of danger. It was hypothesised that females will show enhanced gaze cueing in the low social power condition but not in the </w:t>
      </w:r>
      <w:r w:rsidR="00804DC1" w:rsidRPr="00BD14B0">
        <w:rPr>
          <w:lang w:eastAsia="en-US"/>
        </w:rPr>
        <w:t>high-power</w:t>
      </w:r>
      <w:r w:rsidR="00D82E3D" w:rsidRPr="00BD14B0">
        <w:rPr>
          <w:lang w:eastAsia="en-US"/>
        </w:rPr>
        <w:t xml:space="preserve"> condition, but that this difference will not be observed with male participants.</w:t>
      </w:r>
      <w:r w:rsidR="00965694" w:rsidRPr="00BD14B0">
        <w:rPr>
          <w:lang w:eastAsia="en-US"/>
        </w:rPr>
        <w:t xml:space="preserve"> </w:t>
      </w:r>
      <w:r w:rsidR="00C22660" w:rsidRPr="00BD14B0">
        <w:rPr>
          <w:lang w:eastAsia="en-US"/>
        </w:rPr>
        <w:t>Previous research also failed to account for the impact of social power</w:t>
      </w:r>
      <w:r w:rsidR="00965694" w:rsidRPr="00BD14B0">
        <w:rPr>
          <w:lang w:eastAsia="en-US"/>
        </w:rPr>
        <w:t>. Indeed</w:t>
      </w:r>
      <w:r w:rsidR="00035E51" w:rsidRPr="00BD14B0">
        <w:rPr>
          <w:lang w:eastAsia="en-US"/>
        </w:rPr>
        <w:t>, i</w:t>
      </w:r>
      <w:r w:rsidR="00965694" w:rsidRPr="00BD14B0">
        <w:rPr>
          <w:lang w:eastAsia="en-US"/>
        </w:rPr>
        <w:t xml:space="preserve">t has been shown that social power is important </w:t>
      </w:r>
      <w:r w:rsidR="00035E51" w:rsidRPr="00BD14B0">
        <w:rPr>
          <w:lang w:eastAsia="en-US"/>
        </w:rPr>
        <w:t xml:space="preserve">at a </w:t>
      </w:r>
      <w:r w:rsidR="00965694" w:rsidRPr="00BD14B0">
        <w:rPr>
          <w:lang w:eastAsia="en-US"/>
        </w:rPr>
        <w:t xml:space="preserve">group level </w:t>
      </w:r>
      <w:r w:rsidR="00BD14B0" w:rsidRPr="00BD14B0">
        <w:rPr>
          <w:lang w:eastAsia="en-US"/>
        </w:rPr>
        <w:fldChar w:fldCharType="begin" w:fldLock="1"/>
      </w:r>
      <w:r w:rsidR="00BD14B0">
        <w:rPr>
          <w:lang w:eastAsia="en-US"/>
        </w:rPr>
        <w:instrText>ADDIN CSL_CITATION {"citationItems":[{"id":"ITEM-1","itemData":{"DOI":"10.1371/journal.pone.0025117","ISSN":"1932-6203","abstract":"Studies in human and non-human primates indicate that basic socio-cognitive operations are inherently linked to the power of gaze in capturing reflexively the attention of an observer. Although monkey studies indicate that the automatic tendency to follow the gaze of a conspecific is modulated by the leader-follower social status, evidence for such effects in humans is meager. Here, we used a gaze following paradigm where the directional gaze of right-or left-wing Italian political characters could influence the oculomotor behavior of ingroup or outgroup voters. We show that the gaze of Berlusconi, the right-wing leader currently dominating the Italian political landscape, potentiates and inhibits gaze following behavior in ingroup and outgroup voters, respectively. Importantly, the higher the perceived similarity in personality traits between voters and Berlusconi, the stronger the gaze interference effect. Thus, higher-order social variables such as political leadership and affiliation prepotently affect reflexive shifts of attention.","author":[{"dropping-particle":"","family":"Liuzza","given":"Marco Tullio","non-dropping-particle":"","parse-names":false,"suffix":""},{"dropping-particle":"","family":"Cazzato","given":"Valentina","non-dropping-particle":"","parse-names":false,"suffix":""},{"dropping-particle":"","family":"Vecchione","given":"Michele","non-dropping-particle":"","parse-names":false,"suffix":""},{"dropping-particle":"","family":"Crostella","given":"Filippo","non-dropping-particle":"","parse-names":false,"suffix":""},{"dropping-particle":"","family":"Caprara","given":"Gian Vittorio","non-dropping-particle":"","parse-names":false,"suffix":""},{"dropping-particle":"","family":"Aglioti","given":"Salvatore Maria","non-dropping-particle":"","parse-names":false,"suffix":""}],"container-title":"Plos One","id":"ITEM-1","issue":"9","issued":{"date-parts":[["2011"]]},"note":"Times Cited: 12\nLiuzza, Marco Tullio/A-9967-2012\n12","title":"Follow My Eyes: The Gaze of Politicians Reflexively Captures the Gaze of Ingroup Voters","type":"article-journal","volume":"6"},"uris":["http://www.mendeley.com/documents/?uuid=5a49dbe4-b43e-4f79-b2bf-d8ab63cce5d6"]}],"mendeley":{"formattedCitation":"(Liuzza et al., 2011)","plainTextFormattedCitation":"(Liuzza et al., 2011)","previouslyFormattedCitation":"(Liuzza et al., 2011)"},"properties":{"noteIndex":0},"schema":"https://github.com/citation-style-language/schema/raw/master/csl-citation.json"}</w:instrText>
      </w:r>
      <w:r w:rsidR="00BD14B0" w:rsidRPr="00BD14B0">
        <w:rPr>
          <w:lang w:eastAsia="en-US"/>
        </w:rPr>
        <w:fldChar w:fldCharType="separate"/>
      </w:r>
      <w:r w:rsidR="00BD14B0" w:rsidRPr="00BD14B0">
        <w:rPr>
          <w:noProof/>
          <w:lang w:eastAsia="en-US"/>
        </w:rPr>
        <w:t>(Liuzza et al., 2011)</w:t>
      </w:r>
      <w:r w:rsidR="00BD14B0" w:rsidRPr="00BD14B0">
        <w:rPr>
          <w:lang w:eastAsia="en-US"/>
        </w:rPr>
        <w:fldChar w:fldCharType="end"/>
      </w:r>
      <w:r w:rsidR="00BD14B0" w:rsidRPr="00BD14B0">
        <w:rPr>
          <w:lang w:eastAsia="en-US"/>
        </w:rPr>
        <w:t xml:space="preserve">. </w:t>
      </w:r>
      <w:r w:rsidR="00595248" w:rsidRPr="00BD14B0">
        <w:rPr>
          <w:lang w:eastAsia="en-US"/>
        </w:rPr>
        <w:t>This, however, has not been considered at the individual level; it is unclear whether the effect of social power at the individual level would be similar to or reflect the effect of social power at the group level</w:t>
      </w:r>
      <w:r w:rsidR="00965694" w:rsidRPr="00BD14B0">
        <w:rPr>
          <w:lang w:eastAsia="en-US"/>
        </w:rPr>
        <w:t xml:space="preserve">. </w:t>
      </w:r>
      <w:r w:rsidR="00035E51" w:rsidRPr="00BD14B0">
        <w:rPr>
          <w:lang w:eastAsia="en-US"/>
        </w:rPr>
        <w:t xml:space="preserve">It was </w:t>
      </w:r>
      <w:r w:rsidR="00965694" w:rsidRPr="00BD14B0">
        <w:rPr>
          <w:lang w:eastAsia="en-US"/>
        </w:rPr>
        <w:t xml:space="preserve">hypothesized that the same pattern would occur regardless of the social power condition. </w:t>
      </w:r>
      <w:r w:rsidR="00035E51" w:rsidRPr="00BD14B0">
        <w:rPr>
          <w:lang w:eastAsia="en-US"/>
        </w:rPr>
        <w:t>Thus, i</w:t>
      </w:r>
      <w:r w:rsidR="00965694" w:rsidRPr="00BD14B0">
        <w:rPr>
          <w:lang w:eastAsia="en-US"/>
        </w:rPr>
        <w:t xml:space="preserve">n the current study, the context of danger may create overall alertness in the attention system for their environment with lower resources for their own social factors, which could explain the lack of effect of these social factors. </w:t>
      </w:r>
    </w:p>
    <w:p w14:paraId="4D929ABF" w14:textId="77777777" w:rsidR="00345DF2" w:rsidRPr="00BD14B0" w:rsidRDefault="00345DF2" w:rsidP="00553E01"/>
    <w:p w14:paraId="61A3DB50" w14:textId="15EDD3D0" w:rsidR="0069078C" w:rsidRPr="00BD14B0" w:rsidRDefault="000926DB" w:rsidP="00553E01">
      <w:pPr>
        <w:pStyle w:val="Heading2"/>
      </w:pPr>
      <w:r w:rsidRPr="00BD14B0">
        <w:t xml:space="preserve"> </w:t>
      </w:r>
      <w:bookmarkStart w:id="57" w:name="_Toc108310776"/>
      <w:r w:rsidR="006B6F0F" w:rsidRPr="00BD14B0">
        <w:t>Methods</w:t>
      </w:r>
      <w:bookmarkEnd w:id="57"/>
    </w:p>
    <w:p w14:paraId="5FE3843D" w14:textId="77777777" w:rsidR="00E714E0" w:rsidRPr="00BD14B0" w:rsidRDefault="00E714E0" w:rsidP="00553E01"/>
    <w:p w14:paraId="38506ACB" w14:textId="312B94F1" w:rsidR="00E714E0" w:rsidRPr="00BD14B0" w:rsidRDefault="006B6F0F" w:rsidP="00553E01">
      <w:pPr>
        <w:pStyle w:val="Heading3"/>
      </w:pPr>
      <w:bookmarkStart w:id="58" w:name="_Toc108310777"/>
      <w:r w:rsidRPr="00BD14B0">
        <w:t>Ethics</w:t>
      </w:r>
      <w:bookmarkEnd w:id="58"/>
    </w:p>
    <w:p w14:paraId="131E62B2" w14:textId="51F31442" w:rsidR="00DB3D5C" w:rsidRPr="00BD14B0" w:rsidRDefault="0002405D" w:rsidP="00553E01">
      <w:pPr>
        <w:rPr>
          <w:lang w:eastAsia="en-US"/>
        </w:rPr>
      </w:pPr>
      <w:r w:rsidRPr="00BD14B0">
        <w:rPr>
          <w:lang w:eastAsia="en-US"/>
        </w:rPr>
        <w:tab/>
      </w:r>
      <w:r w:rsidR="00DB3D5C" w:rsidRPr="00BD14B0">
        <w:rPr>
          <w:lang w:eastAsia="en-US"/>
        </w:rPr>
        <w:t xml:space="preserve">This research was approved by the Research Ethics Sub-Committee of the Department of Psychology, University of Sheffield. </w:t>
      </w:r>
    </w:p>
    <w:p w14:paraId="3648851D" w14:textId="77777777" w:rsidR="00E714E0" w:rsidRPr="00BD14B0" w:rsidRDefault="00E714E0" w:rsidP="00553E01"/>
    <w:p w14:paraId="5A43E96A" w14:textId="619741DE" w:rsidR="004C0AC2" w:rsidRPr="00BD14B0" w:rsidRDefault="006B6F0F" w:rsidP="004C0AC2">
      <w:pPr>
        <w:pStyle w:val="Heading3"/>
      </w:pPr>
      <w:bookmarkStart w:id="59" w:name="_Toc108310778"/>
      <w:r w:rsidRPr="00BD14B0">
        <w:t>Participants</w:t>
      </w:r>
      <w:bookmarkEnd w:id="59"/>
      <w:r w:rsidRPr="00BD14B0">
        <w:t xml:space="preserve"> </w:t>
      </w:r>
    </w:p>
    <w:p w14:paraId="7A5E5AAD" w14:textId="1EC17BB1" w:rsidR="004C0AC2" w:rsidRPr="00BD14B0" w:rsidRDefault="004C0AC2" w:rsidP="004C0AC2">
      <w:pPr>
        <w:rPr>
          <w:lang w:eastAsia="en-US"/>
        </w:rPr>
      </w:pPr>
      <w:r w:rsidRPr="00BD14B0">
        <w:rPr>
          <w:lang w:eastAsia="en-US"/>
        </w:rPr>
        <w:tab/>
        <w:t xml:space="preserve">In total, </w:t>
      </w:r>
      <w:r w:rsidRPr="00BD14B0">
        <w:t>77</w:t>
      </w:r>
      <w:r w:rsidRPr="00BD14B0">
        <w:rPr>
          <w:lang w:eastAsia="en-US"/>
        </w:rPr>
        <w:t xml:space="preserve"> University of Sheffield students took part in this study. However, six of the participants did not complete the learning phase and/or answer the control question before continuing with the gaze cueing task, indicating that they did not understand the priming condition. Remaining 71 participants (40 female, 31 male) with mean age of </w:t>
      </w:r>
      <w:r w:rsidRPr="00BD14B0">
        <w:t xml:space="preserve">20.9 </w:t>
      </w:r>
      <w:r w:rsidRPr="00BD14B0">
        <w:lastRenderedPageBreak/>
        <w:t>years, ranging from 18 to 34 years (SD=3.0</w:t>
      </w:r>
      <w:r w:rsidR="001B5BAE" w:rsidRPr="00BD14B0">
        <w:t>5</w:t>
      </w:r>
      <w:r w:rsidRPr="00BD14B0">
        <w:t xml:space="preserve"> years)</w:t>
      </w:r>
      <w:r w:rsidRPr="00BD14B0">
        <w:rPr>
          <w:lang w:eastAsia="en-US"/>
        </w:rPr>
        <w:t>. Due to nature of the study participants were only asked to participants if they are British to be able to do cultural comparison and 51 (72%) participants identified as “British” whereas 20 (28%) identified as “other”. Participants were recruited through the Department of Psychology “Online Participant System” (OPS) scheme, University of Sheffield volunteers list and flyers advertising the study. All participants reported normal or normal to corrected vision. Participants who were recruited by OPS (online participant system) were unpaid undergraduate students who received credit for their time All other participants were entered into a prize draw to be compensated for their time.</w:t>
      </w:r>
    </w:p>
    <w:p w14:paraId="6BFFF521" w14:textId="10C99084" w:rsidR="00DB3D5C" w:rsidRPr="00BD14B0" w:rsidRDefault="0002405D" w:rsidP="00553E01">
      <w:pPr>
        <w:rPr>
          <w:lang w:eastAsia="en-US"/>
        </w:rPr>
      </w:pPr>
      <w:r w:rsidRPr="00BD14B0">
        <w:rPr>
          <w:lang w:eastAsia="en-US"/>
        </w:rPr>
        <w:tab/>
      </w:r>
      <w:r w:rsidR="00DB3D5C" w:rsidRPr="00BD14B0">
        <w:rPr>
          <w:lang w:eastAsia="en-US"/>
        </w:rPr>
        <w:t xml:space="preserve">Informed consent was obtained from all participants prior to </w:t>
      </w:r>
      <w:r w:rsidR="00035E51" w:rsidRPr="00BD14B0">
        <w:rPr>
          <w:lang w:eastAsia="en-US"/>
        </w:rPr>
        <w:t xml:space="preserve">the </w:t>
      </w:r>
      <w:r w:rsidR="00DB3D5C" w:rsidRPr="00BD14B0">
        <w:rPr>
          <w:lang w:eastAsia="en-US"/>
        </w:rPr>
        <w:t>experiment. Participants had the right to withdraw from the study at any time without any consequences. At the end of the experiment participants were debriefed and thanked for their time.</w:t>
      </w:r>
    </w:p>
    <w:p w14:paraId="2F1BA0C3" w14:textId="77777777" w:rsidR="0002405D" w:rsidRPr="00BD14B0" w:rsidRDefault="0002405D" w:rsidP="00553E01">
      <w:pPr>
        <w:rPr>
          <w:lang w:eastAsia="en-US"/>
        </w:rPr>
      </w:pPr>
    </w:p>
    <w:p w14:paraId="60333C49" w14:textId="5DC08566" w:rsidR="000A1220" w:rsidRPr="00BD14B0" w:rsidRDefault="006B6F0F" w:rsidP="00553E01">
      <w:pPr>
        <w:pStyle w:val="Heading3"/>
      </w:pPr>
      <w:bookmarkStart w:id="60" w:name="_Toc108310779"/>
      <w:r w:rsidRPr="00BD14B0">
        <w:t>Stimuli and apparatus</w:t>
      </w:r>
      <w:bookmarkEnd w:id="60"/>
    </w:p>
    <w:p w14:paraId="599A8F86" w14:textId="3EB3C605" w:rsidR="00DB3D5C" w:rsidRPr="00BD14B0" w:rsidRDefault="00BA3684" w:rsidP="00553E01">
      <w:pPr>
        <w:rPr>
          <w:lang w:eastAsia="en-US"/>
        </w:rPr>
      </w:pPr>
      <w:r w:rsidRPr="00BD14B0">
        <w:rPr>
          <w:i/>
          <w:u w:color="FF0000"/>
        </w:rPr>
        <w:tab/>
      </w:r>
      <w:r w:rsidR="00DB3D5C" w:rsidRPr="00BD14B0">
        <w:rPr>
          <w:lang w:eastAsia="en-US"/>
        </w:rPr>
        <w:t xml:space="preserve">The gaze cueing task was </w:t>
      </w:r>
      <w:r w:rsidR="00804DC1" w:rsidRPr="00BD14B0">
        <w:rPr>
          <w:lang w:eastAsia="en-US"/>
        </w:rPr>
        <w:t>presented,</w:t>
      </w:r>
      <w:r w:rsidR="00DB3D5C" w:rsidRPr="00BD14B0">
        <w:rPr>
          <w:lang w:eastAsia="en-US"/>
        </w:rPr>
        <w:t xml:space="preserve"> and the reaction times</w:t>
      </w:r>
      <w:r w:rsidR="001F7BB4" w:rsidRPr="00BD14B0">
        <w:rPr>
          <w:lang w:eastAsia="en-US"/>
        </w:rPr>
        <w:t xml:space="preserve"> were</w:t>
      </w:r>
      <w:r w:rsidR="00DB3D5C" w:rsidRPr="00BD14B0">
        <w:rPr>
          <w:lang w:eastAsia="en-US"/>
        </w:rPr>
        <w:t xml:space="preserve"> record</w:t>
      </w:r>
      <w:r w:rsidR="001F7BB4" w:rsidRPr="00BD14B0">
        <w:rPr>
          <w:lang w:eastAsia="en-US"/>
        </w:rPr>
        <w:t>ed</w:t>
      </w:r>
      <w:r w:rsidR="00DB3D5C" w:rsidRPr="00BD14B0">
        <w:rPr>
          <w:lang w:eastAsia="en-US"/>
        </w:rPr>
        <w:t xml:space="preserve"> using </w:t>
      </w:r>
      <w:proofErr w:type="spellStart"/>
      <w:r w:rsidR="00DB3D5C" w:rsidRPr="00BD14B0">
        <w:rPr>
          <w:lang w:eastAsia="en-US"/>
        </w:rPr>
        <w:t>PsychoPy</w:t>
      </w:r>
      <w:proofErr w:type="spellEnd"/>
      <w:r w:rsidR="00DB3D5C" w:rsidRPr="00BD14B0">
        <w:rPr>
          <w:lang w:eastAsia="en-US"/>
        </w:rPr>
        <w:t xml:space="preserve"> software (Peirce, 2007). Microsoft excel was used to calculate the mean and standard deviations of reaction times for each participant and for each condition. </w:t>
      </w:r>
    </w:p>
    <w:p w14:paraId="1980E9FD" w14:textId="50642D95" w:rsidR="00DB3D5C" w:rsidRPr="00BD14B0" w:rsidRDefault="00DB3D5C" w:rsidP="00553E01">
      <w:pPr>
        <w:rPr>
          <w:lang w:eastAsia="en-US"/>
        </w:rPr>
      </w:pPr>
      <w:r w:rsidRPr="00BD14B0">
        <w:rPr>
          <w:lang w:eastAsia="en-US"/>
        </w:rPr>
        <w:tab/>
        <w:t xml:space="preserve">The study included four neutral looking faces (two female and two male) taken from Utrecht ECVP face database. The Utrecht ECVP face database consists of 131 images (49 men, 20 women), comprising pictures of neutral and smiling versions of each face. The photos were collected at the European Conference on Visual Perception in Utrecht in 2008. The resolution of the pictures was 900 x 1200 </w:t>
      </w:r>
      <w:proofErr w:type="gramStart"/>
      <w:r w:rsidRPr="00BD14B0">
        <w:rPr>
          <w:lang w:eastAsia="en-US"/>
        </w:rPr>
        <w:t>pixels</w:t>
      </w:r>
      <w:proofErr w:type="gramEnd"/>
      <w:r w:rsidRPr="00BD14B0">
        <w:rPr>
          <w:lang w:eastAsia="en-US"/>
        </w:rPr>
        <w:t xml:space="preserve"> and the pictures are </w:t>
      </w:r>
      <w:r w:rsidR="00035E51" w:rsidRPr="00BD14B0">
        <w:rPr>
          <w:lang w:eastAsia="en-US"/>
        </w:rPr>
        <w:t xml:space="preserve">in </w:t>
      </w:r>
      <w:r w:rsidRPr="00BD14B0">
        <w:rPr>
          <w:lang w:eastAsia="en-US"/>
        </w:rPr>
        <w:t xml:space="preserve">colour (Downloaded from: http://pics.psych.stir.ac.uk/2D_face_sets.htm). Two of the faces (one male, one female) were used in practice trials and two of the faces were used in the gaze cueing task. Each face was manipulated using Photoshop CS6. More specifically, the original faces contained a blue background, which was replaced with a white background to provide greater contrast between the image and negative space. This was done to direct as much attention as possible to the faces. The original eyes of each face looked directly ahead. Therefore, the eyes were also manipulated to create a face that looked to the left and </w:t>
      </w:r>
      <w:r w:rsidRPr="00BD14B0">
        <w:rPr>
          <w:lang w:eastAsia="en-US"/>
        </w:rPr>
        <w:lastRenderedPageBreak/>
        <w:t xml:space="preserve">right. This was done by cutting each iris and pasting them to the left and right corners of the eyes, respectively. Each face with a left and right gaze was also manipulated one more time to include a target (a black dot) stimulus. This target stimulus was in the same direct as the gaze and in the opposite direction of the gaze. This created several conditions with target and gaze being congruent and incongruent. That is, there was an averted gaze with a target, and an averted gaze without a target. The adverted gaze with a target either had the target in the same direction as the gaze (congruent condition) or in the opposite direction of the gaze (incongruent condition). These conditions can be seen in Figure </w:t>
      </w:r>
      <w:r w:rsidR="004A5BB1" w:rsidRPr="00BD14B0">
        <w:rPr>
          <w:lang w:eastAsia="en-US"/>
        </w:rPr>
        <w:t>9</w:t>
      </w:r>
      <w:r w:rsidR="007967BD" w:rsidRPr="00BD14B0">
        <w:rPr>
          <w:lang w:eastAsia="en-US"/>
        </w:rPr>
        <w:t xml:space="preserve">. </w:t>
      </w:r>
    </w:p>
    <w:p w14:paraId="5E5F14E8" w14:textId="77777777" w:rsidR="004A5BB1" w:rsidRPr="00BD14B0" w:rsidRDefault="004A5BB1" w:rsidP="00553E01">
      <w:pPr>
        <w:rPr>
          <w:lang w:eastAsia="en-US"/>
        </w:rPr>
      </w:pPr>
    </w:p>
    <w:p w14:paraId="5B2A5700" w14:textId="6AF672D7" w:rsidR="004A5BB1" w:rsidRPr="00BD14B0" w:rsidRDefault="00A23F72" w:rsidP="00A23F72">
      <w:pPr>
        <w:pStyle w:val="Title"/>
        <w:rPr>
          <w:lang w:eastAsia="en-US"/>
        </w:rPr>
      </w:pPr>
      <w:bookmarkStart w:id="61" w:name="_Toc108322124"/>
      <w:r>
        <w:t xml:space="preserve">Figure </w:t>
      </w:r>
      <w:r w:rsidR="003B267D">
        <w:fldChar w:fldCharType="begin"/>
      </w:r>
      <w:r w:rsidR="003B267D">
        <w:instrText xml:space="preserve"> SEQ Figure \* ARABIC </w:instrText>
      </w:r>
      <w:r w:rsidR="003B267D">
        <w:fldChar w:fldCharType="separate"/>
      </w:r>
      <w:r w:rsidR="003B267D">
        <w:rPr>
          <w:noProof/>
        </w:rPr>
        <w:t>9</w:t>
      </w:r>
      <w:r w:rsidR="003B267D">
        <w:fldChar w:fldCharType="end"/>
      </w:r>
      <w:bookmarkEnd w:id="61"/>
    </w:p>
    <w:p w14:paraId="5ED6ED38" w14:textId="435C2F83" w:rsidR="004A5BB1" w:rsidRPr="00BD14B0" w:rsidRDefault="004A5BB1" w:rsidP="00553E01">
      <w:pPr>
        <w:rPr>
          <w:lang w:eastAsia="en-US"/>
        </w:rPr>
      </w:pPr>
      <w:r w:rsidRPr="00BD14B0">
        <w:rPr>
          <w:i/>
          <w:iCs/>
          <w:lang w:eastAsia="en-US"/>
        </w:rPr>
        <w:t>Example of face gazing left and right side of the screen - congruent trials</w:t>
      </w:r>
    </w:p>
    <w:p w14:paraId="66DB294A" w14:textId="00B1E2F3" w:rsidR="00705DC4" w:rsidRPr="00BD14B0" w:rsidRDefault="00D939F0" w:rsidP="00553E01">
      <w:pPr>
        <w:rPr>
          <w:lang w:eastAsia="en-US"/>
        </w:rPr>
      </w:pPr>
      <w:r w:rsidRPr="00BD14B0">
        <w:rPr>
          <w:noProof/>
          <w:lang w:eastAsia="en-US"/>
        </w:rPr>
        <w:drawing>
          <wp:inline distT="0" distB="0" distL="0" distR="0" wp14:anchorId="1445C2C3" wp14:editId="1A22FA20">
            <wp:extent cx="4264466" cy="3287949"/>
            <wp:effectExtent l="0" t="0" r="3175" b="1905"/>
            <wp:docPr id="9" name="Picture 9" descr="A group of people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a pictur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4316403" cy="3327993"/>
                    </a:xfrm>
                    <a:prstGeom prst="rect">
                      <a:avLst/>
                    </a:prstGeom>
                  </pic:spPr>
                </pic:pic>
              </a:graphicData>
            </a:graphic>
          </wp:inline>
        </w:drawing>
      </w:r>
    </w:p>
    <w:p w14:paraId="558D9504" w14:textId="6204A136" w:rsidR="00674202" w:rsidRPr="00BD14B0" w:rsidRDefault="00727BC6" w:rsidP="00553E01">
      <w:pPr>
        <w:rPr>
          <w:lang w:eastAsia="en-US"/>
        </w:rPr>
      </w:pPr>
      <w:r w:rsidRPr="00BD14B0">
        <w:rPr>
          <w:lang w:eastAsia="en-US"/>
        </w:rPr>
        <w:tab/>
      </w:r>
      <w:r w:rsidR="00DB3D5C" w:rsidRPr="00BD14B0">
        <w:rPr>
          <w:lang w:eastAsia="en-US"/>
        </w:rPr>
        <w:t>Lastly, participants were exposed to sound of a burning fire to prime a danger context.  Sounds were obtained from the internet</w:t>
      </w:r>
      <w:r w:rsidR="0073393C" w:rsidRPr="00BD14B0">
        <w:rPr>
          <w:lang w:eastAsia="en-US"/>
        </w:rPr>
        <w:t xml:space="preserve"> </w:t>
      </w:r>
      <w:r w:rsidR="00DB3D5C" w:rsidRPr="00BD14B0">
        <w:rPr>
          <w:lang w:eastAsia="en-US"/>
        </w:rPr>
        <w:t>(</w:t>
      </w:r>
      <w:hyperlink r:id="rId23" w:history="1">
        <w:r w:rsidR="00DB3D5C" w:rsidRPr="00BD14B0">
          <w:rPr>
            <w:u w:val="single"/>
            <w:lang w:eastAsia="en-US"/>
          </w:rPr>
          <w:t>https://www.youtube.com/watch?v=RDfjXj5EGqI</w:t>
        </w:r>
      </w:hyperlink>
      <w:r w:rsidR="00DB3D5C" w:rsidRPr="00BD14B0">
        <w:rPr>
          <w:lang w:eastAsia="en-US"/>
        </w:rPr>
        <w:t xml:space="preserve">) and consisted of crackling noises of a wood-burning fire. The participants listened this sound during priming phase of the study, while they were instructed to imagine a </w:t>
      </w:r>
      <w:r w:rsidR="00804DC1" w:rsidRPr="00BD14B0">
        <w:rPr>
          <w:lang w:eastAsia="en-US"/>
        </w:rPr>
        <w:t>dangerous</w:t>
      </w:r>
      <w:r w:rsidR="00DB3D5C" w:rsidRPr="00BD14B0">
        <w:rPr>
          <w:lang w:eastAsia="en-US"/>
        </w:rPr>
        <w:t xml:space="preserve"> </w:t>
      </w:r>
      <w:r w:rsidR="00804DC1" w:rsidRPr="00BD14B0">
        <w:rPr>
          <w:lang w:eastAsia="en-US"/>
        </w:rPr>
        <w:t>scenario</w:t>
      </w:r>
      <w:r w:rsidR="00DB3D5C" w:rsidRPr="00BD14B0">
        <w:rPr>
          <w:lang w:eastAsia="en-US"/>
        </w:rPr>
        <w:t xml:space="preserve"> and write down the details of what they have imagined. </w:t>
      </w:r>
    </w:p>
    <w:p w14:paraId="306CFA79" w14:textId="5D3FD375" w:rsidR="002933C4" w:rsidRPr="00BD14B0" w:rsidRDefault="00A23F72" w:rsidP="00A23F72">
      <w:pPr>
        <w:pStyle w:val="Title"/>
        <w:rPr>
          <w:rFonts w:eastAsia="Calibri"/>
          <w:lang w:eastAsia="en-US"/>
        </w:rPr>
      </w:pPr>
      <w:bookmarkStart w:id="62" w:name="_Toc108321852"/>
      <w:r>
        <w:lastRenderedPageBreak/>
        <w:t xml:space="preserve">Table </w:t>
      </w:r>
      <w:bookmarkStart w:id="63" w:name="_Hlk509971094"/>
      <w:bookmarkEnd w:id="62"/>
      <w:r w:rsidR="00656710">
        <w:t>4</w:t>
      </w:r>
    </w:p>
    <w:p w14:paraId="2D02B1F9" w14:textId="79FB154C" w:rsidR="00705DC4" w:rsidRPr="00BD14B0" w:rsidRDefault="00705DC4" w:rsidP="00553E01">
      <w:pPr>
        <w:rPr>
          <w:rFonts w:eastAsia="Calibri"/>
          <w:lang w:eastAsia="en-US"/>
        </w:rPr>
      </w:pPr>
      <w:r w:rsidRPr="00BD14B0">
        <w:rPr>
          <w:rFonts w:eastAsia="Calibri"/>
          <w:i/>
          <w:iCs/>
          <w:lang w:eastAsia="en-US"/>
        </w:rPr>
        <w:t xml:space="preserve">Sample size and percentage by gender and condition. </w:t>
      </w:r>
    </w:p>
    <w:bookmarkEnd w:id="63"/>
    <w:tbl>
      <w:tblPr>
        <w:tblStyle w:val="TableGrid11"/>
        <w:tblW w:w="0" w:type="auto"/>
        <w:tblBorders>
          <w:top w:val="none" w:sz="0" w:space="0" w:color="auto"/>
          <w:left w:val="none" w:sz="0"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1313"/>
        <w:gridCol w:w="1389"/>
        <w:gridCol w:w="1079"/>
        <w:gridCol w:w="960"/>
        <w:gridCol w:w="949"/>
        <w:gridCol w:w="982"/>
        <w:gridCol w:w="898"/>
        <w:gridCol w:w="934"/>
      </w:tblGrid>
      <w:tr w:rsidR="00695B36" w:rsidRPr="00BD14B0" w14:paraId="16B7B19D" w14:textId="77777777" w:rsidTr="00DF775E">
        <w:trPr>
          <w:trHeight w:val="374"/>
        </w:trPr>
        <w:tc>
          <w:tcPr>
            <w:tcW w:w="1313" w:type="dxa"/>
            <w:tcBorders>
              <w:top w:val="single" w:sz="4" w:space="0" w:color="auto"/>
            </w:tcBorders>
          </w:tcPr>
          <w:p w14:paraId="363AB91F" w14:textId="77777777" w:rsidR="002A35FF" w:rsidRPr="00BD14B0" w:rsidRDefault="002A35FF" w:rsidP="00553E01">
            <w:pPr>
              <w:rPr>
                <w:rFonts w:eastAsia="Calibri"/>
              </w:rPr>
            </w:pPr>
          </w:p>
        </w:tc>
        <w:tc>
          <w:tcPr>
            <w:tcW w:w="1389" w:type="dxa"/>
            <w:tcBorders>
              <w:top w:val="single" w:sz="4" w:space="0" w:color="auto"/>
            </w:tcBorders>
          </w:tcPr>
          <w:p w14:paraId="05DCADF6" w14:textId="77777777" w:rsidR="002A35FF" w:rsidRPr="00BD14B0" w:rsidRDefault="002A35FF" w:rsidP="00553E01">
            <w:pPr>
              <w:rPr>
                <w:rFonts w:eastAsia="Calibri"/>
              </w:rPr>
            </w:pPr>
          </w:p>
        </w:tc>
        <w:tc>
          <w:tcPr>
            <w:tcW w:w="2039" w:type="dxa"/>
            <w:gridSpan w:val="2"/>
            <w:tcBorders>
              <w:top w:val="single" w:sz="4" w:space="0" w:color="auto"/>
            </w:tcBorders>
          </w:tcPr>
          <w:p w14:paraId="7E0A65B8" w14:textId="77777777" w:rsidR="002A35FF" w:rsidRPr="00BD14B0" w:rsidRDefault="002A35FF" w:rsidP="00553E01">
            <w:pPr>
              <w:rPr>
                <w:rFonts w:eastAsia="Calibri"/>
              </w:rPr>
            </w:pPr>
            <w:r w:rsidRPr="00BD14B0">
              <w:rPr>
                <w:rFonts w:eastAsia="Calibri"/>
              </w:rPr>
              <w:t>Males:</w:t>
            </w:r>
          </w:p>
        </w:tc>
        <w:tc>
          <w:tcPr>
            <w:tcW w:w="1931" w:type="dxa"/>
            <w:gridSpan w:val="2"/>
            <w:tcBorders>
              <w:top w:val="single" w:sz="4" w:space="0" w:color="auto"/>
            </w:tcBorders>
          </w:tcPr>
          <w:p w14:paraId="6FED3C40" w14:textId="77777777" w:rsidR="002A35FF" w:rsidRPr="00BD14B0" w:rsidRDefault="002A35FF" w:rsidP="00553E01">
            <w:pPr>
              <w:rPr>
                <w:rFonts w:eastAsia="Calibri"/>
              </w:rPr>
            </w:pPr>
            <w:r w:rsidRPr="00BD14B0">
              <w:rPr>
                <w:rFonts w:eastAsia="Calibri"/>
              </w:rPr>
              <w:t>Females:</w:t>
            </w:r>
          </w:p>
        </w:tc>
        <w:tc>
          <w:tcPr>
            <w:tcW w:w="1832" w:type="dxa"/>
            <w:gridSpan w:val="2"/>
            <w:tcBorders>
              <w:top w:val="single" w:sz="4" w:space="0" w:color="auto"/>
            </w:tcBorders>
          </w:tcPr>
          <w:p w14:paraId="7B2D5F8E" w14:textId="77777777" w:rsidR="002A35FF" w:rsidRPr="00BD14B0" w:rsidRDefault="002A35FF" w:rsidP="00553E01">
            <w:pPr>
              <w:rPr>
                <w:rFonts w:eastAsia="Calibri"/>
              </w:rPr>
            </w:pPr>
            <w:r w:rsidRPr="00BD14B0">
              <w:rPr>
                <w:rFonts w:eastAsia="Calibri"/>
              </w:rPr>
              <w:t>Total:</w:t>
            </w:r>
          </w:p>
        </w:tc>
      </w:tr>
      <w:tr w:rsidR="00695B36" w:rsidRPr="00BD14B0" w14:paraId="12DFA327" w14:textId="77777777" w:rsidTr="00DF775E">
        <w:tc>
          <w:tcPr>
            <w:tcW w:w="1313" w:type="dxa"/>
            <w:tcBorders>
              <w:bottom w:val="single" w:sz="4" w:space="0" w:color="auto"/>
            </w:tcBorders>
          </w:tcPr>
          <w:p w14:paraId="2025A496" w14:textId="77777777" w:rsidR="002A35FF" w:rsidRPr="00BD14B0" w:rsidRDefault="002A35FF" w:rsidP="00553E01">
            <w:pPr>
              <w:rPr>
                <w:rFonts w:eastAsia="Calibri"/>
              </w:rPr>
            </w:pPr>
            <w:r w:rsidRPr="00BD14B0">
              <w:rPr>
                <w:rFonts w:eastAsia="Calibri"/>
              </w:rPr>
              <w:t xml:space="preserve">Condition: </w:t>
            </w:r>
          </w:p>
        </w:tc>
        <w:tc>
          <w:tcPr>
            <w:tcW w:w="1389" w:type="dxa"/>
            <w:tcBorders>
              <w:bottom w:val="single" w:sz="4" w:space="0" w:color="auto"/>
            </w:tcBorders>
          </w:tcPr>
          <w:p w14:paraId="5F27CC15" w14:textId="77777777" w:rsidR="002A35FF" w:rsidRPr="00BD14B0" w:rsidRDefault="002A35FF" w:rsidP="00553E01">
            <w:pPr>
              <w:rPr>
                <w:rFonts w:eastAsia="Calibri"/>
              </w:rPr>
            </w:pPr>
          </w:p>
        </w:tc>
        <w:tc>
          <w:tcPr>
            <w:tcW w:w="1079" w:type="dxa"/>
            <w:tcBorders>
              <w:bottom w:val="single" w:sz="4" w:space="0" w:color="auto"/>
            </w:tcBorders>
          </w:tcPr>
          <w:p w14:paraId="14CD274F" w14:textId="77777777" w:rsidR="002A35FF" w:rsidRPr="00BD14B0" w:rsidRDefault="002A35FF" w:rsidP="00553E01">
            <w:pPr>
              <w:rPr>
                <w:rFonts w:eastAsia="Calibri"/>
              </w:rPr>
            </w:pPr>
            <w:r w:rsidRPr="00BD14B0">
              <w:rPr>
                <w:rFonts w:eastAsia="Calibri"/>
              </w:rPr>
              <w:t>n</w:t>
            </w:r>
          </w:p>
        </w:tc>
        <w:tc>
          <w:tcPr>
            <w:tcW w:w="960" w:type="dxa"/>
            <w:tcBorders>
              <w:bottom w:val="single" w:sz="4" w:space="0" w:color="auto"/>
            </w:tcBorders>
          </w:tcPr>
          <w:p w14:paraId="1D69C7D6" w14:textId="77777777" w:rsidR="002A35FF" w:rsidRPr="00BD14B0" w:rsidRDefault="002A35FF" w:rsidP="00553E01">
            <w:pPr>
              <w:rPr>
                <w:rFonts w:eastAsia="Calibri"/>
              </w:rPr>
            </w:pPr>
            <w:r w:rsidRPr="00BD14B0">
              <w:rPr>
                <w:rFonts w:eastAsia="Calibri"/>
              </w:rPr>
              <w:t>%</w:t>
            </w:r>
          </w:p>
        </w:tc>
        <w:tc>
          <w:tcPr>
            <w:tcW w:w="949" w:type="dxa"/>
            <w:tcBorders>
              <w:bottom w:val="single" w:sz="4" w:space="0" w:color="auto"/>
            </w:tcBorders>
          </w:tcPr>
          <w:p w14:paraId="7E2410D0" w14:textId="77777777" w:rsidR="002A35FF" w:rsidRPr="00BD14B0" w:rsidRDefault="002A35FF" w:rsidP="00553E01">
            <w:pPr>
              <w:rPr>
                <w:rFonts w:eastAsia="Calibri"/>
              </w:rPr>
            </w:pPr>
            <w:r w:rsidRPr="00BD14B0">
              <w:rPr>
                <w:rFonts w:eastAsia="Calibri"/>
              </w:rPr>
              <w:t>n</w:t>
            </w:r>
          </w:p>
        </w:tc>
        <w:tc>
          <w:tcPr>
            <w:tcW w:w="982" w:type="dxa"/>
            <w:tcBorders>
              <w:bottom w:val="single" w:sz="4" w:space="0" w:color="auto"/>
            </w:tcBorders>
          </w:tcPr>
          <w:p w14:paraId="48A604FB" w14:textId="77777777" w:rsidR="002A35FF" w:rsidRPr="00BD14B0" w:rsidRDefault="002A35FF" w:rsidP="00553E01">
            <w:pPr>
              <w:rPr>
                <w:rFonts w:eastAsia="Calibri"/>
              </w:rPr>
            </w:pPr>
            <w:r w:rsidRPr="00BD14B0">
              <w:rPr>
                <w:rFonts w:eastAsia="Calibri"/>
              </w:rPr>
              <w:t>%</w:t>
            </w:r>
          </w:p>
        </w:tc>
        <w:tc>
          <w:tcPr>
            <w:tcW w:w="898" w:type="dxa"/>
            <w:tcBorders>
              <w:bottom w:val="single" w:sz="4" w:space="0" w:color="auto"/>
            </w:tcBorders>
          </w:tcPr>
          <w:p w14:paraId="2419F01F" w14:textId="77777777" w:rsidR="002A35FF" w:rsidRPr="00BD14B0" w:rsidRDefault="002A35FF" w:rsidP="00553E01">
            <w:pPr>
              <w:rPr>
                <w:rFonts w:eastAsia="Calibri"/>
              </w:rPr>
            </w:pPr>
            <w:r w:rsidRPr="00BD14B0">
              <w:rPr>
                <w:rFonts w:eastAsia="Calibri"/>
              </w:rPr>
              <w:t>n</w:t>
            </w:r>
          </w:p>
        </w:tc>
        <w:tc>
          <w:tcPr>
            <w:tcW w:w="934" w:type="dxa"/>
            <w:tcBorders>
              <w:bottom w:val="single" w:sz="4" w:space="0" w:color="auto"/>
            </w:tcBorders>
          </w:tcPr>
          <w:p w14:paraId="121D8E0F" w14:textId="77777777" w:rsidR="002A35FF" w:rsidRPr="00BD14B0" w:rsidRDefault="002A35FF" w:rsidP="00553E01">
            <w:pPr>
              <w:rPr>
                <w:rFonts w:eastAsia="Calibri"/>
              </w:rPr>
            </w:pPr>
            <w:r w:rsidRPr="00BD14B0">
              <w:rPr>
                <w:rFonts w:eastAsia="Calibri"/>
              </w:rPr>
              <w:t>%</w:t>
            </w:r>
          </w:p>
        </w:tc>
      </w:tr>
      <w:tr w:rsidR="00695B36" w:rsidRPr="00BD14B0" w14:paraId="08ED5E6C" w14:textId="77777777" w:rsidTr="00DF775E">
        <w:tc>
          <w:tcPr>
            <w:tcW w:w="2702" w:type="dxa"/>
            <w:gridSpan w:val="2"/>
            <w:tcBorders>
              <w:top w:val="single" w:sz="4" w:space="0" w:color="auto"/>
              <w:bottom w:val="single" w:sz="18" w:space="0" w:color="auto"/>
            </w:tcBorders>
          </w:tcPr>
          <w:p w14:paraId="2882D082" w14:textId="77777777" w:rsidR="002A35FF" w:rsidRPr="00BD14B0" w:rsidRDefault="002A35FF" w:rsidP="00553E01">
            <w:pPr>
              <w:rPr>
                <w:rFonts w:eastAsia="Calibri"/>
              </w:rPr>
            </w:pPr>
            <w:r w:rsidRPr="00BD14B0">
              <w:rPr>
                <w:rFonts w:eastAsia="Calibri"/>
              </w:rPr>
              <w:t>High Social Power</w:t>
            </w:r>
          </w:p>
          <w:p w14:paraId="3D85CDB0" w14:textId="77777777" w:rsidR="002A35FF" w:rsidRPr="00BD14B0" w:rsidRDefault="002A35FF" w:rsidP="00553E01">
            <w:pPr>
              <w:rPr>
                <w:rFonts w:eastAsia="Calibri"/>
              </w:rPr>
            </w:pPr>
            <w:r w:rsidRPr="00BD14B0">
              <w:rPr>
                <w:rFonts w:eastAsia="Calibri"/>
              </w:rPr>
              <w:t>Low Social Power</w:t>
            </w:r>
          </w:p>
          <w:p w14:paraId="5130B732" w14:textId="77777777" w:rsidR="002A35FF" w:rsidRPr="00BD14B0" w:rsidRDefault="002A35FF" w:rsidP="00553E01">
            <w:pPr>
              <w:rPr>
                <w:rFonts w:eastAsia="Calibri"/>
              </w:rPr>
            </w:pPr>
          </w:p>
          <w:p w14:paraId="54F0E655" w14:textId="77777777" w:rsidR="002A35FF" w:rsidRPr="00BD14B0" w:rsidRDefault="002A35FF" w:rsidP="00553E01">
            <w:pPr>
              <w:rPr>
                <w:rFonts w:eastAsia="Calibri"/>
              </w:rPr>
            </w:pPr>
            <w:r w:rsidRPr="00BD14B0">
              <w:rPr>
                <w:rFonts w:eastAsia="Calibri"/>
              </w:rPr>
              <w:t>Total:</w:t>
            </w:r>
          </w:p>
        </w:tc>
        <w:tc>
          <w:tcPr>
            <w:tcW w:w="1079" w:type="dxa"/>
            <w:tcBorders>
              <w:top w:val="single" w:sz="4" w:space="0" w:color="auto"/>
              <w:bottom w:val="single" w:sz="18" w:space="0" w:color="auto"/>
            </w:tcBorders>
          </w:tcPr>
          <w:p w14:paraId="38C13DAB" w14:textId="77777777" w:rsidR="002A35FF" w:rsidRPr="00BD14B0" w:rsidRDefault="002A35FF" w:rsidP="00553E01">
            <w:pPr>
              <w:rPr>
                <w:rFonts w:eastAsia="Calibri"/>
              </w:rPr>
            </w:pPr>
            <w:r w:rsidRPr="00BD14B0">
              <w:rPr>
                <w:rFonts w:eastAsia="Calibri"/>
              </w:rPr>
              <w:t>16</w:t>
            </w:r>
          </w:p>
          <w:p w14:paraId="6867AD73" w14:textId="77777777" w:rsidR="002A35FF" w:rsidRPr="00BD14B0" w:rsidRDefault="002A35FF" w:rsidP="00553E01">
            <w:pPr>
              <w:rPr>
                <w:rFonts w:eastAsia="Calibri"/>
              </w:rPr>
            </w:pPr>
            <w:r w:rsidRPr="00BD14B0">
              <w:rPr>
                <w:rFonts w:eastAsia="Calibri"/>
              </w:rPr>
              <w:t>15</w:t>
            </w:r>
          </w:p>
          <w:p w14:paraId="6C75F6EE" w14:textId="77777777" w:rsidR="002A35FF" w:rsidRPr="00BD14B0" w:rsidRDefault="002A35FF" w:rsidP="00553E01">
            <w:pPr>
              <w:rPr>
                <w:rFonts w:eastAsia="Calibri"/>
              </w:rPr>
            </w:pPr>
          </w:p>
          <w:p w14:paraId="048F06B8" w14:textId="77777777" w:rsidR="002A35FF" w:rsidRPr="00BD14B0" w:rsidRDefault="002A35FF" w:rsidP="00553E01">
            <w:pPr>
              <w:rPr>
                <w:rFonts w:eastAsia="Calibri"/>
              </w:rPr>
            </w:pPr>
            <w:r w:rsidRPr="00BD14B0">
              <w:rPr>
                <w:rFonts w:eastAsia="Calibri"/>
              </w:rPr>
              <w:t>31</w:t>
            </w:r>
          </w:p>
        </w:tc>
        <w:tc>
          <w:tcPr>
            <w:tcW w:w="960" w:type="dxa"/>
            <w:tcBorders>
              <w:top w:val="single" w:sz="4" w:space="0" w:color="auto"/>
            </w:tcBorders>
          </w:tcPr>
          <w:p w14:paraId="7E0176DD" w14:textId="77777777" w:rsidR="002A35FF" w:rsidRPr="00BD14B0" w:rsidRDefault="002A35FF" w:rsidP="00553E01">
            <w:pPr>
              <w:rPr>
                <w:rFonts w:eastAsia="Calibri"/>
              </w:rPr>
            </w:pPr>
            <w:r w:rsidRPr="00BD14B0">
              <w:rPr>
                <w:rFonts w:eastAsia="Calibri"/>
              </w:rPr>
              <w:t>22.54</w:t>
            </w:r>
          </w:p>
          <w:p w14:paraId="1939FB11" w14:textId="77777777" w:rsidR="002A35FF" w:rsidRPr="00BD14B0" w:rsidRDefault="002A35FF" w:rsidP="00553E01">
            <w:pPr>
              <w:rPr>
                <w:rFonts w:eastAsia="Calibri"/>
              </w:rPr>
            </w:pPr>
            <w:r w:rsidRPr="00BD14B0">
              <w:rPr>
                <w:rFonts w:eastAsia="Calibri"/>
              </w:rPr>
              <w:t>21.13</w:t>
            </w:r>
          </w:p>
          <w:p w14:paraId="60617B8A" w14:textId="77777777" w:rsidR="002A35FF" w:rsidRPr="00BD14B0" w:rsidRDefault="002A35FF" w:rsidP="00553E01">
            <w:pPr>
              <w:rPr>
                <w:rFonts w:eastAsia="Calibri"/>
              </w:rPr>
            </w:pPr>
          </w:p>
          <w:p w14:paraId="16CD3819" w14:textId="77777777" w:rsidR="002A35FF" w:rsidRPr="00BD14B0" w:rsidRDefault="002A35FF" w:rsidP="00553E01">
            <w:pPr>
              <w:rPr>
                <w:rFonts w:eastAsia="Calibri"/>
              </w:rPr>
            </w:pPr>
            <w:r w:rsidRPr="00BD14B0">
              <w:rPr>
                <w:rFonts w:eastAsia="Calibri"/>
              </w:rPr>
              <w:t>43.67</w:t>
            </w:r>
          </w:p>
        </w:tc>
        <w:tc>
          <w:tcPr>
            <w:tcW w:w="949" w:type="dxa"/>
            <w:tcBorders>
              <w:top w:val="single" w:sz="4" w:space="0" w:color="auto"/>
            </w:tcBorders>
          </w:tcPr>
          <w:p w14:paraId="59EDDE30" w14:textId="77777777" w:rsidR="002A35FF" w:rsidRPr="00BD14B0" w:rsidRDefault="002A35FF" w:rsidP="00553E01">
            <w:pPr>
              <w:rPr>
                <w:rFonts w:eastAsia="Calibri"/>
              </w:rPr>
            </w:pPr>
            <w:r w:rsidRPr="00BD14B0">
              <w:rPr>
                <w:rFonts w:eastAsia="Calibri"/>
              </w:rPr>
              <w:t>20</w:t>
            </w:r>
          </w:p>
          <w:p w14:paraId="1571BFBE" w14:textId="77777777" w:rsidR="002A35FF" w:rsidRPr="00BD14B0" w:rsidRDefault="002A35FF" w:rsidP="00553E01">
            <w:pPr>
              <w:rPr>
                <w:rFonts w:eastAsia="Calibri"/>
              </w:rPr>
            </w:pPr>
            <w:r w:rsidRPr="00BD14B0">
              <w:rPr>
                <w:rFonts w:eastAsia="Calibri"/>
              </w:rPr>
              <w:t>20</w:t>
            </w:r>
          </w:p>
          <w:p w14:paraId="47D58981" w14:textId="77777777" w:rsidR="002A35FF" w:rsidRPr="00BD14B0" w:rsidRDefault="002A35FF" w:rsidP="00553E01">
            <w:pPr>
              <w:rPr>
                <w:rFonts w:eastAsia="Calibri"/>
              </w:rPr>
            </w:pPr>
          </w:p>
          <w:p w14:paraId="6608FD84" w14:textId="77777777" w:rsidR="002A35FF" w:rsidRPr="00BD14B0" w:rsidRDefault="002A35FF" w:rsidP="00553E01">
            <w:pPr>
              <w:rPr>
                <w:rFonts w:eastAsia="Calibri"/>
              </w:rPr>
            </w:pPr>
            <w:r w:rsidRPr="00BD14B0">
              <w:rPr>
                <w:rFonts w:eastAsia="Calibri"/>
              </w:rPr>
              <w:t>40</w:t>
            </w:r>
          </w:p>
        </w:tc>
        <w:tc>
          <w:tcPr>
            <w:tcW w:w="982" w:type="dxa"/>
            <w:tcBorders>
              <w:top w:val="single" w:sz="4" w:space="0" w:color="auto"/>
            </w:tcBorders>
          </w:tcPr>
          <w:p w14:paraId="01F2A120" w14:textId="77777777" w:rsidR="002A35FF" w:rsidRPr="00BD14B0" w:rsidRDefault="002A35FF" w:rsidP="00553E01">
            <w:pPr>
              <w:rPr>
                <w:rFonts w:eastAsia="Calibri"/>
              </w:rPr>
            </w:pPr>
            <w:r w:rsidRPr="00BD14B0">
              <w:rPr>
                <w:rFonts w:eastAsia="Calibri"/>
              </w:rPr>
              <w:t>28.17</w:t>
            </w:r>
          </w:p>
          <w:p w14:paraId="541BF8E1" w14:textId="77777777" w:rsidR="002A35FF" w:rsidRPr="00BD14B0" w:rsidRDefault="002A35FF" w:rsidP="00553E01">
            <w:pPr>
              <w:rPr>
                <w:rFonts w:eastAsia="Calibri"/>
              </w:rPr>
            </w:pPr>
            <w:r w:rsidRPr="00BD14B0">
              <w:rPr>
                <w:rFonts w:eastAsia="Calibri"/>
              </w:rPr>
              <w:t>28.17</w:t>
            </w:r>
          </w:p>
          <w:p w14:paraId="5027A8AE" w14:textId="77777777" w:rsidR="002A35FF" w:rsidRPr="00BD14B0" w:rsidRDefault="002A35FF" w:rsidP="00553E01">
            <w:pPr>
              <w:rPr>
                <w:rFonts w:eastAsia="Calibri"/>
              </w:rPr>
            </w:pPr>
          </w:p>
          <w:p w14:paraId="1C7EFCFF" w14:textId="77777777" w:rsidR="002A35FF" w:rsidRPr="00BD14B0" w:rsidRDefault="002A35FF" w:rsidP="00553E01">
            <w:pPr>
              <w:rPr>
                <w:rFonts w:eastAsia="Calibri"/>
              </w:rPr>
            </w:pPr>
            <w:r w:rsidRPr="00BD14B0">
              <w:rPr>
                <w:rFonts w:eastAsia="Calibri"/>
              </w:rPr>
              <w:t>56.34</w:t>
            </w:r>
          </w:p>
        </w:tc>
        <w:tc>
          <w:tcPr>
            <w:tcW w:w="898" w:type="dxa"/>
            <w:tcBorders>
              <w:top w:val="single" w:sz="4" w:space="0" w:color="auto"/>
            </w:tcBorders>
          </w:tcPr>
          <w:p w14:paraId="4EBC77AF" w14:textId="77777777" w:rsidR="002A35FF" w:rsidRPr="00BD14B0" w:rsidRDefault="002A35FF" w:rsidP="00553E01">
            <w:pPr>
              <w:rPr>
                <w:rFonts w:eastAsia="Calibri"/>
              </w:rPr>
            </w:pPr>
            <w:r w:rsidRPr="00BD14B0">
              <w:rPr>
                <w:rFonts w:eastAsia="Calibri"/>
              </w:rPr>
              <w:t>36</w:t>
            </w:r>
          </w:p>
          <w:p w14:paraId="2F48657E" w14:textId="77777777" w:rsidR="002A35FF" w:rsidRPr="00BD14B0" w:rsidRDefault="002A35FF" w:rsidP="00553E01">
            <w:pPr>
              <w:rPr>
                <w:rFonts w:eastAsia="Calibri"/>
              </w:rPr>
            </w:pPr>
            <w:r w:rsidRPr="00BD14B0">
              <w:rPr>
                <w:rFonts w:eastAsia="Calibri"/>
              </w:rPr>
              <w:t>35</w:t>
            </w:r>
          </w:p>
          <w:p w14:paraId="076A625A" w14:textId="77777777" w:rsidR="002A35FF" w:rsidRPr="00BD14B0" w:rsidRDefault="002A35FF" w:rsidP="00553E01">
            <w:pPr>
              <w:rPr>
                <w:rFonts w:eastAsia="Calibri"/>
              </w:rPr>
            </w:pPr>
          </w:p>
          <w:p w14:paraId="174BC66D" w14:textId="77777777" w:rsidR="002A35FF" w:rsidRPr="00BD14B0" w:rsidRDefault="002A35FF" w:rsidP="00553E01">
            <w:pPr>
              <w:rPr>
                <w:rFonts w:eastAsia="Calibri"/>
              </w:rPr>
            </w:pPr>
            <w:r w:rsidRPr="00BD14B0">
              <w:rPr>
                <w:rFonts w:eastAsia="Calibri"/>
              </w:rPr>
              <w:t>71</w:t>
            </w:r>
          </w:p>
        </w:tc>
        <w:tc>
          <w:tcPr>
            <w:tcW w:w="934" w:type="dxa"/>
            <w:tcBorders>
              <w:top w:val="single" w:sz="4" w:space="0" w:color="auto"/>
            </w:tcBorders>
          </w:tcPr>
          <w:p w14:paraId="5108121F" w14:textId="77777777" w:rsidR="002A35FF" w:rsidRPr="00BD14B0" w:rsidRDefault="002A35FF" w:rsidP="00553E01">
            <w:pPr>
              <w:rPr>
                <w:rFonts w:eastAsia="Calibri"/>
              </w:rPr>
            </w:pPr>
            <w:r w:rsidRPr="00BD14B0">
              <w:rPr>
                <w:rFonts w:eastAsia="Calibri"/>
              </w:rPr>
              <w:t>50.7</w:t>
            </w:r>
          </w:p>
          <w:p w14:paraId="3DAC16E3" w14:textId="77777777" w:rsidR="002A35FF" w:rsidRPr="00BD14B0" w:rsidRDefault="002A35FF" w:rsidP="00553E01">
            <w:pPr>
              <w:rPr>
                <w:rFonts w:eastAsia="Calibri"/>
              </w:rPr>
            </w:pPr>
            <w:r w:rsidRPr="00BD14B0">
              <w:rPr>
                <w:rFonts w:eastAsia="Calibri"/>
              </w:rPr>
              <w:t>49.3</w:t>
            </w:r>
          </w:p>
          <w:p w14:paraId="0DF6E453" w14:textId="77777777" w:rsidR="002A35FF" w:rsidRPr="00BD14B0" w:rsidRDefault="002A35FF" w:rsidP="00553E01">
            <w:pPr>
              <w:rPr>
                <w:rFonts w:eastAsia="Calibri"/>
              </w:rPr>
            </w:pPr>
          </w:p>
          <w:p w14:paraId="53A2002B" w14:textId="77777777" w:rsidR="002A35FF" w:rsidRPr="00BD14B0" w:rsidRDefault="002A35FF" w:rsidP="00553E01">
            <w:pPr>
              <w:rPr>
                <w:rFonts w:eastAsia="Calibri"/>
              </w:rPr>
            </w:pPr>
            <w:r w:rsidRPr="00BD14B0">
              <w:rPr>
                <w:rFonts w:eastAsia="Calibri"/>
              </w:rPr>
              <w:t>100</w:t>
            </w:r>
          </w:p>
        </w:tc>
      </w:tr>
      <w:tr w:rsidR="002A35FF" w:rsidRPr="00BD14B0" w14:paraId="7B955192" w14:textId="77777777" w:rsidTr="00DF775E">
        <w:tc>
          <w:tcPr>
            <w:tcW w:w="1313" w:type="dxa"/>
            <w:tcBorders>
              <w:top w:val="nil"/>
              <w:bottom w:val="nil"/>
            </w:tcBorders>
          </w:tcPr>
          <w:p w14:paraId="154BFED3" w14:textId="77777777" w:rsidR="002A35FF" w:rsidRPr="00BD14B0" w:rsidRDefault="002A35FF" w:rsidP="00553E01">
            <w:pPr>
              <w:rPr>
                <w:rFonts w:eastAsia="Calibri"/>
              </w:rPr>
            </w:pPr>
          </w:p>
        </w:tc>
        <w:tc>
          <w:tcPr>
            <w:tcW w:w="1389" w:type="dxa"/>
            <w:tcBorders>
              <w:top w:val="nil"/>
              <w:bottom w:val="nil"/>
            </w:tcBorders>
          </w:tcPr>
          <w:p w14:paraId="1F7B90DD" w14:textId="77777777" w:rsidR="002A35FF" w:rsidRPr="00BD14B0" w:rsidRDefault="002A35FF" w:rsidP="00553E01">
            <w:pPr>
              <w:rPr>
                <w:rFonts w:eastAsia="Calibri"/>
              </w:rPr>
            </w:pPr>
          </w:p>
        </w:tc>
        <w:tc>
          <w:tcPr>
            <w:tcW w:w="1079" w:type="dxa"/>
            <w:tcBorders>
              <w:top w:val="nil"/>
              <w:bottom w:val="nil"/>
            </w:tcBorders>
          </w:tcPr>
          <w:p w14:paraId="62712834" w14:textId="77777777" w:rsidR="002A35FF" w:rsidRPr="00BD14B0" w:rsidRDefault="002A35FF" w:rsidP="00553E01">
            <w:pPr>
              <w:rPr>
                <w:rFonts w:eastAsia="Calibri"/>
              </w:rPr>
            </w:pPr>
          </w:p>
        </w:tc>
        <w:tc>
          <w:tcPr>
            <w:tcW w:w="960" w:type="dxa"/>
            <w:tcBorders>
              <w:top w:val="single" w:sz="18" w:space="0" w:color="auto"/>
              <w:bottom w:val="nil"/>
            </w:tcBorders>
          </w:tcPr>
          <w:p w14:paraId="2A203C64" w14:textId="77777777" w:rsidR="002A35FF" w:rsidRPr="00BD14B0" w:rsidRDefault="002A35FF" w:rsidP="00553E01">
            <w:pPr>
              <w:rPr>
                <w:rFonts w:eastAsia="Calibri"/>
              </w:rPr>
            </w:pPr>
          </w:p>
        </w:tc>
        <w:tc>
          <w:tcPr>
            <w:tcW w:w="949" w:type="dxa"/>
            <w:tcBorders>
              <w:bottom w:val="nil"/>
            </w:tcBorders>
          </w:tcPr>
          <w:p w14:paraId="31B99894" w14:textId="77777777" w:rsidR="002A35FF" w:rsidRPr="00BD14B0" w:rsidRDefault="002A35FF" w:rsidP="00553E01">
            <w:pPr>
              <w:rPr>
                <w:rFonts w:eastAsia="Calibri"/>
              </w:rPr>
            </w:pPr>
          </w:p>
        </w:tc>
        <w:tc>
          <w:tcPr>
            <w:tcW w:w="982" w:type="dxa"/>
            <w:tcBorders>
              <w:bottom w:val="nil"/>
            </w:tcBorders>
          </w:tcPr>
          <w:p w14:paraId="381F2DD9" w14:textId="77777777" w:rsidR="002A35FF" w:rsidRPr="00BD14B0" w:rsidRDefault="002A35FF" w:rsidP="00553E01">
            <w:pPr>
              <w:rPr>
                <w:rFonts w:eastAsia="Calibri"/>
              </w:rPr>
            </w:pPr>
          </w:p>
        </w:tc>
        <w:tc>
          <w:tcPr>
            <w:tcW w:w="898" w:type="dxa"/>
            <w:tcBorders>
              <w:bottom w:val="nil"/>
            </w:tcBorders>
          </w:tcPr>
          <w:p w14:paraId="1F2EADA2" w14:textId="77777777" w:rsidR="002A35FF" w:rsidRPr="00BD14B0" w:rsidRDefault="002A35FF" w:rsidP="00553E01">
            <w:pPr>
              <w:rPr>
                <w:rFonts w:eastAsia="Calibri"/>
              </w:rPr>
            </w:pPr>
          </w:p>
        </w:tc>
        <w:tc>
          <w:tcPr>
            <w:tcW w:w="934" w:type="dxa"/>
            <w:tcBorders>
              <w:bottom w:val="nil"/>
            </w:tcBorders>
          </w:tcPr>
          <w:p w14:paraId="5CC7E47C" w14:textId="77777777" w:rsidR="002A35FF" w:rsidRPr="00BD14B0" w:rsidRDefault="002A35FF" w:rsidP="00553E01">
            <w:pPr>
              <w:rPr>
                <w:rFonts w:eastAsia="Calibri"/>
              </w:rPr>
            </w:pPr>
          </w:p>
        </w:tc>
      </w:tr>
    </w:tbl>
    <w:p w14:paraId="004BA1D5" w14:textId="5FD1C328" w:rsidR="001E0329" w:rsidRPr="00BD14B0" w:rsidRDefault="001E0329" w:rsidP="00553E01"/>
    <w:p w14:paraId="23B7D05A" w14:textId="4E33DC8E" w:rsidR="001E0329" w:rsidRPr="00BD14B0" w:rsidRDefault="001E0329" w:rsidP="00553E01">
      <w:pPr>
        <w:pStyle w:val="Heading3"/>
      </w:pPr>
      <w:bookmarkStart w:id="64" w:name="_Toc108310780"/>
      <w:r w:rsidRPr="00BD14B0">
        <w:t>Design</w:t>
      </w:r>
      <w:bookmarkEnd w:id="64"/>
      <w:r w:rsidRPr="00BD14B0">
        <w:t xml:space="preserve"> </w:t>
      </w:r>
    </w:p>
    <w:p w14:paraId="2FC05CBD" w14:textId="1D0A8C24" w:rsidR="00FC5033" w:rsidRPr="00BD14B0" w:rsidRDefault="0002405D" w:rsidP="00553E01">
      <w:pPr>
        <w:rPr>
          <w:rFonts w:eastAsia="Calibri"/>
          <w:lang w:eastAsia="en-US"/>
        </w:rPr>
      </w:pPr>
      <w:r w:rsidRPr="00BD14B0">
        <w:rPr>
          <w:rFonts w:eastAsia="Calibri"/>
          <w:lang w:eastAsia="en-US"/>
        </w:rPr>
        <w:tab/>
      </w:r>
      <w:r w:rsidR="00D07F12" w:rsidRPr="00BD14B0">
        <w:rPr>
          <w:rFonts w:eastAsia="Calibri"/>
          <w:lang w:eastAsia="en-US"/>
        </w:rPr>
        <w:t>A 3</w:t>
      </w:r>
      <w:r w:rsidR="00FC5033" w:rsidRPr="00BD14B0">
        <w:rPr>
          <w:rFonts w:eastAsia="Calibri"/>
          <w:lang w:eastAsia="en-US"/>
        </w:rPr>
        <w:t>-</w:t>
      </w:r>
      <w:r w:rsidR="00D07F12" w:rsidRPr="00BD14B0">
        <w:rPr>
          <w:rFonts w:eastAsia="Calibri"/>
          <w:lang w:eastAsia="en-US"/>
        </w:rPr>
        <w:t>way mixed (2</w:t>
      </w:r>
      <w:r w:rsidR="00FC5033" w:rsidRPr="00BD14B0">
        <w:rPr>
          <w:rFonts w:eastAsia="Calibri"/>
          <w:lang w:eastAsia="en-US"/>
        </w:rPr>
        <w:t>x</w:t>
      </w:r>
      <w:r w:rsidR="00D07F12" w:rsidRPr="00BD14B0">
        <w:rPr>
          <w:rFonts w:eastAsia="Calibri"/>
          <w:lang w:eastAsia="en-US"/>
        </w:rPr>
        <w:t>2</w:t>
      </w:r>
      <w:r w:rsidR="00FC5033" w:rsidRPr="00BD14B0">
        <w:rPr>
          <w:rFonts w:eastAsia="Calibri"/>
          <w:lang w:eastAsia="en-US"/>
        </w:rPr>
        <w:t>x</w:t>
      </w:r>
      <w:r w:rsidR="00D07F12" w:rsidRPr="00BD14B0">
        <w:rPr>
          <w:rFonts w:eastAsia="Calibri"/>
          <w:lang w:eastAsia="en-US"/>
        </w:rPr>
        <w:t>2) design was used. The independent variables were perceived social power (high/low) as a between-participant</w:t>
      </w:r>
      <w:r w:rsidR="00FC5033" w:rsidRPr="00BD14B0">
        <w:rPr>
          <w:rFonts w:eastAsia="Calibri"/>
          <w:lang w:eastAsia="en-US"/>
        </w:rPr>
        <w:t xml:space="preserve"> factor</w:t>
      </w:r>
      <w:r w:rsidR="00D07F12" w:rsidRPr="00BD14B0">
        <w:rPr>
          <w:rFonts w:eastAsia="Calibri"/>
          <w:lang w:eastAsia="en-US"/>
        </w:rPr>
        <w:t xml:space="preserve">, gender of the participant (male/female) as a between-participant </w:t>
      </w:r>
      <w:r w:rsidR="00FC5033" w:rsidRPr="00BD14B0">
        <w:rPr>
          <w:rFonts w:eastAsia="Calibri"/>
          <w:lang w:eastAsia="en-US"/>
        </w:rPr>
        <w:t xml:space="preserve">factor </w:t>
      </w:r>
      <w:r w:rsidR="00D07F12" w:rsidRPr="00BD14B0">
        <w:rPr>
          <w:rFonts w:eastAsia="Calibri"/>
          <w:lang w:eastAsia="en-US"/>
        </w:rPr>
        <w:t xml:space="preserve">and gender of the gazer (male/female) as within-participant </w:t>
      </w:r>
      <w:r w:rsidR="00FC5033" w:rsidRPr="00BD14B0">
        <w:rPr>
          <w:rFonts w:eastAsia="Calibri"/>
          <w:lang w:eastAsia="en-US"/>
        </w:rPr>
        <w:t>factor</w:t>
      </w:r>
      <w:r w:rsidR="00D07F12" w:rsidRPr="00BD14B0">
        <w:rPr>
          <w:rFonts w:eastAsia="Calibri"/>
          <w:lang w:eastAsia="en-US"/>
        </w:rPr>
        <w:t xml:space="preserve">. </w:t>
      </w:r>
    </w:p>
    <w:p w14:paraId="2F63E379" w14:textId="551528A5" w:rsidR="00D07F12" w:rsidRPr="00BD14B0" w:rsidRDefault="0002405D" w:rsidP="00553E01">
      <w:pPr>
        <w:rPr>
          <w:rFonts w:eastAsia="Calibri"/>
          <w:lang w:eastAsia="en-US"/>
        </w:rPr>
      </w:pPr>
      <w:r w:rsidRPr="00BD14B0">
        <w:rPr>
          <w:rFonts w:eastAsia="Calibri"/>
          <w:lang w:eastAsia="en-US"/>
        </w:rPr>
        <w:tab/>
      </w:r>
      <w:r w:rsidR="00D07F12" w:rsidRPr="00BD14B0">
        <w:rPr>
          <w:rFonts w:eastAsia="Calibri"/>
          <w:lang w:eastAsia="en-US"/>
        </w:rPr>
        <w:t xml:space="preserve">The first between-participants independent variable was perceived social power (high social power/ low social power). One group of participants were primed to high social power </w:t>
      </w:r>
      <w:r w:rsidR="00FC5033" w:rsidRPr="00BD14B0">
        <w:rPr>
          <w:rFonts w:eastAsia="Calibri"/>
          <w:lang w:eastAsia="en-US"/>
        </w:rPr>
        <w:t xml:space="preserve">and </w:t>
      </w:r>
      <w:r w:rsidR="00D07F12" w:rsidRPr="00BD14B0">
        <w:rPr>
          <w:rFonts w:eastAsia="Calibri"/>
          <w:lang w:eastAsia="en-US"/>
        </w:rPr>
        <w:t xml:space="preserve">the other group </w:t>
      </w:r>
      <w:r w:rsidR="00FC5033" w:rsidRPr="00BD14B0">
        <w:rPr>
          <w:rFonts w:eastAsia="Calibri"/>
          <w:lang w:eastAsia="en-US"/>
        </w:rPr>
        <w:t xml:space="preserve">was </w:t>
      </w:r>
      <w:r w:rsidR="00D07F12" w:rsidRPr="00BD14B0">
        <w:rPr>
          <w:rFonts w:eastAsia="Calibri"/>
          <w:lang w:eastAsia="en-US"/>
        </w:rPr>
        <w:t xml:space="preserve">primed to low social power. Participants primed with high social power were asked to imagine themselves as a leader of the group and participants primed with low social power were asked to imagine themselves to be a member of a group during the priming task. Both high social power and low social power groups saw a male gazer and a female gazer. The second between-participants independent variable was participant gender (male/female). Lastly, the within-participants variable was the gender of the gazer picture (male/female) which was counterbalanced. On any trial, gaze cues showed either right or the left side of the screen. Additionally, the targets appeared on either the left </w:t>
      </w:r>
      <w:r w:rsidR="00D07F12" w:rsidRPr="00BD14B0">
        <w:rPr>
          <w:rFonts w:eastAsia="Calibri"/>
          <w:lang w:eastAsia="en-US"/>
        </w:rPr>
        <w:lastRenderedPageBreak/>
        <w:t xml:space="preserve">or right side. The eye gaze cue direction and the target location were </w:t>
      </w:r>
      <w:proofErr w:type="gramStart"/>
      <w:r w:rsidR="00804DC1" w:rsidRPr="00BD14B0">
        <w:rPr>
          <w:rFonts w:eastAsia="Calibri"/>
          <w:lang w:eastAsia="en-US"/>
        </w:rPr>
        <w:t>randomised</w:t>
      </w:r>
      <w:proofErr w:type="gramEnd"/>
      <w:r w:rsidR="00D07F12" w:rsidRPr="00BD14B0">
        <w:rPr>
          <w:rFonts w:eastAsia="Calibri"/>
          <w:lang w:eastAsia="en-US"/>
        </w:rPr>
        <w:t xml:space="preserve"> and the gaze cues were uninformative of the location of the target.</w:t>
      </w:r>
    </w:p>
    <w:p w14:paraId="7EC49316" w14:textId="3D93712D" w:rsidR="00FC5033" w:rsidRPr="00BD14B0" w:rsidRDefault="00DB3D5C" w:rsidP="00553E01">
      <w:r w:rsidRPr="00BD14B0">
        <w:rPr>
          <w:rFonts w:eastAsia="Calibri"/>
          <w:lang w:eastAsia="en-US"/>
        </w:rPr>
        <w:tab/>
      </w:r>
      <w:r w:rsidR="00FC5033" w:rsidRPr="00BD14B0">
        <w:rPr>
          <w:rFonts w:eastAsia="Calibri"/>
        </w:rPr>
        <w:t>An a priori power analysis was conducted using G*Power</w:t>
      </w:r>
      <w:r w:rsidR="00FC5033" w:rsidRPr="00BD14B0">
        <w:t xml:space="preserve"> </w:t>
      </w:r>
      <w:r w:rsidR="00FC5033" w:rsidRPr="00BD14B0">
        <w:fldChar w:fldCharType="begin" w:fldLock="1"/>
      </w:r>
      <w:r w:rsidR="004D2901" w:rsidRPr="00BD14B0">
        <w:instrText>ADDIN CSL_CITATION {"citationItems":[{"id":"ITEM-1","itemData":{"DOI":"10.3758/BF03193146","ISSN":"1554-351X","abstract":"G*Power (Erdfelder, Faul, &amp; Buchner, 1996) was designed as a general stand-alone power analysis program for statistical tests commonly used in social and behavioral research. G*Power 3 is a major extension of, and improvement over, the previous versions. It runs on widely used computer platforms (i.e., Windows XP, Windows Vista, and Mac OS X 10.4) and covers many different statistical tests of thet, F, and χ2 test families. In addition, it includes power analyses forz tests and some exact tests. G*Power 3 provides improved effect size calculators and graphic options, supports both distribution-based and design-based input modes, and offers all types of power analyses in which users might be interested. Like its predecessors, G*Power 3 is free.","author":[{"dropping-particle":"","family":"Faul","given":"Franz","non-dropping-particle":"","parse-names":false,"suffix":""},{"dropping-particle":"","family":"Erdfelder","given":"Edgar","non-dropping-particle":"","parse-names":false,"suffix":""},{"dropping-particle":"","family":"Lang","given":"Albert-Georg","non-dropping-particle":"","parse-names":false,"suffix":""},{"dropping-particle":"","family":"Buchner","given":"Axel","non-dropping-particle":"","parse-names":false,"suffix":""}],"container-title":"Behavior Research Methods","id":"ITEM-1","issue":"2","issued":{"date-parts":[["2007","5"]]},"page":"175-191","title":"G*Power 3: A flexible statistical power analysis program for the social, behavioral, and biomedical sciences","type":"article-journal","volume":"39"},"uris":["http://www.mendeley.com/documents/?uuid=63faafc4-cf9b-4b6a-a0d5-ecfc8126edfc"]}],"mendeley":{"formattedCitation":"(Faul et al., 2007)","plainTextFormattedCitation":"(Faul et al., 2007)","previouslyFormattedCitation":"(Faul et al., 2007)"},"properties":{"noteIndex":0},"schema":"https://github.com/citation-style-language/schema/raw/master/csl-citation.json"}</w:instrText>
      </w:r>
      <w:r w:rsidR="00FC5033" w:rsidRPr="00BD14B0">
        <w:fldChar w:fldCharType="separate"/>
      </w:r>
      <w:r w:rsidR="00FC5033" w:rsidRPr="00BD14B0">
        <w:rPr>
          <w:noProof/>
        </w:rPr>
        <w:t>(Faul et al., 2007)</w:t>
      </w:r>
      <w:r w:rsidR="00FC5033" w:rsidRPr="00BD14B0">
        <w:fldChar w:fldCharType="end"/>
      </w:r>
      <w:r w:rsidR="00FC5033" w:rsidRPr="00BD14B0">
        <w:t xml:space="preserve"> to test the 3-way mixed design ANOVA with a small </w:t>
      </w:r>
      <w:r w:rsidR="00FC5033" w:rsidRPr="00BD14B0">
        <w:rPr>
          <w:rFonts w:eastAsia="Calibri"/>
        </w:rPr>
        <w:t>effect size (d = 0.</w:t>
      </w:r>
      <w:r w:rsidR="00FC5033" w:rsidRPr="00BD14B0">
        <w:t>2</w:t>
      </w:r>
      <w:r w:rsidR="00FC5033" w:rsidRPr="00BD14B0">
        <w:rPr>
          <w:rFonts w:eastAsia="Calibri"/>
        </w:rPr>
        <w:t>5)</w:t>
      </w:r>
      <w:r w:rsidR="00FC5033" w:rsidRPr="00BD14B0">
        <w:t xml:space="preserve">. The result of this analysis </w:t>
      </w:r>
      <w:r w:rsidR="00FC5033" w:rsidRPr="00BD14B0">
        <w:rPr>
          <w:rFonts w:eastAsia="Calibri"/>
        </w:rPr>
        <w:t>showed that a total sample of</w:t>
      </w:r>
      <w:r w:rsidR="00FC5033" w:rsidRPr="00BD14B0">
        <w:t xml:space="preserve"> 76 participants </w:t>
      </w:r>
      <w:r w:rsidR="00FC5033" w:rsidRPr="00BD14B0">
        <w:rPr>
          <w:rFonts w:eastAsia="Calibri"/>
        </w:rPr>
        <w:t>was required</w:t>
      </w:r>
      <w:r w:rsidR="00FC5033" w:rsidRPr="00BD14B0">
        <w:t xml:space="preserve"> to achieve the estimated effect size. </w:t>
      </w:r>
    </w:p>
    <w:p w14:paraId="5BFADC9E" w14:textId="77777777" w:rsidR="00D07F12" w:rsidRPr="00BD14B0" w:rsidRDefault="00D07F12" w:rsidP="00553E01">
      <w:pPr>
        <w:rPr>
          <w:rFonts w:eastAsia="Calibri"/>
          <w:lang w:eastAsia="en-US"/>
        </w:rPr>
      </w:pPr>
    </w:p>
    <w:p w14:paraId="1E0CAD62" w14:textId="72C37201" w:rsidR="000A1220" w:rsidRPr="00BD14B0" w:rsidRDefault="00132A94" w:rsidP="00553E01">
      <w:pPr>
        <w:pStyle w:val="Heading3"/>
      </w:pPr>
      <w:bookmarkStart w:id="65" w:name="_Toc108310781"/>
      <w:r w:rsidRPr="00BD14B0">
        <w:t>P</w:t>
      </w:r>
      <w:r w:rsidR="0082583E" w:rsidRPr="00BD14B0">
        <w:t>rocedure</w:t>
      </w:r>
      <w:bookmarkEnd w:id="65"/>
    </w:p>
    <w:p w14:paraId="56F9C707" w14:textId="4AD73C03" w:rsidR="007906E1" w:rsidRPr="00BD14B0" w:rsidRDefault="00BA3684" w:rsidP="00553E01">
      <w:pPr>
        <w:rPr>
          <w:lang w:eastAsia="en-US"/>
        </w:rPr>
      </w:pPr>
      <w:r w:rsidRPr="00BD14B0">
        <w:rPr>
          <w:i/>
          <w:u w:color="FF0000"/>
        </w:rPr>
        <w:tab/>
      </w:r>
      <w:r w:rsidR="007906E1" w:rsidRPr="00BD14B0">
        <w:rPr>
          <w:lang w:eastAsia="en-US"/>
        </w:rPr>
        <w:t xml:space="preserve">Firstly, in high social power condition participants completed a priming task to imagine themselves as a leader of a group and in low social power they imagined themselves as a member of a group. </w:t>
      </w:r>
      <w:r w:rsidR="000A34B6" w:rsidRPr="00BD14B0">
        <w:rPr>
          <w:lang w:eastAsia="en-US"/>
        </w:rPr>
        <w:t xml:space="preserve">Participants were asked to imagine they were in a dangerous fire situation while watching a video of flames with burning flame sounds for </w:t>
      </w:r>
      <w:r w:rsidR="00FC5033" w:rsidRPr="00BD14B0">
        <w:rPr>
          <w:lang w:eastAsia="en-US"/>
        </w:rPr>
        <w:t xml:space="preserve">three </w:t>
      </w:r>
      <w:r w:rsidR="00804DC1" w:rsidRPr="00BD14B0">
        <w:rPr>
          <w:lang w:eastAsia="en-US"/>
        </w:rPr>
        <w:t>minutes. They</w:t>
      </w:r>
      <w:r w:rsidR="007906E1" w:rsidRPr="00BD14B0">
        <w:rPr>
          <w:lang w:eastAsia="en-US"/>
        </w:rPr>
        <w:t xml:space="preserve"> were asked to watch this video to help them imagine the given scenario. The participants were also asked to close their eyes and imagine a fire situation. They were asked to imagine working at an office with his/her team members (they were shown faces that will be used in the cuing task) th</w:t>
      </w:r>
      <w:r w:rsidR="00FC5033" w:rsidRPr="00BD14B0">
        <w:rPr>
          <w:lang w:eastAsia="en-US"/>
        </w:rPr>
        <w:t>e</w:t>
      </w:r>
      <w:r w:rsidR="007906E1" w:rsidRPr="00BD14B0">
        <w:rPr>
          <w:lang w:eastAsia="en-US"/>
        </w:rPr>
        <w:t>n a fire starts to happen, and they needed to leave the building</w:t>
      </w:r>
      <w:r w:rsidR="000A34B6" w:rsidRPr="00BD14B0">
        <w:rPr>
          <w:lang w:eastAsia="en-US"/>
        </w:rPr>
        <w:t xml:space="preserve"> </w:t>
      </w:r>
      <w:r w:rsidR="00804DC1" w:rsidRPr="00BD14B0">
        <w:rPr>
          <w:lang w:eastAsia="en-US"/>
        </w:rPr>
        <w:t>immediately</w:t>
      </w:r>
      <w:r w:rsidR="007906E1" w:rsidRPr="00BD14B0">
        <w:rPr>
          <w:lang w:eastAsia="en-US"/>
        </w:rPr>
        <w:t xml:space="preserve">. To help with the imagery of this situation, participants listened to sounds of burning flames for 3 minutes. When the imagining task finished, participants were then asked to write down what they had imagined during </w:t>
      </w:r>
      <w:r w:rsidR="000A34B6" w:rsidRPr="00BD14B0">
        <w:rPr>
          <w:lang w:eastAsia="en-US"/>
        </w:rPr>
        <w:t>those</w:t>
      </w:r>
      <w:r w:rsidR="007906E1" w:rsidRPr="00BD14B0">
        <w:rPr>
          <w:lang w:eastAsia="en-US"/>
        </w:rPr>
        <w:t xml:space="preserve"> 3 minutes. To check if the participants understood and completed the priming task correctly, they needed to answer questions asking them if they were member or a leader of their group. Participants who were not able to answer these questions in the imagined scenario automatically finished the study and their data not included in the analyses. </w:t>
      </w:r>
    </w:p>
    <w:p w14:paraId="4755411E" w14:textId="3D2F22E9" w:rsidR="007906E1" w:rsidRPr="00BD14B0" w:rsidRDefault="007906E1" w:rsidP="00553E01">
      <w:pPr>
        <w:rPr>
          <w:lang w:eastAsia="en-US"/>
        </w:rPr>
      </w:pPr>
      <w:r w:rsidRPr="00BD14B0">
        <w:rPr>
          <w:lang w:eastAsia="en-US"/>
        </w:rPr>
        <w:tab/>
        <w:t xml:space="preserve">Next, they were asked to complete a gaze cueing task. </w:t>
      </w:r>
      <w:r w:rsidR="000A34B6" w:rsidRPr="00BD14B0">
        <w:rPr>
          <w:lang w:eastAsia="en-US"/>
        </w:rPr>
        <w:t>In this task, t</w:t>
      </w:r>
      <w:r w:rsidRPr="00BD14B0">
        <w:rPr>
          <w:lang w:eastAsia="en-US"/>
        </w:rPr>
        <w:t>hey</w:t>
      </w:r>
      <w:r w:rsidR="000A34B6" w:rsidRPr="00BD14B0">
        <w:rPr>
          <w:lang w:eastAsia="en-US"/>
        </w:rPr>
        <w:t xml:space="preserve"> first</w:t>
      </w:r>
      <w:r w:rsidRPr="00BD14B0">
        <w:rPr>
          <w:lang w:eastAsia="en-US"/>
        </w:rPr>
        <w:t xml:space="preserve"> completed a practise trial to understand the task. They saw a male and a female face with four conditions counterbalanced (congruent to right, congruent to left, incongruent to right and incongruent to left) which consisted of 20 trials. The response time was not recorded for practi</w:t>
      </w:r>
      <w:r w:rsidR="00FC5033" w:rsidRPr="00BD14B0">
        <w:rPr>
          <w:lang w:eastAsia="en-US"/>
        </w:rPr>
        <w:t>c</w:t>
      </w:r>
      <w:r w:rsidRPr="00BD14B0">
        <w:rPr>
          <w:lang w:eastAsia="en-US"/>
        </w:rPr>
        <w:t xml:space="preserve">e trials. </w:t>
      </w:r>
    </w:p>
    <w:p w14:paraId="0BDC9A2B" w14:textId="66970D4D" w:rsidR="009A4AED" w:rsidRPr="00BD14B0" w:rsidRDefault="007906E1" w:rsidP="00553E01">
      <w:pPr>
        <w:rPr>
          <w:lang w:eastAsia="en-US"/>
        </w:rPr>
      </w:pPr>
      <w:r w:rsidRPr="00BD14B0">
        <w:rPr>
          <w:lang w:eastAsia="en-US"/>
        </w:rPr>
        <w:lastRenderedPageBreak/>
        <w:tab/>
      </w:r>
      <w:r w:rsidR="009A4AED" w:rsidRPr="00BD14B0">
        <w:rPr>
          <w:lang w:eastAsia="en-US"/>
        </w:rPr>
        <w:t xml:space="preserve">After </w:t>
      </w:r>
      <w:r w:rsidR="00FC5033" w:rsidRPr="00BD14B0">
        <w:rPr>
          <w:lang w:eastAsia="en-US"/>
        </w:rPr>
        <w:t xml:space="preserve">the </w:t>
      </w:r>
      <w:r w:rsidR="009A4AED" w:rsidRPr="00BD14B0">
        <w:rPr>
          <w:lang w:eastAsia="en-US"/>
        </w:rPr>
        <w:t>practice trial</w:t>
      </w:r>
      <w:r w:rsidR="00FC5033" w:rsidRPr="00BD14B0">
        <w:rPr>
          <w:lang w:eastAsia="en-US"/>
        </w:rPr>
        <w:t>s</w:t>
      </w:r>
      <w:r w:rsidR="009A4AED" w:rsidRPr="00BD14B0">
        <w:rPr>
          <w:lang w:eastAsia="en-US"/>
        </w:rPr>
        <w:t xml:space="preserve">, </w:t>
      </w:r>
      <w:r w:rsidR="003C57A8" w:rsidRPr="00BD14B0">
        <w:rPr>
          <w:lang w:eastAsia="en-US"/>
        </w:rPr>
        <w:t xml:space="preserve">participants </w:t>
      </w:r>
      <w:r w:rsidR="009A4AED" w:rsidRPr="00BD14B0">
        <w:rPr>
          <w:lang w:eastAsia="en-US"/>
        </w:rPr>
        <w:t>were informed that the experiment would start and that their answers would be recorded. All participants saw a male and a female picture (within-participants variable). The order of all trials was counterbalanced with the order of the pictures. Additionally, each tri</w:t>
      </w:r>
      <w:r w:rsidR="00804DC1" w:rsidRPr="00BD14B0">
        <w:rPr>
          <w:lang w:eastAsia="en-US"/>
        </w:rPr>
        <w:t>a</w:t>
      </w:r>
      <w:r w:rsidR="009A4AED" w:rsidRPr="00BD14B0">
        <w:rPr>
          <w:lang w:eastAsia="en-US"/>
        </w:rPr>
        <w:t>l had congruent and incongruent trials, also counterbalanced. They saw 20 repetitions of the cueing task for each picture.</w:t>
      </w:r>
      <w:r w:rsidR="00DD3344" w:rsidRPr="00BD14B0">
        <w:rPr>
          <w:lang w:eastAsia="en-US"/>
        </w:rPr>
        <w:t xml:space="preserve"> </w:t>
      </w:r>
      <w:r w:rsidR="009A4AED" w:rsidRPr="00BD14B0">
        <w:rPr>
          <w:lang w:eastAsia="en-US"/>
        </w:rPr>
        <w:t xml:space="preserve">First, they saw a direct looking face for 500 milliseconds as a fixation at the start of the gaze cueing task. </w:t>
      </w:r>
      <w:r w:rsidR="003C57A8" w:rsidRPr="00BD14B0">
        <w:rPr>
          <w:lang w:eastAsia="en-US"/>
        </w:rPr>
        <w:t>Then</w:t>
      </w:r>
      <w:r w:rsidR="009A4AED" w:rsidRPr="00BD14B0">
        <w:rPr>
          <w:lang w:eastAsia="en-US"/>
        </w:rPr>
        <w:t>, the face gazed to either the right side or the left side for 300 milliseconds and the target appeared at 200th milliseconds in the averted gaze condition. So, in total averted gaze appeared at 500</w:t>
      </w:r>
      <w:r w:rsidR="009A4AED" w:rsidRPr="00BD14B0">
        <w:rPr>
          <w:vertAlign w:val="superscript"/>
          <w:lang w:eastAsia="en-US"/>
        </w:rPr>
        <w:t>th</w:t>
      </w:r>
      <w:r w:rsidR="009A4AED" w:rsidRPr="00BD14B0">
        <w:rPr>
          <w:lang w:eastAsia="en-US"/>
        </w:rPr>
        <w:t xml:space="preserve"> </w:t>
      </w:r>
      <w:proofErr w:type="spellStart"/>
      <w:r w:rsidR="009A4AED" w:rsidRPr="00BD14B0">
        <w:rPr>
          <w:lang w:eastAsia="en-US"/>
        </w:rPr>
        <w:t>ms</w:t>
      </w:r>
      <w:proofErr w:type="spellEnd"/>
      <w:r w:rsidR="009A4AED" w:rsidRPr="00BD14B0">
        <w:rPr>
          <w:lang w:eastAsia="en-US"/>
        </w:rPr>
        <w:t xml:space="preserve"> and target appeared at 700</w:t>
      </w:r>
      <w:r w:rsidR="009A4AED" w:rsidRPr="00BD14B0">
        <w:rPr>
          <w:vertAlign w:val="superscript"/>
          <w:lang w:eastAsia="en-US"/>
        </w:rPr>
        <w:t>th</w:t>
      </w:r>
      <w:r w:rsidR="009A4AED" w:rsidRPr="00BD14B0">
        <w:rPr>
          <w:lang w:eastAsia="en-US"/>
        </w:rPr>
        <w:t xml:space="preserve"> </w:t>
      </w:r>
      <w:proofErr w:type="spellStart"/>
      <w:r w:rsidR="009A4AED" w:rsidRPr="00BD14B0">
        <w:rPr>
          <w:lang w:eastAsia="en-US"/>
        </w:rPr>
        <w:t>ms</w:t>
      </w:r>
      <w:proofErr w:type="spellEnd"/>
      <w:r w:rsidR="009A4AED" w:rsidRPr="00BD14B0">
        <w:rPr>
          <w:lang w:eastAsia="en-US"/>
        </w:rPr>
        <w:t xml:space="preserve">. If the participant did not press any key for longer than 2 seconds, the experiment automatically continued. The experiment was 35 minutes in total. At the end of the experiment, participants were thanked for their participation and given a debrief form. </w:t>
      </w:r>
    </w:p>
    <w:p w14:paraId="4F9A1864" w14:textId="29130A96" w:rsidR="00132A94" w:rsidRPr="00BD14B0" w:rsidRDefault="00132A94" w:rsidP="00553E01"/>
    <w:p w14:paraId="0F49EFEF" w14:textId="641DD7F7" w:rsidR="000A1220" w:rsidRPr="00BD14B0" w:rsidRDefault="006B6F0F" w:rsidP="00553E01">
      <w:pPr>
        <w:pStyle w:val="Heading2"/>
      </w:pPr>
      <w:bookmarkStart w:id="66" w:name="_Toc108310782"/>
      <w:r w:rsidRPr="00BD14B0">
        <w:t>Results</w:t>
      </w:r>
      <w:bookmarkEnd w:id="66"/>
      <w:r w:rsidRPr="00BD14B0">
        <w:t xml:space="preserve"> </w:t>
      </w:r>
    </w:p>
    <w:p w14:paraId="0DD9E341" w14:textId="03A4BCEE" w:rsidR="007906E1" w:rsidRPr="00BD14B0" w:rsidRDefault="00C513E8" w:rsidP="00553E01">
      <w:pPr>
        <w:rPr>
          <w:lang w:eastAsia="en-US"/>
        </w:rPr>
      </w:pPr>
      <w:bookmarkStart w:id="67" w:name="_Hlk509971143"/>
      <w:r w:rsidRPr="00BD14B0">
        <w:rPr>
          <w:lang w:eastAsia="en-US"/>
        </w:rPr>
        <w:tab/>
      </w:r>
      <w:r w:rsidR="007906E1" w:rsidRPr="00BD14B0">
        <w:rPr>
          <w:lang w:eastAsia="en-US"/>
        </w:rPr>
        <w:t>The mean reaction times for each gender and social status were compared across the four gaze cueing conditions (male gazer congruent, male gazer incongruent, female gazer congruent, female gazer incongruent). For each participant, responses representing errors (e.g.</w:t>
      </w:r>
      <w:r w:rsidR="00341D0A" w:rsidRPr="00BD14B0">
        <w:rPr>
          <w:lang w:eastAsia="en-US"/>
        </w:rPr>
        <w:t>,</w:t>
      </w:r>
      <w:r w:rsidR="007906E1" w:rsidRPr="00BD14B0">
        <w:rPr>
          <w:lang w:eastAsia="en-US"/>
        </w:rPr>
        <w:t xml:space="preserve"> responses made before the presentation of the stimulus) and outliers (</w:t>
      </w:r>
      <w:r w:rsidR="00341D0A" w:rsidRPr="00BD14B0">
        <w:rPr>
          <w:lang w:eastAsia="en-US"/>
        </w:rPr>
        <w:t>r</w:t>
      </w:r>
      <w:r w:rsidR="007906E1" w:rsidRPr="00BD14B0">
        <w:rPr>
          <w:lang w:eastAsia="en-US"/>
        </w:rPr>
        <w:t xml:space="preserve">esponses greater than two standard deviations from each participant’s mean) were removed. The mean and standard deviations of correct reaction times were then calculated for each condition. Table 5 </w:t>
      </w:r>
      <w:r w:rsidR="00341D0A" w:rsidRPr="00BD14B0">
        <w:rPr>
          <w:lang w:eastAsia="en-US"/>
        </w:rPr>
        <w:t xml:space="preserve">reports </w:t>
      </w:r>
      <w:r w:rsidR="007906E1" w:rsidRPr="00BD14B0">
        <w:rPr>
          <w:lang w:eastAsia="en-US"/>
        </w:rPr>
        <w:t xml:space="preserve">the mean reaction times, standard </w:t>
      </w:r>
      <w:proofErr w:type="gramStart"/>
      <w:r w:rsidR="00804DC1" w:rsidRPr="00BD14B0">
        <w:rPr>
          <w:lang w:eastAsia="en-US"/>
        </w:rPr>
        <w:t>deviations</w:t>
      </w:r>
      <w:proofErr w:type="gramEnd"/>
      <w:r w:rsidR="007906E1" w:rsidRPr="00BD14B0">
        <w:rPr>
          <w:lang w:eastAsia="en-US"/>
        </w:rPr>
        <w:t xml:space="preserve"> and sample size </w:t>
      </w:r>
      <w:r w:rsidR="00341D0A" w:rsidRPr="00BD14B0">
        <w:rPr>
          <w:lang w:eastAsia="en-US"/>
        </w:rPr>
        <w:t>by gender of the gazer and social power</w:t>
      </w:r>
      <w:r w:rsidR="007906E1" w:rsidRPr="00BD14B0">
        <w:rPr>
          <w:lang w:eastAsia="en-US"/>
        </w:rPr>
        <w:t>.</w:t>
      </w:r>
    </w:p>
    <w:p w14:paraId="7AEFF57F" w14:textId="5DA42D07" w:rsidR="007906E1" w:rsidRPr="00BD14B0" w:rsidRDefault="00C513E8" w:rsidP="00553E01">
      <w:pPr>
        <w:rPr>
          <w:lang w:eastAsia="en-US"/>
        </w:rPr>
      </w:pPr>
      <w:r w:rsidRPr="00BD14B0">
        <w:rPr>
          <w:lang w:eastAsia="en-US"/>
        </w:rPr>
        <w:tab/>
      </w:r>
      <w:r w:rsidR="00341D0A" w:rsidRPr="00BD14B0">
        <w:rPr>
          <w:lang w:eastAsia="en-US"/>
        </w:rPr>
        <w:t>All subsequent a</w:t>
      </w:r>
      <w:r w:rsidR="007906E1" w:rsidRPr="00BD14B0">
        <w:rPr>
          <w:lang w:eastAsia="en-US"/>
        </w:rPr>
        <w:t xml:space="preserve">nalyses were performed using SPSS. </w:t>
      </w:r>
      <w:r w:rsidR="00341D0A" w:rsidRPr="00BD14B0">
        <w:rPr>
          <w:lang w:eastAsia="en-US"/>
        </w:rPr>
        <w:t>U</w:t>
      </w:r>
      <w:r w:rsidR="007906E1" w:rsidRPr="00BD14B0">
        <w:rPr>
          <w:lang w:eastAsia="en-US"/>
        </w:rPr>
        <w:t>sing boxplot analysis</w:t>
      </w:r>
      <w:r w:rsidR="00341D0A" w:rsidRPr="00BD14B0">
        <w:rPr>
          <w:lang w:eastAsia="en-US"/>
        </w:rPr>
        <w:t>,</w:t>
      </w:r>
      <w:r w:rsidR="007906E1" w:rsidRPr="00BD14B0">
        <w:rPr>
          <w:lang w:eastAsia="en-US"/>
        </w:rPr>
        <w:t xml:space="preserve"> each condition was tested for outliers using the same criteria as above (+/- 2 SD away from the mean). This analysis was performed individually for each </w:t>
      </w:r>
      <w:r w:rsidR="00341D0A" w:rsidRPr="00BD14B0">
        <w:rPr>
          <w:lang w:eastAsia="en-US"/>
        </w:rPr>
        <w:t xml:space="preserve">condition </w:t>
      </w:r>
      <w:r w:rsidR="007906E1" w:rsidRPr="00BD14B0">
        <w:rPr>
          <w:lang w:eastAsia="en-US"/>
        </w:rPr>
        <w:t>(</w:t>
      </w:r>
      <w:r w:rsidR="00341D0A" w:rsidRPr="00BD14B0">
        <w:rPr>
          <w:lang w:eastAsia="en-US"/>
        </w:rPr>
        <w:t>h</w:t>
      </w:r>
      <w:r w:rsidR="007906E1" w:rsidRPr="00BD14B0">
        <w:rPr>
          <w:lang w:eastAsia="en-US"/>
        </w:rPr>
        <w:t>igh social power /male-difference, high social power /female-difference, low social power / male-</w:t>
      </w:r>
      <w:proofErr w:type="gramStart"/>
      <w:r w:rsidR="007906E1" w:rsidRPr="00BD14B0">
        <w:rPr>
          <w:lang w:eastAsia="en-US"/>
        </w:rPr>
        <w:t>difference</w:t>
      </w:r>
      <w:proofErr w:type="gramEnd"/>
      <w:r w:rsidR="007906E1" w:rsidRPr="00BD14B0">
        <w:rPr>
          <w:lang w:eastAsia="en-US"/>
        </w:rPr>
        <w:t xml:space="preserve"> and low social power / female-difference). The analysis identified </w:t>
      </w:r>
      <w:r w:rsidR="00341D0A" w:rsidRPr="00BD14B0">
        <w:rPr>
          <w:lang w:eastAsia="en-US"/>
        </w:rPr>
        <w:t xml:space="preserve">six </w:t>
      </w:r>
      <w:r w:rsidR="007906E1" w:rsidRPr="00BD14B0">
        <w:rPr>
          <w:lang w:eastAsia="en-US"/>
        </w:rPr>
        <w:t xml:space="preserve">outliers total, there were </w:t>
      </w:r>
      <w:r w:rsidR="00341D0A" w:rsidRPr="00BD14B0">
        <w:rPr>
          <w:lang w:eastAsia="en-US"/>
        </w:rPr>
        <w:t xml:space="preserve">two </w:t>
      </w:r>
      <w:r w:rsidR="007906E1" w:rsidRPr="00BD14B0">
        <w:rPr>
          <w:lang w:eastAsia="en-US"/>
        </w:rPr>
        <w:t xml:space="preserve">outliers for </w:t>
      </w:r>
      <w:r w:rsidR="00341D0A" w:rsidRPr="00BD14B0">
        <w:rPr>
          <w:lang w:eastAsia="en-US"/>
        </w:rPr>
        <w:t xml:space="preserve">the </w:t>
      </w:r>
      <w:r w:rsidR="007906E1" w:rsidRPr="00BD14B0">
        <w:rPr>
          <w:lang w:eastAsia="en-US"/>
        </w:rPr>
        <w:t xml:space="preserve">male congruent condition, </w:t>
      </w:r>
      <w:r w:rsidR="00341D0A" w:rsidRPr="00BD14B0">
        <w:rPr>
          <w:lang w:eastAsia="en-US"/>
        </w:rPr>
        <w:t xml:space="preserve">three </w:t>
      </w:r>
      <w:r w:rsidR="007906E1" w:rsidRPr="00BD14B0">
        <w:rPr>
          <w:lang w:eastAsia="en-US"/>
        </w:rPr>
        <w:t xml:space="preserve">outliers for </w:t>
      </w:r>
      <w:r w:rsidR="00341D0A" w:rsidRPr="00BD14B0">
        <w:rPr>
          <w:lang w:eastAsia="en-US"/>
        </w:rPr>
        <w:t xml:space="preserve">the </w:t>
      </w:r>
      <w:r w:rsidR="007906E1" w:rsidRPr="00BD14B0">
        <w:rPr>
          <w:lang w:eastAsia="en-US"/>
        </w:rPr>
        <w:t xml:space="preserve">male incongruent condition and </w:t>
      </w:r>
      <w:r w:rsidR="00341D0A" w:rsidRPr="00BD14B0">
        <w:rPr>
          <w:lang w:eastAsia="en-US"/>
        </w:rPr>
        <w:t xml:space="preserve">one </w:t>
      </w:r>
      <w:r w:rsidR="007906E1" w:rsidRPr="00BD14B0">
        <w:rPr>
          <w:lang w:eastAsia="en-US"/>
        </w:rPr>
        <w:t xml:space="preserve">outlier for the female congruent condition. Outlier scores only removed </w:t>
      </w:r>
      <w:r w:rsidR="007906E1" w:rsidRPr="00BD14B0">
        <w:rPr>
          <w:lang w:eastAsia="en-US"/>
        </w:rPr>
        <w:lastRenderedPageBreak/>
        <w:t xml:space="preserve">for these conditions and other scores were kept for </w:t>
      </w:r>
      <w:r w:rsidR="00341D0A" w:rsidRPr="00BD14B0">
        <w:rPr>
          <w:lang w:eastAsia="en-US"/>
        </w:rPr>
        <w:t>other conditions</w:t>
      </w:r>
      <w:r w:rsidR="007906E1" w:rsidRPr="00BD14B0">
        <w:rPr>
          <w:lang w:eastAsia="en-US"/>
        </w:rPr>
        <w:t>. Thus, further analys</w:t>
      </w:r>
      <w:r w:rsidR="00341D0A" w:rsidRPr="00BD14B0">
        <w:rPr>
          <w:lang w:eastAsia="en-US"/>
        </w:rPr>
        <w:t>e</w:t>
      </w:r>
      <w:r w:rsidR="007906E1" w:rsidRPr="00BD14B0">
        <w:rPr>
          <w:lang w:eastAsia="en-US"/>
        </w:rPr>
        <w:t>s w</w:t>
      </w:r>
      <w:r w:rsidR="00341D0A" w:rsidRPr="00BD14B0">
        <w:rPr>
          <w:lang w:eastAsia="en-US"/>
        </w:rPr>
        <w:t>ere</w:t>
      </w:r>
      <w:r w:rsidR="007906E1" w:rsidRPr="00BD14B0">
        <w:rPr>
          <w:lang w:eastAsia="en-US"/>
        </w:rPr>
        <w:t xml:space="preserve"> carried out with the remaining 71 participants. </w:t>
      </w:r>
    </w:p>
    <w:p w14:paraId="0B9F523B" w14:textId="42C4F96B" w:rsidR="0030544B" w:rsidRPr="00BD14B0" w:rsidRDefault="00C513E8" w:rsidP="00553E01">
      <w:r w:rsidRPr="00BD14B0">
        <w:rPr>
          <w:lang w:eastAsia="en-US"/>
        </w:rPr>
        <w:tab/>
      </w:r>
      <w:r w:rsidR="00281BA3" w:rsidRPr="00BD14B0">
        <w:rPr>
          <w:lang w:eastAsia="en-US"/>
        </w:rPr>
        <w:t xml:space="preserve">A paired sample </w:t>
      </w:r>
      <w:r w:rsidR="00281BA3" w:rsidRPr="00BD14B0">
        <w:rPr>
          <w:i/>
          <w:iCs/>
          <w:lang w:eastAsia="en-US"/>
        </w:rPr>
        <w:t>t</w:t>
      </w:r>
      <w:r w:rsidR="00281BA3" w:rsidRPr="00BD14B0">
        <w:rPr>
          <w:lang w:eastAsia="en-US"/>
        </w:rPr>
        <w:t>-test conducted to compare reaction times in congruent and incongruent trials. For the male gazer picture, there was a significant difference in the reaction time</w:t>
      </w:r>
      <w:r w:rsidR="00DC6C71" w:rsidRPr="00BD14B0">
        <w:rPr>
          <w:lang w:eastAsia="en-US"/>
        </w:rPr>
        <w:t>s</w:t>
      </w:r>
      <w:r w:rsidR="00281BA3" w:rsidRPr="00BD14B0">
        <w:rPr>
          <w:lang w:eastAsia="en-US"/>
        </w:rPr>
        <w:t xml:space="preserve"> between congruent trials (M=0.36, SD=0.05) and incongruent trials (M=0.38, SD=0.05)</w:t>
      </w:r>
      <w:r w:rsidR="00DC6C71" w:rsidRPr="00BD14B0">
        <w:rPr>
          <w:lang w:eastAsia="en-US"/>
        </w:rPr>
        <w:t>,</w:t>
      </w:r>
      <w:r w:rsidR="00281BA3" w:rsidRPr="00BD14B0">
        <w:rPr>
          <w:lang w:eastAsia="en-US"/>
        </w:rPr>
        <w:t xml:space="preserve"> </w:t>
      </w:r>
      <w:proofErr w:type="gramStart"/>
      <w:r w:rsidR="00281BA3" w:rsidRPr="00BD14B0">
        <w:rPr>
          <w:lang w:eastAsia="en-US"/>
        </w:rPr>
        <w:t>t(</w:t>
      </w:r>
      <w:proofErr w:type="gramEnd"/>
      <w:r w:rsidR="00281BA3" w:rsidRPr="00BD14B0">
        <w:rPr>
          <w:lang w:eastAsia="en-US"/>
        </w:rPr>
        <w:t>70)=-11.1</w:t>
      </w:r>
      <w:r w:rsidR="00DC6C71" w:rsidRPr="00BD14B0">
        <w:rPr>
          <w:lang w:eastAsia="en-US"/>
        </w:rPr>
        <w:t>8</w:t>
      </w:r>
      <w:r w:rsidR="00281BA3" w:rsidRPr="00BD14B0">
        <w:rPr>
          <w:lang w:eastAsia="en-US"/>
        </w:rPr>
        <w:t>, p &lt; .001. Additionally, for the female gazer picture, there was a significant difference in the reaction time between congruent trials (M=0.35, SD=0.05) and incongruent trials (M=0.38, SD=0.05)</w:t>
      </w:r>
      <w:r w:rsidR="00DC6C71" w:rsidRPr="00BD14B0">
        <w:rPr>
          <w:lang w:eastAsia="en-US"/>
        </w:rPr>
        <w:t>,</w:t>
      </w:r>
      <w:r w:rsidR="00281BA3" w:rsidRPr="00BD14B0">
        <w:rPr>
          <w:lang w:eastAsia="en-US"/>
        </w:rPr>
        <w:t xml:space="preserve"> </w:t>
      </w:r>
      <w:proofErr w:type="gramStart"/>
      <w:r w:rsidR="00281BA3" w:rsidRPr="00BD14B0">
        <w:rPr>
          <w:lang w:eastAsia="en-US"/>
        </w:rPr>
        <w:t>t(</w:t>
      </w:r>
      <w:proofErr w:type="gramEnd"/>
      <w:r w:rsidR="00281BA3" w:rsidRPr="00BD14B0">
        <w:rPr>
          <w:lang w:eastAsia="en-US"/>
        </w:rPr>
        <w:t xml:space="preserve">70)=-11.83, p &lt; .001. These results indicated how fast people could detect the target stimuli and show that reaction times were significantly affected by the congruency of gaze cues. Participants’ reaction times were significantly faster for congruent trials, which the eye gaze and the target (black dot) at the same side of the screen, compared to incongruent trials, with the eye gaze and the target (black dot) at the opposite side of the screen. This result was shown for both male (M=0.26, SD=0.02) and female (M=0.29, SD=0.02) gazer pictures (see Figure 11). </w:t>
      </w:r>
      <w:r w:rsidR="0030544B" w:rsidRPr="00BD14B0">
        <w:t>The gaze cueing effect was</w:t>
      </w:r>
      <w:r w:rsidR="00DC6C71" w:rsidRPr="00BD14B0">
        <w:t xml:space="preserve"> therefore</w:t>
      </w:r>
      <w:r w:rsidR="0030544B" w:rsidRPr="00BD14B0">
        <w:t xml:space="preserve"> present</w:t>
      </w:r>
      <w:r w:rsidR="00DC6C71" w:rsidRPr="00BD14B0">
        <w:t xml:space="preserve"> and</w:t>
      </w:r>
      <w:r w:rsidR="0030544B" w:rsidRPr="00BD14B0">
        <w:t xml:space="preserve"> consistent with the literature. </w:t>
      </w:r>
      <w:r w:rsidR="00DC6C71" w:rsidRPr="00BD14B0">
        <w:t>Thus,</w:t>
      </w:r>
      <w:r w:rsidR="0030544B" w:rsidRPr="00BD14B0">
        <w:t xml:space="preserve"> there was a significant difference between congruent and incongruent trials, in which the target and eye gaze signals were on the same side of the screen, and incongruent trials, in which the eye gaze </w:t>
      </w:r>
      <w:proofErr w:type="gramStart"/>
      <w:r w:rsidR="0030544B" w:rsidRPr="00BD14B0">
        <w:t>signals</w:t>
      </w:r>
      <w:proofErr w:type="gramEnd"/>
      <w:r w:rsidR="0030544B" w:rsidRPr="00BD14B0">
        <w:t xml:space="preserve"> and the target were on the opposite sides of the screen. When compared to congruent trials, incongruent trials took significantly longer to react to, implying that observing another's gaze shifts may elicit a reflexive shift in the observer. </w:t>
      </w:r>
      <w:r w:rsidR="00DC6C71" w:rsidRPr="00BD14B0">
        <w:t xml:space="preserve">A gaze cueing effect score was then calculated by abstracting mean </w:t>
      </w:r>
      <w:r w:rsidR="00E67F85" w:rsidRPr="00BD14B0">
        <w:t>in</w:t>
      </w:r>
      <w:r w:rsidR="00DC6C71" w:rsidRPr="00BD14B0">
        <w:t>congruent score - mean congruent score. This gaze cueing score was used for further analyses using a 3-way mixed-measures ANOVA.</w:t>
      </w:r>
    </w:p>
    <w:p w14:paraId="1C05F316" w14:textId="77777777" w:rsidR="00281BA3" w:rsidRPr="00BD14B0" w:rsidRDefault="00281BA3" w:rsidP="00553E01">
      <w:pPr>
        <w:rPr>
          <w:lang w:eastAsia="en-US"/>
        </w:rPr>
      </w:pPr>
    </w:p>
    <w:p w14:paraId="52A40192" w14:textId="3BE67761" w:rsidR="002933C4" w:rsidRPr="00BD14B0" w:rsidRDefault="00A23F72" w:rsidP="00A23F72">
      <w:pPr>
        <w:pStyle w:val="Title"/>
        <w:rPr>
          <w:lang w:eastAsia="en-US"/>
        </w:rPr>
      </w:pPr>
      <w:bookmarkStart w:id="68" w:name="_Toc108321853"/>
      <w:bookmarkEnd w:id="67"/>
      <w:r>
        <w:t xml:space="preserve">Table </w:t>
      </w:r>
      <w:bookmarkEnd w:id="68"/>
      <w:r w:rsidR="00656710">
        <w:t>5</w:t>
      </w:r>
    </w:p>
    <w:p w14:paraId="1CD737B6" w14:textId="3F32F51F" w:rsidR="007906E1" w:rsidRPr="00BD14B0" w:rsidRDefault="00B923A1" w:rsidP="00553E01">
      <w:pPr>
        <w:rPr>
          <w:lang w:eastAsia="en-US"/>
        </w:rPr>
      </w:pPr>
      <w:r w:rsidRPr="00BD14B0">
        <w:rPr>
          <w:lang w:eastAsia="en-US"/>
        </w:rPr>
        <w:t xml:space="preserve"> </w:t>
      </w:r>
      <w:r w:rsidR="007906E1" w:rsidRPr="00BD14B0">
        <w:rPr>
          <w:i/>
          <w:iCs/>
          <w:lang w:eastAsia="en-US"/>
        </w:rPr>
        <w:t>Means and standard deviation</w:t>
      </w:r>
      <w:r w:rsidRPr="00BD14B0">
        <w:rPr>
          <w:i/>
          <w:iCs/>
          <w:lang w:eastAsia="en-US"/>
        </w:rPr>
        <w:t>s</w:t>
      </w:r>
      <w:r w:rsidR="007906E1" w:rsidRPr="00BD14B0">
        <w:rPr>
          <w:i/>
          <w:iCs/>
          <w:lang w:eastAsia="en-US"/>
        </w:rPr>
        <w:t xml:space="preserve"> </w:t>
      </w:r>
      <w:r w:rsidRPr="00BD14B0">
        <w:rPr>
          <w:i/>
          <w:iCs/>
          <w:lang w:eastAsia="en-US"/>
        </w:rPr>
        <w:t>for r</w:t>
      </w:r>
      <w:r w:rsidR="007906E1" w:rsidRPr="00BD14B0">
        <w:rPr>
          <w:i/>
          <w:iCs/>
          <w:lang w:eastAsia="en-US"/>
        </w:rPr>
        <w:t>eaction time</w:t>
      </w:r>
      <w:r w:rsidRPr="00BD14B0">
        <w:rPr>
          <w:i/>
          <w:iCs/>
          <w:lang w:eastAsia="en-US"/>
        </w:rPr>
        <w:t>s</w:t>
      </w:r>
      <w:r w:rsidR="007906E1" w:rsidRPr="00BD14B0">
        <w:rPr>
          <w:i/>
          <w:iCs/>
          <w:lang w:eastAsia="en-US"/>
        </w:rPr>
        <w:t xml:space="preserve"> by social power and gender of the gazer</w:t>
      </w:r>
      <w:r w:rsidR="009F745C" w:rsidRPr="00BD14B0">
        <w:rPr>
          <w:i/>
          <w:iCs/>
          <w:lang w:eastAsia="en-US"/>
        </w:rPr>
        <w:t xml:space="preserve"> and the number of participants that undertook each condition.</w:t>
      </w:r>
    </w:p>
    <w:tbl>
      <w:tblPr>
        <w:tblW w:w="0" w:type="auto"/>
        <w:tblLook w:val="04A0" w:firstRow="1" w:lastRow="0" w:firstColumn="1" w:lastColumn="0" w:noHBand="0" w:noVBand="1"/>
      </w:tblPr>
      <w:tblGrid>
        <w:gridCol w:w="4402"/>
        <w:gridCol w:w="1319"/>
        <w:gridCol w:w="1667"/>
        <w:gridCol w:w="1450"/>
      </w:tblGrid>
      <w:tr w:rsidR="00695B36" w:rsidRPr="00BD14B0" w14:paraId="71AD8C53" w14:textId="77777777" w:rsidTr="005C12E5">
        <w:trPr>
          <w:trHeight w:val="416"/>
        </w:trPr>
        <w:tc>
          <w:tcPr>
            <w:tcW w:w="4530" w:type="dxa"/>
            <w:tcBorders>
              <w:top w:val="single" w:sz="18" w:space="0" w:color="auto"/>
              <w:left w:val="nil"/>
              <w:bottom w:val="single" w:sz="18" w:space="0" w:color="auto"/>
              <w:right w:val="nil"/>
            </w:tcBorders>
          </w:tcPr>
          <w:p w14:paraId="0780FF3D" w14:textId="77777777" w:rsidR="007906E1" w:rsidRPr="00BD14B0" w:rsidRDefault="007906E1" w:rsidP="00553E01">
            <w:pPr>
              <w:rPr>
                <w:lang w:eastAsia="en-US"/>
              </w:rPr>
            </w:pPr>
          </w:p>
        </w:tc>
        <w:tc>
          <w:tcPr>
            <w:tcW w:w="1337" w:type="dxa"/>
            <w:tcBorders>
              <w:top w:val="single" w:sz="18" w:space="0" w:color="auto"/>
              <w:left w:val="nil"/>
              <w:bottom w:val="single" w:sz="18" w:space="0" w:color="auto"/>
              <w:right w:val="nil"/>
            </w:tcBorders>
            <w:hideMark/>
          </w:tcPr>
          <w:p w14:paraId="7ACC6A86" w14:textId="77777777" w:rsidR="007906E1" w:rsidRPr="00BD14B0" w:rsidRDefault="007906E1" w:rsidP="00553E01">
            <w:pPr>
              <w:rPr>
                <w:lang w:eastAsia="en-US"/>
              </w:rPr>
            </w:pPr>
            <w:r w:rsidRPr="00BD14B0">
              <w:rPr>
                <w:lang w:eastAsia="en-US"/>
              </w:rPr>
              <w:t>Mean</w:t>
            </w:r>
          </w:p>
        </w:tc>
        <w:tc>
          <w:tcPr>
            <w:tcW w:w="1688" w:type="dxa"/>
            <w:tcBorders>
              <w:top w:val="single" w:sz="18" w:space="0" w:color="auto"/>
              <w:left w:val="nil"/>
              <w:bottom w:val="single" w:sz="18" w:space="0" w:color="auto"/>
              <w:right w:val="nil"/>
            </w:tcBorders>
            <w:hideMark/>
          </w:tcPr>
          <w:p w14:paraId="0F1F8CB2" w14:textId="77777777" w:rsidR="007906E1" w:rsidRPr="00BD14B0" w:rsidRDefault="007906E1" w:rsidP="00553E01">
            <w:pPr>
              <w:rPr>
                <w:lang w:eastAsia="en-US"/>
              </w:rPr>
            </w:pPr>
            <w:r w:rsidRPr="00BD14B0">
              <w:rPr>
                <w:lang w:eastAsia="en-US"/>
              </w:rPr>
              <w:t>Standard</w:t>
            </w:r>
          </w:p>
          <w:p w14:paraId="48653F70" w14:textId="77777777" w:rsidR="007906E1" w:rsidRPr="00BD14B0" w:rsidRDefault="007906E1" w:rsidP="00553E01">
            <w:pPr>
              <w:rPr>
                <w:lang w:eastAsia="en-US"/>
              </w:rPr>
            </w:pPr>
            <w:r w:rsidRPr="00BD14B0">
              <w:rPr>
                <w:lang w:eastAsia="en-US"/>
              </w:rPr>
              <w:lastRenderedPageBreak/>
              <w:t xml:space="preserve">Deviation  </w:t>
            </w:r>
          </w:p>
        </w:tc>
        <w:tc>
          <w:tcPr>
            <w:tcW w:w="1471" w:type="dxa"/>
            <w:tcBorders>
              <w:top w:val="single" w:sz="18" w:space="0" w:color="auto"/>
              <w:left w:val="nil"/>
              <w:bottom w:val="single" w:sz="18" w:space="0" w:color="auto"/>
              <w:right w:val="nil"/>
            </w:tcBorders>
          </w:tcPr>
          <w:p w14:paraId="6F3F7D0F" w14:textId="77777777" w:rsidR="007906E1" w:rsidRPr="00BD14B0" w:rsidRDefault="007906E1" w:rsidP="00553E01">
            <w:pPr>
              <w:rPr>
                <w:lang w:eastAsia="en-US"/>
              </w:rPr>
            </w:pPr>
            <w:r w:rsidRPr="00BD14B0">
              <w:rPr>
                <w:lang w:eastAsia="en-US"/>
              </w:rPr>
              <w:lastRenderedPageBreak/>
              <w:t xml:space="preserve">Sample size </w:t>
            </w:r>
          </w:p>
        </w:tc>
      </w:tr>
      <w:tr w:rsidR="00695B36" w:rsidRPr="00BD14B0" w14:paraId="4E6C188C" w14:textId="77777777" w:rsidTr="005C12E5">
        <w:tc>
          <w:tcPr>
            <w:tcW w:w="4530" w:type="dxa"/>
            <w:tcBorders>
              <w:top w:val="single" w:sz="18" w:space="0" w:color="auto"/>
              <w:left w:val="nil"/>
              <w:bottom w:val="nil"/>
              <w:right w:val="nil"/>
            </w:tcBorders>
            <w:hideMark/>
          </w:tcPr>
          <w:p w14:paraId="29ED514D" w14:textId="77777777" w:rsidR="007906E1" w:rsidRPr="00BD14B0" w:rsidRDefault="007906E1" w:rsidP="00553E01">
            <w:pPr>
              <w:rPr>
                <w:lang w:eastAsia="en-US"/>
              </w:rPr>
            </w:pPr>
            <w:r w:rsidRPr="00BD14B0">
              <w:rPr>
                <w:lang w:eastAsia="en-US"/>
              </w:rPr>
              <w:t>High Social Power- Male participants</w:t>
            </w:r>
          </w:p>
        </w:tc>
        <w:tc>
          <w:tcPr>
            <w:tcW w:w="1337" w:type="dxa"/>
            <w:tcBorders>
              <w:top w:val="single" w:sz="18" w:space="0" w:color="auto"/>
              <w:left w:val="nil"/>
              <w:bottom w:val="nil"/>
              <w:right w:val="nil"/>
            </w:tcBorders>
            <w:vAlign w:val="center"/>
          </w:tcPr>
          <w:p w14:paraId="1054C846" w14:textId="77777777" w:rsidR="007906E1" w:rsidRPr="00BD14B0" w:rsidRDefault="007906E1" w:rsidP="00553E01">
            <w:pPr>
              <w:rPr>
                <w:lang w:eastAsia="en-US"/>
              </w:rPr>
            </w:pPr>
          </w:p>
        </w:tc>
        <w:tc>
          <w:tcPr>
            <w:tcW w:w="1688" w:type="dxa"/>
            <w:tcBorders>
              <w:top w:val="single" w:sz="18" w:space="0" w:color="auto"/>
              <w:left w:val="nil"/>
              <w:bottom w:val="nil"/>
              <w:right w:val="nil"/>
            </w:tcBorders>
            <w:vAlign w:val="center"/>
          </w:tcPr>
          <w:p w14:paraId="1F93DBFB" w14:textId="77777777" w:rsidR="007906E1" w:rsidRPr="00BD14B0" w:rsidRDefault="007906E1" w:rsidP="00553E01">
            <w:pPr>
              <w:rPr>
                <w:lang w:eastAsia="en-US"/>
              </w:rPr>
            </w:pPr>
          </w:p>
        </w:tc>
        <w:tc>
          <w:tcPr>
            <w:tcW w:w="1471" w:type="dxa"/>
            <w:tcBorders>
              <w:top w:val="single" w:sz="18" w:space="0" w:color="auto"/>
              <w:left w:val="nil"/>
              <w:bottom w:val="nil"/>
              <w:right w:val="nil"/>
            </w:tcBorders>
          </w:tcPr>
          <w:p w14:paraId="066AE8A8" w14:textId="77777777" w:rsidR="007906E1" w:rsidRPr="00BD14B0" w:rsidRDefault="007906E1" w:rsidP="00553E01">
            <w:pPr>
              <w:rPr>
                <w:lang w:eastAsia="en-US"/>
              </w:rPr>
            </w:pPr>
          </w:p>
        </w:tc>
      </w:tr>
      <w:tr w:rsidR="00695B36" w:rsidRPr="00BD14B0" w14:paraId="32834249" w14:textId="77777777" w:rsidTr="005C12E5">
        <w:tc>
          <w:tcPr>
            <w:tcW w:w="4530" w:type="dxa"/>
            <w:tcBorders>
              <w:top w:val="single" w:sz="18" w:space="0" w:color="auto"/>
              <w:left w:val="nil"/>
              <w:bottom w:val="nil"/>
              <w:right w:val="nil"/>
            </w:tcBorders>
            <w:hideMark/>
          </w:tcPr>
          <w:p w14:paraId="23F69072" w14:textId="77777777" w:rsidR="007906E1" w:rsidRPr="00BD14B0" w:rsidRDefault="007906E1" w:rsidP="00553E01">
            <w:pPr>
              <w:rPr>
                <w:lang w:eastAsia="en-US"/>
              </w:rPr>
            </w:pPr>
            <w:r w:rsidRPr="00BD14B0">
              <w:rPr>
                <w:lang w:eastAsia="en-US"/>
              </w:rPr>
              <w:t>Male congruent</w:t>
            </w:r>
          </w:p>
        </w:tc>
        <w:tc>
          <w:tcPr>
            <w:tcW w:w="1337" w:type="dxa"/>
            <w:tcBorders>
              <w:top w:val="single" w:sz="18" w:space="0" w:color="auto"/>
              <w:left w:val="nil"/>
              <w:bottom w:val="nil"/>
              <w:right w:val="nil"/>
            </w:tcBorders>
            <w:vAlign w:val="center"/>
          </w:tcPr>
          <w:p w14:paraId="45103A3C" w14:textId="77777777" w:rsidR="007906E1" w:rsidRPr="00BD14B0" w:rsidRDefault="007906E1" w:rsidP="00553E01">
            <w:pPr>
              <w:rPr>
                <w:lang w:eastAsia="en-US"/>
              </w:rPr>
            </w:pPr>
            <w:r w:rsidRPr="00BD14B0">
              <w:rPr>
                <w:lang w:eastAsia="en-US"/>
              </w:rPr>
              <w:t>350.70</w:t>
            </w:r>
          </w:p>
        </w:tc>
        <w:tc>
          <w:tcPr>
            <w:tcW w:w="1688" w:type="dxa"/>
            <w:tcBorders>
              <w:top w:val="single" w:sz="18" w:space="0" w:color="auto"/>
              <w:left w:val="nil"/>
              <w:bottom w:val="nil"/>
              <w:right w:val="nil"/>
            </w:tcBorders>
            <w:vAlign w:val="center"/>
          </w:tcPr>
          <w:p w14:paraId="1A96DAF4" w14:textId="77777777" w:rsidR="007906E1" w:rsidRPr="00BD14B0" w:rsidRDefault="007906E1" w:rsidP="00553E01">
            <w:pPr>
              <w:rPr>
                <w:lang w:eastAsia="en-US"/>
              </w:rPr>
            </w:pPr>
            <w:r w:rsidRPr="00BD14B0">
              <w:rPr>
                <w:lang w:eastAsia="en-US"/>
              </w:rPr>
              <w:t>28.64</w:t>
            </w:r>
          </w:p>
        </w:tc>
        <w:tc>
          <w:tcPr>
            <w:tcW w:w="1471" w:type="dxa"/>
            <w:tcBorders>
              <w:top w:val="single" w:sz="18" w:space="0" w:color="auto"/>
              <w:left w:val="nil"/>
              <w:bottom w:val="nil"/>
              <w:right w:val="nil"/>
            </w:tcBorders>
          </w:tcPr>
          <w:p w14:paraId="285A7D3C" w14:textId="77777777" w:rsidR="007906E1" w:rsidRPr="00BD14B0" w:rsidRDefault="007906E1" w:rsidP="00553E01">
            <w:pPr>
              <w:rPr>
                <w:lang w:eastAsia="en-US"/>
              </w:rPr>
            </w:pPr>
            <w:r w:rsidRPr="00BD14B0">
              <w:rPr>
                <w:lang w:eastAsia="en-US"/>
              </w:rPr>
              <w:t>16</w:t>
            </w:r>
          </w:p>
        </w:tc>
      </w:tr>
      <w:tr w:rsidR="00695B36" w:rsidRPr="00BD14B0" w14:paraId="7D30A9BC" w14:textId="77777777" w:rsidTr="005C12E5">
        <w:tc>
          <w:tcPr>
            <w:tcW w:w="4530" w:type="dxa"/>
            <w:hideMark/>
          </w:tcPr>
          <w:p w14:paraId="7092BC0A" w14:textId="77777777" w:rsidR="007906E1" w:rsidRPr="00BD14B0" w:rsidRDefault="007906E1" w:rsidP="00553E01">
            <w:pPr>
              <w:rPr>
                <w:lang w:eastAsia="en-US"/>
              </w:rPr>
            </w:pPr>
            <w:r w:rsidRPr="00BD14B0">
              <w:rPr>
                <w:lang w:eastAsia="en-US"/>
              </w:rPr>
              <w:t>Male incongruent</w:t>
            </w:r>
          </w:p>
        </w:tc>
        <w:tc>
          <w:tcPr>
            <w:tcW w:w="1337" w:type="dxa"/>
            <w:vAlign w:val="center"/>
          </w:tcPr>
          <w:p w14:paraId="4844BD73" w14:textId="77777777" w:rsidR="007906E1" w:rsidRPr="00BD14B0" w:rsidRDefault="007906E1" w:rsidP="00553E01">
            <w:pPr>
              <w:rPr>
                <w:lang w:eastAsia="en-US"/>
              </w:rPr>
            </w:pPr>
            <w:r w:rsidRPr="00BD14B0">
              <w:rPr>
                <w:lang w:eastAsia="en-US"/>
              </w:rPr>
              <w:t>372.30</w:t>
            </w:r>
          </w:p>
        </w:tc>
        <w:tc>
          <w:tcPr>
            <w:tcW w:w="1688" w:type="dxa"/>
            <w:vAlign w:val="center"/>
          </w:tcPr>
          <w:p w14:paraId="1024BB53" w14:textId="77777777" w:rsidR="007906E1" w:rsidRPr="00BD14B0" w:rsidRDefault="007906E1" w:rsidP="00553E01">
            <w:pPr>
              <w:rPr>
                <w:lang w:eastAsia="en-US"/>
              </w:rPr>
            </w:pPr>
            <w:r w:rsidRPr="00BD14B0">
              <w:rPr>
                <w:lang w:eastAsia="en-US"/>
              </w:rPr>
              <w:t>29.75</w:t>
            </w:r>
          </w:p>
        </w:tc>
        <w:tc>
          <w:tcPr>
            <w:tcW w:w="1471" w:type="dxa"/>
          </w:tcPr>
          <w:p w14:paraId="6C330AC2" w14:textId="77777777" w:rsidR="007906E1" w:rsidRPr="00BD14B0" w:rsidRDefault="007906E1" w:rsidP="00553E01">
            <w:pPr>
              <w:rPr>
                <w:lang w:eastAsia="en-US"/>
              </w:rPr>
            </w:pPr>
            <w:r w:rsidRPr="00BD14B0">
              <w:rPr>
                <w:lang w:eastAsia="en-US"/>
              </w:rPr>
              <w:t>16</w:t>
            </w:r>
          </w:p>
        </w:tc>
      </w:tr>
      <w:tr w:rsidR="00695B36" w:rsidRPr="00BD14B0" w14:paraId="44020166" w14:textId="77777777" w:rsidTr="005C12E5">
        <w:tc>
          <w:tcPr>
            <w:tcW w:w="4530" w:type="dxa"/>
            <w:hideMark/>
          </w:tcPr>
          <w:p w14:paraId="4EEC9BD7" w14:textId="77777777" w:rsidR="007906E1" w:rsidRPr="00BD14B0" w:rsidRDefault="007906E1" w:rsidP="00553E01">
            <w:pPr>
              <w:rPr>
                <w:lang w:eastAsia="en-US"/>
              </w:rPr>
            </w:pPr>
            <w:r w:rsidRPr="00BD14B0">
              <w:rPr>
                <w:lang w:eastAsia="en-US"/>
              </w:rPr>
              <w:t>Female congruent</w:t>
            </w:r>
          </w:p>
        </w:tc>
        <w:tc>
          <w:tcPr>
            <w:tcW w:w="1337" w:type="dxa"/>
            <w:vAlign w:val="center"/>
          </w:tcPr>
          <w:p w14:paraId="66235B66" w14:textId="77777777" w:rsidR="007906E1" w:rsidRPr="00BD14B0" w:rsidRDefault="007906E1" w:rsidP="00553E01">
            <w:pPr>
              <w:rPr>
                <w:lang w:eastAsia="en-US"/>
              </w:rPr>
            </w:pPr>
            <w:r w:rsidRPr="00BD14B0">
              <w:rPr>
                <w:lang w:eastAsia="en-US"/>
              </w:rPr>
              <w:t>353.56</w:t>
            </w:r>
          </w:p>
        </w:tc>
        <w:tc>
          <w:tcPr>
            <w:tcW w:w="1688" w:type="dxa"/>
            <w:vAlign w:val="center"/>
          </w:tcPr>
          <w:p w14:paraId="75763F27" w14:textId="77777777" w:rsidR="007906E1" w:rsidRPr="00BD14B0" w:rsidRDefault="007906E1" w:rsidP="00553E01">
            <w:pPr>
              <w:rPr>
                <w:lang w:eastAsia="en-US"/>
              </w:rPr>
            </w:pPr>
            <w:r w:rsidRPr="00BD14B0">
              <w:rPr>
                <w:lang w:eastAsia="en-US"/>
              </w:rPr>
              <w:t>37.55</w:t>
            </w:r>
          </w:p>
        </w:tc>
        <w:tc>
          <w:tcPr>
            <w:tcW w:w="1471" w:type="dxa"/>
          </w:tcPr>
          <w:p w14:paraId="5461B8F9" w14:textId="77777777" w:rsidR="007906E1" w:rsidRPr="00BD14B0" w:rsidRDefault="007906E1" w:rsidP="00553E01">
            <w:pPr>
              <w:rPr>
                <w:lang w:eastAsia="en-US"/>
              </w:rPr>
            </w:pPr>
            <w:r w:rsidRPr="00BD14B0">
              <w:rPr>
                <w:lang w:eastAsia="en-US"/>
              </w:rPr>
              <w:t>16</w:t>
            </w:r>
          </w:p>
        </w:tc>
      </w:tr>
      <w:tr w:rsidR="00695B36" w:rsidRPr="00BD14B0" w14:paraId="43C4C27D" w14:textId="77777777" w:rsidTr="005C12E5">
        <w:tc>
          <w:tcPr>
            <w:tcW w:w="4530" w:type="dxa"/>
            <w:hideMark/>
          </w:tcPr>
          <w:p w14:paraId="1BFC70D6" w14:textId="77777777" w:rsidR="007906E1" w:rsidRPr="00BD14B0" w:rsidRDefault="007906E1" w:rsidP="00553E01">
            <w:pPr>
              <w:rPr>
                <w:lang w:eastAsia="en-US"/>
              </w:rPr>
            </w:pPr>
            <w:r w:rsidRPr="00BD14B0">
              <w:rPr>
                <w:lang w:eastAsia="en-US"/>
              </w:rPr>
              <w:t>Female incongruent</w:t>
            </w:r>
          </w:p>
        </w:tc>
        <w:tc>
          <w:tcPr>
            <w:tcW w:w="1337" w:type="dxa"/>
            <w:vAlign w:val="center"/>
          </w:tcPr>
          <w:p w14:paraId="3E817FDC" w14:textId="77777777" w:rsidR="007906E1" w:rsidRPr="00BD14B0" w:rsidRDefault="007906E1" w:rsidP="00553E01">
            <w:pPr>
              <w:rPr>
                <w:lang w:eastAsia="en-US"/>
              </w:rPr>
            </w:pPr>
            <w:r w:rsidRPr="00BD14B0">
              <w:rPr>
                <w:lang w:eastAsia="en-US"/>
              </w:rPr>
              <w:t>377.46</w:t>
            </w:r>
          </w:p>
        </w:tc>
        <w:tc>
          <w:tcPr>
            <w:tcW w:w="1688" w:type="dxa"/>
            <w:vAlign w:val="center"/>
          </w:tcPr>
          <w:p w14:paraId="0912E4A8" w14:textId="77777777" w:rsidR="007906E1" w:rsidRPr="00BD14B0" w:rsidRDefault="007906E1" w:rsidP="00553E01">
            <w:pPr>
              <w:rPr>
                <w:lang w:eastAsia="en-US"/>
              </w:rPr>
            </w:pPr>
            <w:r w:rsidRPr="00BD14B0">
              <w:rPr>
                <w:lang w:eastAsia="en-US"/>
              </w:rPr>
              <w:t>34.93</w:t>
            </w:r>
          </w:p>
        </w:tc>
        <w:tc>
          <w:tcPr>
            <w:tcW w:w="1471" w:type="dxa"/>
          </w:tcPr>
          <w:p w14:paraId="34DAAA51" w14:textId="77777777" w:rsidR="007906E1" w:rsidRPr="00BD14B0" w:rsidRDefault="007906E1" w:rsidP="00553E01">
            <w:pPr>
              <w:rPr>
                <w:lang w:eastAsia="en-US"/>
              </w:rPr>
            </w:pPr>
            <w:r w:rsidRPr="00BD14B0">
              <w:rPr>
                <w:lang w:eastAsia="en-US"/>
              </w:rPr>
              <w:t>16</w:t>
            </w:r>
          </w:p>
        </w:tc>
      </w:tr>
      <w:tr w:rsidR="00695B36" w:rsidRPr="00BD14B0" w14:paraId="045C33F0" w14:textId="77777777" w:rsidTr="005C12E5">
        <w:tc>
          <w:tcPr>
            <w:tcW w:w="4530" w:type="dxa"/>
            <w:hideMark/>
          </w:tcPr>
          <w:p w14:paraId="6E65FFD0" w14:textId="77777777" w:rsidR="007906E1" w:rsidRPr="00BD14B0" w:rsidRDefault="007906E1" w:rsidP="00553E01">
            <w:pPr>
              <w:rPr>
                <w:lang w:eastAsia="en-US"/>
              </w:rPr>
            </w:pPr>
            <w:r w:rsidRPr="00BD14B0">
              <w:rPr>
                <w:lang w:eastAsia="en-US"/>
              </w:rPr>
              <w:t>Male difference</w:t>
            </w:r>
          </w:p>
        </w:tc>
        <w:tc>
          <w:tcPr>
            <w:tcW w:w="1337" w:type="dxa"/>
            <w:vAlign w:val="center"/>
          </w:tcPr>
          <w:p w14:paraId="5A13B690" w14:textId="77777777" w:rsidR="007906E1" w:rsidRPr="00BD14B0" w:rsidRDefault="007906E1" w:rsidP="00553E01">
            <w:pPr>
              <w:rPr>
                <w:lang w:eastAsia="en-US"/>
              </w:rPr>
            </w:pPr>
            <w:r w:rsidRPr="00BD14B0">
              <w:rPr>
                <w:lang w:eastAsia="en-US"/>
              </w:rPr>
              <w:t>21.60</w:t>
            </w:r>
          </w:p>
        </w:tc>
        <w:tc>
          <w:tcPr>
            <w:tcW w:w="1688" w:type="dxa"/>
            <w:vAlign w:val="center"/>
          </w:tcPr>
          <w:p w14:paraId="414F90A6" w14:textId="77777777" w:rsidR="007906E1" w:rsidRPr="00BD14B0" w:rsidRDefault="007906E1" w:rsidP="00553E01">
            <w:pPr>
              <w:rPr>
                <w:lang w:eastAsia="en-US"/>
              </w:rPr>
            </w:pPr>
            <w:r w:rsidRPr="00BD14B0">
              <w:rPr>
                <w:lang w:eastAsia="en-US"/>
              </w:rPr>
              <w:t>18.30</w:t>
            </w:r>
          </w:p>
        </w:tc>
        <w:tc>
          <w:tcPr>
            <w:tcW w:w="1471" w:type="dxa"/>
          </w:tcPr>
          <w:p w14:paraId="246CFE15" w14:textId="77777777" w:rsidR="007906E1" w:rsidRPr="00BD14B0" w:rsidRDefault="007906E1" w:rsidP="00553E01">
            <w:pPr>
              <w:rPr>
                <w:lang w:eastAsia="en-US"/>
              </w:rPr>
            </w:pPr>
            <w:r w:rsidRPr="00BD14B0">
              <w:rPr>
                <w:lang w:eastAsia="en-US"/>
              </w:rPr>
              <w:t>16</w:t>
            </w:r>
          </w:p>
        </w:tc>
      </w:tr>
      <w:tr w:rsidR="00695B36" w:rsidRPr="00BD14B0" w14:paraId="2BE33CFE" w14:textId="77777777" w:rsidTr="005C12E5">
        <w:tc>
          <w:tcPr>
            <w:tcW w:w="4530" w:type="dxa"/>
            <w:hideMark/>
          </w:tcPr>
          <w:p w14:paraId="60413C87" w14:textId="77777777" w:rsidR="007906E1" w:rsidRPr="00BD14B0" w:rsidRDefault="007906E1" w:rsidP="00553E01">
            <w:pPr>
              <w:rPr>
                <w:lang w:eastAsia="en-US"/>
              </w:rPr>
            </w:pPr>
            <w:r w:rsidRPr="00BD14B0">
              <w:rPr>
                <w:lang w:eastAsia="en-US"/>
              </w:rPr>
              <w:t>Female difference</w:t>
            </w:r>
          </w:p>
        </w:tc>
        <w:tc>
          <w:tcPr>
            <w:tcW w:w="1337" w:type="dxa"/>
            <w:vAlign w:val="center"/>
          </w:tcPr>
          <w:p w14:paraId="41BBE5AD" w14:textId="77777777" w:rsidR="007906E1" w:rsidRPr="00BD14B0" w:rsidRDefault="007906E1" w:rsidP="00553E01">
            <w:pPr>
              <w:rPr>
                <w:lang w:eastAsia="en-US"/>
              </w:rPr>
            </w:pPr>
            <w:r w:rsidRPr="00BD14B0">
              <w:rPr>
                <w:lang w:eastAsia="en-US"/>
              </w:rPr>
              <w:t>23.96</w:t>
            </w:r>
          </w:p>
        </w:tc>
        <w:tc>
          <w:tcPr>
            <w:tcW w:w="1688" w:type="dxa"/>
            <w:vAlign w:val="center"/>
          </w:tcPr>
          <w:p w14:paraId="6067077F" w14:textId="77777777" w:rsidR="007906E1" w:rsidRPr="00BD14B0" w:rsidRDefault="007906E1" w:rsidP="00553E01">
            <w:pPr>
              <w:rPr>
                <w:lang w:eastAsia="en-US"/>
              </w:rPr>
            </w:pPr>
            <w:r w:rsidRPr="00BD14B0">
              <w:rPr>
                <w:lang w:eastAsia="en-US"/>
              </w:rPr>
              <w:t>21.97</w:t>
            </w:r>
          </w:p>
        </w:tc>
        <w:tc>
          <w:tcPr>
            <w:tcW w:w="1471" w:type="dxa"/>
          </w:tcPr>
          <w:p w14:paraId="6B977152" w14:textId="77777777" w:rsidR="007906E1" w:rsidRPr="00BD14B0" w:rsidRDefault="007906E1" w:rsidP="00553E01">
            <w:pPr>
              <w:rPr>
                <w:lang w:eastAsia="en-US"/>
              </w:rPr>
            </w:pPr>
            <w:r w:rsidRPr="00BD14B0">
              <w:rPr>
                <w:lang w:eastAsia="en-US"/>
              </w:rPr>
              <w:t>16</w:t>
            </w:r>
          </w:p>
        </w:tc>
      </w:tr>
      <w:tr w:rsidR="00695B36" w:rsidRPr="00BD14B0" w14:paraId="6EBD559E" w14:textId="77777777" w:rsidTr="005C12E5">
        <w:tc>
          <w:tcPr>
            <w:tcW w:w="4530" w:type="dxa"/>
            <w:tcBorders>
              <w:top w:val="single" w:sz="12" w:space="0" w:color="auto"/>
              <w:left w:val="nil"/>
              <w:bottom w:val="single" w:sz="12" w:space="0" w:color="auto"/>
              <w:right w:val="nil"/>
            </w:tcBorders>
            <w:hideMark/>
          </w:tcPr>
          <w:p w14:paraId="47A7ACD2" w14:textId="4788E9C8" w:rsidR="007906E1" w:rsidRPr="00BD14B0" w:rsidRDefault="007906E1" w:rsidP="00553E01">
            <w:pPr>
              <w:rPr>
                <w:lang w:eastAsia="en-US"/>
              </w:rPr>
            </w:pPr>
            <w:r w:rsidRPr="00BD14B0">
              <w:rPr>
                <w:lang w:eastAsia="en-US"/>
              </w:rPr>
              <w:t xml:space="preserve">High Social Power-Female participants    </w:t>
            </w:r>
          </w:p>
        </w:tc>
        <w:tc>
          <w:tcPr>
            <w:tcW w:w="1337" w:type="dxa"/>
            <w:tcBorders>
              <w:top w:val="single" w:sz="12" w:space="0" w:color="auto"/>
              <w:left w:val="nil"/>
              <w:bottom w:val="single" w:sz="12" w:space="0" w:color="auto"/>
              <w:right w:val="nil"/>
            </w:tcBorders>
            <w:vAlign w:val="center"/>
          </w:tcPr>
          <w:p w14:paraId="069DD83F" w14:textId="77777777" w:rsidR="007906E1" w:rsidRPr="00BD14B0" w:rsidRDefault="007906E1" w:rsidP="00553E01">
            <w:pPr>
              <w:rPr>
                <w:lang w:eastAsia="en-US"/>
              </w:rPr>
            </w:pPr>
          </w:p>
        </w:tc>
        <w:tc>
          <w:tcPr>
            <w:tcW w:w="1688" w:type="dxa"/>
            <w:tcBorders>
              <w:top w:val="single" w:sz="12" w:space="0" w:color="auto"/>
              <w:left w:val="nil"/>
              <w:bottom w:val="single" w:sz="12" w:space="0" w:color="auto"/>
              <w:right w:val="nil"/>
            </w:tcBorders>
            <w:vAlign w:val="center"/>
          </w:tcPr>
          <w:p w14:paraId="707DA833" w14:textId="77777777" w:rsidR="007906E1" w:rsidRPr="00BD14B0" w:rsidRDefault="007906E1" w:rsidP="00553E01">
            <w:pPr>
              <w:rPr>
                <w:lang w:eastAsia="en-US"/>
              </w:rPr>
            </w:pPr>
          </w:p>
        </w:tc>
        <w:tc>
          <w:tcPr>
            <w:tcW w:w="1471" w:type="dxa"/>
            <w:tcBorders>
              <w:top w:val="single" w:sz="12" w:space="0" w:color="auto"/>
              <w:left w:val="nil"/>
              <w:bottom w:val="single" w:sz="12" w:space="0" w:color="auto"/>
              <w:right w:val="nil"/>
            </w:tcBorders>
          </w:tcPr>
          <w:p w14:paraId="1FAA9907" w14:textId="77777777" w:rsidR="007906E1" w:rsidRPr="00BD14B0" w:rsidRDefault="007906E1" w:rsidP="00553E01">
            <w:pPr>
              <w:rPr>
                <w:lang w:eastAsia="en-US"/>
              </w:rPr>
            </w:pPr>
          </w:p>
        </w:tc>
      </w:tr>
      <w:tr w:rsidR="00695B36" w:rsidRPr="00BD14B0" w14:paraId="338A782F" w14:textId="77777777" w:rsidTr="005C12E5">
        <w:tc>
          <w:tcPr>
            <w:tcW w:w="4530" w:type="dxa"/>
            <w:tcBorders>
              <w:top w:val="single" w:sz="12" w:space="0" w:color="auto"/>
              <w:left w:val="nil"/>
              <w:bottom w:val="nil"/>
              <w:right w:val="nil"/>
            </w:tcBorders>
          </w:tcPr>
          <w:p w14:paraId="708A7173" w14:textId="77777777" w:rsidR="007906E1" w:rsidRPr="00BD14B0" w:rsidRDefault="007906E1" w:rsidP="00553E01">
            <w:pPr>
              <w:rPr>
                <w:lang w:eastAsia="en-US"/>
              </w:rPr>
            </w:pPr>
            <w:r w:rsidRPr="00BD14B0">
              <w:rPr>
                <w:lang w:eastAsia="en-US"/>
              </w:rPr>
              <w:t>Male congruent</w:t>
            </w:r>
          </w:p>
        </w:tc>
        <w:tc>
          <w:tcPr>
            <w:tcW w:w="1337" w:type="dxa"/>
            <w:tcBorders>
              <w:top w:val="single" w:sz="12" w:space="0" w:color="auto"/>
              <w:left w:val="nil"/>
              <w:bottom w:val="nil"/>
              <w:right w:val="nil"/>
            </w:tcBorders>
            <w:vAlign w:val="center"/>
          </w:tcPr>
          <w:p w14:paraId="0A2F4E14" w14:textId="77777777" w:rsidR="007906E1" w:rsidRPr="00BD14B0" w:rsidRDefault="007906E1" w:rsidP="00553E01">
            <w:pPr>
              <w:rPr>
                <w:lang w:eastAsia="en-US"/>
              </w:rPr>
            </w:pPr>
            <w:r w:rsidRPr="00BD14B0">
              <w:rPr>
                <w:lang w:eastAsia="en-US"/>
              </w:rPr>
              <w:t>363.73</w:t>
            </w:r>
          </w:p>
        </w:tc>
        <w:tc>
          <w:tcPr>
            <w:tcW w:w="1688" w:type="dxa"/>
            <w:tcBorders>
              <w:top w:val="single" w:sz="12" w:space="0" w:color="auto"/>
              <w:left w:val="nil"/>
              <w:bottom w:val="nil"/>
              <w:right w:val="nil"/>
            </w:tcBorders>
            <w:vAlign w:val="center"/>
          </w:tcPr>
          <w:p w14:paraId="53D30E23" w14:textId="77777777" w:rsidR="007906E1" w:rsidRPr="00BD14B0" w:rsidRDefault="007906E1" w:rsidP="00553E01">
            <w:pPr>
              <w:rPr>
                <w:lang w:eastAsia="en-US"/>
              </w:rPr>
            </w:pPr>
            <w:r w:rsidRPr="00BD14B0">
              <w:rPr>
                <w:lang w:eastAsia="en-US"/>
              </w:rPr>
              <w:t>49.06</w:t>
            </w:r>
          </w:p>
        </w:tc>
        <w:tc>
          <w:tcPr>
            <w:tcW w:w="1471" w:type="dxa"/>
            <w:tcBorders>
              <w:top w:val="single" w:sz="12" w:space="0" w:color="auto"/>
              <w:left w:val="nil"/>
              <w:bottom w:val="nil"/>
              <w:right w:val="nil"/>
            </w:tcBorders>
          </w:tcPr>
          <w:p w14:paraId="62D22962" w14:textId="77777777" w:rsidR="007906E1" w:rsidRPr="00BD14B0" w:rsidRDefault="007906E1" w:rsidP="00553E01">
            <w:pPr>
              <w:rPr>
                <w:lang w:eastAsia="en-US"/>
              </w:rPr>
            </w:pPr>
            <w:r w:rsidRPr="00BD14B0">
              <w:rPr>
                <w:lang w:eastAsia="en-US"/>
              </w:rPr>
              <w:t>20</w:t>
            </w:r>
          </w:p>
        </w:tc>
      </w:tr>
      <w:tr w:rsidR="00695B36" w:rsidRPr="00BD14B0" w14:paraId="435B2988" w14:textId="77777777" w:rsidTr="005C12E5">
        <w:tc>
          <w:tcPr>
            <w:tcW w:w="4530" w:type="dxa"/>
          </w:tcPr>
          <w:p w14:paraId="623165E9" w14:textId="77777777" w:rsidR="007906E1" w:rsidRPr="00BD14B0" w:rsidRDefault="007906E1" w:rsidP="00553E01">
            <w:pPr>
              <w:rPr>
                <w:lang w:eastAsia="en-US"/>
              </w:rPr>
            </w:pPr>
            <w:r w:rsidRPr="00BD14B0">
              <w:rPr>
                <w:lang w:eastAsia="en-US"/>
              </w:rPr>
              <w:t>Male incongruent</w:t>
            </w:r>
          </w:p>
        </w:tc>
        <w:tc>
          <w:tcPr>
            <w:tcW w:w="1337" w:type="dxa"/>
            <w:vAlign w:val="center"/>
          </w:tcPr>
          <w:p w14:paraId="1C1F7663" w14:textId="77777777" w:rsidR="007906E1" w:rsidRPr="00BD14B0" w:rsidRDefault="007906E1" w:rsidP="00553E01">
            <w:pPr>
              <w:rPr>
                <w:lang w:eastAsia="en-US"/>
              </w:rPr>
            </w:pPr>
            <w:r w:rsidRPr="00BD14B0">
              <w:rPr>
                <w:lang w:eastAsia="en-US"/>
              </w:rPr>
              <w:t>393.31</w:t>
            </w:r>
          </w:p>
        </w:tc>
        <w:tc>
          <w:tcPr>
            <w:tcW w:w="1688" w:type="dxa"/>
            <w:vAlign w:val="center"/>
          </w:tcPr>
          <w:p w14:paraId="7E0D662A" w14:textId="77777777" w:rsidR="007906E1" w:rsidRPr="00BD14B0" w:rsidRDefault="007906E1" w:rsidP="00553E01">
            <w:pPr>
              <w:rPr>
                <w:lang w:eastAsia="en-US"/>
              </w:rPr>
            </w:pPr>
            <w:r w:rsidRPr="00BD14B0">
              <w:rPr>
                <w:lang w:eastAsia="en-US"/>
              </w:rPr>
              <w:t>45.99</w:t>
            </w:r>
          </w:p>
        </w:tc>
        <w:tc>
          <w:tcPr>
            <w:tcW w:w="1471" w:type="dxa"/>
          </w:tcPr>
          <w:p w14:paraId="63154DEB" w14:textId="77777777" w:rsidR="007906E1" w:rsidRPr="00BD14B0" w:rsidRDefault="007906E1" w:rsidP="00553E01">
            <w:pPr>
              <w:rPr>
                <w:lang w:eastAsia="en-US"/>
              </w:rPr>
            </w:pPr>
            <w:r w:rsidRPr="00BD14B0">
              <w:rPr>
                <w:lang w:eastAsia="en-US"/>
              </w:rPr>
              <w:t>20</w:t>
            </w:r>
          </w:p>
        </w:tc>
      </w:tr>
      <w:tr w:rsidR="00695B36" w:rsidRPr="00BD14B0" w14:paraId="71D14FE3" w14:textId="77777777" w:rsidTr="005C12E5">
        <w:tc>
          <w:tcPr>
            <w:tcW w:w="4530" w:type="dxa"/>
          </w:tcPr>
          <w:p w14:paraId="1B55153C" w14:textId="77777777" w:rsidR="007906E1" w:rsidRPr="00BD14B0" w:rsidRDefault="007906E1" w:rsidP="00553E01">
            <w:pPr>
              <w:rPr>
                <w:lang w:eastAsia="en-US"/>
              </w:rPr>
            </w:pPr>
            <w:r w:rsidRPr="00BD14B0">
              <w:rPr>
                <w:lang w:eastAsia="en-US"/>
              </w:rPr>
              <w:t>Female congruent</w:t>
            </w:r>
          </w:p>
        </w:tc>
        <w:tc>
          <w:tcPr>
            <w:tcW w:w="1337" w:type="dxa"/>
            <w:vAlign w:val="center"/>
          </w:tcPr>
          <w:p w14:paraId="2A1C5592" w14:textId="77777777" w:rsidR="007906E1" w:rsidRPr="00BD14B0" w:rsidRDefault="007906E1" w:rsidP="00553E01">
            <w:pPr>
              <w:rPr>
                <w:lang w:eastAsia="en-US"/>
              </w:rPr>
            </w:pPr>
            <w:r w:rsidRPr="00BD14B0">
              <w:rPr>
                <w:lang w:eastAsia="en-US"/>
              </w:rPr>
              <w:t>361.10</w:t>
            </w:r>
          </w:p>
        </w:tc>
        <w:tc>
          <w:tcPr>
            <w:tcW w:w="1688" w:type="dxa"/>
            <w:vAlign w:val="center"/>
          </w:tcPr>
          <w:p w14:paraId="1C0B936A" w14:textId="77777777" w:rsidR="007906E1" w:rsidRPr="00BD14B0" w:rsidRDefault="007906E1" w:rsidP="00553E01">
            <w:pPr>
              <w:rPr>
                <w:lang w:eastAsia="en-US"/>
              </w:rPr>
            </w:pPr>
            <w:r w:rsidRPr="00BD14B0">
              <w:rPr>
                <w:lang w:eastAsia="en-US"/>
              </w:rPr>
              <w:t>56.26</w:t>
            </w:r>
          </w:p>
        </w:tc>
        <w:tc>
          <w:tcPr>
            <w:tcW w:w="1471" w:type="dxa"/>
          </w:tcPr>
          <w:p w14:paraId="03230707" w14:textId="77777777" w:rsidR="007906E1" w:rsidRPr="00BD14B0" w:rsidRDefault="007906E1" w:rsidP="00553E01">
            <w:pPr>
              <w:rPr>
                <w:lang w:eastAsia="en-US"/>
              </w:rPr>
            </w:pPr>
            <w:r w:rsidRPr="00BD14B0">
              <w:rPr>
                <w:lang w:eastAsia="en-US"/>
              </w:rPr>
              <w:t>20</w:t>
            </w:r>
          </w:p>
        </w:tc>
      </w:tr>
      <w:tr w:rsidR="00695B36" w:rsidRPr="00BD14B0" w14:paraId="08173FE1" w14:textId="77777777" w:rsidTr="005C12E5">
        <w:tc>
          <w:tcPr>
            <w:tcW w:w="4530" w:type="dxa"/>
          </w:tcPr>
          <w:p w14:paraId="05F2A817" w14:textId="77777777" w:rsidR="007906E1" w:rsidRPr="00BD14B0" w:rsidRDefault="007906E1" w:rsidP="00553E01">
            <w:pPr>
              <w:rPr>
                <w:lang w:eastAsia="en-US"/>
              </w:rPr>
            </w:pPr>
            <w:r w:rsidRPr="00BD14B0">
              <w:rPr>
                <w:lang w:eastAsia="en-US"/>
              </w:rPr>
              <w:t>Female incongruent</w:t>
            </w:r>
          </w:p>
        </w:tc>
        <w:tc>
          <w:tcPr>
            <w:tcW w:w="1337" w:type="dxa"/>
            <w:vAlign w:val="center"/>
          </w:tcPr>
          <w:p w14:paraId="49271EB2" w14:textId="77777777" w:rsidR="007906E1" w:rsidRPr="00BD14B0" w:rsidRDefault="007906E1" w:rsidP="00553E01">
            <w:pPr>
              <w:rPr>
                <w:lang w:eastAsia="en-US"/>
              </w:rPr>
            </w:pPr>
            <w:r w:rsidRPr="00BD14B0">
              <w:rPr>
                <w:lang w:eastAsia="en-US"/>
              </w:rPr>
              <w:t>395.17</w:t>
            </w:r>
          </w:p>
        </w:tc>
        <w:tc>
          <w:tcPr>
            <w:tcW w:w="1688" w:type="dxa"/>
            <w:vAlign w:val="center"/>
          </w:tcPr>
          <w:p w14:paraId="7CD1702C" w14:textId="77777777" w:rsidR="007906E1" w:rsidRPr="00BD14B0" w:rsidRDefault="007906E1" w:rsidP="00553E01">
            <w:pPr>
              <w:rPr>
                <w:lang w:eastAsia="en-US"/>
              </w:rPr>
            </w:pPr>
            <w:r w:rsidRPr="00BD14B0">
              <w:rPr>
                <w:lang w:eastAsia="en-US"/>
              </w:rPr>
              <w:t>57.75</w:t>
            </w:r>
          </w:p>
        </w:tc>
        <w:tc>
          <w:tcPr>
            <w:tcW w:w="1471" w:type="dxa"/>
          </w:tcPr>
          <w:p w14:paraId="09C93C34" w14:textId="77777777" w:rsidR="007906E1" w:rsidRPr="00BD14B0" w:rsidRDefault="007906E1" w:rsidP="00553E01">
            <w:pPr>
              <w:rPr>
                <w:lang w:eastAsia="en-US"/>
              </w:rPr>
            </w:pPr>
            <w:r w:rsidRPr="00BD14B0">
              <w:rPr>
                <w:lang w:eastAsia="en-US"/>
              </w:rPr>
              <w:t>20</w:t>
            </w:r>
          </w:p>
        </w:tc>
      </w:tr>
      <w:tr w:rsidR="00695B36" w:rsidRPr="00BD14B0" w14:paraId="35C6A905" w14:textId="77777777" w:rsidTr="005C12E5">
        <w:tc>
          <w:tcPr>
            <w:tcW w:w="4530" w:type="dxa"/>
          </w:tcPr>
          <w:p w14:paraId="7EFA5BEC" w14:textId="77777777" w:rsidR="007906E1" w:rsidRPr="00BD14B0" w:rsidRDefault="007906E1" w:rsidP="00553E01">
            <w:pPr>
              <w:rPr>
                <w:lang w:eastAsia="en-US"/>
              </w:rPr>
            </w:pPr>
            <w:r w:rsidRPr="00BD14B0">
              <w:rPr>
                <w:lang w:eastAsia="en-US"/>
              </w:rPr>
              <w:t>Male difference</w:t>
            </w:r>
          </w:p>
        </w:tc>
        <w:tc>
          <w:tcPr>
            <w:tcW w:w="1337" w:type="dxa"/>
            <w:vAlign w:val="center"/>
          </w:tcPr>
          <w:p w14:paraId="65A56DFC" w14:textId="77777777" w:rsidR="007906E1" w:rsidRPr="00BD14B0" w:rsidRDefault="007906E1" w:rsidP="00553E01">
            <w:pPr>
              <w:rPr>
                <w:lang w:eastAsia="en-US"/>
              </w:rPr>
            </w:pPr>
            <w:r w:rsidRPr="00BD14B0">
              <w:rPr>
                <w:lang w:eastAsia="en-US"/>
              </w:rPr>
              <w:t>29.58</w:t>
            </w:r>
          </w:p>
        </w:tc>
        <w:tc>
          <w:tcPr>
            <w:tcW w:w="1688" w:type="dxa"/>
            <w:vAlign w:val="center"/>
          </w:tcPr>
          <w:p w14:paraId="16794320" w14:textId="77777777" w:rsidR="007906E1" w:rsidRPr="00BD14B0" w:rsidRDefault="007906E1" w:rsidP="00553E01">
            <w:pPr>
              <w:rPr>
                <w:lang w:eastAsia="en-US"/>
              </w:rPr>
            </w:pPr>
            <w:r w:rsidRPr="00BD14B0">
              <w:rPr>
                <w:lang w:eastAsia="en-US"/>
              </w:rPr>
              <w:t>23.55</w:t>
            </w:r>
          </w:p>
        </w:tc>
        <w:tc>
          <w:tcPr>
            <w:tcW w:w="1471" w:type="dxa"/>
          </w:tcPr>
          <w:p w14:paraId="4510EFA7" w14:textId="77777777" w:rsidR="007906E1" w:rsidRPr="00BD14B0" w:rsidRDefault="007906E1" w:rsidP="00553E01">
            <w:pPr>
              <w:rPr>
                <w:lang w:eastAsia="en-US"/>
              </w:rPr>
            </w:pPr>
            <w:r w:rsidRPr="00BD14B0">
              <w:rPr>
                <w:lang w:eastAsia="en-US"/>
              </w:rPr>
              <w:t>20</w:t>
            </w:r>
          </w:p>
        </w:tc>
      </w:tr>
      <w:tr w:rsidR="00695B36" w:rsidRPr="00BD14B0" w14:paraId="7E930573" w14:textId="77777777" w:rsidTr="005C12E5">
        <w:tc>
          <w:tcPr>
            <w:tcW w:w="4530" w:type="dxa"/>
          </w:tcPr>
          <w:p w14:paraId="214EE602" w14:textId="77777777" w:rsidR="007906E1" w:rsidRPr="00BD14B0" w:rsidRDefault="007906E1" w:rsidP="00553E01">
            <w:pPr>
              <w:rPr>
                <w:lang w:eastAsia="en-US"/>
              </w:rPr>
            </w:pPr>
            <w:r w:rsidRPr="00BD14B0">
              <w:rPr>
                <w:lang w:eastAsia="en-US"/>
              </w:rPr>
              <w:t>Female difference</w:t>
            </w:r>
          </w:p>
        </w:tc>
        <w:tc>
          <w:tcPr>
            <w:tcW w:w="1337" w:type="dxa"/>
            <w:vAlign w:val="center"/>
          </w:tcPr>
          <w:p w14:paraId="6ADA8F40" w14:textId="77777777" w:rsidR="007906E1" w:rsidRPr="00BD14B0" w:rsidRDefault="007906E1" w:rsidP="00553E01">
            <w:pPr>
              <w:rPr>
                <w:lang w:eastAsia="en-US"/>
              </w:rPr>
            </w:pPr>
            <w:r w:rsidRPr="00BD14B0">
              <w:rPr>
                <w:lang w:eastAsia="en-US"/>
              </w:rPr>
              <w:t>34.07</w:t>
            </w:r>
          </w:p>
        </w:tc>
        <w:tc>
          <w:tcPr>
            <w:tcW w:w="1688" w:type="dxa"/>
            <w:vAlign w:val="center"/>
          </w:tcPr>
          <w:p w14:paraId="5DB670C0" w14:textId="77777777" w:rsidR="007906E1" w:rsidRPr="00BD14B0" w:rsidRDefault="007906E1" w:rsidP="00553E01">
            <w:pPr>
              <w:rPr>
                <w:lang w:eastAsia="en-US"/>
              </w:rPr>
            </w:pPr>
            <w:r w:rsidRPr="00BD14B0">
              <w:rPr>
                <w:lang w:eastAsia="en-US"/>
              </w:rPr>
              <w:t>17.19</w:t>
            </w:r>
          </w:p>
        </w:tc>
        <w:tc>
          <w:tcPr>
            <w:tcW w:w="1471" w:type="dxa"/>
          </w:tcPr>
          <w:p w14:paraId="3B10622C" w14:textId="77777777" w:rsidR="007906E1" w:rsidRPr="00BD14B0" w:rsidRDefault="007906E1" w:rsidP="00553E01">
            <w:pPr>
              <w:rPr>
                <w:lang w:eastAsia="en-US"/>
              </w:rPr>
            </w:pPr>
            <w:r w:rsidRPr="00BD14B0">
              <w:rPr>
                <w:lang w:eastAsia="en-US"/>
              </w:rPr>
              <w:t>20</w:t>
            </w:r>
          </w:p>
        </w:tc>
      </w:tr>
      <w:tr w:rsidR="00695B36" w:rsidRPr="00BD14B0" w14:paraId="1DEEF481" w14:textId="77777777" w:rsidTr="005C12E5">
        <w:tc>
          <w:tcPr>
            <w:tcW w:w="4530" w:type="dxa"/>
            <w:tcBorders>
              <w:top w:val="single" w:sz="12" w:space="0" w:color="auto"/>
              <w:left w:val="nil"/>
              <w:bottom w:val="single" w:sz="12" w:space="0" w:color="auto"/>
              <w:right w:val="nil"/>
            </w:tcBorders>
            <w:hideMark/>
          </w:tcPr>
          <w:p w14:paraId="69451A51" w14:textId="77777777" w:rsidR="007906E1" w:rsidRPr="00BD14B0" w:rsidRDefault="007906E1" w:rsidP="00553E01">
            <w:pPr>
              <w:rPr>
                <w:lang w:eastAsia="en-US"/>
              </w:rPr>
            </w:pPr>
            <w:r w:rsidRPr="00BD14B0">
              <w:rPr>
                <w:lang w:eastAsia="en-US"/>
              </w:rPr>
              <w:t>Low Social Power- Male participants</w:t>
            </w:r>
          </w:p>
        </w:tc>
        <w:tc>
          <w:tcPr>
            <w:tcW w:w="1337" w:type="dxa"/>
            <w:tcBorders>
              <w:top w:val="single" w:sz="12" w:space="0" w:color="auto"/>
              <w:left w:val="nil"/>
              <w:bottom w:val="single" w:sz="12" w:space="0" w:color="auto"/>
              <w:right w:val="nil"/>
            </w:tcBorders>
          </w:tcPr>
          <w:p w14:paraId="1B0F73EA" w14:textId="77777777" w:rsidR="007906E1" w:rsidRPr="00BD14B0" w:rsidRDefault="007906E1" w:rsidP="00553E01">
            <w:pPr>
              <w:rPr>
                <w:lang w:eastAsia="en-US"/>
              </w:rPr>
            </w:pPr>
          </w:p>
        </w:tc>
        <w:tc>
          <w:tcPr>
            <w:tcW w:w="1688" w:type="dxa"/>
            <w:tcBorders>
              <w:top w:val="single" w:sz="12" w:space="0" w:color="auto"/>
              <w:left w:val="nil"/>
              <w:bottom w:val="single" w:sz="12" w:space="0" w:color="auto"/>
              <w:right w:val="nil"/>
            </w:tcBorders>
          </w:tcPr>
          <w:p w14:paraId="3ADE8D5B" w14:textId="77777777" w:rsidR="007906E1" w:rsidRPr="00BD14B0" w:rsidRDefault="007906E1" w:rsidP="00553E01">
            <w:pPr>
              <w:rPr>
                <w:lang w:eastAsia="en-US"/>
              </w:rPr>
            </w:pPr>
          </w:p>
        </w:tc>
        <w:tc>
          <w:tcPr>
            <w:tcW w:w="1471" w:type="dxa"/>
            <w:tcBorders>
              <w:top w:val="single" w:sz="12" w:space="0" w:color="auto"/>
              <w:left w:val="nil"/>
              <w:bottom w:val="single" w:sz="12" w:space="0" w:color="auto"/>
              <w:right w:val="nil"/>
            </w:tcBorders>
          </w:tcPr>
          <w:p w14:paraId="06E1C27D" w14:textId="77777777" w:rsidR="007906E1" w:rsidRPr="00BD14B0" w:rsidRDefault="007906E1" w:rsidP="00553E01">
            <w:pPr>
              <w:rPr>
                <w:lang w:eastAsia="en-US"/>
              </w:rPr>
            </w:pPr>
          </w:p>
        </w:tc>
      </w:tr>
      <w:tr w:rsidR="00695B36" w:rsidRPr="00BD14B0" w14:paraId="49C4C5A8" w14:textId="77777777" w:rsidTr="005C12E5">
        <w:tc>
          <w:tcPr>
            <w:tcW w:w="4530" w:type="dxa"/>
            <w:tcBorders>
              <w:top w:val="single" w:sz="12" w:space="0" w:color="auto"/>
              <w:left w:val="nil"/>
              <w:bottom w:val="nil"/>
              <w:right w:val="nil"/>
            </w:tcBorders>
          </w:tcPr>
          <w:p w14:paraId="7326AA17" w14:textId="77777777" w:rsidR="007906E1" w:rsidRPr="00BD14B0" w:rsidRDefault="007906E1" w:rsidP="00553E01">
            <w:pPr>
              <w:rPr>
                <w:lang w:eastAsia="en-US"/>
              </w:rPr>
            </w:pPr>
            <w:r w:rsidRPr="00BD14B0">
              <w:rPr>
                <w:lang w:eastAsia="en-US"/>
              </w:rPr>
              <w:t>Male congruent</w:t>
            </w:r>
          </w:p>
        </w:tc>
        <w:tc>
          <w:tcPr>
            <w:tcW w:w="1337" w:type="dxa"/>
            <w:tcBorders>
              <w:top w:val="single" w:sz="12" w:space="0" w:color="auto"/>
              <w:left w:val="nil"/>
              <w:bottom w:val="nil"/>
              <w:right w:val="nil"/>
            </w:tcBorders>
            <w:vAlign w:val="center"/>
          </w:tcPr>
          <w:p w14:paraId="2D581B29" w14:textId="77777777" w:rsidR="007906E1" w:rsidRPr="00BD14B0" w:rsidRDefault="007906E1" w:rsidP="00553E01">
            <w:pPr>
              <w:rPr>
                <w:lang w:eastAsia="en-US"/>
              </w:rPr>
            </w:pPr>
            <w:r w:rsidRPr="00BD14B0">
              <w:rPr>
                <w:lang w:eastAsia="en-US"/>
              </w:rPr>
              <w:t>354.61</w:t>
            </w:r>
          </w:p>
        </w:tc>
        <w:tc>
          <w:tcPr>
            <w:tcW w:w="1688" w:type="dxa"/>
            <w:tcBorders>
              <w:top w:val="single" w:sz="12" w:space="0" w:color="auto"/>
              <w:left w:val="nil"/>
              <w:bottom w:val="nil"/>
              <w:right w:val="nil"/>
            </w:tcBorders>
            <w:vAlign w:val="center"/>
          </w:tcPr>
          <w:p w14:paraId="2816AF77" w14:textId="77777777" w:rsidR="007906E1" w:rsidRPr="00BD14B0" w:rsidRDefault="007906E1" w:rsidP="00553E01">
            <w:pPr>
              <w:rPr>
                <w:lang w:eastAsia="en-US"/>
              </w:rPr>
            </w:pPr>
            <w:r w:rsidRPr="00BD14B0">
              <w:rPr>
                <w:lang w:eastAsia="en-US"/>
              </w:rPr>
              <w:t>37.74</w:t>
            </w:r>
          </w:p>
        </w:tc>
        <w:tc>
          <w:tcPr>
            <w:tcW w:w="1471" w:type="dxa"/>
            <w:tcBorders>
              <w:top w:val="single" w:sz="12" w:space="0" w:color="auto"/>
              <w:left w:val="nil"/>
              <w:bottom w:val="nil"/>
              <w:right w:val="nil"/>
            </w:tcBorders>
          </w:tcPr>
          <w:p w14:paraId="09562B38" w14:textId="77777777" w:rsidR="007906E1" w:rsidRPr="00BD14B0" w:rsidRDefault="007906E1" w:rsidP="00553E01">
            <w:pPr>
              <w:rPr>
                <w:lang w:eastAsia="en-US"/>
              </w:rPr>
            </w:pPr>
            <w:r w:rsidRPr="00BD14B0">
              <w:rPr>
                <w:lang w:eastAsia="en-US"/>
              </w:rPr>
              <w:t>15</w:t>
            </w:r>
          </w:p>
        </w:tc>
      </w:tr>
      <w:tr w:rsidR="00695B36" w:rsidRPr="00BD14B0" w14:paraId="328F2CE5" w14:textId="77777777" w:rsidTr="005C12E5">
        <w:tc>
          <w:tcPr>
            <w:tcW w:w="4530" w:type="dxa"/>
          </w:tcPr>
          <w:p w14:paraId="1CDF8E5B" w14:textId="77777777" w:rsidR="007906E1" w:rsidRPr="00BD14B0" w:rsidRDefault="007906E1" w:rsidP="00553E01">
            <w:pPr>
              <w:rPr>
                <w:lang w:eastAsia="en-US"/>
              </w:rPr>
            </w:pPr>
            <w:r w:rsidRPr="00BD14B0">
              <w:rPr>
                <w:lang w:eastAsia="en-US"/>
              </w:rPr>
              <w:t>Male incongruent</w:t>
            </w:r>
          </w:p>
        </w:tc>
        <w:tc>
          <w:tcPr>
            <w:tcW w:w="1337" w:type="dxa"/>
            <w:vAlign w:val="center"/>
          </w:tcPr>
          <w:p w14:paraId="4765081C" w14:textId="77777777" w:rsidR="007906E1" w:rsidRPr="00BD14B0" w:rsidRDefault="007906E1" w:rsidP="00553E01">
            <w:pPr>
              <w:rPr>
                <w:lang w:eastAsia="en-US"/>
              </w:rPr>
            </w:pPr>
            <w:r w:rsidRPr="00BD14B0">
              <w:rPr>
                <w:lang w:eastAsia="en-US"/>
              </w:rPr>
              <w:t>375.21</w:t>
            </w:r>
          </w:p>
        </w:tc>
        <w:tc>
          <w:tcPr>
            <w:tcW w:w="1688" w:type="dxa"/>
            <w:vAlign w:val="center"/>
          </w:tcPr>
          <w:p w14:paraId="09F4E5DA" w14:textId="77777777" w:rsidR="007906E1" w:rsidRPr="00BD14B0" w:rsidRDefault="007906E1" w:rsidP="00553E01">
            <w:pPr>
              <w:rPr>
                <w:lang w:eastAsia="en-US"/>
              </w:rPr>
            </w:pPr>
            <w:r w:rsidRPr="00BD14B0">
              <w:rPr>
                <w:lang w:eastAsia="en-US"/>
              </w:rPr>
              <w:t>40.62</w:t>
            </w:r>
          </w:p>
        </w:tc>
        <w:tc>
          <w:tcPr>
            <w:tcW w:w="1471" w:type="dxa"/>
          </w:tcPr>
          <w:p w14:paraId="1322A135" w14:textId="77777777" w:rsidR="007906E1" w:rsidRPr="00BD14B0" w:rsidRDefault="007906E1" w:rsidP="00553E01">
            <w:pPr>
              <w:rPr>
                <w:lang w:eastAsia="en-US"/>
              </w:rPr>
            </w:pPr>
            <w:r w:rsidRPr="00BD14B0">
              <w:rPr>
                <w:lang w:eastAsia="en-US"/>
              </w:rPr>
              <w:t>15</w:t>
            </w:r>
          </w:p>
        </w:tc>
      </w:tr>
      <w:tr w:rsidR="00695B36" w:rsidRPr="00BD14B0" w14:paraId="5442742F" w14:textId="77777777" w:rsidTr="005C12E5">
        <w:tc>
          <w:tcPr>
            <w:tcW w:w="4530" w:type="dxa"/>
          </w:tcPr>
          <w:p w14:paraId="39BA2156" w14:textId="77777777" w:rsidR="007906E1" w:rsidRPr="00BD14B0" w:rsidRDefault="007906E1" w:rsidP="00553E01">
            <w:pPr>
              <w:rPr>
                <w:lang w:eastAsia="en-US"/>
              </w:rPr>
            </w:pPr>
            <w:r w:rsidRPr="00BD14B0">
              <w:rPr>
                <w:lang w:eastAsia="en-US"/>
              </w:rPr>
              <w:t>Female congruent</w:t>
            </w:r>
          </w:p>
        </w:tc>
        <w:tc>
          <w:tcPr>
            <w:tcW w:w="1337" w:type="dxa"/>
            <w:vAlign w:val="center"/>
          </w:tcPr>
          <w:p w14:paraId="349DB968" w14:textId="77777777" w:rsidR="007906E1" w:rsidRPr="00BD14B0" w:rsidRDefault="007906E1" w:rsidP="00553E01">
            <w:pPr>
              <w:rPr>
                <w:lang w:eastAsia="en-US"/>
              </w:rPr>
            </w:pPr>
            <w:r w:rsidRPr="00BD14B0">
              <w:rPr>
                <w:lang w:eastAsia="en-US"/>
              </w:rPr>
              <w:t>351.34</w:t>
            </w:r>
          </w:p>
        </w:tc>
        <w:tc>
          <w:tcPr>
            <w:tcW w:w="1688" w:type="dxa"/>
            <w:vAlign w:val="center"/>
          </w:tcPr>
          <w:p w14:paraId="21DEAA78" w14:textId="77777777" w:rsidR="007906E1" w:rsidRPr="00BD14B0" w:rsidRDefault="007906E1" w:rsidP="00553E01">
            <w:pPr>
              <w:rPr>
                <w:lang w:eastAsia="en-US"/>
              </w:rPr>
            </w:pPr>
            <w:r w:rsidRPr="00BD14B0">
              <w:rPr>
                <w:lang w:eastAsia="en-US"/>
              </w:rPr>
              <w:t>45.31</w:t>
            </w:r>
          </w:p>
        </w:tc>
        <w:tc>
          <w:tcPr>
            <w:tcW w:w="1471" w:type="dxa"/>
          </w:tcPr>
          <w:p w14:paraId="763E6F58" w14:textId="77777777" w:rsidR="007906E1" w:rsidRPr="00BD14B0" w:rsidRDefault="007906E1" w:rsidP="00553E01">
            <w:pPr>
              <w:rPr>
                <w:lang w:eastAsia="en-US"/>
              </w:rPr>
            </w:pPr>
            <w:r w:rsidRPr="00BD14B0">
              <w:rPr>
                <w:lang w:eastAsia="en-US"/>
              </w:rPr>
              <w:t>15</w:t>
            </w:r>
          </w:p>
        </w:tc>
      </w:tr>
      <w:tr w:rsidR="00695B36" w:rsidRPr="00BD14B0" w14:paraId="01E846D3" w14:textId="77777777" w:rsidTr="005C12E5">
        <w:tc>
          <w:tcPr>
            <w:tcW w:w="4530" w:type="dxa"/>
          </w:tcPr>
          <w:p w14:paraId="14701A99" w14:textId="77777777" w:rsidR="007906E1" w:rsidRPr="00BD14B0" w:rsidRDefault="007906E1" w:rsidP="00553E01">
            <w:pPr>
              <w:rPr>
                <w:lang w:eastAsia="en-US"/>
              </w:rPr>
            </w:pPr>
            <w:r w:rsidRPr="00BD14B0">
              <w:rPr>
                <w:lang w:eastAsia="en-US"/>
              </w:rPr>
              <w:lastRenderedPageBreak/>
              <w:t>Female incongruent</w:t>
            </w:r>
          </w:p>
        </w:tc>
        <w:tc>
          <w:tcPr>
            <w:tcW w:w="1337" w:type="dxa"/>
            <w:vAlign w:val="center"/>
          </w:tcPr>
          <w:p w14:paraId="2BB92C29" w14:textId="77777777" w:rsidR="007906E1" w:rsidRPr="00BD14B0" w:rsidRDefault="007906E1" w:rsidP="00553E01">
            <w:pPr>
              <w:rPr>
                <w:lang w:eastAsia="en-US"/>
              </w:rPr>
            </w:pPr>
            <w:r w:rsidRPr="00BD14B0">
              <w:rPr>
                <w:lang w:eastAsia="en-US"/>
              </w:rPr>
              <w:t>370.10</w:t>
            </w:r>
          </w:p>
        </w:tc>
        <w:tc>
          <w:tcPr>
            <w:tcW w:w="1688" w:type="dxa"/>
            <w:vAlign w:val="center"/>
          </w:tcPr>
          <w:p w14:paraId="79DFECCB" w14:textId="77777777" w:rsidR="007906E1" w:rsidRPr="00BD14B0" w:rsidRDefault="007906E1" w:rsidP="00553E01">
            <w:pPr>
              <w:rPr>
                <w:lang w:eastAsia="en-US"/>
              </w:rPr>
            </w:pPr>
            <w:r w:rsidRPr="00BD14B0">
              <w:rPr>
                <w:lang w:eastAsia="en-US"/>
              </w:rPr>
              <w:t>37.55</w:t>
            </w:r>
          </w:p>
        </w:tc>
        <w:tc>
          <w:tcPr>
            <w:tcW w:w="1471" w:type="dxa"/>
          </w:tcPr>
          <w:p w14:paraId="1E8C2807" w14:textId="77777777" w:rsidR="007906E1" w:rsidRPr="00BD14B0" w:rsidRDefault="007906E1" w:rsidP="00553E01">
            <w:pPr>
              <w:rPr>
                <w:lang w:eastAsia="en-US"/>
              </w:rPr>
            </w:pPr>
            <w:r w:rsidRPr="00BD14B0">
              <w:rPr>
                <w:lang w:eastAsia="en-US"/>
              </w:rPr>
              <w:t>15</w:t>
            </w:r>
          </w:p>
        </w:tc>
      </w:tr>
      <w:tr w:rsidR="00695B36" w:rsidRPr="00BD14B0" w14:paraId="26BD1B91" w14:textId="77777777" w:rsidTr="005C12E5">
        <w:tc>
          <w:tcPr>
            <w:tcW w:w="4530" w:type="dxa"/>
          </w:tcPr>
          <w:p w14:paraId="46F1BB8F" w14:textId="77777777" w:rsidR="007906E1" w:rsidRPr="00BD14B0" w:rsidRDefault="007906E1" w:rsidP="00553E01">
            <w:pPr>
              <w:rPr>
                <w:lang w:eastAsia="en-US"/>
              </w:rPr>
            </w:pPr>
            <w:r w:rsidRPr="00BD14B0">
              <w:rPr>
                <w:lang w:eastAsia="en-US"/>
              </w:rPr>
              <w:t>Male difference</w:t>
            </w:r>
          </w:p>
        </w:tc>
        <w:tc>
          <w:tcPr>
            <w:tcW w:w="1337" w:type="dxa"/>
            <w:vAlign w:val="center"/>
          </w:tcPr>
          <w:p w14:paraId="42B52B8D" w14:textId="77777777" w:rsidR="007906E1" w:rsidRPr="00BD14B0" w:rsidRDefault="007906E1" w:rsidP="00553E01">
            <w:pPr>
              <w:rPr>
                <w:lang w:eastAsia="en-US"/>
              </w:rPr>
            </w:pPr>
            <w:r w:rsidRPr="00BD14B0">
              <w:rPr>
                <w:lang w:eastAsia="en-US"/>
              </w:rPr>
              <w:t>20.59</w:t>
            </w:r>
          </w:p>
        </w:tc>
        <w:tc>
          <w:tcPr>
            <w:tcW w:w="1688" w:type="dxa"/>
            <w:vAlign w:val="center"/>
          </w:tcPr>
          <w:p w14:paraId="3B549F75" w14:textId="77777777" w:rsidR="007906E1" w:rsidRPr="00BD14B0" w:rsidRDefault="007906E1" w:rsidP="00553E01">
            <w:pPr>
              <w:rPr>
                <w:lang w:eastAsia="en-US"/>
              </w:rPr>
            </w:pPr>
            <w:r w:rsidRPr="00BD14B0">
              <w:rPr>
                <w:lang w:eastAsia="en-US"/>
              </w:rPr>
              <w:t>18.22</w:t>
            </w:r>
          </w:p>
        </w:tc>
        <w:tc>
          <w:tcPr>
            <w:tcW w:w="1471" w:type="dxa"/>
          </w:tcPr>
          <w:p w14:paraId="3876202C" w14:textId="77777777" w:rsidR="007906E1" w:rsidRPr="00BD14B0" w:rsidRDefault="007906E1" w:rsidP="00553E01">
            <w:pPr>
              <w:rPr>
                <w:lang w:eastAsia="en-US"/>
              </w:rPr>
            </w:pPr>
            <w:r w:rsidRPr="00BD14B0">
              <w:rPr>
                <w:lang w:eastAsia="en-US"/>
              </w:rPr>
              <w:t>15</w:t>
            </w:r>
          </w:p>
        </w:tc>
      </w:tr>
      <w:tr w:rsidR="00695B36" w:rsidRPr="00BD14B0" w14:paraId="07D4632F" w14:textId="77777777" w:rsidTr="005C12E5">
        <w:tc>
          <w:tcPr>
            <w:tcW w:w="4530" w:type="dxa"/>
          </w:tcPr>
          <w:p w14:paraId="3FD74C83" w14:textId="77777777" w:rsidR="007906E1" w:rsidRPr="00BD14B0" w:rsidRDefault="007906E1" w:rsidP="00553E01">
            <w:pPr>
              <w:rPr>
                <w:lang w:eastAsia="en-US"/>
              </w:rPr>
            </w:pPr>
            <w:r w:rsidRPr="00BD14B0">
              <w:rPr>
                <w:lang w:eastAsia="en-US"/>
              </w:rPr>
              <w:t>Female difference</w:t>
            </w:r>
          </w:p>
        </w:tc>
        <w:tc>
          <w:tcPr>
            <w:tcW w:w="1337" w:type="dxa"/>
            <w:vAlign w:val="center"/>
          </w:tcPr>
          <w:p w14:paraId="419F1854" w14:textId="77777777" w:rsidR="007906E1" w:rsidRPr="00BD14B0" w:rsidRDefault="007906E1" w:rsidP="00553E01">
            <w:pPr>
              <w:rPr>
                <w:lang w:eastAsia="en-US"/>
              </w:rPr>
            </w:pPr>
            <w:r w:rsidRPr="00BD14B0">
              <w:rPr>
                <w:lang w:eastAsia="en-US"/>
              </w:rPr>
              <w:t>18.76</w:t>
            </w:r>
          </w:p>
        </w:tc>
        <w:tc>
          <w:tcPr>
            <w:tcW w:w="1688" w:type="dxa"/>
            <w:vAlign w:val="center"/>
          </w:tcPr>
          <w:p w14:paraId="0F752716" w14:textId="77777777" w:rsidR="007906E1" w:rsidRPr="00BD14B0" w:rsidRDefault="007906E1" w:rsidP="00553E01">
            <w:pPr>
              <w:rPr>
                <w:lang w:eastAsia="en-US"/>
              </w:rPr>
            </w:pPr>
            <w:r w:rsidRPr="00BD14B0">
              <w:rPr>
                <w:lang w:eastAsia="en-US"/>
              </w:rPr>
              <w:t>23.54</w:t>
            </w:r>
          </w:p>
        </w:tc>
        <w:tc>
          <w:tcPr>
            <w:tcW w:w="1471" w:type="dxa"/>
          </w:tcPr>
          <w:p w14:paraId="1C691EEE" w14:textId="77777777" w:rsidR="007906E1" w:rsidRPr="00BD14B0" w:rsidRDefault="007906E1" w:rsidP="00553E01">
            <w:pPr>
              <w:rPr>
                <w:lang w:eastAsia="en-US"/>
              </w:rPr>
            </w:pPr>
            <w:r w:rsidRPr="00BD14B0">
              <w:rPr>
                <w:lang w:eastAsia="en-US"/>
              </w:rPr>
              <w:t>15</w:t>
            </w:r>
          </w:p>
        </w:tc>
      </w:tr>
      <w:tr w:rsidR="00695B36" w:rsidRPr="00BD14B0" w14:paraId="6702EA1B" w14:textId="77777777" w:rsidTr="005C12E5">
        <w:tc>
          <w:tcPr>
            <w:tcW w:w="4530" w:type="dxa"/>
            <w:tcBorders>
              <w:top w:val="single" w:sz="12" w:space="0" w:color="auto"/>
              <w:left w:val="nil"/>
              <w:bottom w:val="single" w:sz="12" w:space="0" w:color="auto"/>
              <w:right w:val="nil"/>
            </w:tcBorders>
            <w:hideMark/>
          </w:tcPr>
          <w:p w14:paraId="79EDC9ED" w14:textId="77777777" w:rsidR="007906E1" w:rsidRPr="00BD14B0" w:rsidRDefault="007906E1" w:rsidP="00553E01">
            <w:pPr>
              <w:rPr>
                <w:lang w:eastAsia="en-US"/>
              </w:rPr>
            </w:pPr>
            <w:r w:rsidRPr="00BD14B0">
              <w:rPr>
                <w:lang w:eastAsia="en-US"/>
              </w:rPr>
              <w:t>Low Social Power- Female participants</w:t>
            </w:r>
          </w:p>
        </w:tc>
        <w:tc>
          <w:tcPr>
            <w:tcW w:w="1337" w:type="dxa"/>
            <w:tcBorders>
              <w:top w:val="single" w:sz="12" w:space="0" w:color="auto"/>
              <w:left w:val="nil"/>
              <w:bottom w:val="single" w:sz="12" w:space="0" w:color="auto"/>
              <w:right w:val="nil"/>
            </w:tcBorders>
          </w:tcPr>
          <w:p w14:paraId="326890B8" w14:textId="77777777" w:rsidR="007906E1" w:rsidRPr="00BD14B0" w:rsidRDefault="007906E1" w:rsidP="00553E01">
            <w:pPr>
              <w:rPr>
                <w:lang w:eastAsia="en-US"/>
              </w:rPr>
            </w:pPr>
          </w:p>
        </w:tc>
        <w:tc>
          <w:tcPr>
            <w:tcW w:w="1688" w:type="dxa"/>
            <w:tcBorders>
              <w:top w:val="single" w:sz="12" w:space="0" w:color="auto"/>
              <w:left w:val="nil"/>
              <w:bottom w:val="single" w:sz="12" w:space="0" w:color="auto"/>
              <w:right w:val="nil"/>
            </w:tcBorders>
          </w:tcPr>
          <w:p w14:paraId="7084B3FD" w14:textId="77777777" w:rsidR="007906E1" w:rsidRPr="00BD14B0" w:rsidRDefault="007906E1" w:rsidP="00553E01">
            <w:pPr>
              <w:rPr>
                <w:lang w:eastAsia="en-US"/>
              </w:rPr>
            </w:pPr>
          </w:p>
        </w:tc>
        <w:tc>
          <w:tcPr>
            <w:tcW w:w="1471" w:type="dxa"/>
            <w:tcBorders>
              <w:top w:val="single" w:sz="12" w:space="0" w:color="auto"/>
              <w:left w:val="nil"/>
              <w:bottom w:val="single" w:sz="12" w:space="0" w:color="auto"/>
              <w:right w:val="nil"/>
            </w:tcBorders>
          </w:tcPr>
          <w:p w14:paraId="2DF9E640" w14:textId="77777777" w:rsidR="007906E1" w:rsidRPr="00BD14B0" w:rsidRDefault="007906E1" w:rsidP="00553E01">
            <w:pPr>
              <w:rPr>
                <w:lang w:eastAsia="en-US"/>
              </w:rPr>
            </w:pPr>
          </w:p>
        </w:tc>
      </w:tr>
      <w:tr w:rsidR="00695B36" w:rsidRPr="00BD14B0" w14:paraId="65863D62" w14:textId="77777777" w:rsidTr="005C12E5">
        <w:tc>
          <w:tcPr>
            <w:tcW w:w="4530" w:type="dxa"/>
            <w:tcBorders>
              <w:top w:val="single" w:sz="12" w:space="0" w:color="auto"/>
              <w:left w:val="nil"/>
              <w:bottom w:val="nil"/>
              <w:right w:val="nil"/>
            </w:tcBorders>
          </w:tcPr>
          <w:p w14:paraId="75DC0B3C" w14:textId="77777777" w:rsidR="007906E1" w:rsidRPr="00BD14B0" w:rsidRDefault="007906E1" w:rsidP="00553E01">
            <w:pPr>
              <w:rPr>
                <w:lang w:eastAsia="en-US"/>
              </w:rPr>
            </w:pPr>
            <w:r w:rsidRPr="00BD14B0">
              <w:rPr>
                <w:lang w:eastAsia="en-US"/>
              </w:rPr>
              <w:t>Male congruent</w:t>
            </w:r>
          </w:p>
        </w:tc>
        <w:tc>
          <w:tcPr>
            <w:tcW w:w="1337" w:type="dxa"/>
            <w:tcBorders>
              <w:top w:val="single" w:sz="12" w:space="0" w:color="auto"/>
              <w:left w:val="nil"/>
              <w:bottom w:val="nil"/>
              <w:right w:val="nil"/>
            </w:tcBorders>
            <w:vAlign w:val="center"/>
          </w:tcPr>
          <w:p w14:paraId="15A7FF8D" w14:textId="77777777" w:rsidR="007906E1" w:rsidRPr="00BD14B0" w:rsidRDefault="007906E1" w:rsidP="00553E01">
            <w:pPr>
              <w:rPr>
                <w:lang w:eastAsia="en-US"/>
              </w:rPr>
            </w:pPr>
            <w:r w:rsidRPr="00BD14B0">
              <w:rPr>
                <w:lang w:eastAsia="en-US"/>
              </w:rPr>
              <w:t>353.65</w:t>
            </w:r>
          </w:p>
        </w:tc>
        <w:tc>
          <w:tcPr>
            <w:tcW w:w="1688" w:type="dxa"/>
            <w:tcBorders>
              <w:top w:val="single" w:sz="12" w:space="0" w:color="auto"/>
              <w:left w:val="nil"/>
              <w:bottom w:val="nil"/>
              <w:right w:val="nil"/>
            </w:tcBorders>
            <w:vAlign w:val="center"/>
          </w:tcPr>
          <w:p w14:paraId="69037659" w14:textId="77777777" w:rsidR="007906E1" w:rsidRPr="00BD14B0" w:rsidRDefault="007906E1" w:rsidP="00553E01">
            <w:pPr>
              <w:rPr>
                <w:lang w:eastAsia="en-US"/>
              </w:rPr>
            </w:pPr>
            <w:r w:rsidRPr="00BD14B0">
              <w:rPr>
                <w:lang w:eastAsia="en-US"/>
              </w:rPr>
              <w:t>56.02</w:t>
            </w:r>
          </w:p>
        </w:tc>
        <w:tc>
          <w:tcPr>
            <w:tcW w:w="1471" w:type="dxa"/>
            <w:tcBorders>
              <w:top w:val="single" w:sz="12" w:space="0" w:color="auto"/>
              <w:left w:val="nil"/>
              <w:bottom w:val="nil"/>
              <w:right w:val="nil"/>
            </w:tcBorders>
          </w:tcPr>
          <w:p w14:paraId="44E02207" w14:textId="77777777" w:rsidR="007906E1" w:rsidRPr="00BD14B0" w:rsidRDefault="007906E1" w:rsidP="00553E01">
            <w:pPr>
              <w:rPr>
                <w:lang w:eastAsia="en-US"/>
              </w:rPr>
            </w:pPr>
            <w:r w:rsidRPr="00BD14B0">
              <w:rPr>
                <w:lang w:eastAsia="en-US"/>
              </w:rPr>
              <w:t>20</w:t>
            </w:r>
          </w:p>
        </w:tc>
      </w:tr>
      <w:tr w:rsidR="00695B36" w:rsidRPr="00BD14B0" w14:paraId="468F1379" w14:textId="77777777" w:rsidTr="005C12E5">
        <w:tc>
          <w:tcPr>
            <w:tcW w:w="4530" w:type="dxa"/>
          </w:tcPr>
          <w:p w14:paraId="69EDC672" w14:textId="77777777" w:rsidR="007906E1" w:rsidRPr="00BD14B0" w:rsidRDefault="007906E1" w:rsidP="00553E01">
            <w:pPr>
              <w:rPr>
                <w:lang w:eastAsia="en-US"/>
              </w:rPr>
            </w:pPr>
            <w:r w:rsidRPr="00BD14B0">
              <w:rPr>
                <w:lang w:eastAsia="en-US"/>
              </w:rPr>
              <w:t>Male incongruent</w:t>
            </w:r>
          </w:p>
        </w:tc>
        <w:tc>
          <w:tcPr>
            <w:tcW w:w="1337" w:type="dxa"/>
            <w:vAlign w:val="center"/>
          </w:tcPr>
          <w:p w14:paraId="61E2E831" w14:textId="77777777" w:rsidR="007906E1" w:rsidRPr="00BD14B0" w:rsidRDefault="007906E1" w:rsidP="00553E01">
            <w:pPr>
              <w:rPr>
                <w:lang w:eastAsia="en-US"/>
              </w:rPr>
            </w:pPr>
            <w:r w:rsidRPr="00BD14B0">
              <w:rPr>
                <w:lang w:eastAsia="en-US"/>
              </w:rPr>
              <w:t>384.40</w:t>
            </w:r>
          </w:p>
        </w:tc>
        <w:tc>
          <w:tcPr>
            <w:tcW w:w="1688" w:type="dxa"/>
            <w:vAlign w:val="center"/>
          </w:tcPr>
          <w:p w14:paraId="58F28567" w14:textId="77777777" w:rsidR="007906E1" w:rsidRPr="00BD14B0" w:rsidRDefault="007906E1" w:rsidP="00553E01">
            <w:pPr>
              <w:rPr>
                <w:lang w:eastAsia="en-US"/>
              </w:rPr>
            </w:pPr>
            <w:r w:rsidRPr="00BD14B0">
              <w:rPr>
                <w:lang w:eastAsia="en-US"/>
              </w:rPr>
              <w:t>61.75</w:t>
            </w:r>
          </w:p>
        </w:tc>
        <w:tc>
          <w:tcPr>
            <w:tcW w:w="1471" w:type="dxa"/>
          </w:tcPr>
          <w:p w14:paraId="6AF4A5F2" w14:textId="77777777" w:rsidR="007906E1" w:rsidRPr="00BD14B0" w:rsidRDefault="007906E1" w:rsidP="00553E01">
            <w:pPr>
              <w:rPr>
                <w:lang w:eastAsia="en-US"/>
              </w:rPr>
            </w:pPr>
            <w:r w:rsidRPr="00BD14B0">
              <w:rPr>
                <w:lang w:eastAsia="en-US"/>
              </w:rPr>
              <w:t>20</w:t>
            </w:r>
          </w:p>
        </w:tc>
      </w:tr>
      <w:tr w:rsidR="00695B36" w:rsidRPr="00BD14B0" w14:paraId="01C9534F" w14:textId="77777777" w:rsidTr="005C12E5">
        <w:tc>
          <w:tcPr>
            <w:tcW w:w="4530" w:type="dxa"/>
          </w:tcPr>
          <w:p w14:paraId="79EAEBC9" w14:textId="77777777" w:rsidR="007906E1" w:rsidRPr="00BD14B0" w:rsidRDefault="007906E1" w:rsidP="00553E01">
            <w:pPr>
              <w:rPr>
                <w:lang w:eastAsia="en-US"/>
              </w:rPr>
            </w:pPr>
            <w:r w:rsidRPr="00BD14B0">
              <w:rPr>
                <w:lang w:eastAsia="en-US"/>
              </w:rPr>
              <w:t>Female congruent</w:t>
            </w:r>
          </w:p>
        </w:tc>
        <w:tc>
          <w:tcPr>
            <w:tcW w:w="1337" w:type="dxa"/>
            <w:vAlign w:val="center"/>
          </w:tcPr>
          <w:p w14:paraId="44646E43" w14:textId="77777777" w:rsidR="007906E1" w:rsidRPr="00BD14B0" w:rsidRDefault="007906E1" w:rsidP="00553E01">
            <w:pPr>
              <w:rPr>
                <w:lang w:eastAsia="en-US"/>
              </w:rPr>
            </w:pPr>
            <w:r w:rsidRPr="00BD14B0">
              <w:rPr>
                <w:lang w:eastAsia="en-US"/>
              </w:rPr>
              <w:t>344.85</w:t>
            </w:r>
          </w:p>
        </w:tc>
        <w:tc>
          <w:tcPr>
            <w:tcW w:w="1688" w:type="dxa"/>
            <w:vAlign w:val="center"/>
          </w:tcPr>
          <w:p w14:paraId="5BE6DE13" w14:textId="77777777" w:rsidR="007906E1" w:rsidRPr="00BD14B0" w:rsidRDefault="007906E1" w:rsidP="00553E01">
            <w:pPr>
              <w:rPr>
                <w:lang w:eastAsia="en-US"/>
              </w:rPr>
            </w:pPr>
            <w:r w:rsidRPr="00BD14B0">
              <w:rPr>
                <w:lang w:eastAsia="en-US"/>
              </w:rPr>
              <w:t>49.07</w:t>
            </w:r>
          </w:p>
        </w:tc>
        <w:tc>
          <w:tcPr>
            <w:tcW w:w="1471" w:type="dxa"/>
          </w:tcPr>
          <w:p w14:paraId="42E261A8" w14:textId="77777777" w:rsidR="007906E1" w:rsidRPr="00BD14B0" w:rsidRDefault="007906E1" w:rsidP="00553E01">
            <w:pPr>
              <w:rPr>
                <w:lang w:eastAsia="en-US"/>
              </w:rPr>
            </w:pPr>
            <w:r w:rsidRPr="00BD14B0">
              <w:rPr>
                <w:lang w:eastAsia="en-US"/>
              </w:rPr>
              <w:t>20</w:t>
            </w:r>
          </w:p>
        </w:tc>
      </w:tr>
      <w:tr w:rsidR="00695B36" w:rsidRPr="00BD14B0" w14:paraId="13D4619E" w14:textId="77777777" w:rsidTr="005C12E5">
        <w:tc>
          <w:tcPr>
            <w:tcW w:w="4530" w:type="dxa"/>
          </w:tcPr>
          <w:p w14:paraId="238DB90B" w14:textId="77777777" w:rsidR="007906E1" w:rsidRPr="00BD14B0" w:rsidRDefault="007906E1" w:rsidP="00553E01">
            <w:pPr>
              <w:rPr>
                <w:lang w:eastAsia="en-US"/>
              </w:rPr>
            </w:pPr>
            <w:r w:rsidRPr="00BD14B0">
              <w:rPr>
                <w:lang w:eastAsia="en-US"/>
              </w:rPr>
              <w:t>Female incongruent</w:t>
            </w:r>
          </w:p>
        </w:tc>
        <w:tc>
          <w:tcPr>
            <w:tcW w:w="1337" w:type="dxa"/>
            <w:vAlign w:val="center"/>
          </w:tcPr>
          <w:p w14:paraId="0F00AF72" w14:textId="77777777" w:rsidR="007906E1" w:rsidRPr="00BD14B0" w:rsidRDefault="007906E1" w:rsidP="00553E01">
            <w:pPr>
              <w:rPr>
                <w:lang w:eastAsia="en-US"/>
              </w:rPr>
            </w:pPr>
            <w:r w:rsidRPr="00BD14B0">
              <w:rPr>
                <w:lang w:eastAsia="en-US"/>
              </w:rPr>
              <w:t>381.29</w:t>
            </w:r>
          </w:p>
        </w:tc>
        <w:tc>
          <w:tcPr>
            <w:tcW w:w="1688" w:type="dxa"/>
            <w:vAlign w:val="center"/>
          </w:tcPr>
          <w:p w14:paraId="285767BB" w14:textId="77777777" w:rsidR="007906E1" w:rsidRPr="00BD14B0" w:rsidRDefault="007906E1" w:rsidP="00553E01">
            <w:pPr>
              <w:rPr>
                <w:lang w:eastAsia="en-US"/>
              </w:rPr>
            </w:pPr>
            <w:r w:rsidRPr="00BD14B0">
              <w:rPr>
                <w:lang w:eastAsia="en-US"/>
              </w:rPr>
              <w:t>51.85</w:t>
            </w:r>
          </w:p>
        </w:tc>
        <w:tc>
          <w:tcPr>
            <w:tcW w:w="1471" w:type="dxa"/>
          </w:tcPr>
          <w:p w14:paraId="3C333711" w14:textId="77777777" w:rsidR="007906E1" w:rsidRPr="00BD14B0" w:rsidRDefault="007906E1" w:rsidP="00553E01">
            <w:pPr>
              <w:rPr>
                <w:lang w:eastAsia="en-US"/>
              </w:rPr>
            </w:pPr>
            <w:r w:rsidRPr="00BD14B0">
              <w:rPr>
                <w:lang w:eastAsia="en-US"/>
              </w:rPr>
              <w:t>20</w:t>
            </w:r>
          </w:p>
        </w:tc>
      </w:tr>
      <w:tr w:rsidR="00695B36" w:rsidRPr="00BD14B0" w14:paraId="6822CCF5" w14:textId="77777777" w:rsidTr="005C12E5">
        <w:tc>
          <w:tcPr>
            <w:tcW w:w="4530" w:type="dxa"/>
          </w:tcPr>
          <w:p w14:paraId="55B1A717" w14:textId="77777777" w:rsidR="007906E1" w:rsidRPr="00BD14B0" w:rsidRDefault="007906E1" w:rsidP="00553E01">
            <w:pPr>
              <w:rPr>
                <w:lang w:eastAsia="en-US"/>
              </w:rPr>
            </w:pPr>
            <w:r w:rsidRPr="00BD14B0">
              <w:rPr>
                <w:lang w:eastAsia="en-US"/>
              </w:rPr>
              <w:t>Male difference</w:t>
            </w:r>
          </w:p>
        </w:tc>
        <w:tc>
          <w:tcPr>
            <w:tcW w:w="1337" w:type="dxa"/>
            <w:vAlign w:val="center"/>
          </w:tcPr>
          <w:p w14:paraId="1B63FC24" w14:textId="77777777" w:rsidR="007906E1" w:rsidRPr="00BD14B0" w:rsidRDefault="007906E1" w:rsidP="00553E01">
            <w:pPr>
              <w:rPr>
                <w:lang w:eastAsia="en-US"/>
              </w:rPr>
            </w:pPr>
            <w:r w:rsidRPr="00BD14B0">
              <w:rPr>
                <w:lang w:eastAsia="en-US"/>
              </w:rPr>
              <w:t>30.76</w:t>
            </w:r>
          </w:p>
        </w:tc>
        <w:tc>
          <w:tcPr>
            <w:tcW w:w="1688" w:type="dxa"/>
            <w:vAlign w:val="center"/>
          </w:tcPr>
          <w:p w14:paraId="65CCC24C" w14:textId="77777777" w:rsidR="007906E1" w:rsidRPr="00BD14B0" w:rsidRDefault="007906E1" w:rsidP="00553E01">
            <w:pPr>
              <w:rPr>
                <w:lang w:eastAsia="en-US"/>
              </w:rPr>
            </w:pPr>
            <w:r w:rsidRPr="00BD14B0">
              <w:rPr>
                <w:lang w:eastAsia="en-US"/>
              </w:rPr>
              <w:t>17.29</w:t>
            </w:r>
          </w:p>
        </w:tc>
        <w:tc>
          <w:tcPr>
            <w:tcW w:w="1471" w:type="dxa"/>
          </w:tcPr>
          <w:p w14:paraId="7B46D9EA" w14:textId="77777777" w:rsidR="007906E1" w:rsidRPr="00BD14B0" w:rsidRDefault="007906E1" w:rsidP="00553E01">
            <w:pPr>
              <w:rPr>
                <w:lang w:eastAsia="en-US"/>
              </w:rPr>
            </w:pPr>
            <w:r w:rsidRPr="00BD14B0">
              <w:rPr>
                <w:lang w:eastAsia="en-US"/>
              </w:rPr>
              <w:t>20</w:t>
            </w:r>
          </w:p>
        </w:tc>
      </w:tr>
      <w:tr w:rsidR="00695B36" w:rsidRPr="00BD14B0" w14:paraId="54126F57" w14:textId="77777777" w:rsidTr="005C12E5">
        <w:tc>
          <w:tcPr>
            <w:tcW w:w="4530" w:type="dxa"/>
          </w:tcPr>
          <w:p w14:paraId="1A1DC306" w14:textId="77777777" w:rsidR="007906E1" w:rsidRPr="00BD14B0" w:rsidRDefault="007906E1" w:rsidP="00553E01">
            <w:pPr>
              <w:rPr>
                <w:lang w:eastAsia="en-US"/>
              </w:rPr>
            </w:pPr>
            <w:r w:rsidRPr="00BD14B0">
              <w:rPr>
                <w:lang w:eastAsia="en-US"/>
              </w:rPr>
              <w:t>Female difference</w:t>
            </w:r>
          </w:p>
        </w:tc>
        <w:tc>
          <w:tcPr>
            <w:tcW w:w="1337" w:type="dxa"/>
            <w:vAlign w:val="center"/>
          </w:tcPr>
          <w:p w14:paraId="02CF85DD" w14:textId="77777777" w:rsidR="007906E1" w:rsidRPr="00BD14B0" w:rsidRDefault="007906E1" w:rsidP="00553E01">
            <w:pPr>
              <w:rPr>
                <w:lang w:eastAsia="en-US"/>
              </w:rPr>
            </w:pPr>
            <w:r w:rsidRPr="00BD14B0">
              <w:rPr>
                <w:lang w:eastAsia="en-US"/>
              </w:rPr>
              <w:t>36.44</w:t>
            </w:r>
          </w:p>
        </w:tc>
        <w:tc>
          <w:tcPr>
            <w:tcW w:w="1688" w:type="dxa"/>
            <w:vAlign w:val="center"/>
          </w:tcPr>
          <w:p w14:paraId="6E4F2A1A" w14:textId="77777777" w:rsidR="007906E1" w:rsidRPr="00BD14B0" w:rsidRDefault="007906E1" w:rsidP="00553E01">
            <w:pPr>
              <w:rPr>
                <w:lang w:eastAsia="en-US"/>
              </w:rPr>
            </w:pPr>
            <w:r w:rsidRPr="00BD14B0">
              <w:rPr>
                <w:lang w:eastAsia="en-US"/>
              </w:rPr>
              <w:t>17.86</w:t>
            </w:r>
          </w:p>
        </w:tc>
        <w:tc>
          <w:tcPr>
            <w:tcW w:w="1471" w:type="dxa"/>
          </w:tcPr>
          <w:p w14:paraId="6E0F17D6" w14:textId="77777777" w:rsidR="007906E1" w:rsidRPr="00BD14B0" w:rsidRDefault="007906E1" w:rsidP="00553E01">
            <w:pPr>
              <w:rPr>
                <w:lang w:eastAsia="en-US"/>
              </w:rPr>
            </w:pPr>
            <w:r w:rsidRPr="00BD14B0">
              <w:rPr>
                <w:lang w:eastAsia="en-US"/>
              </w:rPr>
              <w:t>20</w:t>
            </w:r>
          </w:p>
        </w:tc>
      </w:tr>
      <w:tr w:rsidR="00695B36" w:rsidRPr="00BD14B0" w14:paraId="4C51BD6B" w14:textId="77777777" w:rsidTr="005C12E5">
        <w:tc>
          <w:tcPr>
            <w:tcW w:w="4530" w:type="dxa"/>
            <w:tcBorders>
              <w:top w:val="nil"/>
              <w:left w:val="nil"/>
              <w:bottom w:val="single" w:sz="18" w:space="0" w:color="auto"/>
              <w:right w:val="nil"/>
            </w:tcBorders>
          </w:tcPr>
          <w:p w14:paraId="62464D85" w14:textId="77777777" w:rsidR="007906E1" w:rsidRPr="00BD14B0" w:rsidRDefault="007906E1" w:rsidP="00553E01">
            <w:pPr>
              <w:rPr>
                <w:lang w:eastAsia="en-US"/>
              </w:rPr>
            </w:pPr>
          </w:p>
        </w:tc>
        <w:tc>
          <w:tcPr>
            <w:tcW w:w="1337" w:type="dxa"/>
            <w:tcBorders>
              <w:top w:val="nil"/>
              <w:left w:val="nil"/>
              <w:bottom w:val="single" w:sz="18" w:space="0" w:color="auto"/>
              <w:right w:val="nil"/>
            </w:tcBorders>
            <w:vAlign w:val="center"/>
          </w:tcPr>
          <w:p w14:paraId="3E18DD41" w14:textId="77777777" w:rsidR="007906E1" w:rsidRPr="00BD14B0" w:rsidRDefault="007906E1" w:rsidP="00553E01">
            <w:pPr>
              <w:rPr>
                <w:lang w:eastAsia="en-US"/>
              </w:rPr>
            </w:pPr>
          </w:p>
        </w:tc>
        <w:tc>
          <w:tcPr>
            <w:tcW w:w="1688" w:type="dxa"/>
            <w:tcBorders>
              <w:top w:val="nil"/>
              <w:left w:val="nil"/>
              <w:bottom w:val="single" w:sz="18" w:space="0" w:color="auto"/>
              <w:right w:val="nil"/>
            </w:tcBorders>
            <w:vAlign w:val="center"/>
          </w:tcPr>
          <w:p w14:paraId="5AECDCB4" w14:textId="77777777" w:rsidR="007906E1" w:rsidRPr="00BD14B0" w:rsidRDefault="007906E1" w:rsidP="00553E01">
            <w:pPr>
              <w:rPr>
                <w:lang w:eastAsia="en-US"/>
              </w:rPr>
            </w:pPr>
          </w:p>
        </w:tc>
        <w:tc>
          <w:tcPr>
            <w:tcW w:w="1471" w:type="dxa"/>
            <w:tcBorders>
              <w:top w:val="nil"/>
              <w:left w:val="nil"/>
              <w:bottom w:val="single" w:sz="18" w:space="0" w:color="auto"/>
              <w:right w:val="nil"/>
            </w:tcBorders>
          </w:tcPr>
          <w:p w14:paraId="4BDBDA47" w14:textId="77777777" w:rsidR="007906E1" w:rsidRPr="00BD14B0" w:rsidRDefault="007906E1" w:rsidP="00553E01">
            <w:pPr>
              <w:rPr>
                <w:lang w:eastAsia="en-US"/>
              </w:rPr>
            </w:pPr>
          </w:p>
        </w:tc>
      </w:tr>
    </w:tbl>
    <w:p w14:paraId="4F04B1A2" w14:textId="77777777" w:rsidR="00727BC6" w:rsidRPr="00BD14B0" w:rsidRDefault="00C513E8" w:rsidP="00553E01">
      <w:pPr>
        <w:rPr>
          <w:lang w:eastAsia="en-US"/>
        </w:rPr>
      </w:pPr>
      <w:r w:rsidRPr="00BD14B0">
        <w:rPr>
          <w:lang w:eastAsia="en-US"/>
        </w:rPr>
        <w:tab/>
      </w:r>
    </w:p>
    <w:p w14:paraId="1C5A0E48" w14:textId="34022B1B" w:rsidR="00F35275" w:rsidRPr="00BD14B0" w:rsidRDefault="00727BC6" w:rsidP="00553E01">
      <w:pPr>
        <w:rPr>
          <w:lang w:eastAsia="en-US"/>
        </w:rPr>
      </w:pPr>
      <w:r w:rsidRPr="00BD14B0">
        <w:rPr>
          <w:lang w:eastAsia="en-US"/>
        </w:rPr>
        <w:tab/>
      </w:r>
      <w:r w:rsidR="00281BA3" w:rsidRPr="00BD14B0">
        <w:rPr>
          <w:lang w:eastAsia="en-US"/>
        </w:rPr>
        <w:t>To test for normality, a Kolmogorov-Smirnov test was used. The K-S normality test indicated that the sample was normally distributed for 1) High social power /male-difference, [</w:t>
      </w:r>
      <w:r w:rsidR="00281BA3" w:rsidRPr="00BD14B0">
        <w:rPr>
          <w:i/>
          <w:iCs/>
          <w:lang w:eastAsia="en-US"/>
        </w:rPr>
        <w:t>D</w:t>
      </w:r>
      <w:r w:rsidR="00281BA3" w:rsidRPr="00BD14B0">
        <w:rPr>
          <w:lang w:eastAsia="en-US"/>
        </w:rPr>
        <w:t>(36) = 0.110, p &gt; .05], 2) high social power /female-difference, [</w:t>
      </w:r>
      <w:r w:rsidR="00281BA3" w:rsidRPr="00BD14B0">
        <w:rPr>
          <w:i/>
          <w:iCs/>
          <w:lang w:eastAsia="en-US"/>
        </w:rPr>
        <w:t>D</w:t>
      </w:r>
      <w:r w:rsidR="00281BA3" w:rsidRPr="00BD14B0">
        <w:rPr>
          <w:lang w:eastAsia="en-US"/>
        </w:rPr>
        <w:t>(36) = 0.102, p &gt; .05], 3) low social power / male-difference, [</w:t>
      </w:r>
      <w:r w:rsidR="00281BA3" w:rsidRPr="00BD14B0">
        <w:rPr>
          <w:i/>
          <w:iCs/>
          <w:lang w:eastAsia="en-US"/>
        </w:rPr>
        <w:t>D</w:t>
      </w:r>
      <w:r w:rsidR="00281BA3" w:rsidRPr="00BD14B0">
        <w:rPr>
          <w:lang w:eastAsia="en-US"/>
        </w:rPr>
        <w:t>(35) = 0.081, p &gt; .05], and 4) low social power / female-difference, [</w:t>
      </w:r>
      <w:r w:rsidR="00281BA3" w:rsidRPr="00BD14B0">
        <w:rPr>
          <w:i/>
          <w:iCs/>
          <w:lang w:eastAsia="en-US"/>
        </w:rPr>
        <w:t>D</w:t>
      </w:r>
      <w:r w:rsidR="00281BA3" w:rsidRPr="00BD14B0">
        <w:rPr>
          <w:lang w:eastAsia="en-US"/>
        </w:rPr>
        <w:t xml:space="preserve">(35) = 0.102, p &gt; .05]. </w:t>
      </w:r>
      <w:proofErr w:type="spellStart"/>
      <w:r w:rsidR="00281BA3" w:rsidRPr="00BD14B0">
        <w:rPr>
          <w:lang w:eastAsia="en-US"/>
        </w:rPr>
        <w:t>Maulchy's</w:t>
      </w:r>
      <w:proofErr w:type="spellEnd"/>
      <w:r w:rsidR="00281BA3" w:rsidRPr="00BD14B0">
        <w:rPr>
          <w:lang w:eastAsia="en-US"/>
        </w:rPr>
        <w:t xml:space="preserve"> test of sphericity was not needed, as there were only two levels within each of the within-participant factors </w:t>
      </w:r>
      <w:r w:rsidR="00281BA3" w:rsidRPr="00BD14B0">
        <w:rPr>
          <w:lang w:eastAsia="en-US"/>
        </w:rPr>
        <w:fldChar w:fldCharType="begin" w:fldLock="1"/>
      </w:r>
      <w:r w:rsidR="00281BA3" w:rsidRPr="00BD14B0">
        <w:rPr>
          <w:lang w:eastAsia="en-US"/>
        </w:rPr>
        <w:instrText>ADDIN CSL_CITATION {"citationItems":[{"id":"ITEM-1","itemData":{"ISBN":"9781847879066 1847879063 9781847879073 1847879071","abstract":"Andy Field draws on his experience of teaching advanced statistics to extend existing SPSS Windows texts to a higher level. He covers ANOVA, MANOVA, logistic regression, comparing means tests and factor analysis.","author":[{"dropping-particle":"","family":"Field","given":"Andy P","non-dropping-particle":"","parse-names":false,"suffix":""}],"id":"ITEM-1","issued":{"date-parts":[["2009"]]},"language":"English","publisher":"SAGE Publications","publisher-place":"Los Angeles [i.e. Thousand Oaks, Calif.]; London","title":"Discovering statistics using SPSS : (and sex and drugs and rock 'n' roll)","type":"book"},"uris":["http://www.mendeley.com/documents/?uuid=1a6ee7fd-8614-45dc-aa1f-c8944242134d"]}],"mendeley":{"formattedCitation":"(Field, 2009)","plainTextFormattedCitation":"(Field, 2009)","previouslyFormattedCitation":"(Field, 2009)"},"properties":{"noteIndex":0},"schema":"https://github.com/citation-style-language/schema/raw/master/csl-citation.json"}</w:instrText>
      </w:r>
      <w:r w:rsidR="00281BA3" w:rsidRPr="00BD14B0">
        <w:rPr>
          <w:lang w:eastAsia="en-US"/>
        </w:rPr>
        <w:fldChar w:fldCharType="separate"/>
      </w:r>
      <w:r w:rsidR="00281BA3" w:rsidRPr="00BD14B0">
        <w:rPr>
          <w:noProof/>
          <w:lang w:eastAsia="en-US"/>
        </w:rPr>
        <w:t>(Field, 2009)</w:t>
      </w:r>
      <w:r w:rsidR="00281BA3" w:rsidRPr="00BD14B0">
        <w:rPr>
          <w:lang w:eastAsia="en-US"/>
        </w:rPr>
        <w:fldChar w:fldCharType="end"/>
      </w:r>
      <w:r w:rsidR="00281BA3" w:rsidRPr="00BD14B0">
        <w:rPr>
          <w:lang w:eastAsia="en-US"/>
        </w:rPr>
        <w:t>.</w:t>
      </w:r>
    </w:p>
    <w:p w14:paraId="523C81F3" w14:textId="339AA11B" w:rsidR="002933C4" w:rsidRPr="00BD14B0" w:rsidRDefault="002933C4" w:rsidP="00553E01">
      <w:pPr>
        <w:rPr>
          <w:lang w:eastAsia="en-US"/>
        </w:rPr>
      </w:pPr>
    </w:p>
    <w:p w14:paraId="4E235CCD" w14:textId="3DAC1610" w:rsidR="00674202" w:rsidRPr="00BD14B0" w:rsidRDefault="00674202" w:rsidP="00553E01">
      <w:pPr>
        <w:rPr>
          <w:lang w:eastAsia="en-US"/>
        </w:rPr>
      </w:pPr>
    </w:p>
    <w:p w14:paraId="0DD74BBE" w14:textId="17816908" w:rsidR="00674202" w:rsidRPr="00BD14B0" w:rsidRDefault="00674202" w:rsidP="00553E01">
      <w:pPr>
        <w:rPr>
          <w:lang w:eastAsia="en-US"/>
        </w:rPr>
      </w:pPr>
    </w:p>
    <w:p w14:paraId="1559FE69" w14:textId="77777777" w:rsidR="00674202" w:rsidRPr="00BD14B0" w:rsidRDefault="00674202" w:rsidP="00553E01">
      <w:pPr>
        <w:rPr>
          <w:lang w:eastAsia="en-US"/>
        </w:rPr>
      </w:pPr>
    </w:p>
    <w:p w14:paraId="493A5D25" w14:textId="57866701" w:rsidR="002933C4" w:rsidRPr="00BD14B0" w:rsidRDefault="00A23F72" w:rsidP="00A23F72">
      <w:pPr>
        <w:pStyle w:val="Title"/>
        <w:rPr>
          <w:rFonts w:eastAsia="Calibri"/>
          <w:lang w:eastAsia="en-US"/>
        </w:rPr>
      </w:pPr>
      <w:bookmarkStart w:id="69" w:name="_Toc108322125"/>
      <w:r>
        <w:lastRenderedPageBreak/>
        <w:t xml:space="preserve">Figure </w:t>
      </w:r>
      <w:r w:rsidR="003B267D">
        <w:fldChar w:fldCharType="begin"/>
      </w:r>
      <w:r w:rsidR="003B267D">
        <w:instrText xml:space="preserve"> SEQ Figure \* ARABIC </w:instrText>
      </w:r>
      <w:r w:rsidR="003B267D">
        <w:fldChar w:fldCharType="separate"/>
      </w:r>
      <w:r w:rsidR="003B267D">
        <w:rPr>
          <w:noProof/>
        </w:rPr>
        <w:t>10</w:t>
      </w:r>
      <w:r w:rsidR="003B267D">
        <w:fldChar w:fldCharType="end"/>
      </w:r>
      <w:bookmarkEnd w:id="69"/>
    </w:p>
    <w:p w14:paraId="219757A7" w14:textId="081C1265" w:rsidR="005A5418" w:rsidRDefault="002933C4" w:rsidP="00553E01">
      <w:pPr>
        <w:rPr>
          <w:lang w:eastAsia="en-US"/>
        </w:rPr>
      </w:pPr>
      <w:r w:rsidRPr="00BD14B0">
        <w:rPr>
          <w:rFonts w:eastAsia="Calibri"/>
          <w:i/>
          <w:iCs/>
          <w:lang w:eastAsia="en-US"/>
        </w:rPr>
        <w:t>Gaze cueing effect divided by gender of the gazer, reaction time scores and standard error mean were presented</w:t>
      </w:r>
      <w:r w:rsidRPr="00BD14B0">
        <w:rPr>
          <w:rFonts w:eastAsia="Calibri"/>
          <w:lang w:eastAsia="en-US"/>
        </w:rPr>
        <w:t xml:space="preserve"> </w:t>
      </w:r>
    </w:p>
    <w:p w14:paraId="247D7041" w14:textId="59400566" w:rsidR="002A35FF" w:rsidRPr="005A5418" w:rsidRDefault="005A5418" w:rsidP="00553E01">
      <w:pPr>
        <w:rPr>
          <w:lang w:eastAsia="en-US"/>
        </w:rPr>
      </w:pPr>
      <w:r>
        <w:rPr>
          <w:noProof/>
          <w:lang w:eastAsia="en-US"/>
        </w:rPr>
        <w:drawing>
          <wp:inline distT="0" distB="0" distL="0" distR="0" wp14:anchorId="3CF91FBC" wp14:editId="39CBC48C">
            <wp:extent cx="5612130" cy="3564890"/>
            <wp:effectExtent l="0" t="0" r="1270" b="3810"/>
            <wp:docPr id="25" name="Picture 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pic:nvPicPr>
                  <pic:blipFill>
                    <a:blip r:embed="rId24"/>
                    <a:stretch>
                      <a:fillRect/>
                    </a:stretch>
                  </pic:blipFill>
                  <pic:spPr>
                    <a:xfrm>
                      <a:off x="0" y="0"/>
                      <a:ext cx="5612130" cy="3564890"/>
                    </a:xfrm>
                    <a:prstGeom prst="rect">
                      <a:avLst/>
                    </a:prstGeom>
                  </pic:spPr>
                </pic:pic>
              </a:graphicData>
            </a:graphic>
          </wp:inline>
        </w:drawing>
      </w:r>
    </w:p>
    <w:p w14:paraId="228422D5" w14:textId="47A7DFBA" w:rsidR="00F35275" w:rsidRPr="00BD14B0" w:rsidRDefault="00C513E8" w:rsidP="00553E01">
      <w:r w:rsidRPr="00BD14B0">
        <w:rPr>
          <w:rFonts w:eastAsia="Calibri"/>
          <w:lang w:eastAsia="en-US"/>
        </w:rPr>
        <w:tab/>
      </w:r>
      <w:r w:rsidR="005C12E5" w:rsidRPr="00BD14B0">
        <w:rPr>
          <w:rFonts w:eastAsia="Calibri"/>
          <w:lang w:eastAsia="en-US"/>
        </w:rPr>
        <w:t>A 3-way mixed design ANOVA conducted on the gaze cueing effect (RT incongruent -RT congruent). Gender of the participants (male/female) and social power (high social power/ low social power) were the between</w:t>
      </w:r>
      <w:r w:rsidR="00DC6C71" w:rsidRPr="00BD14B0">
        <w:rPr>
          <w:rFonts w:eastAsia="Calibri"/>
          <w:lang w:eastAsia="en-US"/>
        </w:rPr>
        <w:t>-participant</w:t>
      </w:r>
      <w:r w:rsidR="005C12E5" w:rsidRPr="00BD14B0">
        <w:rPr>
          <w:rFonts w:eastAsia="Calibri"/>
          <w:lang w:eastAsia="en-US"/>
        </w:rPr>
        <w:t xml:space="preserve"> factors</w:t>
      </w:r>
      <w:r w:rsidR="00DC6C71" w:rsidRPr="00BD14B0">
        <w:rPr>
          <w:rFonts w:eastAsia="Calibri"/>
          <w:lang w:eastAsia="en-US"/>
        </w:rPr>
        <w:t xml:space="preserve"> and</w:t>
      </w:r>
      <w:r w:rsidR="005C12E5" w:rsidRPr="00BD14B0">
        <w:rPr>
          <w:rFonts w:eastAsia="Calibri"/>
          <w:lang w:eastAsia="en-US"/>
        </w:rPr>
        <w:t xml:space="preserve"> gender of gazer (male/female) was the within</w:t>
      </w:r>
      <w:r w:rsidR="00DC6C71" w:rsidRPr="00BD14B0">
        <w:rPr>
          <w:rFonts w:eastAsia="Calibri"/>
          <w:lang w:eastAsia="en-US"/>
        </w:rPr>
        <w:t>-participant</w:t>
      </w:r>
      <w:r w:rsidR="005C12E5" w:rsidRPr="00BD14B0">
        <w:rPr>
          <w:rFonts w:eastAsia="Calibri"/>
          <w:lang w:eastAsia="en-US"/>
        </w:rPr>
        <w:t xml:space="preserve"> factor. Three way mixed measures ANOVA revealed that there was a significant main effect of gender of the participants (between</w:t>
      </w:r>
      <w:r w:rsidR="00DC6C71" w:rsidRPr="00BD14B0">
        <w:rPr>
          <w:rFonts w:eastAsia="Calibri"/>
          <w:lang w:eastAsia="en-US"/>
        </w:rPr>
        <w:t>-participant</w:t>
      </w:r>
      <w:r w:rsidR="005C12E5" w:rsidRPr="00BD14B0">
        <w:rPr>
          <w:rFonts w:eastAsia="Calibri"/>
          <w:lang w:eastAsia="en-US"/>
        </w:rPr>
        <w:t xml:space="preserve"> variable) with a </w:t>
      </w:r>
      <w:r w:rsidR="005C12E5" w:rsidRPr="00BD14B0">
        <w:rPr>
          <w:rFonts w:eastAsia="Calibri"/>
        </w:rPr>
        <w:t>small effect size</w:t>
      </w:r>
      <w:r w:rsidR="00DC6C71" w:rsidRPr="00BD14B0">
        <w:rPr>
          <w:rFonts w:eastAsia="Calibri"/>
        </w:rPr>
        <w:t>,</w:t>
      </w:r>
      <w:r w:rsidR="005C12E5" w:rsidRPr="00BD14B0">
        <w:rPr>
          <w:rFonts w:eastAsia="Calibri"/>
        </w:rPr>
        <w:t xml:space="preserve"> </w:t>
      </w:r>
      <w:proofErr w:type="gramStart"/>
      <w:r w:rsidR="005C12E5" w:rsidRPr="00BD14B0">
        <w:rPr>
          <w:i/>
          <w:iCs/>
          <w:lang w:eastAsia="en-US"/>
        </w:rPr>
        <w:t>F</w:t>
      </w:r>
      <w:r w:rsidR="005C12E5" w:rsidRPr="00BD14B0">
        <w:rPr>
          <w:lang w:eastAsia="en-US"/>
        </w:rPr>
        <w:t>(</w:t>
      </w:r>
      <w:proofErr w:type="gramEnd"/>
      <w:r w:rsidR="005C12E5" w:rsidRPr="00BD14B0">
        <w:rPr>
          <w:lang w:eastAsia="en-US"/>
        </w:rPr>
        <w:t>1, 67) = 8.3</w:t>
      </w:r>
      <w:r w:rsidR="00DC6C71" w:rsidRPr="00BD14B0">
        <w:rPr>
          <w:lang w:eastAsia="en-US"/>
        </w:rPr>
        <w:t>6</w:t>
      </w:r>
      <w:r w:rsidR="005C12E5" w:rsidRPr="00BD14B0">
        <w:rPr>
          <w:lang w:eastAsia="en-US"/>
        </w:rPr>
        <w:t xml:space="preserve">, </w:t>
      </w:r>
      <w:r w:rsidR="005C12E5" w:rsidRPr="00BD14B0">
        <w:rPr>
          <w:i/>
          <w:iCs/>
          <w:lang w:eastAsia="en-US"/>
        </w:rPr>
        <w:t>p</w:t>
      </w:r>
      <w:r w:rsidR="005C12E5" w:rsidRPr="00BD14B0">
        <w:rPr>
          <w:lang w:eastAsia="en-US"/>
        </w:rPr>
        <w:t xml:space="preserve"> &lt;.05, </w:t>
      </w:r>
      <w:proofErr w:type="spellStart"/>
      <w:r w:rsidR="005C12E5" w:rsidRPr="00BD14B0">
        <w:rPr>
          <w:lang w:eastAsia="en-US"/>
        </w:rPr>
        <w:t>ηp</w:t>
      </w:r>
      <w:proofErr w:type="spellEnd"/>
      <w:r w:rsidR="005C12E5" w:rsidRPr="00BD14B0">
        <w:rPr>
          <w:vertAlign w:val="superscript"/>
          <w:lang w:eastAsia="en-US"/>
        </w:rPr>
        <w:t xml:space="preserve"> 2</w:t>
      </w:r>
      <w:r w:rsidR="005C12E5" w:rsidRPr="00BD14B0">
        <w:rPr>
          <w:lang w:eastAsia="en-US"/>
        </w:rPr>
        <w:t xml:space="preserve"> = 0.111 which indicates that there </w:t>
      </w:r>
      <w:r w:rsidR="00DC6C71" w:rsidRPr="00BD14B0">
        <w:rPr>
          <w:lang w:eastAsia="en-US"/>
        </w:rPr>
        <w:t>was</w:t>
      </w:r>
      <w:r w:rsidR="005C12E5" w:rsidRPr="00BD14B0">
        <w:rPr>
          <w:lang w:eastAsia="en-US"/>
        </w:rPr>
        <w:t xml:space="preserve"> a significant difference between mean reaction time differences between males and females.</w:t>
      </w:r>
      <w:r w:rsidR="005C12E5" w:rsidRPr="00BD14B0">
        <w:t xml:space="preserve"> Female participants showed</w:t>
      </w:r>
      <w:r w:rsidR="00DC6C71" w:rsidRPr="00BD14B0">
        <w:t xml:space="preserve"> a</w:t>
      </w:r>
      <w:r w:rsidR="005C12E5" w:rsidRPr="00BD14B0">
        <w:t xml:space="preserve"> bigger difference between incongruent and congruent trials by .025 </w:t>
      </w:r>
      <w:proofErr w:type="spellStart"/>
      <w:r w:rsidR="005C12E5" w:rsidRPr="00BD14B0">
        <w:t>ms</w:t>
      </w:r>
      <w:proofErr w:type="spellEnd"/>
      <w:r w:rsidR="005C12E5" w:rsidRPr="00BD14B0">
        <w:t xml:space="preserve"> compared to male participants.</w:t>
      </w:r>
      <w:r w:rsidRPr="00BD14B0">
        <w:rPr>
          <w:lang w:eastAsia="en-US"/>
        </w:rPr>
        <w:tab/>
      </w:r>
    </w:p>
    <w:p w14:paraId="14B6E51F" w14:textId="58284881" w:rsidR="00C30E58" w:rsidRPr="00BD14B0" w:rsidRDefault="00F35275" w:rsidP="00553E01">
      <w:pPr>
        <w:rPr>
          <w:rFonts w:eastAsia="Calibri"/>
          <w:lang w:eastAsia="en-US"/>
        </w:rPr>
      </w:pPr>
      <w:r w:rsidRPr="00BD14B0">
        <w:rPr>
          <w:lang w:eastAsia="en-US"/>
        </w:rPr>
        <w:tab/>
      </w:r>
      <w:r w:rsidR="005C12E5" w:rsidRPr="00BD14B0">
        <w:rPr>
          <w:lang w:eastAsia="en-US"/>
        </w:rPr>
        <w:t xml:space="preserve">The ANOVA also revealed there was </w:t>
      </w:r>
      <w:r w:rsidR="00D12D11" w:rsidRPr="00BD14B0">
        <w:rPr>
          <w:lang w:eastAsia="en-US"/>
        </w:rPr>
        <w:t xml:space="preserve">a </w:t>
      </w:r>
      <w:r w:rsidR="005C12E5" w:rsidRPr="00BD14B0">
        <w:rPr>
          <w:lang w:eastAsia="en-US"/>
        </w:rPr>
        <w:t xml:space="preserve">non-significant main effect of social power </w:t>
      </w:r>
      <w:r w:rsidR="005C12E5" w:rsidRPr="00BD14B0">
        <w:rPr>
          <w:rFonts w:eastAsia="Calibri"/>
          <w:lang w:eastAsia="en-US"/>
        </w:rPr>
        <w:t>(between</w:t>
      </w:r>
      <w:r w:rsidR="00D12D11" w:rsidRPr="00BD14B0">
        <w:rPr>
          <w:rFonts w:eastAsia="Calibri"/>
          <w:lang w:eastAsia="en-US"/>
        </w:rPr>
        <w:t>-participant</w:t>
      </w:r>
      <w:r w:rsidR="005C12E5" w:rsidRPr="00BD14B0">
        <w:rPr>
          <w:rFonts w:eastAsia="Calibri"/>
          <w:lang w:eastAsia="en-US"/>
        </w:rPr>
        <w:t xml:space="preserve"> </w:t>
      </w:r>
      <w:r w:rsidR="00D12D11" w:rsidRPr="00BD14B0">
        <w:rPr>
          <w:rFonts w:eastAsia="Calibri"/>
          <w:lang w:eastAsia="en-US"/>
        </w:rPr>
        <w:t>factor</w:t>
      </w:r>
      <w:r w:rsidR="005C12E5" w:rsidRPr="00BD14B0">
        <w:rPr>
          <w:rFonts w:eastAsia="Calibri"/>
          <w:lang w:eastAsia="en-US"/>
        </w:rPr>
        <w:t>)</w:t>
      </w:r>
      <w:r w:rsidR="00D12D11" w:rsidRPr="00BD14B0">
        <w:rPr>
          <w:rFonts w:eastAsia="Calibri"/>
          <w:lang w:eastAsia="en-US"/>
        </w:rPr>
        <w:t>,</w:t>
      </w:r>
      <w:r w:rsidR="005C12E5" w:rsidRPr="00BD14B0">
        <w:rPr>
          <w:rFonts w:eastAsia="Calibri"/>
          <w:lang w:eastAsia="en-US"/>
        </w:rPr>
        <w:t xml:space="preserve"> </w:t>
      </w:r>
      <w:proofErr w:type="gramStart"/>
      <w:r w:rsidR="005C12E5" w:rsidRPr="00BD14B0">
        <w:rPr>
          <w:i/>
          <w:iCs/>
          <w:lang w:eastAsia="en-US"/>
        </w:rPr>
        <w:t>F</w:t>
      </w:r>
      <w:r w:rsidR="005C12E5" w:rsidRPr="00BD14B0">
        <w:rPr>
          <w:lang w:eastAsia="en-US"/>
        </w:rPr>
        <w:t>(</w:t>
      </w:r>
      <w:proofErr w:type="gramEnd"/>
      <w:r w:rsidR="005C12E5" w:rsidRPr="00BD14B0">
        <w:rPr>
          <w:lang w:eastAsia="en-US"/>
        </w:rPr>
        <w:t>1, 67) = 0.0</w:t>
      </w:r>
      <w:r w:rsidR="00D12D11" w:rsidRPr="00BD14B0">
        <w:rPr>
          <w:lang w:eastAsia="en-US"/>
        </w:rPr>
        <w:t>3</w:t>
      </w:r>
      <w:r w:rsidR="005C12E5" w:rsidRPr="00BD14B0">
        <w:rPr>
          <w:lang w:eastAsia="en-US"/>
        </w:rPr>
        <w:t xml:space="preserve">, </w:t>
      </w:r>
      <w:r w:rsidR="005C12E5" w:rsidRPr="00BD14B0">
        <w:rPr>
          <w:i/>
          <w:iCs/>
          <w:lang w:eastAsia="en-US"/>
        </w:rPr>
        <w:t>p</w:t>
      </w:r>
      <w:r w:rsidR="005C12E5" w:rsidRPr="00BD14B0">
        <w:rPr>
          <w:lang w:eastAsia="en-US"/>
        </w:rPr>
        <w:t xml:space="preserve"> =</w:t>
      </w:r>
      <w:r w:rsidR="00D12D11" w:rsidRPr="00BD14B0">
        <w:rPr>
          <w:lang w:eastAsia="en-US"/>
        </w:rPr>
        <w:t xml:space="preserve"> </w:t>
      </w:r>
      <w:r w:rsidR="005C12E5" w:rsidRPr="00BD14B0">
        <w:rPr>
          <w:lang w:eastAsia="en-US"/>
        </w:rPr>
        <w:t>.8</w:t>
      </w:r>
      <w:r w:rsidR="00D12D11" w:rsidRPr="00BD14B0">
        <w:rPr>
          <w:lang w:eastAsia="en-US"/>
        </w:rPr>
        <w:t>7</w:t>
      </w:r>
      <w:r w:rsidR="005C12E5" w:rsidRPr="00BD14B0">
        <w:rPr>
          <w:lang w:eastAsia="en-US"/>
        </w:rPr>
        <w:t xml:space="preserve">, </w:t>
      </w:r>
      <w:proofErr w:type="spellStart"/>
      <w:r w:rsidR="005C12E5" w:rsidRPr="00BD14B0">
        <w:t>ηp</w:t>
      </w:r>
      <w:proofErr w:type="spellEnd"/>
      <w:r w:rsidR="005C12E5" w:rsidRPr="00BD14B0">
        <w:rPr>
          <w:vertAlign w:val="superscript"/>
        </w:rPr>
        <w:t xml:space="preserve"> 2</w:t>
      </w:r>
      <w:r w:rsidR="005C12E5" w:rsidRPr="00BD14B0">
        <w:t xml:space="preserve"> = 0.013</w:t>
      </w:r>
      <w:r w:rsidR="00D12D11" w:rsidRPr="00BD14B0">
        <w:t>,</w:t>
      </w:r>
      <w:r w:rsidR="005C12E5" w:rsidRPr="00BD14B0">
        <w:t xml:space="preserve"> </w:t>
      </w:r>
      <w:r w:rsidR="005C12E5" w:rsidRPr="00BD14B0">
        <w:rPr>
          <w:lang w:eastAsia="en-US"/>
        </w:rPr>
        <w:t xml:space="preserve">and </w:t>
      </w:r>
      <w:r w:rsidR="00D12D11" w:rsidRPr="00BD14B0">
        <w:rPr>
          <w:lang w:eastAsia="en-US"/>
        </w:rPr>
        <w:t xml:space="preserve">a </w:t>
      </w:r>
      <w:r w:rsidR="005C12E5" w:rsidRPr="00BD14B0">
        <w:rPr>
          <w:lang w:eastAsia="en-US"/>
        </w:rPr>
        <w:t>non-significant main effect of gender of the gazer (within</w:t>
      </w:r>
      <w:r w:rsidR="00D12D11" w:rsidRPr="00BD14B0">
        <w:rPr>
          <w:lang w:eastAsia="en-US"/>
        </w:rPr>
        <w:t>-participant</w:t>
      </w:r>
      <w:r w:rsidR="005C12E5" w:rsidRPr="00BD14B0">
        <w:rPr>
          <w:lang w:eastAsia="en-US"/>
        </w:rPr>
        <w:t xml:space="preserve"> </w:t>
      </w:r>
      <w:r w:rsidR="00D12D11" w:rsidRPr="00BD14B0">
        <w:rPr>
          <w:lang w:eastAsia="en-US"/>
        </w:rPr>
        <w:t>factor</w:t>
      </w:r>
      <w:r w:rsidR="005C12E5" w:rsidRPr="00BD14B0">
        <w:rPr>
          <w:lang w:eastAsia="en-US"/>
        </w:rPr>
        <w:t>)</w:t>
      </w:r>
      <w:r w:rsidR="00D12D11" w:rsidRPr="00BD14B0">
        <w:rPr>
          <w:lang w:eastAsia="en-US"/>
        </w:rPr>
        <w:t>,</w:t>
      </w:r>
      <w:r w:rsidR="005C12E5" w:rsidRPr="00BD14B0">
        <w:rPr>
          <w:lang w:eastAsia="en-US"/>
        </w:rPr>
        <w:t xml:space="preserve"> </w:t>
      </w:r>
      <w:r w:rsidR="005C12E5" w:rsidRPr="00BD14B0">
        <w:rPr>
          <w:i/>
          <w:iCs/>
          <w:lang w:eastAsia="en-US"/>
        </w:rPr>
        <w:t>F</w:t>
      </w:r>
      <w:r w:rsidR="005C12E5" w:rsidRPr="00BD14B0">
        <w:rPr>
          <w:lang w:eastAsia="en-US"/>
        </w:rPr>
        <w:t xml:space="preserve">(1, 67) = 1.07 </w:t>
      </w:r>
      <w:r w:rsidR="005C12E5" w:rsidRPr="00BD14B0">
        <w:rPr>
          <w:i/>
          <w:iCs/>
          <w:lang w:eastAsia="en-US"/>
        </w:rPr>
        <w:t>p</w:t>
      </w:r>
      <w:r w:rsidR="005C12E5" w:rsidRPr="00BD14B0">
        <w:rPr>
          <w:lang w:eastAsia="en-US"/>
        </w:rPr>
        <w:t xml:space="preserve"> =</w:t>
      </w:r>
      <w:r w:rsidR="00D12D11" w:rsidRPr="00BD14B0">
        <w:rPr>
          <w:lang w:eastAsia="en-US"/>
        </w:rPr>
        <w:t xml:space="preserve"> </w:t>
      </w:r>
      <w:r w:rsidR="005C12E5" w:rsidRPr="00BD14B0">
        <w:rPr>
          <w:lang w:eastAsia="en-US"/>
        </w:rPr>
        <w:t xml:space="preserve">0.30, </w:t>
      </w:r>
      <w:proofErr w:type="spellStart"/>
      <w:r w:rsidR="005C12E5" w:rsidRPr="00BD14B0">
        <w:rPr>
          <w:lang w:eastAsia="en-US"/>
        </w:rPr>
        <w:t>ηp</w:t>
      </w:r>
      <w:proofErr w:type="spellEnd"/>
      <w:r w:rsidR="005C12E5" w:rsidRPr="00BD14B0">
        <w:rPr>
          <w:vertAlign w:val="superscript"/>
          <w:lang w:eastAsia="en-US"/>
        </w:rPr>
        <w:t xml:space="preserve"> 2</w:t>
      </w:r>
      <w:r w:rsidR="005C12E5" w:rsidRPr="00BD14B0">
        <w:rPr>
          <w:lang w:eastAsia="en-US"/>
        </w:rPr>
        <w:t xml:space="preserve"> = 0.016. Additionally, there </w:t>
      </w:r>
      <w:r w:rsidR="00D12D11" w:rsidRPr="00BD14B0">
        <w:rPr>
          <w:lang w:eastAsia="en-US"/>
        </w:rPr>
        <w:t xml:space="preserve">were </w:t>
      </w:r>
      <w:r w:rsidR="005C12E5" w:rsidRPr="00BD14B0">
        <w:rPr>
          <w:lang w:eastAsia="en-US"/>
        </w:rPr>
        <w:t>no</w:t>
      </w:r>
      <w:r w:rsidR="00D12D11" w:rsidRPr="00BD14B0">
        <w:rPr>
          <w:lang w:eastAsia="en-US"/>
        </w:rPr>
        <w:t>n-</w:t>
      </w:r>
      <w:r w:rsidR="005C12E5" w:rsidRPr="00BD14B0">
        <w:rPr>
          <w:lang w:eastAsia="en-US"/>
        </w:rPr>
        <w:t xml:space="preserve">significant </w:t>
      </w:r>
      <w:r w:rsidR="00D12D11" w:rsidRPr="00BD14B0">
        <w:rPr>
          <w:lang w:eastAsia="en-US"/>
        </w:rPr>
        <w:t xml:space="preserve">two-way </w:t>
      </w:r>
      <w:r w:rsidR="005C12E5" w:rsidRPr="00BD14B0">
        <w:rPr>
          <w:lang w:eastAsia="en-US"/>
        </w:rPr>
        <w:t>interaction</w:t>
      </w:r>
      <w:r w:rsidR="00D12D11" w:rsidRPr="00BD14B0">
        <w:rPr>
          <w:lang w:eastAsia="en-US"/>
        </w:rPr>
        <w:t>s</w:t>
      </w:r>
      <w:r w:rsidR="005C12E5" w:rsidRPr="00BD14B0">
        <w:rPr>
          <w:lang w:eastAsia="en-US"/>
        </w:rPr>
        <w:t xml:space="preserve"> between gender of </w:t>
      </w:r>
      <w:r w:rsidR="005C12E5" w:rsidRPr="00BD14B0">
        <w:rPr>
          <w:lang w:eastAsia="en-US"/>
        </w:rPr>
        <w:lastRenderedPageBreak/>
        <w:t>gazer and gender of participant</w:t>
      </w:r>
      <w:r w:rsidR="00D12D11" w:rsidRPr="00BD14B0">
        <w:rPr>
          <w:lang w:eastAsia="en-US"/>
        </w:rPr>
        <w:t>,</w:t>
      </w:r>
      <w:r w:rsidR="005C12E5" w:rsidRPr="00BD14B0">
        <w:rPr>
          <w:lang w:eastAsia="en-US"/>
        </w:rPr>
        <w:t xml:space="preserve"> </w:t>
      </w:r>
      <w:proofErr w:type="gramStart"/>
      <w:r w:rsidR="005C12E5" w:rsidRPr="00BD14B0">
        <w:rPr>
          <w:i/>
          <w:iCs/>
          <w:lang w:eastAsia="en-US"/>
        </w:rPr>
        <w:t>F</w:t>
      </w:r>
      <w:r w:rsidR="005C12E5" w:rsidRPr="00BD14B0">
        <w:rPr>
          <w:lang w:eastAsia="en-US"/>
        </w:rPr>
        <w:t>(</w:t>
      </w:r>
      <w:proofErr w:type="gramEnd"/>
      <w:r w:rsidR="005C12E5" w:rsidRPr="00BD14B0">
        <w:rPr>
          <w:lang w:eastAsia="en-US"/>
        </w:rPr>
        <w:t xml:space="preserve">1, 67) = 0.871, </w:t>
      </w:r>
      <w:r w:rsidR="005C12E5" w:rsidRPr="00BD14B0">
        <w:rPr>
          <w:i/>
          <w:iCs/>
          <w:lang w:eastAsia="en-US"/>
        </w:rPr>
        <w:t>p</w:t>
      </w:r>
      <w:r w:rsidR="005C12E5" w:rsidRPr="00BD14B0">
        <w:rPr>
          <w:lang w:eastAsia="en-US"/>
        </w:rPr>
        <w:t xml:space="preserve"> =0.871, </w:t>
      </w:r>
      <w:proofErr w:type="spellStart"/>
      <w:r w:rsidR="005C12E5" w:rsidRPr="00BD14B0">
        <w:rPr>
          <w:lang w:eastAsia="en-US"/>
        </w:rPr>
        <w:t>ηp</w:t>
      </w:r>
      <w:proofErr w:type="spellEnd"/>
      <w:r w:rsidR="005C12E5" w:rsidRPr="00BD14B0">
        <w:rPr>
          <w:vertAlign w:val="superscript"/>
          <w:lang w:eastAsia="en-US"/>
        </w:rPr>
        <w:t xml:space="preserve"> 2</w:t>
      </w:r>
      <w:r w:rsidR="005C12E5" w:rsidRPr="00BD14B0">
        <w:rPr>
          <w:lang w:eastAsia="en-US"/>
        </w:rPr>
        <w:t xml:space="preserve"> = 0.013</w:t>
      </w:r>
      <w:r w:rsidR="00D12D11" w:rsidRPr="00BD14B0">
        <w:rPr>
          <w:lang w:eastAsia="en-US"/>
        </w:rPr>
        <w:t>,</w:t>
      </w:r>
      <w:r w:rsidR="005C12E5" w:rsidRPr="00BD14B0">
        <w:rPr>
          <w:lang w:eastAsia="en-US"/>
        </w:rPr>
        <w:t xml:space="preserve"> gender of gazer and social power</w:t>
      </w:r>
      <w:r w:rsidR="00D12D11" w:rsidRPr="00BD14B0">
        <w:rPr>
          <w:lang w:eastAsia="en-US"/>
        </w:rPr>
        <w:t>,</w:t>
      </w:r>
      <w:r w:rsidR="005C12E5" w:rsidRPr="00BD14B0">
        <w:rPr>
          <w:lang w:eastAsia="en-US"/>
        </w:rPr>
        <w:t xml:space="preserve"> </w:t>
      </w:r>
      <w:r w:rsidR="005C12E5" w:rsidRPr="00BD14B0">
        <w:rPr>
          <w:i/>
          <w:iCs/>
          <w:lang w:eastAsia="en-US"/>
        </w:rPr>
        <w:t>F</w:t>
      </w:r>
      <w:r w:rsidR="005C12E5" w:rsidRPr="00BD14B0">
        <w:rPr>
          <w:lang w:eastAsia="en-US"/>
        </w:rPr>
        <w:t xml:space="preserve">(1, 67) = 0.084, </w:t>
      </w:r>
      <w:r w:rsidR="005C12E5" w:rsidRPr="00BD14B0">
        <w:rPr>
          <w:i/>
          <w:iCs/>
          <w:lang w:eastAsia="en-US"/>
        </w:rPr>
        <w:t>p</w:t>
      </w:r>
      <w:r w:rsidR="005C12E5" w:rsidRPr="00BD14B0">
        <w:rPr>
          <w:lang w:eastAsia="en-US"/>
        </w:rPr>
        <w:t xml:space="preserve"> =0.773, </w:t>
      </w:r>
      <w:proofErr w:type="spellStart"/>
      <w:r w:rsidR="005C12E5" w:rsidRPr="00BD14B0">
        <w:rPr>
          <w:lang w:eastAsia="en-US"/>
        </w:rPr>
        <w:t>ηp</w:t>
      </w:r>
      <w:proofErr w:type="spellEnd"/>
      <w:r w:rsidR="005C12E5" w:rsidRPr="00BD14B0">
        <w:rPr>
          <w:vertAlign w:val="superscript"/>
          <w:lang w:eastAsia="en-US"/>
        </w:rPr>
        <w:t xml:space="preserve"> 2</w:t>
      </w:r>
      <w:r w:rsidR="005C12E5" w:rsidRPr="00BD14B0">
        <w:rPr>
          <w:lang w:eastAsia="en-US"/>
        </w:rPr>
        <w:t xml:space="preserve"> = 0.01, as well as </w:t>
      </w:r>
      <w:r w:rsidR="00D12D11" w:rsidRPr="00BD14B0">
        <w:rPr>
          <w:lang w:eastAsia="en-US"/>
        </w:rPr>
        <w:t xml:space="preserve">a </w:t>
      </w:r>
      <w:r w:rsidR="005C12E5" w:rsidRPr="00BD14B0">
        <w:rPr>
          <w:lang w:eastAsia="en-US"/>
        </w:rPr>
        <w:t>no</w:t>
      </w:r>
      <w:r w:rsidR="00D12D11" w:rsidRPr="00BD14B0">
        <w:rPr>
          <w:lang w:eastAsia="en-US"/>
        </w:rPr>
        <w:t>n-</w:t>
      </w:r>
      <w:r w:rsidR="005C12E5" w:rsidRPr="00BD14B0">
        <w:rPr>
          <w:lang w:eastAsia="en-US"/>
        </w:rPr>
        <w:t>significant three-way interaction</w:t>
      </w:r>
      <w:r w:rsidR="00D12D11" w:rsidRPr="00BD14B0">
        <w:rPr>
          <w:lang w:eastAsia="en-US"/>
        </w:rPr>
        <w:t>,</w:t>
      </w:r>
      <w:r w:rsidR="005C12E5" w:rsidRPr="00BD14B0">
        <w:rPr>
          <w:lang w:eastAsia="en-US"/>
        </w:rPr>
        <w:t xml:space="preserve"> </w:t>
      </w:r>
      <w:r w:rsidR="005C12E5" w:rsidRPr="00BD14B0">
        <w:rPr>
          <w:i/>
          <w:iCs/>
          <w:lang w:eastAsia="en-US"/>
        </w:rPr>
        <w:t>F</w:t>
      </w:r>
      <w:r w:rsidR="005C12E5" w:rsidRPr="00BD14B0">
        <w:rPr>
          <w:lang w:eastAsia="en-US"/>
        </w:rPr>
        <w:t xml:space="preserve">(1, 67) = 0.271, </w:t>
      </w:r>
      <w:r w:rsidR="005C12E5" w:rsidRPr="00BD14B0">
        <w:rPr>
          <w:i/>
          <w:iCs/>
          <w:lang w:eastAsia="en-US"/>
        </w:rPr>
        <w:t>p</w:t>
      </w:r>
      <w:r w:rsidR="005C12E5" w:rsidRPr="00BD14B0">
        <w:rPr>
          <w:lang w:eastAsia="en-US"/>
        </w:rPr>
        <w:t xml:space="preserve"> =0.604, </w:t>
      </w:r>
      <w:proofErr w:type="spellStart"/>
      <w:r w:rsidR="005C12E5" w:rsidRPr="00BD14B0">
        <w:rPr>
          <w:lang w:eastAsia="en-US"/>
        </w:rPr>
        <w:t>ηp</w:t>
      </w:r>
      <w:proofErr w:type="spellEnd"/>
      <w:r w:rsidR="005C12E5" w:rsidRPr="00BD14B0">
        <w:rPr>
          <w:vertAlign w:val="superscript"/>
          <w:lang w:eastAsia="en-US"/>
        </w:rPr>
        <w:t xml:space="preserve"> 2</w:t>
      </w:r>
      <w:r w:rsidR="005C12E5" w:rsidRPr="00BD14B0">
        <w:rPr>
          <w:lang w:eastAsia="en-US"/>
        </w:rPr>
        <w:t xml:space="preserve"> = 0.04. </w:t>
      </w:r>
      <w:r w:rsidR="005C12E5" w:rsidRPr="00BD14B0">
        <w:rPr>
          <w:rFonts w:eastAsia="Calibri"/>
          <w:lang w:eastAsia="en-US"/>
        </w:rPr>
        <w:t>Figure 12 shows the mean response differences at reaction time for</w:t>
      </w:r>
      <w:r w:rsidR="00953CBE" w:rsidRPr="00BD14B0">
        <w:rPr>
          <w:rFonts w:eastAsia="Calibri"/>
          <w:lang w:eastAsia="en-US"/>
        </w:rPr>
        <w:t xml:space="preserve"> </w:t>
      </w:r>
      <w:r w:rsidR="005C12E5" w:rsidRPr="00BD14B0">
        <w:rPr>
          <w:rFonts w:eastAsia="Calibri"/>
          <w:lang w:eastAsia="en-US"/>
        </w:rPr>
        <w:t xml:space="preserve">males and females </w:t>
      </w:r>
      <w:r w:rsidR="00D12D11" w:rsidRPr="00BD14B0">
        <w:rPr>
          <w:rFonts w:eastAsia="Calibri"/>
          <w:lang w:eastAsia="en-US"/>
        </w:rPr>
        <w:t>by</w:t>
      </w:r>
      <w:r w:rsidR="005C12E5" w:rsidRPr="00BD14B0">
        <w:rPr>
          <w:rFonts w:eastAsia="Calibri"/>
          <w:lang w:eastAsia="en-US"/>
        </w:rPr>
        <w:t xml:space="preserve"> the social power and gender of gazer</w:t>
      </w:r>
      <w:r w:rsidR="002933C4" w:rsidRPr="00BD14B0">
        <w:rPr>
          <w:rFonts w:eastAsia="Calibri"/>
          <w:lang w:eastAsia="en-US"/>
        </w:rPr>
        <w:t>.</w:t>
      </w:r>
    </w:p>
    <w:p w14:paraId="6DE4CA56" w14:textId="77777777" w:rsidR="00674202" w:rsidRPr="00BD14B0" w:rsidRDefault="00674202" w:rsidP="00553E01">
      <w:pPr>
        <w:rPr>
          <w:rFonts w:eastAsia="Calibri"/>
          <w:lang w:eastAsia="en-US"/>
        </w:rPr>
      </w:pPr>
    </w:p>
    <w:p w14:paraId="2DAD7BC4" w14:textId="3B2BDDCF" w:rsidR="002933C4" w:rsidRPr="00BD14B0" w:rsidRDefault="00EC76C1" w:rsidP="00EC76C1">
      <w:pPr>
        <w:pStyle w:val="Title"/>
        <w:rPr>
          <w:lang w:eastAsia="en-US"/>
        </w:rPr>
      </w:pPr>
      <w:bookmarkStart w:id="70" w:name="_Toc108322126"/>
      <w:r>
        <w:t xml:space="preserve">Figure </w:t>
      </w:r>
      <w:r w:rsidR="003B267D">
        <w:fldChar w:fldCharType="begin"/>
      </w:r>
      <w:r w:rsidR="003B267D">
        <w:instrText xml:space="preserve"> SEQ Figure \* ARABIC </w:instrText>
      </w:r>
      <w:r w:rsidR="003B267D">
        <w:fldChar w:fldCharType="separate"/>
      </w:r>
      <w:r w:rsidR="003B267D">
        <w:rPr>
          <w:noProof/>
        </w:rPr>
        <w:t>11</w:t>
      </w:r>
      <w:r w:rsidR="003B267D">
        <w:fldChar w:fldCharType="end"/>
      </w:r>
      <w:bookmarkEnd w:id="70"/>
    </w:p>
    <w:p w14:paraId="2A675B5E" w14:textId="4ADD3EE5" w:rsidR="00C30E58" w:rsidRPr="00BD14B0" w:rsidRDefault="002933C4" w:rsidP="00553E01">
      <w:pPr>
        <w:rPr>
          <w:lang w:eastAsia="en-US"/>
        </w:rPr>
      </w:pPr>
      <w:r w:rsidRPr="00BD14B0">
        <w:rPr>
          <w:i/>
          <w:iCs/>
          <w:lang w:eastAsia="en-US"/>
        </w:rPr>
        <w:t>Gaze cueing effect by gender of the participant, gender of the gazer and social power</w:t>
      </w:r>
    </w:p>
    <w:p w14:paraId="1509F2EC" w14:textId="478091D4" w:rsidR="00402F72" w:rsidRPr="00BD14B0" w:rsidRDefault="00020040" w:rsidP="00553E01">
      <w:pPr>
        <w:rPr>
          <w:rFonts w:eastAsia="Calibri"/>
          <w:lang w:eastAsia="en-US"/>
        </w:rPr>
      </w:pPr>
      <w:r w:rsidRPr="00BD14B0">
        <w:rPr>
          <w:noProof/>
          <w:lang w:eastAsia="en-US"/>
        </w:rPr>
        <w:drawing>
          <wp:inline distT="0" distB="0" distL="0" distR="0" wp14:anchorId="4E42BADB" wp14:editId="2AF3179A">
            <wp:extent cx="5396235" cy="4540102"/>
            <wp:effectExtent l="0" t="0" r="127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ell phone&#10;&#10;Description automatically generated"/>
                    <pic:cNvPicPr/>
                  </pic:nvPicPr>
                  <pic:blipFill>
                    <a:blip r:embed="rId25"/>
                    <a:stretch>
                      <a:fillRect/>
                    </a:stretch>
                  </pic:blipFill>
                  <pic:spPr>
                    <a:xfrm>
                      <a:off x="0" y="0"/>
                      <a:ext cx="5465709" cy="4598553"/>
                    </a:xfrm>
                    <a:prstGeom prst="rect">
                      <a:avLst/>
                    </a:prstGeom>
                  </pic:spPr>
                </pic:pic>
              </a:graphicData>
            </a:graphic>
          </wp:inline>
        </w:drawing>
      </w:r>
    </w:p>
    <w:p w14:paraId="3590C5E4" w14:textId="77777777" w:rsidR="00356F9B" w:rsidRPr="00BD14B0" w:rsidRDefault="00D12D11" w:rsidP="00553E01">
      <w:pPr>
        <w:rPr>
          <w:lang w:eastAsia="en-US"/>
        </w:rPr>
      </w:pPr>
      <w:r w:rsidRPr="00BD14B0">
        <w:rPr>
          <w:i/>
          <w:lang w:eastAsia="en-US"/>
        </w:rPr>
        <w:t>Note.</w:t>
      </w:r>
      <w:r w:rsidRPr="00BD14B0">
        <w:rPr>
          <w:lang w:eastAsia="en-US"/>
        </w:rPr>
        <w:t xml:space="preserve"> R</w:t>
      </w:r>
      <w:r w:rsidR="002A35FF" w:rsidRPr="00BD14B0">
        <w:rPr>
          <w:lang w:eastAsia="en-US"/>
        </w:rPr>
        <w:t xml:space="preserve">eaction time scores and standard error mean </w:t>
      </w:r>
      <w:r w:rsidRPr="00BD14B0">
        <w:rPr>
          <w:lang w:eastAsia="en-US"/>
        </w:rPr>
        <w:t xml:space="preserve">are </w:t>
      </w:r>
      <w:r w:rsidR="002A35FF" w:rsidRPr="00BD14B0">
        <w:rPr>
          <w:lang w:eastAsia="en-US"/>
        </w:rPr>
        <w:t xml:space="preserve">presented. Gaze cueing effect </w:t>
      </w:r>
      <w:r w:rsidRPr="00BD14B0">
        <w:rPr>
          <w:lang w:eastAsia="en-US"/>
        </w:rPr>
        <w:t>on</w:t>
      </w:r>
      <w:r w:rsidR="002A35FF" w:rsidRPr="00BD14B0">
        <w:rPr>
          <w:lang w:eastAsia="en-US"/>
        </w:rPr>
        <w:t xml:space="preserve"> y axis</w:t>
      </w:r>
      <w:r w:rsidRPr="00BD14B0">
        <w:rPr>
          <w:lang w:eastAsia="en-US"/>
        </w:rPr>
        <w:t xml:space="preserve"> calculated as</w:t>
      </w:r>
      <w:r w:rsidR="002A35FF" w:rsidRPr="00BD14B0">
        <w:rPr>
          <w:lang w:eastAsia="en-US"/>
        </w:rPr>
        <w:t xml:space="preserve"> </w:t>
      </w:r>
      <w:r w:rsidRPr="00BD14B0">
        <w:rPr>
          <w:lang w:eastAsia="en-US"/>
        </w:rPr>
        <w:t>m</w:t>
      </w:r>
      <w:r w:rsidR="002A35FF" w:rsidRPr="00BD14B0">
        <w:rPr>
          <w:lang w:eastAsia="en-US"/>
        </w:rPr>
        <w:t xml:space="preserve">ean RT of incongruent trials in seconds </w:t>
      </w:r>
      <w:r w:rsidR="00972D84" w:rsidRPr="00BD14B0">
        <w:rPr>
          <w:lang w:eastAsia="en-US"/>
        </w:rPr>
        <w:t xml:space="preserve">minus </w:t>
      </w:r>
      <w:r w:rsidRPr="00BD14B0">
        <w:rPr>
          <w:lang w:eastAsia="en-US"/>
        </w:rPr>
        <w:t>m</w:t>
      </w:r>
      <w:r w:rsidR="002A35FF" w:rsidRPr="00BD14B0">
        <w:rPr>
          <w:lang w:eastAsia="en-US"/>
        </w:rPr>
        <w:t>ean RT of congruent trials in seconds</w:t>
      </w:r>
      <w:r w:rsidRPr="00BD14B0">
        <w:rPr>
          <w:lang w:eastAsia="en-US"/>
        </w:rPr>
        <w:t>.</w:t>
      </w:r>
      <w:r w:rsidR="002A35FF" w:rsidRPr="00BD14B0">
        <w:rPr>
          <w:lang w:eastAsia="en-US"/>
        </w:rPr>
        <w:t xml:space="preserve"> </w:t>
      </w:r>
    </w:p>
    <w:p w14:paraId="1C1C2F96" w14:textId="4D1EE700" w:rsidR="00281BA3" w:rsidRPr="00BD14B0" w:rsidRDefault="002A35FF" w:rsidP="00553E01">
      <w:pPr>
        <w:rPr>
          <w:lang w:eastAsia="en-US"/>
        </w:rPr>
      </w:pPr>
      <w:r w:rsidRPr="00BD14B0">
        <w:rPr>
          <w:lang w:eastAsia="en-US"/>
        </w:rPr>
        <w:t>* p</w:t>
      </w:r>
      <w:r w:rsidR="00D12D11" w:rsidRPr="00BD14B0">
        <w:rPr>
          <w:lang w:eastAsia="en-US"/>
        </w:rPr>
        <w:t xml:space="preserve"> </w:t>
      </w:r>
      <w:r w:rsidRPr="00BD14B0">
        <w:rPr>
          <w:lang w:eastAsia="en-US"/>
        </w:rPr>
        <w:t>&lt;</w:t>
      </w:r>
      <w:r w:rsidR="00D12D11" w:rsidRPr="00BD14B0">
        <w:rPr>
          <w:lang w:eastAsia="en-US"/>
        </w:rPr>
        <w:t xml:space="preserve"> </w:t>
      </w:r>
      <w:r w:rsidRPr="00BD14B0">
        <w:rPr>
          <w:lang w:eastAsia="en-US"/>
        </w:rPr>
        <w:t>.05</w:t>
      </w:r>
      <w:r w:rsidR="00D12D11" w:rsidRPr="00BD14B0">
        <w:rPr>
          <w:lang w:eastAsia="en-US"/>
        </w:rPr>
        <w:t>.</w:t>
      </w:r>
      <w:r w:rsidRPr="00BD14B0">
        <w:rPr>
          <w:lang w:eastAsia="en-US"/>
        </w:rPr>
        <w:t xml:space="preserve"> </w:t>
      </w:r>
    </w:p>
    <w:p w14:paraId="5F9048E2" w14:textId="77777777" w:rsidR="00EE1DC0" w:rsidRPr="00BD14B0" w:rsidRDefault="00EE1DC0" w:rsidP="00553E01">
      <w:pPr>
        <w:rPr>
          <w:lang w:eastAsia="en-US"/>
        </w:rPr>
      </w:pPr>
    </w:p>
    <w:p w14:paraId="6637AE60" w14:textId="522C3F21" w:rsidR="00540907" w:rsidRPr="00BD14B0" w:rsidRDefault="006B6F0F" w:rsidP="00553E01">
      <w:pPr>
        <w:pStyle w:val="Heading2"/>
      </w:pPr>
      <w:bookmarkStart w:id="71" w:name="_Toc108310783"/>
      <w:r w:rsidRPr="00BD14B0">
        <w:t>Discussion</w:t>
      </w:r>
      <w:bookmarkEnd w:id="71"/>
      <w:r w:rsidRPr="00BD14B0">
        <w:t xml:space="preserve"> </w:t>
      </w:r>
    </w:p>
    <w:p w14:paraId="1DED0DFB" w14:textId="73818E98" w:rsidR="00CB52EA" w:rsidRPr="00BD14B0" w:rsidRDefault="00C513E8" w:rsidP="00553E01">
      <w:r w:rsidRPr="00BD14B0">
        <w:tab/>
      </w:r>
      <w:r w:rsidR="001062AD" w:rsidRPr="00695B36">
        <w:tab/>
        <w:t xml:space="preserve">The purpose of this study was to measure the effect of perceived social power on the strength of the gaze cue effect in dangerous situations. Unlike the majority of previous research on social attention, we presented physically similar gazer faces in all social conditions to eliminate the visual representations of social relations. The results showed that, in line with previous research, the gaze cueing effect was significant, indicating that the task we used was able to measures the gaze cueing effect as participants were quicker to respond to congruent trials compared to incongruent trials. Overall, female participants showed a greater difference between incongruent and congruent trials (i.e., the gaze cueing effect) than male participants, in line with previous </w:t>
      </w:r>
      <w:r w:rsidR="001062AD" w:rsidRPr="00A85296">
        <w:t xml:space="preserve">research. This enhanced gaze cueing effect was persistent in both the low and high social power conditions in female participants compared to male participants. </w:t>
      </w:r>
      <w:r w:rsidR="001062AD" w:rsidRPr="003A717D">
        <w:t>The difference between males and females in high-danger conditions contradicts the findings of the Cui et al., (2014) study. Cui et al., (2014)</w:t>
      </w:r>
      <w:r w:rsidR="001062AD">
        <w:t xml:space="preserve"> showed that there was no difference between genders </w:t>
      </w:r>
      <w:r w:rsidR="001062AD" w:rsidRPr="00E34451">
        <w:t xml:space="preserve">in high danger condition, but the gender difference existed in low danger condition. </w:t>
      </w:r>
      <w:r w:rsidR="001062AD" w:rsidRPr="00D76D8F">
        <w:t xml:space="preserve">In the current study only the high danger condition replicated, and the current results </w:t>
      </w:r>
      <w:r w:rsidR="001062AD">
        <w:t>discovered</w:t>
      </w:r>
      <w:r w:rsidR="001062AD" w:rsidRPr="00D76D8F">
        <w:t xml:space="preserve"> that males and females showed difference</w:t>
      </w:r>
      <w:r w:rsidR="001062AD">
        <w:t xml:space="preserve"> in Western-based culture</w:t>
      </w:r>
      <w:r w:rsidR="001062AD" w:rsidRPr="00D76D8F">
        <w:t>. The difference between Cui et al.,</w:t>
      </w:r>
      <w:r w:rsidR="001062AD">
        <w:t xml:space="preserve"> </w:t>
      </w:r>
      <w:r w:rsidR="001062AD" w:rsidRPr="00D76D8F">
        <w:t>(2014) and the current study could be due to cultural differences.</w:t>
      </w:r>
      <w:r w:rsidR="001062AD">
        <w:t xml:space="preserve"> The current results shows that females from </w:t>
      </w:r>
      <w:r w:rsidR="001062AD" w:rsidRPr="000D584E">
        <w:t>western Western-based did not change their social attention strategy in high danger scenarios.  As a result, it can be argued that females from Western-based cultures may employ a social attention strategy in dangerous situations.</w:t>
      </w:r>
    </w:p>
    <w:p w14:paraId="3B7997B7" w14:textId="77777777" w:rsidR="001062AD" w:rsidRPr="00695B36" w:rsidRDefault="00C513E8" w:rsidP="001062AD">
      <w:r w:rsidRPr="00BD14B0">
        <w:tab/>
      </w:r>
      <w:r w:rsidR="001062AD" w:rsidRPr="00695B36">
        <w:t>The gaze cueing effect was found in the present study, given that incongruent trials had significantly longer reaction times compared to congruent trials. Hence, consistent with the literature, the gaze cueing effect was present. Incongruent trials were significantly longer to react to compared to congruent trials, suggesting that observing another’s gaze shifts may evoke a similar reflexive shift in the observer. After showing that there is difference between incongruent and congruent trials, the gaze cueing effect was calculated by subtracting the mean reaction time of incongruent trails from the mean reaction time of congruent trials.</w:t>
      </w:r>
    </w:p>
    <w:p w14:paraId="5F7797EF" w14:textId="1FC40538" w:rsidR="001062AD" w:rsidRPr="00695B36" w:rsidRDefault="001062AD" w:rsidP="001062AD">
      <w:r>
        <w:lastRenderedPageBreak/>
        <w:tab/>
      </w:r>
      <w:r w:rsidRPr="00695B36">
        <w:t xml:space="preserve">The present study aimed to investigate the potential interaction between the effect of social power in relation to the gender of the observer in gaze following in a dangerous scenario. Cui et al. (2014) discovered that female participants who were primed with low social power had higher reflexivity at gaze cueing effect compared to male or female participants who were primed with high social power. However, this occurred only when participants were primed with low danger scenarios such as a </w:t>
      </w:r>
      <w:r w:rsidRPr="00695B36">
        <w:rPr>
          <w:lang w:val="tr-TR"/>
        </w:rPr>
        <w:t>p</w:t>
      </w:r>
      <w:r w:rsidRPr="00695B36">
        <w:rPr>
          <w:lang w:val="uz-Cyrl-UZ"/>
        </w:rPr>
        <w:t>eaceful</w:t>
      </w:r>
      <w:r w:rsidRPr="00695B36">
        <w:t xml:space="preserve"> walk-in nature. Interestingly, this interaction diminished when participants were exposed to high danger condition - a scenario of an earthquake (Cui et al., 2014). The difference in the gaze cueing effect between males and females decreased in high danger scenarios compared to low danger scenarios condition. Importantly, Cui et al. (2014) demonstrated that this gender difference diminished when the perceived high social power condition was compared to perceived low power condition under a dangerous scenario. The authors argued </w:t>
      </w:r>
      <w:r w:rsidRPr="00695B36">
        <w:rPr>
          <w:lang w:val="uz-Cyrl-UZ"/>
        </w:rPr>
        <w:t xml:space="preserve">that males and females have distinct strategies for </w:t>
      </w:r>
      <w:proofErr w:type="spellStart"/>
      <w:r w:rsidRPr="00695B36">
        <w:rPr>
          <w:lang w:val="tr-TR"/>
        </w:rPr>
        <w:t>allocating</w:t>
      </w:r>
      <w:proofErr w:type="spellEnd"/>
      <w:r w:rsidRPr="00695B36">
        <w:rPr>
          <w:lang w:val="tr-TR"/>
        </w:rPr>
        <w:t xml:space="preserve"> </w:t>
      </w:r>
      <w:r w:rsidRPr="00695B36">
        <w:rPr>
          <w:lang w:val="uz-Cyrl-UZ"/>
        </w:rPr>
        <w:t>social attentio</w:t>
      </w:r>
      <w:r w:rsidRPr="00695B36">
        <w:rPr>
          <w:lang w:val="tr-TR"/>
        </w:rPr>
        <w:t>n;</w:t>
      </w:r>
      <w:r w:rsidRPr="00695B36">
        <w:rPr>
          <w:lang w:val="uz-Cyrl-UZ"/>
        </w:rPr>
        <w:t xml:space="preserve"> </w:t>
      </w:r>
      <w:r w:rsidRPr="00695B36">
        <w:t xml:space="preserve">for example, </w:t>
      </w:r>
      <w:r w:rsidRPr="00695B36">
        <w:rPr>
          <w:lang w:val="uz-Cyrl-UZ"/>
        </w:rPr>
        <w:t>when there is a danger in the environment</w:t>
      </w:r>
      <w:r w:rsidRPr="00695B36">
        <w:rPr>
          <w:lang w:val="tr-TR"/>
        </w:rPr>
        <w:t>,</w:t>
      </w:r>
      <w:r w:rsidRPr="00695B36">
        <w:rPr>
          <w:lang w:val="uz-Cyrl-UZ"/>
        </w:rPr>
        <w:t xml:space="preserve"> females shift their attention to themselves and pa</w:t>
      </w:r>
      <w:r w:rsidRPr="00695B36">
        <w:rPr>
          <w:lang w:val="tr-TR"/>
        </w:rPr>
        <w:t>y</w:t>
      </w:r>
      <w:r w:rsidRPr="00695B36">
        <w:rPr>
          <w:lang w:val="uz-Cyrl-UZ"/>
        </w:rPr>
        <w:t xml:space="preserve"> less attention to social relations around them</w:t>
      </w:r>
      <w:r w:rsidRPr="00695B36">
        <w:rPr>
          <w:lang w:val="tr-TR"/>
        </w:rPr>
        <w:t xml:space="preserve"> </w:t>
      </w:r>
      <w:r w:rsidRPr="00695B36">
        <w:t>(</w:t>
      </w:r>
      <w:r w:rsidRPr="000F40C7">
        <w:t>Cui et al., 2014). In the current study, contrary to the findings of Cui et al. (2014), gender differences were consistent in both high and low social power conditions (after participants were primed with an office fire - a high danger scenario). In the current study, males and females therefore showed a difference in the magnitude of gaze cueing regardless of perceived social power.</w:t>
      </w:r>
      <w:r w:rsidRPr="00695B36">
        <w:t xml:space="preserve">  </w:t>
      </w:r>
    </w:p>
    <w:p w14:paraId="572ED995" w14:textId="6EA6A25C" w:rsidR="00522338" w:rsidRPr="00BD14B0" w:rsidRDefault="00C513E8" w:rsidP="00553E01">
      <w:r w:rsidRPr="00BD14B0">
        <w:tab/>
      </w:r>
      <w:r w:rsidR="00CB52EA" w:rsidRPr="00BD14B0">
        <w:t xml:space="preserve">The </w:t>
      </w:r>
      <w:r w:rsidR="00045C13" w:rsidRPr="00BD14B0">
        <w:t>current</w:t>
      </w:r>
      <w:r w:rsidR="00CB52EA" w:rsidRPr="00BD14B0">
        <w:t xml:space="preserve"> study adds to previous </w:t>
      </w:r>
      <w:r w:rsidR="00045C13" w:rsidRPr="00BD14B0">
        <w:t>research</w:t>
      </w:r>
      <w:r w:rsidR="00CB52EA" w:rsidRPr="00BD14B0">
        <w:t xml:space="preserve"> which has demonstrated that females are more sensitive to social cues when there is a competition in the </w:t>
      </w:r>
      <w:r w:rsidR="00985A87" w:rsidRPr="00BD14B0">
        <w:t xml:space="preserve">environment </w:t>
      </w:r>
      <w:r w:rsidR="002443A9">
        <w:fldChar w:fldCharType="begin" w:fldLock="1"/>
      </w:r>
      <w:r w:rsidR="001C025E">
        <w:instrText>ADDIN CSL_CITATION {"citationItems":[{"id":"ITEM-1","itemData":{"DOI":"10.1016/j.actpsy.2015.07.013","ISSN":"00016918","abstract":"The present study investigated if the gaze-cuing effect (i.e., the tendency for observers to respond faster to targets in locations that were cued by others' gaze direction than to not-cued targets) is modulated by the type of relationship (i.e., cooperative or competitive) established during a previous interaction with a cuing face. In two experiments, participants played a series of single-shot games of a modified version of the two-choice Prisoner's Dilemma against eight simulated contenders. They were shown a fictive feedback indicating if the opponents chose to cooperate or compete with them. Opponents' faces were then used as stimuli in a standard gazecuing task. In Experiment 1 females classified as average in competitiveness were tested, while in Experiment 2 females classified as high and low in competitiveness were tested. We found that only in females classified as low and average in competitiveness the gaze-cuing effect for competitive contenders was greater than for cooperative contenders. These findings suggest that competitive opponents represent a relevant source of information within the social environment and female observers with low and average levels of competition cannot prevent from keeping their eyes over them.","author":[{"dropping-particle":"","family":"Ciardo","given":"Francesca","non-dropping-particle":"","parse-names":false,"suffix":""},{"dropping-particle":"","family":"Ricciardelli","given":"Paola","non-dropping-particle":"","parse-names":false,"suffix":""},{"dropping-particle":"","family":"Lugli","given":"Luisa","non-dropping-particle":"","parse-names":false,"suffix":""},{"dropping-particle":"","family":"Rubichi","given":"Sandro","non-dropping-particle":"","parse-names":false,"suffix":""},{"dropping-particle":"","family":"Iani","given":"Cristina","non-dropping-particle":"","parse-names":false,"suffix":""}],"container-title":"Acta Psychologica","id":"ITEM-1","issued":{"date-parts":[["2015"]]},"page":"170-177","publisher":"Elsevier B.V.","title":"Eyes keep watch over you! Competition enhances joint attention in females","type":"article-journal","volume":"160"},"uris":["http://www.mendeley.com/documents/?uuid=d2a40ea0-360f-4a9e-81a4-e3cbe8cd8e0f"]}],"mendeley":{"formattedCitation":"(Ciardo et al., 2015)","plainTextFormattedCitation":"(Ciardo et al., 2015)","previouslyFormattedCitation":"(Ciardo et al., 2015)"},"properties":{"noteIndex":0},"schema":"https://github.com/citation-style-language/schema/raw/master/csl-citation.json"}</w:instrText>
      </w:r>
      <w:r w:rsidR="002443A9">
        <w:fldChar w:fldCharType="separate"/>
      </w:r>
      <w:r w:rsidR="002443A9" w:rsidRPr="002443A9">
        <w:rPr>
          <w:noProof/>
        </w:rPr>
        <w:t>(Ciardo et al., 2015)</w:t>
      </w:r>
      <w:r w:rsidR="002443A9">
        <w:fldChar w:fldCharType="end"/>
      </w:r>
      <w:r w:rsidR="00CB52EA" w:rsidRPr="00BD14B0">
        <w:t xml:space="preserve">. </w:t>
      </w:r>
      <w:r w:rsidR="000115E0" w:rsidRPr="00695B36">
        <w:t xml:space="preserve">These findings, consistent with the literature, suggest that females tend to have a more reflexive gaze cueing effect compared to males (Bayliss et al., 2005) and this </w:t>
      </w:r>
      <w:r w:rsidR="000115E0" w:rsidRPr="000F40C7">
        <w:t>is not affected by social power or gender of the gazer in dangerous situations. In contrast to Cui et al. (2014), we have shown that females did not show a difference between the low-social power and high-social power conditions in relation to the gaze cueing effect in a dangerous scenario. An important detail is that Cui et al. (2014) collected data from participants from an Eastern culture, but our participants came from a Western culture. To our knowledge, the current study measured the impact of perceived social power on the gaze cueing effect in a dangerous scenario in the Western context for the first-time without visual categorization information about the gazer.</w:t>
      </w:r>
      <w:r w:rsidR="000115E0">
        <w:t xml:space="preserve"> </w:t>
      </w:r>
    </w:p>
    <w:p w14:paraId="67120CC2" w14:textId="5490CBF4" w:rsidR="00CB52EA" w:rsidRPr="00BD14B0" w:rsidRDefault="00C513E8" w:rsidP="00553E01">
      <w:r w:rsidRPr="00BD14B0">
        <w:lastRenderedPageBreak/>
        <w:tab/>
      </w:r>
      <w:r w:rsidR="000115E0" w:rsidRPr="00695B36">
        <w:t xml:space="preserve">This cultural difference between the current and Cui at al.’s (2014) sample could explain the differences in the results. As previously explained, interdependent (i.e., collectivist) cultures require individuals to be more aware of people and the interaction between them (Cohen et al., 2015). The effects of perceived power may be magnified if participants are put in a context in which they have to rely on others in order to achieve their goals. Hence, the perceived social </w:t>
      </w:r>
      <w:r w:rsidR="000115E0" w:rsidRPr="001C0F87">
        <w:t>power might show enhanced importance in Eastern cultures as shown at Cui et al. (2014). However, the same social constructs would not show similar importance of context in a Western culture. Indeed, the current study showed that females show enhanced gaze cueing effect compared to males under both high-social power and low-social power conditions.</w:t>
      </w:r>
    </w:p>
    <w:p w14:paraId="3A8056C7" w14:textId="1EB5E39B" w:rsidR="00CB52EA" w:rsidRPr="00BD14B0" w:rsidRDefault="00C513E8" w:rsidP="00553E01">
      <w:r w:rsidRPr="00BD14B0">
        <w:tab/>
      </w:r>
      <w:r w:rsidR="000115E0" w:rsidRPr="00695B36">
        <w:t xml:space="preserve">It has been suggested that humans </w:t>
      </w:r>
      <w:proofErr w:type="gramStart"/>
      <w:r w:rsidR="000115E0" w:rsidRPr="00695B36">
        <w:t>have a tendency to</w:t>
      </w:r>
      <w:proofErr w:type="gramEnd"/>
      <w:r w:rsidR="000115E0" w:rsidRPr="00695B36">
        <w:t xml:space="preserve"> locate more attention in high-status individuals. In a similar vein, </w:t>
      </w:r>
      <w:r w:rsidR="000115E0" w:rsidRPr="00695B36">
        <w:fldChar w:fldCharType="begin" w:fldLock="1"/>
      </w:r>
      <w:r w:rsidR="000115E0" w:rsidRPr="00695B36">
        <w:instrText>ADDIN CSL_CITATION {"citationItems":[{"id":"ITEM-1","itemData":{"DOI":"10.1371/journal.pone.0059471","ISSN":"1932-6203","abstract":"Gaze following is a socio-cognitive process that provides adaptive information about potential threats and opportunities in the individual's environment. The aim of the present study was to investigate the potential interaction between emotional context and facial dominance in gaze following. We used the gaze cue task to induce attention to or away from the location of a target stimulus. In the experiment, the gaze cue either belonged to a (dominant looking) male face or a (non-dominant looking) female face. Critically, prior to the task, individuals were primed with pictures of threat or no threat to induce either a dangerous or safe environment. Findings revealed that the primed emotional context critically influenced the gaze cuing effect. While a gaze cue of the dominant male face influenced performance in both the threat and no-threat conditions, the gaze cue of the non-dominant female face only influenced performance in the no-threat condition. This research suggests an implicit, context-dependent follower bias, which carries implications for research on visual attention, social cognition, and leadership.","author":[{"dropping-particle":"","family":"Ohlsen","given":"Garian","non-dropping-particle":"","parse-names":false,"suffix":""},{"dropping-particle":"","family":"Zoest","given":"Wieske","non-dropping-particle":"van","parse-names":false,"suffix":""},{"dropping-particle":"","family":"Vugt","given":"Mark","non-dropping-particle":"van","parse-names":false,"suffix":""}],"container-title":"PLoS ONE","editor":[{"dropping-particle":"","family":"Avenanti","given":"Alessio","non-dropping-particle":"","parse-names":false,"suffix":""}],"id":"ITEM-1","issue":"4","issued":{"date-parts":[["2013","4","3"]]},"note":"Times Cited: 7\n7","page":"e59471","title":"Gender and Facial Dominance in Gaze Cuing: Emotional Context Matters in the Eyes That We Follow","type":"article-journal","volume":"8"},"uris":["http://www.mendeley.com/documents/?uuid=7d99e529-16ff-4ecc-9ded-0ca936d93c3c"]}],"mendeley":{"formattedCitation":"(Ohlsen et al., 2013)","manualFormatting":"Ohlsen et al. (2013)","plainTextFormattedCitation":"(Ohlsen et al., 2013)","previouslyFormattedCitation":"(Ohlsen et al., 2013)"},"properties":{"noteIndex":0},"schema":"https://github.com/citation-style-language/schema/raw/master/csl-citation.json"}</w:instrText>
      </w:r>
      <w:r w:rsidR="000115E0" w:rsidRPr="00695B36">
        <w:fldChar w:fldCharType="separate"/>
      </w:r>
      <w:r w:rsidR="000115E0" w:rsidRPr="00695B36">
        <w:rPr>
          <w:noProof/>
        </w:rPr>
        <w:t>Ohlsen et al. (2013)</w:t>
      </w:r>
      <w:r w:rsidR="000115E0" w:rsidRPr="00695B36">
        <w:fldChar w:fldCharType="end"/>
      </w:r>
      <w:r w:rsidR="000115E0" w:rsidRPr="00695B36">
        <w:t xml:space="preserve"> used 300ms - a relatively short SOA - to trigger the reflexive attentional shifts on gaze cueing and demonstrated that physical features of the face effectively manipulated the strength of gaze cueing. According to their findings, a dominant-looking male face has a stronger effect on gaze cueing in both threat and no-threat conditions, whereas a non-dominant female face only influences performance in a no-threat condition. They did, however, focused on the visual representation of dominance by showing dominant male face and non-dominant female as gazer faces</w:t>
      </w:r>
      <w:r w:rsidR="000115E0" w:rsidRPr="00920519">
        <w:t>. The perception of social status can be derived from verbal information as well as social information.</w:t>
      </w:r>
      <w:r w:rsidR="000115E0" w:rsidRPr="00695B36">
        <w:t xml:space="preserve"> Here, we discovered that without a visual representation of dominance, perceived social power did not </w:t>
      </w:r>
      <w:proofErr w:type="gramStart"/>
      <w:r w:rsidR="000115E0" w:rsidRPr="00695B36">
        <w:t>effect</w:t>
      </w:r>
      <w:proofErr w:type="gramEnd"/>
      <w:r w:rsidR="000115E0" w:rsidRPr="00695B36">
        <w:t xml:space="preserve"> on the strength of gaze cueing for both male and female participants. Based on the findings of this study, it is possible to conclude that when participants are exposed to visual stimuli, the effect of social power is more likely to be present. The strengthening effect of gaze cueing would be reduced if the physical features of the face were not manipulated and participants are not exposed to visual stimuli, at least in gaze cueing tasks with short SOAs.</w:t>
      </w:r>
    </w:p>
    <w:p w14:paraId="688DE423" w14:textId="49E93F34" w:rsidR="00CB52EA" w:rsidRPr="00BD14B0" w:rsidRDefault="00C513E8" w:rsidP="00553E01">
      <w:r w:rsidRPr="00BD14B0">
        <w:tab/>
      </w:r>
      <w:r w:rsidR="00CB52EA" w:rsidRPr="00BD14B0">
        <w:t xml:space="preserve">Next, the findings </w:t>
      </w:r>
      <w:r w:rsidR="006B760C" w:rsidRPr="00BD14B0">
        <w:t>indicated</w:t>
      </w:r>
      <w:r w:rsidR="00CB52EA" w:rsidRPr="00BD14B0">
        <w:t xml:space="preserve"> that female participants were more likely to follow the eye gaze of others regardless of their social status. The main effect of the gender of the participant was significant, suggesting that there was a significantly greater difference between congruent and incongruent trials among female participants and therefore they </w:t>
      </w:r>
      <w:r w:rsidR="00CB52EA" w:rsidRPr="00BD14B0">
        <w:lastRenderedPageBreak/>
        <w:t xml:space="preserve">were more sensitive to social stimuli in </w:t>
      </w:r>
      <w:r w:rsidR="00611FED" w:rsidRPr="00BD14B0">
        <w:t xml:space="preserve">a </w:t>
      </w:r>
      <w:r w:rsidR="00CB52EA" w:rsidRPr="00BD14B0">
        <w:t xml:space="preserve">dangerous situation. </w:t>
      </w:r>
      <w:r w:rsidR="00CB52EA" w:rsidRPr="00BD14B0">
        <w:fldChar w:fldCharType="begin" w:fldLock="1"/>
      </w:r>
      <w:r w:rsidR="004D2901" w:rsidRPr="00BD14B0">
        <w:instrText>ADDIN CSL_CITATION {"citationItems":[{"id":"ITEM-1","itemData":{"DOI":"10.1080/02724980443000124","ISSN":"0272-4987","author":[{"dropping-particle":"","family":"Bayliss","given":"A P","non-dropping-particle":"","parse-names":false,"suffix":""},{"dropping-particle":"","family":"Pellegrino","given":"G","non-dropping-particle":"Di","parse-names":false,"suffix":""},{"dropping-particle":"","family":"Tipper","given":"Sr.","non-dropping-particle":"","parse-names":false,"suffix":""}],"container-title":"Q. J. Exp. Psychol. Sect A-Hum. Exp. Psychol.","id":"ITEM-1","issue":"4","issued":{"date-parts":[["2005"]]},"page":"631-650","title":"Sex differences in eye gaze and symbolic cueing of attention","type":"article-journal","volume":"58"},"uris":["http://www.mendeley.com/documents/?uuid=7b881ecf-5260-4917-87e0-0a239da8d4e2"]}],"mendeley":{"formattedCitation":"(A P Bayliss et al., 2005)","manualFormatting":"Bayliss, Di Pellegrino, and Tipper (2005)","plainTextFormattedCitation":"(A P Bayliss et al., 2005)","previouslyFormattedCitation":"(A P Bayliss et al., 2005)"},"properties":{"noteIndex":0},"schema":"https://github.com/citation-style-language/schema/raw/master/csl-citation.json"}</w:instrText>
      </w:r>
      <w:r w:rsidR="00CB52EA" w:rsidRPr="00BD14B0">
        <w:fldChar w:fldCharType="separate"/>
      </w:r>
      <w:r w:rsidR="00CB52EA" w:rsidRPr="00BD14B0">
        <w:rPr>
          <w:noProof/>
        </w:rPr>
        <w:t>Bayliss, Di Pellegrino, and Tipper (2005)</w:t>
      </w:r>
      <w:r w:rsidR="00CB52EA" w:rsidRPr="00BD14B0">
        <w:fldChar w:fldCharType="end"/>
      </w:r>
      <w:r w:rsidR="00CB52EA" w:rsidRPr="00BD14B0">
        <w:t xml:space="preserve"> showed a gender difference in gaze cueing, such that males had significantly weaker gaze-cueing effects than did female participants (see also </w:t>
      </w:r>
      <w:r w:rsidR="00CB52EA" w:rsidRPr="00BD14B0">
        <w:fldChar w:fldCharType="begin" w:fldLock="1"/>
      </w:r>
      <w:r w:rsidR="004D2901" w:rsidRPr="00BD14B0">
        <w:instrText>ADDIN CSL_CITATION {"citationItems":[{"id":"ITEM-1","itemData":{"DOI":"10.1098/rsbl.2006.0564","ISSN":"1744-9561","abstract":"Gaze cuing, the tendency to shift attention in the direction other individuals are looking, is hypothesized to depend on a distinct neural module. One expectation of such a module is that information processing should be encapsulated within it. Here, we tested whether familiarity, a type of social knowledge, penetrates the neural circuits governing gaze cuing. Male and female subjects viewed the face of an adult male looking left or right and then pressed a keypad to indicate the location of a target appearing randomly left or right. Responses were faster for targets congruent with gaze direction. Moreover, gaze cuing was stronger in females than males. Contrary to the modularity hypothesis, familiarity enhanced gaze cuing, but only in females. Sex differences in the effects of familiarity on gaze cuing may reflect greater adaptive significance of social information for females than males.","author":[{"dropping-particle":"","family":"Deaner","given":"Robert O","non-dropping-particle":"","parse-names":false,"suffix":""},{"dropping-particle":"V","family":"Shepherd","given":"Stephen","non-dropping-particle":"","parse-names":false,"suffix":""},{"dropping-particle":"","family":"Platt","given":"Michael L","non-dropping-particle":"","parse-names":false,"suffix":""}],"container-title":"Biology Letters","id":"ITEM-1","issue":"1","issued":{"date-parts":[["2007","2","22"]]},"note":"Times Cited: 31\n32","page":"65-68","title":"Familiarity accentuates gaze cuing in women but not men","type":"article-journal","volume":"3"},"uris":["http://www.mendeley.com/documents/?uuid=c40566fa-2045-42e8-8818-c7b3fd74af89"]}],"mendeley":{"formattedCitation":"(R. O. Deaner et al., 2007)","manualFormatting":"Deaner, Shepherd, &amp; Platt, 2007)","plainTextFormattedCitation":"(R. O. Deaner et al., 2007)","previouslyFormattedCitation":"(R. O. Deaner et al., 2007)"},"properties":{"noteIndex":0},"schema":"https://github.com/citation-style-language/schema/raw/master/csl-citation.json"}</w:instrText>
      </w:r>
      <w:r w:rsidR="00CB52EA" w:rsidRPr="00BD14B0">
        <w:fldChar w:fldCharType="separate"/>
      </w:r>
      <w:r w:rsidR="00CB52EA" w:rsidRPr="00BD14B0">
        <w:rPr>
          <w:noProof/>
        </w:rPr>
        <w:t>Deaner, Shepherd, &amp; Platt, 2007)</w:t>
      </w:r>
      <w:r w:rsidR="00CB52EA" w:rsidRPr="00BD14B0">
        <w:fldChar w:fldCharType="end"/>
      </w:r>
      <w:r w:rsidR="00CB52EA" w:rsidRPr="00BD14B0">
        <w:t>. Here, we replicated these results under conditions of high danger. Next, there was no interaction between gender and social power. The difference between male and female participants was persistent in all social power conditions. In addition, there was no interaction between gender of the gazer and gender of the participant; this suggests that females showed a stronger gaze cueing effect on both male and female faces compared to male participants.</w:t>
      </w:r>
    </w:p>
    <w:p w14:paraId="4DD8C6EF" w14:textId="77777777" w:rsidR="000115E0" w:rsidRDefault="00C513E8" w:rsidP="00553E01">
      <w:r w:rsidRPr="00BD14B0">
        <w:tab/>
      </w:r>
      <w:r w:rsidR="000115E0" w:rsidRPr="00695B36">
        <w:t xml:space="preserve">Females tend to show enhanced sensitivity to social cues perceived by eye gaze compared to males. Females have been found to be more sensitive to social cues than males in various social contexts, including dangerous scenes, in the gaze cueing effect. It has been suggested that weaker responses from male participants can be explained through the theory of autism spectrum. According to Baron-Cohen (2003), males are more likely to display more autism-like traits in the normal population than females. And they speculated that there was a negative </w:t>
      </w:r>
      <w:r w:rsidR="000115E0" w:rsidRPr="00695B36">
        <w:rPr>
          <w:lang w:eastAsia="en-US"/>
        </w:rPr>
        <w:t xml:space="preserve">correlation between cueing effects and Autism Spectrum Traits (measured by AQ; Baron-Cohen et al., 2001). Thus, people with higher autism traits - which is more likely to be mal e- would have fewer social skills and tend to show a smaller gaze-cueing effect. </w:t>
      </w:r>
      <w:r w:rsidR="000115E0" w:rsidRPr="00695B36">
        <w:t>The current study showed that female participants had a stronger gaze cueing effect compared to males; this is consistent with, and adds to, the literature. Unlike previous studies that used visual categorization cues to manipulate social power, this study focused on eliminating differences in the physical characteristics of the gazers, including their facial aspects, and measured the social aspect of social power. Previous studies have shown that facial dominance is effective in assigning social power to the gazer in both monkey and human popu</w:t>
      </w:r>
      <w:r w:rsidR="000115E0" w:rsidRPr="001C0F87">
        <w:t>lations; however, none of the studies has looked at the social relationship between the gazer and the observer. The current research has similar aspects to previous studies but offers additional attributes that indicate females are more sensitive to social cues in a dangerous environment unlike eastern context. Additionally, it is also unique as it was carried out for the first time in a Western context. As a result, this disparity in social sensitivity may not be universal and might be related to the social environment in which people were raised and lived.</w:t>
      </w:r>
    </w:p>
    <w:p w14:paraId="74104B95" w14:textId="48CF5FC6" w:rsidR="00B84F38" w:rsidRPr="00BD14B0" w:rsidRDefault="00B84F38" w:rsidP="00553E01">
      <w:r w:rsidRPr="00BD14B0">
        <w:lastRenderedPageBreak/>
        <w:tab/>
      </w:r>
      <w:r w:rsidR="000115E0" w:rsidRPr="00695B36">
        <w:t xml:space="preserve">Next, more female participants (40 females) than male participants (31 males) were present in the current study, as this is the case for the majority of the studies in the literature. Most psychology departments have easier access to female participants via departmental recruitment systems, resulting in most studies having more females than males. As repeatedly shown, females and males tend to demonstrate different strategies for social attention tasks. Most studies use female-based samples, and this is a major limitation in this field. Ultimately, this can affect the interpretation of outcomes, especially when building on hypotheses based on different studies. In the current study, the power analyses indicated that the sample size would need to be 78. Data from 31 males and 40 female participants were analysed after outliers were removed. The ratio was 44% and 56% respectively. The current study had a relatively equal sample ratio when compared to some other important studies in the literature. For instance, there were 4 male and 16 female participants (20% and 80%, respectively) in a recent research study of social gaze by </w:t>
      </w:r>
      <w:r w:rsidR="000115E0" w:rsidRPr="00695B36">
        <w:fldChar w:fldCharType="begin" w:fldLock="1"/>
      </w:r>
      <w:r w:rsidR="000115E0" w:rsidRPr="00695B36">
        <w:instrText>ADDIN CSL_CITATION {"citationItems":[{"id":"ITEM-1","itemData":{"DOI":"10.3758/s13414-019-01671-1","ISBN":"1341401901671","ISSN":"1943-3921","abstract":"We tested whether gaze direction identification of individual faces can be modulated by prior social gaze encounters. In two experiments, participants first completed a joint-gaze learning task using a saccade/antisaccade paradigm. Participants would encounter some ‘joint-gaze faces’ that would consistently look at the participants saccade goal before participants looked there (Experiment 1) or would follow the participants gaze to the target (Experiment 2). ‘Non-joint-gaze faces’ would consistently look in the opposite direction. Participants then completed a second task in which they judged the gaze direction of the faces they had previously encountered. Participants were less likely to erroneously report faces with slightly deviated gaze as looking directly at them if the face had previously never engaged in joint gaze with them. However, this bias was only present when those faces had looked first (Experiment 1) and not when the faces looked after participants (Experiment 2). Comparing these data with gaze identification responses of a control group that did not complete any joint-gaze learning phase revealed that the difference in gaze identification in Experiment 1 is likely driven by a lowering of direct gaze bias in response to non-joint-gaze faces. Thus, previous joint-gaze experiences can affect gaze direction judgements at an identity-specific level. However, this modulation may rely on the socio-cognitive information available from viewing other’s initiation behaviours, especially when they fail to engage in social contact.","author":[{"dropping-particle":"","family":"Edwards","given":"S. Gareth","non-dropping-particle":"","parse-names":false,"suffix":""},{"dropping-particle":"","family":"Bayliss","given":"Andrew P.","non-dropping-particle":"","parse-names":false,"suffix":""}],"container-title":"Attention, Perception, &amp; Psychophysics","id":"ITEM-1","issue":"8","issued":{"date-parts":[["2019","11","15"]]},"page":"2755-2765","publisher":"Attention, Perception, &amp; Psychophysics","title":"Seeing eye-to-eye: Social gaze interactions influence gaze direction identification","type":"article-journal","volume":"81"},"uris":["http://www.mendeley.com/documents/?uuid=3bf17c53-1bbe-49d7-b5cf-4f4177c8122e"]}],"mendeley":{"formattedCitation":"(Edwards &amp; Bayliss, 2019)","manualFormatting":"Edwards and Bayliss (2019)","plainTextFormattedCitation":"(Edwards &amp; Bayliss, 2019)","previouslyFormattedCitation":"(Edwards &amp; Bayliss, 2019)"},"properties":{"noteIndex":0},"schema":"https://github.com/citation-style-language/schema/raw/master/csl-citation.json"}</w:instrText>
      </w:r>
      <w:r w:rsidR="000115E0" w:rsidRPr="00695B36">
        <w:fldChar w:fldCharType="separate"/>
      </w:r>
      <w:r w:rsidR="000115E0" w:rsidRPr="00695B36">
        <w:rPr>
          <w:noProof/>
        </w:rPr>
        <w:t>Edwards and Bayliss (2019)</w:t>
      </w:r>
      <w:r w:rsidR="000115E0" w:rsidRPr="00695B36">
        <w:fldChar w:fldCharType="end"/>
      </w:r>
      <w:r w:rsidR="000115E0" w:rsidRPr="00695B36">
        <w:t xml:space="preserve">. Similarly, there were 12 male and 25 female participants (22% and 78%, respectively) in another influential study about group belonging conducted by </w:t>
      </w:r>
      <w:r w:rsidR="000115E0" w:rsidRPr="00695B36">
        <w:fldChar w:fldCharType="begin" w:fldLock="1"/>
      </w:r>
      <w:r w:rsidR="000115E0" w:rsidRPr="00695B36">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2011)","manualFormatting":"Pavan et al. (2011)","plainTextFormattedCitation":"(Pavan et al., 2011)","previouslyFormattedCitation":"(Pavan et al., 2011)"},"properties":{"noteIndex":0},"schema":"https://github.com/citation-style-language/schema/raw/master/csl-citation.json"}</w:instrText>
      </w:r>
      <w:r w:rsidR="000115E0" w:rsidRPr="00695B36">
        <w:fldChar w:fldCharType="separate"/>
      </w:r>
      <w:r w:rsidR="000115E0" w:rsidRPr="00695B36">
        <w:rPr>
          <w:noProof/>
        </w:rPr>
        <w:t>Pavan et al. (2011)</w:t>
      </w:r>
      <w:r w:rsidR="000115E0" w:rsidRPr="00695B36">
        <w:fldChar w:fldCharType="end"/>
      </w:r>
      <w:r w:rsidR="000115E0" w:rsidRPr="00695B36">
        <w:t xml:space="preserve">. The influence of episodically learned social knowledge on the magnitude of the gaze cueing effect was investigated by </w:t>
      </w:r>
      <w:r w:rsidR="000115E0" w:rsidRPr="00695B36">
        <w:fldChar w:fldCharType="begin" w:fldLock="1"/>
      </w:r>
      <w:r w:rsidR="000115E0" w:rsidRPr="00695B36">
        <w:instrText>ADDIN CSL_CITATION {"citationItems":[{"id":"ITEM-1","itemData":{"DOI":"10.1037/xlm0000159","ISSN":"1939-1285","PMID":"26237618","abstract":"We assessed the extent to which previous experience of joint gaze with people (i.e., looking toward the same object) modulates later gaze cueing of attention elicited by those individuals. Participants in Experiments 1 and 2a/b first completed a saccade/antisaccade task while a to-be-ignored face either looked at, or away from, the participants&amp;#039; eye movement target. Two faces always engaged in joint gaze with the participant, whereas 2 other faces never engaged in joint gaze. Then, we assessed standard gaze cueing in response to these faces to ascertain the effect of these prior interactions on subsequent social attention episodes. In Experiment 1, the face&amp;#039;s eyes moved before the participant&amp;#039;s target appeared, meaning that the participant always gaze-followed 2 faces and never gaze-followed 2 other faces. We found that this prior experience modulated the timecourse of subsequent gaze cueing. In Experiments 2a/b, the participant looked at the target first, then was either followed (i.e., the participant initiated joint gaze), or was not followed. These participants then showed an overall decrement of gaze cueing with individuals who had previously followed participants&amp;#039; eyes (Experiment 2a), an effect that was associated with autism spectrum quotient scores and modulated perceived trustworthiness of the faces (Experiment 2b). Experiment 3 demonstrated that these modulations are unlikely to be because of the association of different levels of task difficulty with particular faces. These findings suggest that establishing joint gaze with others influences subsequent social attention processes that are generally thought to be relatively insensitive to learning from prior episodes.","author":[{"dropping-particle":"","family":"Dalmaso","given":"Mario","non-dropping-particle":"","parse-names":false,"suffix":""},{"dropping-particle":"","family":"Edwards","given":"S. Gareth","non-dropping-particle":"","parse-names":false,"suffix":""},{"dropping-particle":"","family":"Bayliss","given":"Andrew P.","non-dropping-particle":"","parse-names":false,"suffix":""}],"container-title":"Journal of Experimental Psychology: Learning, Memory, and Cognition","id":"ITEM-1","issue":"2","issued":{"date-parts":[["2016"]]},"page":"271-284","title":"Re-encountering individuals who previously engaged in joint gaze modulates subsequent gaze cueing.","type":"article-journal","volume":"42"},"uris":["http://www.mendeley.com/documents/?uuid=a7f36e5d-a347-40e8-9ba4-63ed8145ceab"]}],"mendeley":{"formattedCitation":"(Dalmaso et al., 2016)","manualFormatting":"Dalmaso et al. (2016)","plainTextFormattedCitation":"(Dalmaso et al., 2016)","previouslyFormattedCitation":"(Dalmaso et al., 2016)"},"properties":{"noteIndex":0},"schema":"https://github.com/citation-style-language/schema/raw/master/csl-citation.json"}</w:instrText>
      </w:r>
      <w:r w:rsidR="000115E0" w:rsidRPr="00695B36">
        <w:fldChar w:fldCharType="separate"/>
      </w:r>
      <w:r w:rsidR="000115E0" w:rsidRPr="00695B36">
        <w:rPr>
          <w:noProof/>
        </w:rPr>
        <w:t>Dalmaso et al. (2016)</w:t>
      </w:r>
      <w:r w:rsidR="000115E0" w:rsidRPr="00695B36">
        <w:fldChar w:fldCharType="end"/>
      </w:r>
      <w:r w:rsidR="000115E0" w:rsidRPr="00695B36">
        <w:t xml:space="preserve"> with 8 males 11 females (42% and 58 %, respectively). In the present study, the effect size was precalculated with G*Power and the male-female ratio is closer to being equal than </w:t>
      </w:r>
      <w:r w:rsidR="000115E0">
        <w:t>pr</w:t>
      </w:r>
      <w:r w:rsidR="000115E0" w:rsidRPr="00695B36">
        <w:t>evious studies on the gaze cueing effect. Future research would benefit from having an equal number of male and female participants and not having female-biased samples.</w:t>
      </w:r>
    </w:p>
    <w:p w14:paraId="298C367D" w14:textId="32775EA6" w:rsidR="004D2901" w:rsidRPr="00BD14B0" w:rsidRDefault="00C513E8" w:rsidP="004D2901">
      <w:r w:rsidRPr="00BD14B0">
        <w:tab/>
      </w:r>
      <w:r w:rsidR="00004D26" w:rsidRPr="00BD14B0">
        <w:t xml:space="preserve">In the present study, it has been shown that there was a gender difference in the strength of the gaze cueing effect. There might be more than one explanation about why this difference occurred. Although results showed a clear difference between males and females on gaze cueing, it is not possible to determine why this difference was observed in this context. First, there was an emphasis on the danger in priming task, so the danger in the environment might trigger be triggering individuals to be hyper-alert. From an evolutionary perspective, it would be beneficial for the whole group’s survival if the males guide their attention to the environment to gather more information about where the danger is from and how to avoid it. Meanwhile, females in the group might be acting more sensitive to the social cue of others to provide security for the members of the group. </w:t>
      </w:r>
      <w:r w:rsidR="00004D26" w:rsidRPr="00BD14B0">
        <w:rPr>
          <w:rFonts w:eastAsia="Calibri"/>
        </w:rPr>
        <w:t xml:space="preserve">From an evolutionary </w:t>
      </w:r>
      <w:r w:rsidR="00004D26" w:rsidRPr="00BD14B0">
        <w:rPr>
          <w:rFonts w:eastAsia="Calibri"/>
        </w:rPr>
        <w:lastRenderedPageBreak/>
        <w:t xml:space="preserve">perspective, the explanation is overly simplified and explains only the biological ties of social attention. </w:t>
      </w:r>
      <w:r w:rsidR="004D2901" w:rsidRPr="00BD14B0">
        <w:t xml:space="preserve">Additionally, a categorical distinction based on gender (male/female) may ignore the influence of important individual differences. Hence, it is not possible to assess whether other individual differences, such as self-esteem </w:t>
      </w:r>
      <w:r w:rsidR="002C2030">
        <w:fldChar w:fldCharType="begin" w:fldLock="1"/>
      </w:r>
      <w:r w:rsidR="002C2030">
        <w:instrText>ADDIN CSL_CITATION {"citationItems":[{"id":"ITEM-1","itemData":{"DOI":"10.1111/j.1467-9280.2009.02321.x","ISSN":"0956-7976","abstract":"Social-psychological theories of belongingness self-regulation suggest that when one's need for interpersonal relationships is not being met, one begins to monitor the social environment more closely. Presumably, this serves to increase awareness of the likelihood of social acceptance versus rejection and to inform later social decision-making processes. The current investigation tested whether low belongingness increases a particular form of social monitoring that has recently been documented in the cognitive literature: gaze-triggered orienting. Low belongingness was operationalized either in terms of low trait self-esteem (Studies 1a and 1b) or in terms of the priming of rejection-related thoughts (Study 2). Across the studies, the normal tendency to orient attention in accordance with another individual's eye gaze was augmented under conditions of low belongingness. However, belongingness had no influence on a nonsocial form of orienting. The results are discussed in terms of their implications for theories of belongingness self-regulation and social attention.","author":[{"dropping-particle":"","family":"Wilkowski","given":"Benjamin M","non-dropping-particle":"","parse-names":false,"suffix":""},{"dropping-particle":"","family":"Robinson","given":"Michael D","non-dropping-particle":"","parse-names":false,"suffix":""},{"dropping-particle":"","family":"Friesen","given":"Chris Kelland","non-dropping-particle":"","parse-names":false,"suffix":""}],"container-title":"Psychological Science","id":"ITEM-1","issue":"4","issued":{"date-parts":[["2009"]]},"note":"Times Cited: 14\n14","page":"495-501","title":"Gaze-Triggered Orienting as a Tool of the Belongingness Self-Regulation System","type":"article-journal","volume":"20"},"uris":["http://www.mendeley.com/documents/?uuid=47aca31c-4210-416f-a2e0-d5e5414c87cb"]}],"mendeley":{"formattedCitation":"(Wilkowski et al., 2009)","plainTextFormattedCitation":"(Wilkowski et al., 2009)","previouslyFormattedCitation":"(Wilkowski et al., 2009)"},"properties":{"noteIndex":0},"schema":"https://github.com/citation-style-language/schema/raw/master/csl-citation.json"}</w:instrText>
      </w:r>
      <w:r w:rsidR="002C2030">
        <w:fldChar w:fldCharType="separate"/>
      </w:r>
      <w:r w:rsidR="002C2030" w:rsidRPr="002C2030">
        <w:rPr>
          <w:noProof/>
        </w:rPr>
        <w:t>(Wilkowski et al., 2009)</w:t>
      </w:r>
      <w:r w:rsidR="002C2030">
        <w:fldChar w:fldCharType="end"/>
      </w:r>
      <w:r w:rsidR="002C2030">
        <w:t xml:space="preserve"> </w:t>
      </w:r>
      <w:r w:rsidR="004D2901" w:rsidRPr="00BD14B0">
        <w:t xml:space="preserve">and introversion/ extraversion traits </w:t>
      </w:r>
      <w:r w:rsidR="002C2030">
        <w:fldChar w:fldCharType="begin" w:fldLock="1"/>
      </w:r>
      <w:r w:rsidR="002C2030">
        <w:instrText>ADDIN CSL_CITATION {"citationItems":[{"id":"ITEM-1","itemData":{"DOI":"10.1007/s10339-013-0559-z","ISSN":"1612-4782","abstract":"We investigated whether the extra-/introversion personality dimension can influence processing of others’ eye gaze direction and emotional facial expression during a target detection task. On the basis of previous evidence showing that self-reported trait anxiety can affect gaze-cueing with emotional faces, we also verified whether trait anxiety can modulate the influence of intro-/extraversion on behavioral performance. Fearful, happy, angry or neutral faces, with either direct or averted gaze, were presented before the target appeared in spatial locations congruent or incongruent with stimuli’s eye gaze direction. Results showed a significant influence of intra-/extraversion dimension on gaze-cueing effect for angry, happy, and neutral faces with averted gaze. Introverts did not show the gaze congruency effect when viewing angry expressions, but did so with happy and neutral faces; extraverts showed the opposite pattern. Importantly, the influence of intro-/extraversion on gaze-cueing was not mediated by trait anxiety. These findings demonstrated that personality differences can shape processing of interactions between relevant social signals.","author":[{"dropping-particle":"","family":"Ponari","given":"Marta","non-dropping-particle":"","parse-names":false,"suffix":""},{"dropping-particle":"","family":"Trojano","given":"Luigi","non-dropping-particle":"","parse-names":false,"suffix":""},{"dropping-particle":"","family":"Grossi","given":"Dario","non-dropping-particle":"","parse-names":false,"suffix":""},{"dropping-particle":"","family":"Conson","given":"Massimiliano","non-dropping-particle":"","parse-names":false,"suffix":""}],"container-title":"Cogn Process","id":"ITEM-1","issue":"3","issued":{"date-parts":[["2013"]]},"page":"293-299","title":"“Avoiding or approaching eyes”? Introversion/extraversion affects the gaze- cueing effect","type":"article-journal","volume":"14"},"uris":["http://www.mendeley.com/documents/?uuid=a47bc360-749d-474f-bf5e-e98764d35cc8"]}],"mendeley":{"formattedCitation":"(Ponari et al., 2013)","plainTextFormattedCitation":"(Ponari et al., 2013)","previouslyFormattedCitation":"(Ponari et al., 2013)"},"properties":{"noteIndex":0},"schema":"https://github.com/citation-style-language/schema/raw/master/csl-citation.json"}</w:instrText>
      </w:r>
      <w:r w:rsidR="002C2030">
        <w:fldChar w:fldCharType="separate"/>
      </w:r>
      <w:r w:rsidR="002C2030" w:rsidRPr="002C2030">
        <w:rPr>
          <w:noProof/>
        </w:rPr>
        <w:t>(Ponari et al., 2013)</w:t>
      </w:r>
      <w:r w:rsidR="002C2030">
        <w:fldChar w:fldCharType="end"/>
      </w:r>
      <w:r w:rsidR="002C2030">
        <w:t xml:space="preserve"> </w:t>
      </w:r>
      <w:r w:rsidR="004D2901" w:rsidRPr="00BD14B0">
        <w:t xml:space="preserve">or autistic traits </w:t>
      </w:r>
      <w:r w:rsidR="002C2030">
        <w:fldChar w:fldCharType="begin" w:fldLock="1"/>
      </w:r>
      <w:r w:rsidR="002C2030">
        <w:instrText>ADDIN CSL_CITATION {"citationItems":[{"id":"ITEM-1","itemData":{"DOI":"10.1371/journal.pone.0053286","ISSN":"1932-6203","abstract":"Social understanding is facilitated by effectively attending to other people and the subtle social cues they generate. In order to more fully appreciate the nature of social attention and what drives people to attend to social aspects of the world, one must investigate the factors that influence social attention. This is especially important when attempting to create models of disordered social attention, e.g. a model of social attention in autism. Here we analysed participants' viewing behaviour during one-to-one social interactions with an experimenter. Interactions were conducted either live or via video (social presence manipulation). The participant was asked and then required to answer questions. Experimenter eye-contact was either direct or averted. Additionally, the influence of participant self-reported autistic traits was also investigated. We found that regardless of whether the interaction was conducted live or via a video, participants frequently looked at the experimenter's face, and they did this more often when being asked a question than when answering. Critical differences in social attention between the live and video interactions were also observed. Modifications of experimenter eye contact influenced participants' eye movements in the live interaction only; and increased autistic traits were associated with less looking at the experimenter for video interactions only. We conclude that analysing patterns of eye-movements in response to strictly controlled video stimuli and natural real-world stimuli furthers the field's understanding of the factors that influence social attention.","author":[{"dropping-particle":"","family":"Freeth","given":"Megan","non-dropping-particle":"","parse-names":false,"suffix":""},{"dropping-particle":"","family":"Foulsham","given":"Tom","non-dropping-particle":"","parse-names":false,"suffix":""},{"dropping-particle":"","family":"Kingstone","given":"Alan","non-dropping-particle":"","parse-names":false,"suffix":""}],"container-title":"Plos One","id":"ITEM-1","issue":"1","issued":{"date-parts":[["2013"]]},"note":"Times Cited: 7\n7","title":"What Affects Social Attention? Social Presence, Eye Contact and Autistic Traits","type":"article-journal","volume":"8"},"uris":["http://www.mendeley.com/documents/?uuid=f6d66173-773d-42d2-adb6-34aa87867aab"]}],"mendeley":{"formattedCitation":"(Megan Freeth et al., 2013)","manualFormatting":"(Freeth et al., 2013)","plainTextFormattedCitation":"(Megan Freeth et al., 2013)","previouslyFormattedCitation":"(Megan Freeth et al., 2013)"},"properties":{"noteIndex":0},"schema":"https://github.com/citation-style-language/schema/raw/master/csl-citation.json"}</w:instrText>
      </w:r>
      <w:r w:rsidR="002C2030">
        <w:fldChar w:fldCharType="separate"/>
      </w:r>
      <w:r w:rsidR="002C2030" w:rsidRPr="002C2030">
        <w:rPr>
          <w:noProof/>
        </w:rPr>
        <w:t>(Freeth et al., 2013)</w:t>
      </w:r>
      <w:r w:rsidR="002C2030">
        <w:fldChar w:fldCharType="end"/>
      </w:r>
      <w:r w:rsidR="002C2030">
        <w:t xml:space="preserve">, </w:t>
      </w:r>
      <w:r w:rsidR="004D2901" w:rsidRPr="00BD14B0">
        <w:t xml:space="preserve">which have already been identified as related to the strength of gaze cueing, might also explain the gender difference. Future research should benefit from addressing this issue by focusing on individual differences across the population rather than focusing solely on gender. </w:t>
      </w:r>
    </w:p>
    <w:p w14:paraId="3E15928E" w14:textId="03133042" w:rsidR="00540907" w:rsidRPr="00BD14B0" w:rsidRDefault="00540907" w:rsidP="00553E01"/>
    <w:p w14:paraId="26CF374F" w14:textId="6F30E763" w:rsidR="000A1220" w:rsidRPr="00BD14B0" w:rsidRDefault="006B6F0F" w:rsidP="00553E01">
      <w:pPr>
        <w:pStyle w:val="Heading2"/>
      </w:pPr>
      <w:bookmarkStart w:id="72" w:name="_Toc108310784"/>
      <w:r w:rsidRPr="00BD14B0">
        <w:t>Limitations and future research</w:t>
      </w:r>
      <w:bookmarkEnd w:id="72"/>
    </w:p>
    <w:p w14:paraId="7DB4D999" w14:textId="651A6E99" w:rsidR="00C513E8" w:rsidRPr="00BD14B0" w:rsidRDefault="00C513E8" w:rsidP="00C513E8">
      <w:pPr>
        <w:rPr>
          <w:rFonts w:eastAsia="Calibri"/>
        </w:rPr>
      </w:pPr>
      <w:r w:rsidRPr="00BD14B0">
        <w:rPr>
          <w:rFonts w:eastAsia="Calibri"/>
        </w:rPr>
        <w:tab/>
      </w:r>
      <w:r w:rsidR="00C91B79" w:rsidRPr="00BD14B0">
        <w:rPr>
          <w:rFonts w:eastAsia="Calibri"/>
        </w:rPr>
        <w:t>First</w:t>
      </w:r>
      <w:r w:rsidR="00CB52EA" w:rsidRPr="00BD14B0">
        <w:rPr>
          <w:rFonts w:eastAsia="Calibri"/>
        </w:rPr>
        <w:t xml:space="preserve">, we used </w:t>
      </w:r>
      <w:r w:rsidR="00456DAF" w:rsidRPr="00BD14B0">
        <w:rPr>
          <w:rFonts w:eastAsia="Calibri"/>
        </w:rPr>
        <w:t xml:space="preserve">an office building as </w:t>
      </w:r>
      <w:r w:rsidR="00CB52EA" w:rsidRPr="00BD14B0">
        <w:rPr>
          <w:rFonts w:eastAsia="Calibri"/>
        </w:rPr>
        <w:t xml:space="preserve">a scenario that would represent a relatively familiar and safe environment </w:t>
      </w:r>
      <w:r w:rsidR="00456DAF" w:rsidRPr="00BD14B0">
        <w:rPr>
          <w:rFonts w:eastAsia="Calibri"/>
        </w:rPr>
        <w:t>for most participants</w:t>
      </w:r>
      <w:r w:rsidR="00CB52EA" w:rsidRPr="00BD14B0">
        <w:rPr>
          <w:rFonts w:eastAsia="Calibri"/>
        </w:rPr>
        <w:t>. For the safety of participants</w:t>
      </w:r>
      <w:r w:rsidR="00004D26" w:rsidRPr="00BD14B0">
        <w:rPr>
          <w:rFonts w:eastAsia="Calibri"/>
        </w:rPr>
        <w:t>’</w:t>
      </w:r>
      <w:r w:rsidR="00CB52EA" w:rsidRPr="00BD14B0">
        <w:rPr>
          <w:rFonts w:eastAsia="Calibri"/>
        </w:rPr>
        <w:t xml:space="preserve"> psychological state, the scenario of fire in </w:t>
      </w:r>
      <w:r w:rsidR="00004D26" w:rsidRPr="00BD14B0">
        <w:rPr>
          <w:rFonts w:eastAsia="Calibri"/>
        </w:rPr>
        <w:t xml:space="preserve">an </w:t>
      </w:r>
      <w:r w:rsidR="00CB52EA" w:rsidRPr="00BD14B0">
        <w:rPr>
          <w:rFonts w:eastAsia="Calibri"/>
        </w:rPr>
        <w:t xml:space="preserve">office building was used; however, </w:t>
      </w:r>
      <w:r w:rsidR="00004D26" w:rsidRPr="00BD14B0">
        <w:rPr>
          <w:rFonts w:eastAsia="Calibri"/>
        </w:rPr>
        <w:t xml:space="preserve">it is possible that </w:t>
      </w:r>
      <w:r w:rsidR="00CB52EA" w:rsidRPr="00BD14B0">
        <w:rPr>
          <w:rFonts w:eastAsia="Calibri"/>
        </w:rPr>
        <w:t>other imagined scenario</w:t>
      </w:r>
      <w:r w:rsidR="00004D26" w:rsidRPr="00BD14B0">
        <w:rPr>
          <w:rFonts w:eastAsia="Calibri"/>
        </w:rPr>
        <w:t>s</w:t>
      </w:r>
      <w:r w:rsidR="00CB52EA" w:rsidRPr="00BD14B0">
        <w:rPr>
          <w:rFonts w:eastAsia="Calibri"/>
        </w:rPr>
        <w:t xml:space="preserve"> where participants would feel </w:t>
      </w:r>
      <w:r w:rsidR="00004D26" w:rsidRPr="00BD14B0">
        <w:rPr>
          <w:rFonts w:eastAsia="Calibri"/>
        </w:rPr>
        <w:t xml:space="preserve">a </w:t>
      </w:r>
      <w:r w:rsidR="00CB52EA" w:rsidRPr="00BD14B0">
        <w:rPr>
          <w:rFonts w:eastAsia="Calibri"/>
        </w:rPr>
        <w:t xml:space="preserve">real </w:t>
      </w:r>
      <w:r w:rsidR="00004D26" w:rsidRPr="00BD14B0">
        <w:rPr>
          <w:rFonts w:eastAsia="Calibri"/>
        </w:rPr>
        <w:t>threat to</w:t>
      </w:r>
      <w:r w:rsidR="00CB52EA" w:rsidRPr="00BD14B0">
        <w:rPr>
          <w:rFonts w:eastAsia="Calibri"/>
        </w:rPr>
        <w:t xml:space="preserve"> their physical well-being may have a stronger effect. Although we asked our participants to imagine </w:t>
      </w:r>
      <w:r w:rsidR="00004D26" w:rsidRPr="00BD14B0">
        <w:rPr>
          <w:rFonts w:eastAsia="Calibri"/>
        </w:rPr>
        <w:t xml:space="preserve">the </w:t>
      </w:r>
      <w:r w:rsidR="00CB52EA" w:rsidRPr="00BD14B0">
        <w:rPr>
          <w:rFonts w:eastAsia="Calibri"/>
        </w:rPr>
        <w:t xml:space="preserve">dangerous scenario by adding the possibility of a fire in the building, this scenario might not trigger the survival instincts like a scenario of an earthquake. Indeed, </w:t>
      </w:r>
      <w:r w:rsidR="004D2901" w:rsidRPr="00BD14B0">
        <w:rPr>
          <w:rFonts w:eastAsia="Calibri"/>
        </w:rPr>
        <w:fldChar w:fldCharType="begin" w:fldLock="1"/>
      </w:r>
      <w:r w:rsidR="004D2901" w:rsidRPr="00BD14B0">
        <w:rPr>
          <w:rFonts w:eastAsia="Calibri"/>
        </w:rPr>
        <w:instrText>ADDIN CSL_CITATION {"citationItems":[{"id":"ITEM-1","itemData":{"DOI":"10.1371/journal.pone.0114077","ISSN":"1932-6203","abstract":"Past research has shown that position in a social hierarchy modulates one's social attention, as in the gaze cueing effect. While studies have manipulated the social status of others with whom the participants interact, we believe that a sense of one's own social power is also a crucial factor affecting gaze following. In two experiments, we primed the social power of participants, using different approaches, to investigate the participants' performance in a subsequent gaze cueing task. The results of Experiment 1 showed a stronger gaze cueing effect among participants who were primed with low social power, compared to those primed with high social power. Our predicted gender difference (i.e., women showing a stronger gaze cueing effect than men) was confirmed and this effect was found to be dominated by the lower social power condition. Experiment 2 manipulated the level of danger in the context and replicated the joint impact of gender and one's perceived social power on gaze cueing effect, especially in the low danger context, in comparison to the high danger context. These findings demonstrate that one's perceived social power has a concerted effect on social attention evoked by gaze, along with other factors such as gender and characteristics of the environment, and suggest the importance of further research on the complex relationship between an individual's position in the social hierarchy and social attention.","author":[{"dropping-particle":"","family":"Cui","given":"Gege","non-dropping-particle":"","parse-names":false,"suffix":""},{"dropping-particle":"","family":"Zhang","given":"Shen","non-dropping-particle":"","parse-names":false,"suffix":""},{"dropping-particle":"","family":"Geng","given":"Haiyan","non-dropping-particle":"","parse-names":false,"suffix":""}],"container-title":"PLoS ONE","editor":[{"dropping-particle":"","family":"Zalla","given":"Tiziana","non-dropping-particle":"","parse-names":false,"suffix":""}],"id":"ITEM-1","issue":"12","issued":{"date-parts":[["2014","12","2"]]},"note":"Times Cited: 0\n0","page":"e114077","title":"The Impact of Perceived Social Power and Dangerous Context on Social Attention","type":"article-journal","volume":"9"},"uris":["http://www.mendeley.com/documents/?uuid=12c9a307-1e51-4e35-a067-dc8dad89bc35"]}],"mendeley":{"formattedCitation":"(Cui et al., 2014)","plainTextFormattedCitation":"(Cui et al., 2014)","previouslyFormattedCitation":"(Cui et al., 2014)"},"properties":{"noteIndex":0},"schema":"https://github.com/citation-style-language/schema/raw/master/csl-citation.json"}</w:instrText>
      </w:r>
      <w:r w:rsidR="004D2901" w:rsidRPr="00BD14B0">
        <w:rPr>
          <w:rFonts w:eastAsia="Calibri"/>
        </w:rPr>
        <w:fldChar w:fldCharType="separate"/>
      </w:r>
      <w:r w:rsidR="004D2901" w:rsidRPr="00BD14B0">
        <w:rPr>
          <w:rFonts w:eastAsia="Calibri"/>
          <w:noProof/>
        </w:rPr>
        <w:t>(Cui et al., 2014)</w:t>
      </w:r>
      <w:r w:rsidR="004D2901" w:rsidRPr="00BD14B0">
        <w:rPr>
          <w:rFonts w:eastAsia="Calibri"/>
        </w:rPr>
        <w:fldChar w:fldCharType="end"/>
      </w:r>
      <w:r w:rsidR="004D2901" w:rsidRPr="00BD14B0">
        <w:rPr>
          <w:rFonts w:eastAsia="Calibri"/>
        </w:rPr>
        <w:t xml:space="preserve"> </w:t>
      </w:r>
      <w:r w:rsidR="00CB52EA" w:rsidRPr="00BD14B0">
        <w:rPr>
          <w:rFonts w:eastAsia="Calibri"/>
        </w:rPr>
        <w:t xml:space="preserve">used </w:t>
      </w:r>
      <w:r w:rsidR="00504705" w:rsidRPr="00BD14B0">
        <w:rPr>
          <w:rFonts w:eastAsia="Calibri"/>
        </w:rPr>
        <w:t xml:space="preserve">an earthquake </w:t>
      </w:r>
      <w:r w:rsidR="00CB52EA" w:rsidRPr="00BD14B0">
        <w:rPr>
          <w:rFonts w:eastAsia="Calibri"/>
        </w:rPr>
        <w:t xml:space="preserve">scenario </w:t>
      </w:r>
      <w:r w:rsidR="00456DAF" w:rsidRPr="00BD14B0">
        <w:rPr>
          <w:rFonts w:eastAsia="Calibri"/>
        </w:rPr>
        <w:t>but</w:t>
      </w:r>
      <w:r w:rsidR="00CB52EA" w:rsidRPr="00BD14B0">
        <w:rPr>
          <w:rFonts w:eastAsia="Calibri"/>
        </w:rPr>
        <w:t xml:space="preserve"> a</w:t>
      </w:r>
      <w:r w:rsidR="00456DAF" w:rsidRPr="00BD14B0">
        <w:rPr>
          <w:rFonts w:eastAsia="Calibri"/>
        </w:rPr>
        <w:t xml:space="preserve"> real </w:t>
      </w:r>
      <w:r w:rsidR="00CB52EA" w:rsidRPr="00BD14B0">
        <w:rPr>
          <w:rFonts w:eastAsia="Calibri"/>
        </w:rPr>
        <w:t xml:space="preserve">earthquake occurred in China at the time of the experiment. Their participants </w:t>
      </w:r>
      <w:r w:rsidR="00504705" w:rsidRPr="00BD14B0">
        <w:rPr>
          <w:rFonts w:eastAsia="Calibri"/>
        </w:rPr>
        <w:t>had</w:t>
      </w:r>
      <w:r w:rsidR="00CB52EA" w:rsidRPr="00BD14B0">
        <w:rPr>
          <w:rFonts w:eastAsia="Calibri"/>
        </w:rPr>
        <w:t xml:space="preserve"> already </w:t>
      </w:r>
      <w:r w:rsidR="00504705" w:rsidRPr="00BD14B0">
        <w:rPr>
          <w:rFonts w:eastAsia="Calibri"/>
        </w:rPr>
        <w:t xml:space="preserve">been </w:t>
      </w:r>
      <w:r w:rsidR="00CB52EA" w:rsidRPr="00BD14B0">
        <w:rPr>
          <w:rFonts w:eastAsia="Calibri"/>
        </w:rPr>
        <w:t xml:space="preserve">exposed to the dangers of natural disasters or </w:t>
      </w:r>
      <w:r w:rsidR="00504705" w:rsidRPr="00BD14B0">
        <w:rPr>
          <w:rFonts w:eastAsia="Calibri"/>
        </w:rPr>
        <w:t>had been</w:t>
      </w:r>
      <w:r w:rsidR="00CB52EA" w:rsidRPr="00BD14B0">
        <w:rPr>
          <w:rFonts w:eastAsia="Calibri"/>
        </w:rPr>
        <w:t xml:space="preserve"> primed with the danger </w:t>
      </w:r>
      <w:r w:rsidR="00504705" w:rsidRPr="00BD14B0">
        <w:rPr>
          <w:rFonts w:eastAsia="Calibri"/>
        </w:rPr>
        <w:t>by the</w:t>
      </w:r>
      <w:r w:rsidR="00CB52EA" w:rsidRPr="00BD14B0">
        <w:rPr>
          <w:rFonts w:eastAsia="Calibri"/>
        </w:rPr>
        <w:t xml:space="preserve"> media. The experimental priming manipulation </w:t>
      </w:r>
      <w:r w:rsidR="00504705" w:rsidRPr="00BD14B0">
        <w:rPr>
          <w:rFonts w:eastAsia="Calibri"/>
        </w:rPr>
        <w:t xml:space="preserve">used </w:t>
      </w:r>
      <w:r w:rsidR="00CB52EA" w:rsidRPr="00BD14B0">
        <w:rPr>
          <w:rFonts w:eastAsia="Calibri"/>
        </w:rPr>
        <w:t xml:space="preserve">in the current study </w:t>
      </w:r>
      <w:r w:rsidR="00004D26" w:rsidRPr="00BD14B0">
        <w:rPr>
          <w:rFonts w:eastAsia="Calibri"/>
        </w:rPr>
        <w:t xml:space="preserve">did </w:t>
      </w:r>
      <w:r w:rsidR="00504705" w:rsidRPr="00BD14B0">
        <w:rPr>
          <w:rFonts w:eastAsia="Calibri"/>
        </w:rPr>
        <w:t>not have the same</w:t>
      </w:r>
      <w:r w:rsidR="00CB52EA" w:rsidRPr="00BD14B0">
        <w:rPr>
          <w:rFonts w:eastAsia="Calibri"/>
        </w:rPr>
        <w:t xml:space="preserve"> connotation than that used by Cui et al. (2014). The current study </w:t>
      </w:r>
      <w:r w:rsidR="00504705" w:rsidRPr="00BD14B0">
        <w:rPr>
          <w:rFonts w:eastAsia="Calibri"/>
        </w:rPr>
        <w:t>measured</w:t>
      </w:r>
      <w:r w:rsidR="00CB52EA" w:rsidRPr="00BD14B0">
        <w:rPr>
          <w:rFonts w:eastAsia="Calibri"/>
        </w:rPr>
        <w:t xml:space="preserve"> the effectiveness of the primary task by asking</w:t>
      </w:r>
      <w:r w:rsidR="00504705" w:rsidRPr="00BD14B0">
        <w:rPr>
          <w:rFonts w:eastAsia="Calibri"/>
        </w:rPr>
        <w:t xml:space="preserve"> participants about</w:t>
      </w:r>
      <w:r w:rsidR="00CB52EA" w:rsidRPr="00BD14B0">
        <w:rPr>
          <w:rFonts w:eastAsia="Calibri"/>
        </w:rPr>
        <w:t xml:space="preserve"> details of the task and checking </w:t>
      </w:r>
      <w:r w:rsidR="00504705" w:rsidRPr="00BD14B0">
        <w:rPr>
          <w:rFonts w:eastAsia="Calibri"/>
        </w:rPr>
        <w:t xml:space="preserve">to see </w:t>
      </w:r>
      <w:r w:rsidR="00CB52EA" w:rsidRPr="00BD14B0">
        <w:rPr>
          <w:rFonts w:eastAsia="Calibri"/>
        </w:rPr>
        <w:t xml:space="preserve">if they remembered </w:t>
      </w:r>
      <w:r w:rsidR="00504705" w:rsidRPr="00BD14B0">
        <w:rPr>
          <w:rFonts w:eastAsia="Calibri"/>
        </w:rPr>
        <w:t>important</w:t>
      </w:r>
      <w:r w:rsidR="00CB52EA" w:rsidRPr="00BD14B0">
        <w:rPr>
          <w:rFonts w:eastAsia="Calibri"/>
        </w:rPr>
        <w:t xml:space="preserve"> details. Participants were asked if they were the leader or one of the followers</w:t>
      </w:r>
      <w:r w:rsidR="00890924" w:rsidRPr="00BD14B0">
        <w:rPr>
          <w:rFonts w:eastAsia="Calibri"/>
        </w:rPr>
        <w:t xml:space="preserve">, </w:t>
      </w:r>
      <w:r w:rsidR="00985A87" w:rsidRPr="00BD14B0">
        <w:rPr>
          <w:rFonts w:eastAsia="Calibri"/>
        </w:rPr>
        <w:t>if the</w:t>
      </w:r>
      <w:r w:rsidR="00CB52EA" w:rsidRPr="00BD14B0">
        <w:rPr>
          <w:rFonts w:eastAsia="Calibri"/>
        </w:rPr>
        <w:t xml:space="preserve"> scenario </w:t>
      </w:r>
      <w:r w:rsidR="00890924" w:rsidRPr="00BD14B0">
        <w:rPr>
          <w:rFonts w:eastAsia="Calibri"/>
        </w:rPr>
        <w:t xml:space="preserve">was </w:t>
      </w:r>
      <w:r w:rsidR="00CB52EA" w:rsidRPr="00BD14B0">
        <w:rPr>
          <w:rFonts w:eastAsia="Calibri"/>
        </w:rPr>
        <w:t>an office fire or</w:t>
      </w:r>
      <w:r w:rsidR="00890924" w:rsidRPr="00BD14B0">
        <w:rPr>
          <w:rFonts w:eastAsia="Calibri"/>
        </w:rPr>
        <w:t xml:space="preserve"> a</w:t>
      </w:r>
      <w:r w:rsidR="00CB52EA" w:rsidRPr="00BD14B0">
        <w:rPr>
          <w:rFonts w:eastAsia="Calibri"/>
        </w:rPr>
        <w:t xml:space="preserve"> hike</w:t>
      </w:r>
      <w:r w:rsidR="00890924" w:rsidRPr="00BD14B0">
        <w:rPr>
          <w:rFonts w:eastAsia="Calibri"/>
        </w:rPr>
        <w:t>,</w:t>
      </w:r>
      <w:r w:rsidR="00CB52EA" w:rsidRPr="00BD14B0">
        <w:rPr>
          <w:rFonts w:eastAsia="Calibri"/>
        </w:rPr>
        <w:t xml:space="preserve"> and if they remember</w:t>
      </w:r>
      <w:r w:rsidR="00890924" w:rsidRPr="00BD14B0">
        <w:rPr>
          <w:rFonts w:eastAsia="Calibri"/>
        </w:rPr>
        <w:t>ed</w:t>
      </w:r>
      <w:r w:rsidR="00CB52EA" w:rsidRPr="00BD14B0">
        <w:rPr>
          <w:rFonts w:eastAsia="Calibri"/>
        </w:rPr>
        <w:t xml:space="preserve"> correct faces that they </w:t>
      </w:r>
      <w:r w:rsidR="00890924" w:rsidRPr="00BD14B0">
        <w:rPr>
          <w:rFonts w:eastAsia="Calibri"/>
        </w:rPr>
        <w:t xml:space="preserve">had </w:t>
      </w:r>
      <w:r w:rsidR="00CB52EA" w:rsidRPr="00BD14B0">
        <w:rPr>
          <w:rFonts w:eastAsia="Calibri"/>
        </w:rPr>
        <w:t xml:space="preserve">previously </w:t>
      </w:r>
      <w:r w:rsidR="00890924" w:rsidRPr="00BD14B0">
        <w:rPr>
          <w:rFonts w:eastAsia="Calibri"/>
        </w:rPr>
        <w:t xml:space="preserve">been </w:t>
      </w:r>
      <w:r w:rsidR="00CB52EA" w:rsidRPr="00BD14B0">
        <w:rPr>
          <w:rFonts w:eastAsia="Calibri"/>
        </w:rPr>
        <w:t>shown</w:t>
      </w:r>
      <w:r w:rsidR="00890924" w:rsidRPr="00BD14B0">
        <w:rPr>
          <w:rFonts w:eastAsia="Calibri"/>
        </w:rPr>
        <w:t xml:space="preserve"> to them</w:t>
      </w:r>
      <w:r w:rsidR="00CB52EA" w:rsidRPr="00BD14B0">
        <w:rPr>
          <w:rFonts w:eastAsia="Calibri"/>
        </w:rPr>
        <w:t>. Participants who were unable to answer these questions correctly were excluded from the study.</w:t>
      </w:r>
      <w:r w:rsidR="00890924" w:rsidRPr="00BD14B0">
        <w:rPr>
          <w:rFonts w:eastAsia="Calibri"/>
        </w:rPr>
        <w:t xml:space="preserve"> So, the</w:t>
      </w:r>
      <w:r w:rsidR="00CB52EA" w:rsidRPr="00BD14B0">
        <w:rPr>
          <w:rFonts w:eastAsia="Calibri"/>
        </w:rPr>
        <w:t xml:space="preserve"> </w:t>
      </w:r>
      <w:r w:rsidR="00890924" w:rsidRPr="00BD14B0">
        <w:rPr>
          <w:rFonts w:eastAsia="Calibri"/>
        </w:rPr>
        <w:t>f</w:t>
      </w:r>
      <w:r w:rsidR="00CB52EA" w:rsidRPr="00BD14B0">
        <w:rPr>
          <w:rFonts w:eastAsia="Calibri"/>
        </w:rPr>
        <w:t xml:space="preserve">uture </w:t>
      </w:r>
      <w:r w:rsidR="00890924" w:rsidRPr="00BD14B0">
        <w:rPr>
          <w:rFonts w:eastAsia="Calibri"/>
        </w:rPr>
        <w:t>research</w:t>
      </w:r>
      <w:r w:rsidR="00CB52EA" w:rsidRPr="00BD14B0">
        <w:rPr>
          <w:rFonts w:eastAsia="Calibri"/>
        </w:rPr>
        <w:t xml:space="preserve"> would benefit from different scenarios </w:t>
      </w:r>
      <w:r w:rsidR="00890924" w:rsidRPr="00BD14B0">
        <w:rPr>
          <w:rFonts w:eastAsia="Calibri"/>
        </w:rPr>
        <w:t xml:space="preserve">based on a </w:t>
      </w:r>
      <w:r w:rsidR="00CB52EA" w:rsidRPr="00BD14B0">
        <w:rPr>
          <w:rFonts w:eastAsia="Calibri"/>
        </w:rPr>
        <w:t>current natural disaster or environmental dangers.</w:t>
      </w:r>
    </w:p>
    <w:p w14:paraId="4C7FA58A" w14:textId="0C2F845E" w:rsidR="00A82EA4" w:rsidRPr="002C2030" w:rsidRDefault="00C513E8" w:rsidP="00C513E8">
      <w:r w:rsidRPr="00BD14B0">
        <w:rPr>
          <w:rFonts w:eastAsia="Calibri"/>
        </w:rPr>
        <w:lastRenderedPageBreak/>
        <w:tab/>
      </w:r>
      <w:r w:rsidR="00FA6CDC" w:rsidRPr="00BD14B0">
        <w:t>Next, u</w:t>
      </w:r>
      <w:r w:rsidR="00B84F38" w:rsidRPr="00BD14B0">
        <w:t>nlike previous studies, in the current study, the relationship between the participants and the cueing face was altered with a priming task. Physical differences in faces have been shown to act as categorisation cues. Research suggests that the visible cues of threat alter the strength of gaze cueing when the level of threat or danger in the context is 'sufficient'. Previous studies have examined the effect of danger on social attention by manipulating the level of danger with the facial expressions of the gazer. It is not clearly defined whether the effect of this visually informative social stimuli is related to low-level biases or more high-level cognitive biases. In the present study, the visual categorisation cues were eliminated, and we focused on the relationship between the gazer and the observer without clear visual signifiers.</w:t>
      </w:r>
      <w:r w:rsidR="002C2030">
        <w:t xml:space="preserve"> </w:t>
      </w:r>
      <w:r w:rsidR="002C2030">
        <w:fldChar w:fldCharType="begin" w:fldLock="1"/>
      </w:r>
      <w:r w:rsidR="009A28F1">
        <w:instrText>ADDIN CSL_CITATION {"citationItems":[{"id":"ITEM-1","itemData":{"DOI":"10.1177/0963721415617806","ISBN":"0963721415617","ISSN":"0963-7214","abstract":"Research in cognitive science typically places a boundary between participants and the stimuli they are asked to process. While this separation affords experimental control, it can also severely limit the generalizability of the conclusions that are drawn. Here, we review new evidence that some conclusions that have been drawn about social attention do not extend beyond the laboratory. They fundamentally misrepresent how social attention operates in natural social contexts. Critically, these difficulties have led to renewed interest in the dual function of gaze—when in authentic social situations, the eyes both collect information from the environment (an encoding function) and communicate one’s mental states to others (a signaling function)—which traditional social-attention paradigms arguably have failed to capture. We review this recent work and discuss the utility of adopting more naturalistic methods in cognitive science.","author":[{"dropping-particle":"","family":"Risko","given":"Evan F.","non-dropping-particle":"","parse-names":false,"suffix":""},{"dropping-particle":"","family":"Richardson","given":"Daniel C.","non-dropping-particle":"","parse-names":false,"suffix":""},{"dropping-particle":"","family":"Kingstone","given":"Alan","non-dropping-particle":"","parse-names":false,"suffix":""}],"container-title":"Current Directions in Psychological Science","id":"ITEM-1","issue":"1","issued":{"date-parts":[["2016","2","10"]]},"page":"70-74","title":"Breaking the Fourth Wall of Cognitive Science","type":"article-journal","volume":"25"},"uris":["http://www.mendeley.com/documents/?uuid=42d6d7f4-3f67-4aff-b475-b74b3035bb1b"]}],"mendeley":{"formattedCitation":"(Risko et al., 2016)","manualFormatting":"Risko et al., (2016)","plainTextFormattedCitation":"(Risko et al., 2016)","previouslyFormattedCitation":"(Risko et al., 2016)"},"properties":{"noteIndex":0},"schema":"https://github.com/citation-style-language/schema/raw/master/csl-citation.json"}</w:instrText>
      </w:r>
      <w:r w:rsidR="002C2030">
        <w:fldChar w:fldCharType="separate"/>
      </w:r>
      <w:r w:rsidR="002C2030" w:rsidRPr="002C2030">
        <w:rPr>
          <w:noProof/>
        </w:rPr>
        <w:t xml:space="preserve">Risko et al., </w:t>
      </w:r>
      <w:r w:rsidR="002C2030">
        <w:rPr>
          <w:noProof/>
        </w:rPr>
        <w:t>(</w:t>
      </w:r>
      <w:r w:rsidR="002C2030" w:rsidRPr="002C2030">
        <w:rPr>
          <w:noProof/>
        </w:rPr>
        <w:t>2016)</w:t>
      </w:r>
      <w:r w:rsidR="002C2030">
        <w:fldChar w:fldCharType="end"/>
      </w:r>
      <w:r w:rsidR="002C2030">
        <w:t xml:space="preserve"> </w:t>
      </w:r>
      <w:r w:rsidR="00B84F38" w:rsidRPr="00BD14B0">
        <w:t>proposed that laboratory-based social cognition research observes people's behaviour through computer interaction. This allows the researcher to control the environment and eliminate any confounding variables, but it also creates a barrier between the participant and the stimuli they are observing. Participants are not interacting with real people,</w:t>
      </w:r>
      <w:r w:rsidR="00004D26" w:rsidRPr="00BD14B0">
        <w:t xml:space="preserve"> </w:t>
      </w:r>
      <w:r w:rsidR="00B84F38" w:rsidRPr="00BD14B0">
        <w:t xml:space="preserve">and not worried about how they will be perceived by another person. Yet this style of experimentation is generally considered to be appropriate for measuring real-world social interactions. Participants may be encountering real </w:t>
      </w:r>
      <w:r w:rsidR="00985A87" w:rsidRPr="00BD14B0">
        <w:t>pictures,</w:t>
      </w:r>
      <w:r w:rsidR="00B84F38" w:rsidRPr="00BD14B0">
        <w:t xml:space="preserve"> but they are aware that those pictures do not have agency. Participants do not need to be concerned about what their own gaze is communicating to the image when looking at a picture of a person as a social stimulus. This is also called the 4</w:t>
      </w:r>
      <w:r w:rsidR="00B84F38" w:rsidRPr="00BD14B0">
        <w:rPr>
          <w:vertAlign w:val="superscript"/>
        </w:rPr>
        <w:t>th</w:t>
      </w:r>
      <w:r w:rsidR="00B84F38" w:rsidRPr="00BD14B0">
        <w:t xml:space="preserve"> wall problem (see, </w:t>
      </w:r>
      <w:proofErr w:type="spellStart"/>
      <w:r w:rsidR="00B84F38" w:rsidRPr="00BD14B0">
        <w:t>Risko</w:t>
      </w:r>
      <w:proofErr w:type="spellEnd"/>
      <w:r w:rsidR="00B84F38" w:rsidRPr="00BD14B0">
        <w:t xml:space="preserve"> et al., 2016 for details) meaning in real life eyes have a dual function both gather information as well as </w:t>
      </w:r>
      <w:r w:rsidR="00985A87" w:rsidRPr="00BD14B0">
        <w:t xml:space="preserve">communicate </w:t>
      </w:r>
      <w:r w:rsidR="00B84F38" w:rsidRPr="00BD14B0">
        <w:t xml:space="preserve">it. The manipulation of the current study offers the possibility that it is not necessary to leave out the relational part of the human interactions in social attention studies conducted in a laboratory-based environment. This kind of manipulation of the social power was important as it gave the researchers an alternative method of analysing the plausibility of the study’s hypothesis. </w:t>
      </w:r>
    </w:p>
    <w:p w14:paraId="4455D2A4" w14:textId="1F307552" w:rsidR="00CD1477" w:rsidRPr="00BD14B0" w:rsidRDefault="006A6517" w:rsidP="006A6517">
      <w:pPr>
        <w:pStyle w:val="NormalWeb"/>
        <w:spacing w:line="360" w:lineRule="auto"/>
        <w:rPr>
          <w:lang w:val="en-GB"/>
        </w:rPr>
      </w:pPr>
      <w:r w:rsidRPr="00BD14B0">
        <w:rPr>
          <w:i/>
          <w:u w:color="FF0000"/>
          <w:lang w:val="en-GB"/>
        </w:rPr>
        <w:tab/>
      </w:r>
      <w:r w:rsidR="00A82EA4" w:rsidRPr="00BD14B0">
        <w:rPr>
          <w:rFonts w:eastAsia="Calibri"/>
          <w:lang w:val="en-GB"/>
        </w:rPr>
        <w:t>T</w:t>
      </w:r>
      <w:r w:rsidR="00CB52EA" w:rsidRPr="00BD14B0">
        <w:rPr>
          <w:rFonts w:eastAsia="Calibri"/>
          <w:lang w:val="en-GB"/>
        </w:rPr>
        <w:t>his study controlled the gender of the gazer. There was no significant effect of gender of gazer on the strength of gaze cueing effect. Although the literature indicates that physical characteristics of the face have an effect on gaze cueing</w:t>
      </w:r>
      <w:r w:rsidR="004D2901" w:rsidRPr="00BD14B0">
        <w:rPr>
          <w:rFonts w:eastAsia="Calibri"/>
          <w:lang w:val="en-GB"/>
        </w:rPr>
        <w:t xml:space="preserve"> </w:t>
      </w:r>
      <w:r w:rsidR="004D2901" w:rsidRPr="00BD14B0">
        <w:rPr>
          <w:rFonts w:eastAsia="Calibri"/>
          <w:lang w:val="en-GB"/>
        </w:rPr>
        <w:fldChar w:fldCharType="begin" w:fldLock="1"/>
      </w:r>
      <w:r w:rsidR="004D2901" w:rsidRPr="00BD14B0">
        <w:rPr>
          <w:rFonts w:eastAsia="Calibri"/>
          <w:lang w:val="en-GB"/>
        </w:rPr>
        <w:instrText>ADDIN CSL_CITATION {"citationItems":[{"id":"ITEM-1","itemData":{"DOI":"10.1080/17470218.2012.690769","ISSN":"1747-0218","abstract":"Important social information can be gathered from the direction of another person's gaze, such as their intentions and aspects of the environment that are relevant to those intentions. Previous work has examined the effect of gaze on attention through the gaze-cueing effect: an enhancement of performance in detecting targets that appear where another person is looking. The present study investigated whether the physical self-similarity of a face could increase its impact on attention. Self-similarity was manipulated by morphing participants' faces with those of strangers. The effect of gaze direction on target detection was strongest for faces morphed with the participant's face. The results support previous work suggesting that self-similar faces are processed differently from dissimilar faces. The data also demonstrate that a face's similarity to one's own face influences the degree to which that face guides our attention in the environment.","author":[{"dropping-particle":"","family":"Hungr","given":"Clara J","non-dropping-particle":"","parse-names":false,"suffix":""},{"dropping-particle":"","family":"Hunt","given":"Amelia R","non-dropping-particle":"","parse-names":false,"suffix":""}],"container-title":"Quarterly Journal of Experimental Psychology","id":"ITEM-1","issue":"7","issued":{"date-parts":[["2012"]]},"note":"Times Cited: 3\n3","page":"1250-1259","title":"Physical self-similarity enhances the gaze-cueing effect","type":"article-journal","volume":"65"},"uris":["http://www.mendeley.com/documents/?uuid=2b3772d6-afbd-40b1-b6d0-f788c0bdaeb6"]}],"mendeley":{"formattedCitation":"(Hungr &amp; Hunt, 2012)","plainTextFormattedCitation":"(Hungr &amp; Hunt, 2012)","previouslyFormattedCitation":"(Hungr &amp; Hunt, 2012)"},"properties":{"noteIndex":0},"schema":"https://github.com/citation-style-language/schema/raw/master/csl-citation.json"}</w:instrText>
      </w:r>
      <w:r w:rsidR="004D2901" w:rsidRPr="00BD14B0">
        <w:rPr>
          <w:rFonts w:eastAsia="Calibri"/>
          <w:lang w:val="en-GB"/>
        </w:rPr>
        <w:fldChar w:fldCharType="separate"/>
      </w:r>
      <w:r w:rsidR="004D2901" w:rsidRPr="00BD14B0">
        <w:rPr>
          <w:rFonts w:eastAsia="Calibri"/>
          <w:noProof/>
          <w:lang w:val="en-GB"/>
        </w:rPr>
        <w:t>(Hungr &amp; Hunt, 2012)</w:t>
      </w:r>
      <w:r w:rsidR="004D2901" w:rsidRPr="00BD14B0">
        <w:rPr>
          <w:rFonts w:eastAsia="Calibri"/>
          <w:lang w:val="en-GB"/>
        </w:rPr>
        <w:fldChar w:fldCharType="end"/>
      </w:r>
      <w:r w:rsidR="00CB52EA" w:rsidRPr="00BD14B0">
        <w:rPr>
          <w:rFonts w:eastAsia="Calibri"/>
          <w:lang w:val="en-GB"/>
        </w:rPr>
        <w:t xml:space="preserve">, there is no standard procedure across studies for social attention research. This may create complications for making interpretations across studies. </w:t>
      </w:r>
      <w:r w:rsidR="00FA6CDC" w:rsidRPr="00BD14B0">
        <w:rPr>
          <w:rFonts w:eastAsia="Calibri"/>
          <w:lang w:val="en-GB"/>
        </w:rPr>
        <w:t xml:space="preserve">Scientists would benefit from the </w:t>
      </w:r>
      <w:r w:rsidR="00FA6CDC" w:rsidRPr="00BD14B0">
        <w:rPr>
          <w:rFonts w:eastAsia="Calibri"/>
          <w:lang w:val="en-GB"/>
        </w:rPr>
        <w:lastRenderedPageBreak/>
        <w:t>current study's design when selecting appropriate stimul</w:t>
      </w:r>
      <w:r w:rsidR="00004D26" w:rsidRPr="00BD14B0">
        <w:rPr>
          <w:rFonts w:eastAsia="Calibri"/>
          <w:lang w:val="en-GB"/>
        </w:rPr>
        <w:t>i</w:t>
      </w:r>
      <w:r w:rsidR="00FA6CDC" w:rsidRPr="00BD14B0">
        <w:rPr>
          <w:rFonts w:eastAsia="Calibri"/>
          <w:lang w:val="en-GB"/>
        </w:rPr>
        <w:t xml:space="preserve"> for future research, because it has been </w:t>
      </w:r>
      <w:r w:rsidR="00004D26" w:rsidRPr="00BD14B0">
        <w:rPr>
          <w:rFonts w:eastAsia="Calibri"/>
          <w:lang w:val="en-GB"/>
        </w:rPr>
        <w:t xml:space="preserve">previously </w:t>
      </w:r>
      <w:r w:rsidR="00FA6CDC" w:rsidRPr="00BD14B0">
        <w:rPr>
          <w:rFonts w:eastAsia="Calibri"/>
          <w:lang w:val="en-GB"/>
        </w:rPr>
        <w:t>demonstrated that the physical characteristics of the face image have an impact on the gaze cueing effect, rather than manipulating other socio-cognitive variables.</w:t>
      </w:r>
    </w:p>
    <w:p w14:paraId="7E3E8C1A" w14:textId="0309DD1D" w:rsidR="001C5C27" w:rsidRPr="00412798" w:rsidRDefault="003D11A0" w:rsidP="0053392F">
      <w:r w:rsidRPr="00BD14B0">
        <w:tab/>
      </w:r>
      <w:r w:rsidR="00A82EA4" w:rsidRPr="00BD14B0">
        <w:t>Finally, it's possible that our priming task did not produce a large enough effect on social power manipulation. There could be two main reasons for this. First</w:t>
      </w:r>
      <w:r w:rsidR="009D2E85" w:rsidRPr="00BD14B0">
        <w:t>,</w:t>
      </w:r>
      <w:r w:rsidR="00A82EA4" w:rsidRPr="00BD14B0">
        <w:t xml:space="preserve"> the current study used a semantic knowledge based priming task. Participants were instructed to memorize and remember the faces of group members, as well as whether or not they were the leader or a follower. However, there was no experiential information about the effects of the social power and no </w:t>
      </w:r>
      <w:r w:rsidR="00985A87" w:rsidRPr="00BD14B0">
        <w:t>first-hand</w:t>
      </w:r>
      <w:r w:rsidR="00A82EA4" w:rsidRPr="00BD14B0">
        <w:t xml:space="preserve"> knowledge of the implications of social power.</w:t>
      </w:r>
      <w:r w:rsidR="001C5C27">
        <w:t xml:space="preserve"> </w:t>
      </w:r>
      <w:r w:rsidR="00247930" w:rsidRPr="001C5C27">
        <w:t>Secondly, we have no lo</w:t>
      </w:r>
      <w:r w:rsidR="00985A87" w:rsidRPr="001C5C27">
        <w:t>w</w:t>
      </w:r>
      <w:r w:rsidR="00247930" w:rsidRPr="001C5C27">
        <w:t xml:space="preserve"> threat condition unlike Cui et al., 2014), which could be considered to be a study limitation. </w:t>
      </w:r>
      <w:r w:rsidR="001C5C27" w:rsidRPr="001C5C27">
        <w:t>This study answers an important question about whether visual information has an effect on its own or in combination with social relevance depending on the context.</w:t>
      </w:r>
      <w:r w:rsidR="00412798">
        <w:t xml:space="preserve"> </w:t>
      </w:r>
      <w:r w:rsidR="001C5C27" w:rsidRPr="001C5C27">
        <w:t>At least when participants were primed with our task, social attention on danger context is related to visual information.</w:t>
      </w:r>
      <w:r w:rsidR="00412798" w:rsidRPr="00412798">
        <w:t xml:space="preserve"> The effect of danger should be studied in conjunction with emotions</w:t>
      </w:r>
      <w:r w:rsidR="00412798" w:rsidRPr="00A97A25">
        <w:t>, which may be a better representation of mental representation (</w:t>
      </w:r>
      <w:proofErr w:type="spellStart"/>
      <w:r w:rsidR="00412798" w:rsidRPr="00A97A25">
        <w:t>Dalmaso</w:t>
      </w:r>
      <w:proofErr w:type="spellEnd"/>
      <w:r w:rsidR="00412798" w:rsidRPr="00A97A25">
        <w:t xml:space="preserve"> et al., 2020). Lastly, further research should consider adding low-threat scenario for better comparison and </w:t>
      </w:r>
      <w:r w:rsidR="00A97A25" w:rsidRPr="00A97A25">
        <w:t>understanding the effect of danger in social attention.</w:t>
      </w:r>
    </w:p>
    <w:p w14:paraId="2413A530" w14:textId="2C744D25" w:rsidR="00674202" w:rsidRDefault="00FB3E82" w:rsidP="0053392F">
      <w:r w:rsidRPr="00BD14B0">
        <w:br w:type="page"/>
      </w:r>
    </w:p>
    <w:p w14:paraId="1E0BB8C1" w14:textId="77777777" w:rsidR="00412798" w:rsidRPr="00BD14B0" w:rsidRDefault="00412798" w:rsidP="0053392F"/>
    <w:p w14:paraId="31D9A54D" w14:textId="77777777" w:rsidR="000C624B" w:rsidRPr="00BD14B0" w:rsidRDefault="000C624B" w:rsidP="00FB3E82">
      <w:pPr>
        <w:tabs>
          <w:tab w:val="clear" w:pos="851"/>
        </w:tabs>
        <w:spacing w:before="0" w:after="0" w:line="240" w:lineRule="auto"/>
      </w:pPr>
    </w:p>
    <w:p w14:paraId="3511A435" w14:textId="3FBE15A7" w:rsidR="000A1220" w:rsidRPr="00BD14B0" w:rsidRDefault="00547515" w:rsidP="00553E01">
      <w:pPr>
        <w:pStyle w:val="Heading1"/>
      </w:pPr>
      <w:bookmarkStart w:id="73" w:name="_Toc108310785"/>
      <w:r w:rsidRPr="00BD14B0">
        <w:t>The Effect of Observation of Leadership on the Strength of Gaze Cueing</w:t>
      </w:r>
      <w:bookmarkEnd w:id="73"/>
      <w:r w:rsidRPr="00BD14B0">
        <w:t xml:space="preserve"> </w:t>
      </w:r>
    </w:p>
    <w:p w14:paraId="60FEAAA6" w14:textId="74045E5B" w:rsidR="00192CD6" w:rsidRPr="00BD14B0" w:rsidRDefault="00A94009" w:rsidP="00553E01">
      <w:r w:rsidRPr="00BD14B0">
        <w:rPr>
          <w:noProof/>
          <w:lang w:eastAsia="en-US"/>
        </w:rPr>
        <mc:AlternateContent>
          <mc:Choice Requires="wps">
            <w:drawing>
              <wp:anchor distT="0" distB="0" distL="114300" distR="114300" simplePos="0" relativeHeight="251675648" behindDoc="0" locked="0" layoutInCell="1" allowOverlap="1" wp14:anchorId="66A4B208" wp14:editId="574EC92D">
                <wp:simplePos x="0" y="0"/>
                <wp:positionH relativeFrom="column">
                  <wp:posOffset>0</wp:posOffset>
                </wp:positionH>
                <wp:positionV relativeFrom="paragraph">
                  <wp:posOffset>12065</wp:posOffset>
                </wp:positionV>
                <wp:extent cx="5762846" cy="0"/>
                <wp:effectExtent l="0" t="12700" r="15875" b="12700"/>
                <wp:wrapNone/>
                <wp:docPr id="7202" name="Straight Connector 7202"/>
                <wp:cNvGraphicFramePr/>
                <a:graphic xmlns:a="http://schemas.openxmlformats.org/drawingml/2006/main">
                  <a:graphicData uri="http://schemas.microsoft.com/office/word/2010/wordprocessingShape">
                    <wps:wsp>
                      <wps:cNvCnPr/>
                      <wps:spPr>
                        <a:xfrm>
                          <a:off x="0" y="0"/>
                          <a:ext cx="576284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CC3AA50" id="Straight Connector 7202"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0,.95pt" to="453.75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" strokecolor="black [3200]" strokeweight="1.5pt">
                <v:stroke joinstyle="miter"/>
              </v:line>
            </w:pict>
          </mc:Fallback>
        </mc:AlternateContent>
      </w:r>
    </w:p>
    <w:p w14:paraId="24E586C9" w14:textId="5E0F756B" w:rsidR="00192CD6" w:rsidRPr="00BD14B0" w:rsidRDefault="00192CD6" w:rsidP="00553E01">
      <w:pPr>
        <w:pStyle w:val="Heading2"/>
      </w:pPr>
      <w:bookmarkStart w:id="74" w:name="_Toc108310786"/>
      <w:r w:rsidRPr="00BD14B0">
        <w:t>Introduction</w:t>
      </w:r>
      <w:bookmarkEnd w:id="74"/>
    </w:p>
    <w:p w14:paraId="2620D3EB" w14:textId="63AE54C2" w:rsidR="00FD692F" w:rsidRPr="00BD14B0" w:rsidRDefault="00AD78B4" w:rsidP="00FD692F">
      <w:r w:rsidRPr="00BD14B0">
        <w:tab/>
      </w:r>
      <w:r w:rsidR="00FD692F" w:rsidRPr="00BD14B0">
        <w:t xml:space="preserve">Observers can learn to attend to or avoid something in the environment by following the eye gaze of others. They can also learn to attend to the mental state of others by following the eye gaze of others (as discussed in Chapter 1). The gaze cueing paradigm, which has been proposed to represent a reflexive shift in attention caused by the automatic code of observed gaze direction, can be used to investigate gaze following </w:t>
      </w:r>
      <w:r w:rsidR="00FD692F" w:rsidRPr="00BD14B0">
        <w:fldChar w:fldCharType="begin" w:fldLock="1"/>
      </w:r>
      <w:r w:rsidR="004D2901" w:rsidRPr="00BD14B0">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1998)","manualFormatting":"(Driver et al., 1999; Friesen &amp; Kingstone, 1998)","plainTextFormattedCitation":"(C. K. Friesen &amp; Kingstone, 1998)","previouslyFormattedCitation":"(C. K. Friesen &amp; Kingstone, 1998)"},"properties":{"noteIndex":0},"schema":"https://github.com/citation-style-language/schema/raw/master/csl-citation.json"}</w:instrText>
      </w:r>
      <w:r w:rsidR="00FD692F" w:rsidRPr="00BD14B0">
        <w:fldChar w:fldCharType="separate"/>
      </w:r>
      <w:r w:rsidR="00FD692F" w:rsidRPr="00BD14B0">
        <w:rPr>
          <w:noProof/>
        </w:rPr>
        <w:t>(Driver et al., 1999; Friesen &amp; Kingstone, 1998)</w:t>
      </w:r>
      <w:r w:rsidR="00FD692F" w:rsidRPr="00BD14B0">
        <w:fldChar w:fldCharType="end"/>
      </w:r>
      <w:r w:rsidR="00FD692F" w:rsidRPr="00BD14B0">
        <w:t xml:space="preserve">. This reflexive shift of attention (gaze cueing) can be affected by social information about the gazer, a phenomenon known as socio-cognitive information. That is, social cues can be used to manipulate the information about the gazer, and it can influence the magnitude of gaze cueing. For instance, social cues have been shown to affect gaze cueing when the gazer`s face is familiar (only in females; </w:t>
      </w:r>
      <w:r w:rsidR="00FD692F" w:rsidRPr="00BD14B0">
        <w:fldChar w:fldCharType="begin" w:fldLock="1"/>
      </w:r>
      <w:r w:rsidR="004D2901" w:rsidRPr="00BD14B0">
        <w:instrText>ADDIN CSL_CITATION {"citationItems":[{"id":"ITEM-1","itemData":{"DOI":"10.1098/rsbl.2006.0564","ISSN":"1744-9561","abstract":"Gaze cuing, the tendency to shift attention in the direction other individuals are looking, is hypothesized to depend on a distinct neural module. One expectation of such a module is that information processing should be encapsulated within it. Here, we tested whether familiarity, a type of social knowledge, penetrates the neural circuits governing gaze cuing. Male and female subjects viewed the face of an adult male looking left or right and then pressed a keypad to indicate the location of a target appearing randomly left or right. Responses were faster for targets congruent with gaze direction. Moreover, gaze cuing was stronger in females than males. Contrary to the modularity hypothesis, familiarity enhanced gaze cuing, but only in females. Sex differences in the effects of familiarity on gaze cuing may reflect greater adaptive significance of social information for females than males.","author":[{"dropping-particle":"","family":"Deaner","given":"Robert O","non-dropping-particle":"","parse-names":false,"suffix":""},{"dropping-particle":"V","family":"Shepherd","given":"Stephen","non-dropping-particle":"","parse-names":false,"suffix":""},{"dropping-particle":"","family":"Platt","given":"Michael L","non-dropping-particle":"","parse-names":false,"suffix":""}],"container-title":"Biology Letters","id":"ITEM-1","issue":"1","issued":{"date-parts":[["2007","2","22"]]},"note":"Times Cited: 31\n32","page":"65-68","title":"Familiarity accentuates gaze cuing in women but not men","type":"article-journal","volume":"3"},"uris":["http://www.mendeley.com/documents/?uuid=c40566fa-2045-42e8-8818-c7b3fd74af89"]}],"mendeley":{"formattedCitation":"(R. O. Deaner et al., 2007)","manualFormatting":"Deaner, Shepherd, &amp; Platt, 2007","plainTextFormattedCitation":"(R. O. Deaner et al., 2007)","previouslyFormattedCitation":"(R. O. Deaner et al., 2007)"},"properties":{"noteIndex":0},"schema":"https://github.com/citation-style-language/schema/raw/master/csl-citation.json"}</w:instrText>
      </w:r>
      <w:r w:rsidR="00FD692F" w:rsidRPr="00BD14B0">
        <w:fldChar w:fldCharType="separate"/>
      </w:r>
      <w:r w:rsidR="00FD692F" w:rsidRPr="00BD14B0">
        <w:rPr>
          <w:noProof/>
        </w:rPr>
        <w:t>Deaner, Shepherd, &amp; Platt, 2007</w:t>
      </w:r>
      <w:r w:rsidR="00FD692F" w:rsidRPr="00BD14B0">
        <w:fldChar w:fldCharType="end"/>
      </w:r>
      <w:r w:rsidR="00FD692F" w:rsidRPr="00BD14B0">
        <w:t xml:space="preserve">; see also </w:t>
      </w:r>
      <w:r w:rsidR="00FD692F" w:rsidRPr="00BD14B0">
        <w:fldChar w:fldCharType="begin" w:fldLock="1"/>
      </w:r>
      <w:r w:rsidR="004D2901" w:rsidRPr="00BD14B0">
        <w:instrText>ADDIN CSL_CITATION {"citationItems":[{"id":"ITEM-1","itemData":{"DOI":"10.1037/0033-2909.133.4.694","ISSN":"0033-2909","abstract":"During social interactions, people's eyes convey a wealth of information about their direction of attention and their emotional and mental states. This review aims to provide a comprehensive overview of past and current research into the perception of gaze behavior and its effect on the observer. This encompasses the perception of gaze direction and its influence on perception of the other person, as well as gaze-following behavior such as joint attention, in infant, adult, and clinical populations. Particular focus is given to the gaze-cueing paradigm that has been used to investigate the mechanisms of joint attention. The contribution of this paradigm has been significant and will likely continue to advance knowledge across diverse fields within psychology and neuroscience.","author":[{"dropping-particle":"","family":"Frischen","given":"Alexandra","non-dropping-particle":"","parse-names":false,"suffix":""},{"dropping-particle":"","family":"Bayliss","given":"Andrew P","non-dropping-particle":"","parse-names":false,"suffix":""},{"dropping-particle":"","family":"Tipper","given":"Steven P","non-dropping-particle":"","parse-names":false,"suffix":""}],"container-title":"Psychological Bulletin","id":"ITEM-1","issue":"4","issued":{"date-parts":[["2007"]]},"note":"Times Cited: 256\nTipper, Steven/I-6884-2012\nTipper, Steven/0000-0002-1554-0531\n263","page":"694-724","title":"Gaze cueing of attention: Visual attention, social cognition, and individual differences","type":"article-journal","volume":"133"},"uris":["http://www.mendeley.com/documents/?uuid=e2eb9afa-c516-4618-87bf-fe33cf7905fe"]}],"mendeley":{"formattedCitation":"(Frischen, Bayliss, et al., 2007)","manualFormatting":"Frischen, Bayliss, &amp; Tipper, 2007)","plainTextFormattedCitation":"(Frischen, Bayliss, et al., 2007)","previouslyFormattedCitation":"(Frischen, Bayliss, et al., 2007)"},"properties":{"noteIndex":0},"schema":"https://github.com/citation-style-language/schema/raw/master/csl-citation.json"}</w:instrText>
      </w:r>
      <w:r w:rsidR="00FD692F" w:rsidRPr="00BD14B0">
        <w:fldChar w:fldCharType="separate"/>
      </w:r>
      <w:r w:rsidR="00FD692F" w:rsidRPr="00BD14B0">
        <w:rPr>
          <w:noProof/>
        </w:rPr>
        <w:t>Frischen, Bayliss, &amp; Tipper, 2007)</w:t>
      </w:r>
      <w:r w:rsidR="00FD692F" w:rsidRPr="00BD14B0">
        <w:fldChar w:fldCharType="end"/>
      </w:r>
      <w:r w:rsidR="00FD692F" w:rsidRPr="00BD14B0">
        <w:t xml:space="preserve"> or belongs to a leader from one’s own political group </w:t>
      </w:r>
      <w:r w:rsidR="00FD692F" w:rsidRPr="00BD14B0">
        <w:fldChar w:fldCharType="begin" w:fldLock="1"/>
      </w:r>
      <w:r w:rsidR="00FD692F" w:rsidRPr="00BD14B0">
        <w:instrText>ADDIN CSL_CITATION {"citationItems":[{"id":"ITEM-1","itemData":{"DOI":"10.1371/journal.pone.0025117","ISSN":"1932-6203","abstract":"Studies in human and non-human primates indicate that basic socio-cognitive operations are inherently linked to the power of gaze in capturing reflexively the attention of an observer. Although monkey studies indicate that the automatic tendency to follow the gaze of a conspecific is modulated by the leader-follower social status, evidence for such effects in humans is meager. Here, we used a gaze following paradigm where the directional gaze of right-or left-wing Italian political characters could influence the oculomotor behavior of ingroup or outgroup voters. We show that the gaze of Berlusconi, the right-wing leader currently dominating the Italian political landscape, potentiates and inhibits gaze following behavior in ingroup and outgroup voters, respectively. Importantly, the higher the perceived similarity in personality traits between voters and Berlusconi, the stronger the gaze interference effect. Thus, higher-order social variables such as political leadership and affiliation prepotently affect reflexive shifts of attention.","author":[{"dropping-particle":"","family":"Liuzza","given":"Marco Tullio","non-dropping-particle":"","parse-names":false,"suffix":""},{"dropping-particle":"","family":"Cazzato","given":"Valentina","non-dropping-particle":"","parse-names":false,"suffix":""},{"dropping-particle":"","family":"Vecchione","given":"Michele","non-dropping-particle":"","parse-names":false,"suffix":""},{"dropping-particle":"","family":"Crostella","given":"Filippo","non-dropping-particle":"","parse-names":false,"suffix":""},{"dropping-particle":"","family":"Caprara","given":"Gian Vittorio","non-dropping-particle":"","parse-names":false,"suffix":""},{"dropping-particle":"","family":"Aglioti","given":"Salvatore Maria","non-dropping-particle":"","parse-names":false,"suffix":""}],"container-title":"Plos One","id":"ITEM-1","issue":"9","issued":{"date-parts":[["2011"]]},"note":"Times Cited: 12\nLiuzza, Marco Tullio/A-9967-2012\n12","title":"Follow My Eyes: The Gaze of Politicians Reflexively Captures the Gaze of Ingroup Voters","type":"article-journal","volume":"6"},"uris":["http://www.mendeley.com/documents/?uuid=5a49dbe4-b43e-4f79-b2bf-d8ab63cce5d6"]}],"mendeley":{"formattedCitation":"(Liuzza et al., 2011)","plainTextFormattedCitation":"(Liuzza et al., 2011)","previouslyFormattedCitation":"(Liuzza et al., 2011)"},"properties":{"noteIndex":0},"schema":"https://github.com/citation-style-language/schema/raw/master/csl-citation.json"}</w:instrText>
      </w:r>
      <w:r w:rsidR="00FD692F" w:rsidRPr="00BD14B0">
        <w:fldChar w:fldCharType="separate"/>
      </w:r>
      <w:r w:rsidR="00FD692F" w:rsidRPr="00BD14B0">
        <w:rPr>
          <w:noProof/>
        </w:rPr>
        <w:t>(Liuzza et al., 2011)</w:t>
      </w:r>
      <w:r w:rsidR="00FD692F" w:rsidRPr="00BD14B0">
        <w:fldChar w:fldCharType="end"/>
      </w:r>
      <w:r w:rsidR="00FD692F" w:rsidRPr="00BD14B0">
        <w:t>.</w:t>
      </w:r>
    </w:p>
    <w:p w14:paraId="546EB031" w14:textId="2111816A" w:rsidR="00FD692F" w:rsidRPr="00BD14B0" w:rsidRDefault="00FD692F" w:rsidP="00FD692F">
      <w:r w:rsidRPr="00BD14B0">
        <w:tab/>
        <w:t xml:space="preserve">Furthermore, </w:t>
      </w:r>
      <w:proofErr w:type="spellStart"/>
      <w:r w:rsidRPr="00BD14B0">
        <w:t>Dalmaso</w:t>
      </w:r>
      <w:proofErr w:type="spellEnd"/>
      <w:r w:rsidRPr="00BD14B0">
        <w:t xml:space="preserve"> et al. (2014) found that when social information was provided by manipulating visual features of unfamiliar faces, high social status faces had a greater gaze cueing effect (GCE) than low social status faces. Although extensive research has been conducted on the effect of gaze cueing, very few of these studies have focused on group context. It is unclear whether the strength of attentional shifts measured by gaze cueing is affected by a person taking different roles in a social group environment. In the previous study in this thesis, (see Chapter 3), we investigated the effect of the social status of the participants (same or higher social status to gazer) in a group context using a priming manipulation. In the current study, instead of using the priming method to manipulate social status in a group context, the gazer's previous behaviour patterns (gazer behaving as a leader or follower) are manipulated and the effect on the GCE observed. This may reflect </w:t>
      </w:r>
      <w:r w:rsidRPr="00BD14B0">
        <w:lastRenderedPageBreak/>
        <w:t>more realistic settings in which we gather information about the social status of others (</w:t>
      </w:r>
      <w:r w:rsidRPr="00BD14B0">
        <w:fldChar w:fldCharType="begin" w:fldLock="1"/>
      </w:r>
      <w:r w:rsidRPr="00BD14B0">
        <w:instrText>ADDIN CSL_CITATION {"citationItems":[{"id":"ITEM-1","itemData":{"DOI":"10.1037/xge0000167","ISSN":"0096-3445","abstract":"We asked whether previous observations of group interactions modulate subsequent social attention episodes. Participants first completed a learning phase with 2 conditions. In the “leader” condition 1 of 3 identities turned her gaze first, followed by the 2 other faces. In the “follower” condition, 1 of the identities turned her gaze after the 2 other faces had first shifted their gaze. Thus, participants observed that some individuals were consistently leaders and others followers of others’ attention. In the test phase, the faces of leaders and followers were presented in a gaze cueing paradigm. Remarkably, the followers did not elicit gaze cueing. Our data demonstrate that individuals who do not guide group attention in exploring the environment are ineffective social attention directors in later encounters. Thus, the role played in previous group social attention interactions modulates the relative weight assigned to others’ gaze: we ignore the gaze of group followers.","author":[{"dropping-particle":"","family":"Capozzi","given":"Francesca","non-dropping-particle":"","parse-names":false,"suffix":""},{"dropping-particle":"","family":"Becchio","given":"Cristina","non-dropping-particle":"","parse-names":false,"suffix":""},{"dropping-particle":"","family":"Willemse","given":"Cesco","non-dropping-particle":"","parse-names":false,"suffix":""},{"dropping-particle":"","family":"Bayliss","given":"Andrew P","non-dropping-particle":"","parse-names":false,"suffix":""}],"container-title":"Journal of Experimental Psychology: General","id":"ITEM-1","issued":{"date-parts":[["2016"]]},"title":"Followers Are Not Followed: Observed Group Interactions Modulate Subsequent Social Attention","type":"article-journal"},"uris":["http://www.mendeley.com/documents/?uuid=375d71b6-ee24-42b5-b1e8-b217d92f5738"]}],"mendeley":{"formattedCitation":"(Capozzi et al., 2016)","manualFormatting":"Capozzi et al.,2016)","plainTextFormattedCitation":"(Capozzi et al., 2016)","previouslyFormattedCitation":"(Capozzi et al., 2016)"},"properties":{"noteIndex":0},"schema":"https://github.com/citation-style-language/schema/raw/master/csl-citation.json"}</w:instrText>
      </w:r>
      <w:r w:rsidRPr="00BD14B0">
        <w:fldChar w:fldCharType="separate"/>
      </w:r>
      <w:r w:rsidRPr="00BD14B0">
        <w:rPr>
          <w:noProof/>
        </w:rPr>
        <w:t>Capozzi et al.,2016)</w:t>
      </w:r>
      <w:r w:rsidRPr="00BD14B0">
        <w:fldChar w:fldCharType="end"/>
      </w:r>
      <w:r w:rsidRPr="00BD14B0">
        <w:t>.</w:t>
      </w:r>
    </w:p>
    <w:p w14:paraId="356A2F21" w14:textId="1BA5F302" w:rsidR="00FD692F" w:rsidRPr="00BD14B0" w:rsidRDefault="00FD692F" w:rsidP="00FD692F">
      <w:r w:rsidRPr="00BD14B0">
        <w:tab/>
        <w:t>Personal differences such as gender</w:t>
      </w:r>
      <w:r w:rsidR="009A28F1">
        <w:t xml:space="preserve"> </w:t>
      </w:r>
      <w:r w:rsidR="009A28F1">
        <w:fldChar w:fldCharType="begin" w:fldLock="1"/>
      </w:r>
      <w:r w:rsidR="005A243A">
        <w:instrText>ADDIN CSL_CITATION {"citationItems":[{"id":"ITEM-1","itemData":{"DOI":"10.1080/02724980443000124","ISSN":"0272-4987","author":[{"dropping-particle":"","family":"Bayliss","given":"A P","non-dropping-particle":"","parse-names":false,"suffix":""},{"dropping-particle":"","family":"Pellegrino","given":"G","non-dropping-particle":"Di","parse-names":false,"suffix":""},{"dropping-particle":"","family":"Tipper","given":"Sr.","non-dropping-particle":"","parse-names":false,"suffix":""}],"container-title":"Q. J. Exp. Psychol. Sect A-Hum. Exp. Psychol.","id":"ITEM-1","issue":"4","issued":{"date-parts":[["2005"]]},"page":"631-650","title":"Sex differences in eye gaze and symbolic cueing of attention","type":"article-journal","volume":"58"},"uris":["http://www.mendeley.com/documents/?uuid=7b881ecf-5260-4917-87e0-0a239da8d4e2"]}],"mendeley":{"formattedCitation":"(A P Bayliss et al., 2005)","manualFormatting":"(Bayliss et al., 2005)","plainTextFormattedCitation":"(A P Bayliss et al., 2005)","previouslyFormattedCitation":"(A P Bayliss et al., 2005)"},"properties":{"noteIndex":0},"schema":"https://github.com/citation-style-language/schema/raw/master/csl-citation.json"}</w:instrText>
      </w:r>
      <w:r w:rsidR="009A28F1">
        <w:fldChar w:fldCharType="separate"/>
      </w:r>
      <w:r w:rsidR="009A28F1" w:rsidRPr="009A28F1">
        <w:rPr>
          <w:noProof/>
        </w:rPr>
        <w:t>(Bayliss et al., 2005)</w:t>
      </w:r>
      <w:r w:rsidR="009A28F1">
        <w:fldChar w:fldCharType="end"/>
      </w:r>
      <w:r w:rsidRPr="00BD14B0">
        <w:t xml:space="preserve">, autistic-like traits </w:t>
      </w:r>
      <w:r w:rsidR="005A243A">
        <w:fldChar w:fldCharType="begin" w:fldLock="1"/>
      </w:r>
      <w:r w:rsidR="005A243A">
        <w:instrText>ADDIN CSL_CITATION {"citationItems":[{"id":"ITEM-1","itemData":{"DOI":"10.1371/journal.pone.0053286","ISSN":"1932-6203","abstract":"Social understanding is facilitated by effectively attending to other people and the subtle social cues they generate. In order to more fully appreciate the nature of social attention and what drives people to attend to social aspects of the world, one must investigate the factors that influence social attention. This is especially important when attempting to create models of disordered social attention, e.g. a model of social attention in autism. Here we analysed participants' viewing behaviour during one-to-one social interactions with an experimenter. Interactions were conducted either live or via video (social presence manipulation). The participant was asked and then required to answer questions. Experimenter eye-contact was either direct or averted. Additionally, the influence of participant self-reported autistic traits was also investigated. We found that regardless of whether the interaction was conducted live or via a video, participants frequently looked at the experimenter's face, and they did this more often when being asked a question than when answering. Critical differences in social attention between the live and video interactions were also observed. Modifications of experimenter eye contact influenced participants' eye movements in the live interaction only; and increased autistic traits were associated with less looking at the experimenter for video interactions only. We conclude that analysing patterns of eye-movements in response to strictly controlled video stimuli and natural real-world stimuli furthers the field's understanding of the factors that influence social attention.","author":[{"dropping-particle":"","family":"Freeth","given":"Megan","non-dropping-particle":"","parse-names":false,"suffix":""},{"dropping-particle":"","family":"Foulsham","given":"Tom","non-dropping-particle":"","parse-names":false,"suffix":""},{"dropping-particle":"","family":"Kingstone","given":"Alan","non-dropping-particle":"","parse-names":false,"suffix":""}],"container-title":"Plos One","id":"ITEM-1","issue":"1","issued":{"date-parts":[["2013"]]},"note":"Times Cited: 7\n7","title":"What Affects Social Attention? Social Presence, Eye Contact and Autistic Traits","type":"article-journal","volume":"8"},"uris":["http://www.mendeley.com/documents/?uuid=f6d66173-773d-42d2-adb6-34aa87867aab"]}],"mendeley":{"formattedCitation":"(Megan Freeth et al., 2013)","manualFormatting":"(Freeth et al., 2013)","plainTextFormattedCitation":"(Megan Freeth et al., 2013)","previouslyFormattedCitation":"(Megan Freeth et al., 2013)"},"properties":{"noteIndex":0},"schema":"https://github.com/citation-style-language/schema/raw/master/csl-citation.json"}</w:instrText>
      </w:r>
      <w:r w:rsidR="005A243A">
        <w:fldChar w:fldCharType="separate"/>
      </w:r>
      <w:r w:rsidR="005A243A" w:rsidRPr="005A243A">
        <w:rPr>
          <w:noProof/>
        </w:rPr>
        <w:t>(Freeth et al., 2013)</w:t>
      </w:r>
      <w:r w:rsidR="005A243A">
        <w:fldChar w:fldCharType="end"/>
      </w:r>
      <w:r w:rsidR="005A243A">
        <w:t xml:space="preserve"> </w:t>
      </w:r>
      <w:r w:rsidRPr="00BD14B0">
        <w:t xml:space="preserve">might influence this effect. The influence of social interactions on the GCE may differ between males and females. For example, on average, women tend to show a stronger gaze-cueing effect than men and familiarity enhances the gaze cueing effect only in female participants (Bayliss et al., 2005). Gender differences in the effects of familiarity, a type of social knowledge, on gaze cueing may reflect the greater adaptive significance of social information for females compared to males </w:t>
      </w:r>
      <w:r w:rsidRPr="00BD14B0">
        <w:fldChar w:fldCharType="begin" w:fldLock="1"/>
      </w:r>
      <w:r w:rsidR="0028287E" w:rsidRPr="00BD14B0">
        <w:instrText>ADDIN CSL_CITATION {"citationItems":[{"id":"ITEM-1","itemData":{"DOI":"10.1098/rsbl.2006.0564","ISSN":"1744-9561","abstract":"Gaze cuing, the tendency to shift attention in the direction other individuals are looking, is hypothesized to depend on a distinct neural module. One expectation of such a module is that information processing should be encapsulated within it. Here, we tested whether familiarity, a type of social knowledge, penetrates the neural circuits governing gaze cuing. Male and female subjects viewed the face of an adult male looking left or right and then pressed a keypad to indicate the location of a target appearing randomly left or right. Responses were faster for targets congruent with gaze direction. Moreover, gaze cuing was stronger in females than males. Contrary to the modularity hypothesis, familiarity enhanced gaze cuing, but only in females. Sex differences in the effects of familiarity on gaze cuing may reflect greater adaptive significance of social information for females than males.","author":[{"dropping-particle":"","family":"Deaner","given":"Robert O","non-dropping-particle":"","parse-names":false,"suffix":""},{"dropping-particle":"V","family":"Shepherd","given":"Stephen","non-dropping-particle":"","parse-names":false,"suffix":""},{"dropping-particle":"","family":"Platt","given":"Michael L","non-dropping-particle":"","parse-names":false,"suffix":""}],"container-title":"Biology Letters","id":"ITEM-1","issue":"1","issued":{"date-parts":[["2007","2","22"]]},"note":"Times Cited: 31\n32","page":"65-68","title":"Familiarity accentuates gaze cuing in women but not men","type":"article-journal","volume":"3"},"uris":["http://www.mendeley.com/documents/?uuid=c40566fa-2045-42e8-8818-c7b3fd74af89"]}],"mendeley":{"formattedCitation":"(R. O. Deaner et al., 2007)","manualFormatting":"(Deaner et al., 2007)","plainTextFormattedCitation":"(R. O. Deaner et al., 2007)","previouslyFormattedCitation":"(R. O. Deaner et al., 2007)"},"properties":{"noteIndex":0},"schema":"https://github.com/citation-style-language/schema/raw/master/csl-citation.json"}</w:instrText>
      </w:r>
      <w:r w:rsidRPr="00BD14B0">
        <w:fldChar w:fldCharType="separate"/>
      </w:r>
      <w:r w:rsidR="004D2901" w:rsidRPr="00BD14B0">
        <w:rPr>
          <w:noProof/>
        </w:rPr>
        <w:t>(Deaner et al., 2007)</w:t>
      </w:r>
      <w:r w:rsidRPr="00BD14B0">
        <w:fldChar w:fldCharType="end"/>
      </w:r>
      <w:r w:rsidRPr="00BD14B0">
        <w:t xml:space="preserve">. Also, Bayliss et al. (2005) showed that the gaze cueing effect was inversely associated with scores on the Autism Spectrum Quotient (AQ).  It has previously been reported that there are differences between low and high AQ groups in several cognitive capacities </w:t>
      </w:r>
      <w:r w:rsidR="005A243A">
        <w:fldChar w:fldCharType="begin" w:fldLock="1"/>
      </w:r>
      <w:r w:rsidR="00C52F63">
        <w:instrText>ADDIN CSL_CITATION {"citationItems":[{"id":"ITEM-1","itemData":{"DOI":"10.1016/S0306-9877(98)90270-5","ISSN":"03069877","abstract":"Autism is a developmental disorder characterized by disturbance in language, perception and socialization. A variety of biochemical, anatomical and neuroradiographical studies imply a disturbance of brain energy metabolism in autistic patients. The underlying etiology of a disturbed bioenergetic metabolism in autism is unknown. A likely etiological possibility may involve mitochondrial dysfunction with concomitant defects in neuronal oxidative phosphorylation within the central nervous system. This hypothesis is supported by a frequent association of lactic acidosis and carnitine deficiency in autistic patients. Mitochondria are vulnerable to a wide array of endogenous and exogenous factors which appear to be linked by excessive nitric oxide production. Strategies to augment mitochondrial function, either by decreasing production of endogenous toxic metabolites, reducing nitric oxide production, or stimulating mitochondrial enzyme activity may be beneficial in the treatment of autism.","author":[{"dropping-particle":"","family":"Lombard","given":"J","non-dropping-particle":"","parse-names":false,"suffix":""}],"container-title":"Medical Hypotheses","id":"ITEM-1","issue":"6","issued":{"date-parts":[["1998","6"]]},"page":"497-500","title":"Autism: a mitochondrial disorder?","type":"article-journal","volume":"50"},"uris":["http://www.mendeley.com/documents/?uuid=8be6c075-6958-464d-ad6a-fd6e9b160f0e"]}],"mendeley":{"formattedCitation":"(Lombard, 1998)","plainTextFormattedCitation":"(Lombard, 1998)","previouslyFormattedCitation":"(Lombard, 1998)"},"properties":{"noteIndex":0},"schema":"https://github.com/citation-style-language/schema/raw/master/csl-citation.json"}</w:instrText>
      </w:r>
      <w:r w:rsidR="005A243A">
        <w:fldChar w:fldCharType="separate"/>
      </w:r>
      <w:r w:rsidR="005A243A" w:rsidRPr="005A243A">
        <w:rPr>
          <w:noProof/>
        </w:rPr>
        <w:t>(Lombard, 1998)</w:t>
      </w:r>
      <w:r w:rsidR="005A243A">
        <w:fldChar w:fldCharType="end"/>
      </w:r>
      <w:r w:rsidR="005A243A">
        <w:t xml:space="preserve"> </w:t>
      </w:r>
      <w:r w:rsidRPr="00BD14B0">
        <w:t xml:space="preserve">as well as differences in social learning </w:t>
      </w:r>
      <w:r w:rsidRPr="00BD14B0">
        <w:fldChar w:fldCharType="begin" w:fldLock="1"/>
      </w:r>
      <w:r w:rsidRPr="00BD14B0">
        <w:instrText>ADDIN CSL_CITATION {"citationItems":[{"id":"ITEM-1","itemData":{"DOI":"10.1007/s10803-012-1510-3","ISSN":"01623257","PMID":"22447071","abstract":"We investigated if variation in autistic traits in the typically-developed population (using the Autism-spectrum Quotient, AQ) influenced implicit learning of social information. In the learning phase, participants repeatedly observed two identities whose gaze and expression conveyed either a pro- or antisocial disposition. These identities were then employed in a gaze-cueing paradigm. Participants made speeded responses to a peripheral target that was spatially pre-cued by a non-predictive gaze direction. The low AQ group (n = 50) showed a smaller gaze-cueing effect for the antisocial than for the prosocial identity. The high AQ group (n = 48) showed equivalent gaze-cueing for both identities. Others' intentions/dispositions can be learned implicitly and affect subsequent responses to their behavior. This ability is impaired with increasing levels of autistic traits. © 2012 Springer Science+Business Media, LLC.","author":[{"dropping-particle":"","family":"Hudson","given":"Matthew","non-dropping-particle":"","parse-names":false,"suffix":""},{"dropping-particle":"","family":"Nijboer","given":"Tanja C.W.","non-dropping-particle":"","parse-names":false,"suffix":""},{"dropping-particle":"","family":"Jellema","given":"Tjeerd","non-dropping-particle":"","parse-names":false,"suffix":""}],"container-title":"Journal of Autism and Developmental Disorders","id":"ITEM-1","issue":"12","issued":{"date-parts":[["2012"]]},"page":"2534-2545","title":"Implicit social learning in relation to autistic-like traits","type":"article-journal","volume":"42"},"uris":["http://www.mendeley.com/documents/?uuid=43844f77-4242-4b64-a15f-a09191989d27"]}],"mendeley":{"formattedCitation":"(Hudson et al., 2012)","plainTextFormattedCitation":"(Hudson et al., 2012)","previouslyFormattedCitation":"(Hudson et al., 2012)"},"properties":{"noteIndex":0},"schema":"https://github.com/citation-style-language/schema/raw/master/csl-citation.json"}</w:instrText>
      </w:r>
      <w:r w:rsidRPr="00BD14B0">
        <w:fldChar w:fldCharType="separate"/>
      </w:r>
      <w:r w:rsidRPr="00BD14B0">
        <w:rPr>
          <w:noProof/>
        </w:rPr>
        <w:t>(Hudson et al., 2012)</w:t>
      </w:r>
      <w:r w:rsidRPr="00BD14B0">
        <w:fldChar w:fldCharType="end"/>
      </w:r>
      <w:r w:rsidRPr="00BD14B0">
        <w:t xml:space="preserve">. Hudson et al. (2012) claimed that the low AQ group learned and exhibited the social dispositions implicitly, whereas the high AQ group did not. They reported that those with a high AQ had faster overall reaction times to gaze cues than those with a low AQ. This is consistent with previous research on the impact of autistic traits on gaze cueing. Individuals who were typically developing were able to process additional information from the gaze direction of others, allowing them to observe or interpret the intentions and mental states of others (theory of mind). With autism spectrum disorder (ASD), this additional processing is reduced </w:t>
      </w:r>
      <w:r w:rsidRPr="00BD14B0">
        <w:fldChar w:fldCharType="begin" w:fldLock="1"/>
      </w:r>
      <w:r w:rsidR="0028287E" w:rsidRPr="00BD14B0">
        <w:instrText>ADDIN CSL_CITATION {"citationItems":[{"id":"ITEM-1","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Cognition","id":"ITEM-1","issue":"5","issued":{"date-parts":[["1999"]]},"page":"509-540","title":"Gaze perception triggers reflexive visuospatial orienting","type":"article-journal","volume":"6"},"uris":["http://www.mendeley.com/documents/?uuid=d75d6f62-db29-416a-8682-3ddf8bb6262f"]},{"id":"ITEM-2","itemData":{"DOI":"10.1016/j.cognition.2004.04.005","ISSN":"00100277","abstract":"Attention is shifted reflexively to where other people are looking. It has been argued by a number of investigators that this social attention effect reflects the obligatory bottom-up activation of domain-specific modules within the inferior temporal (IT) cortex that are specialized for processing face and gaze information. However, it is also the case that top-down factors may modulate the activation of IT cells. Here we examined behaviorally whether reflexive social orienting is purely automatic or sensitive to top-down modulation. Participants were shown an ambiguous stimulus that could be perceived either as representing EYES or a CAR. In Experiment 1 we demonstrated between groups that an automatic shift of attention, equivalent to that triggered by a schematic FACE, occurred only when the stimulus was referred to as possessing EYES. In Experiment 2 all participants received the EYES and CAR conditions. When the stimulus was first referred to as a CAR and then as EYES, an attentional shift was only present for the EYES condition. However, when the stimulus was first referred to as possessing EYES, and then later as a CAR, attentional shifts were observed for both conditions. These data indicate that the emergence of a reflexive social attention effect is influenced by top-down mechanisms but in an asymmetrical manner. Top-down processes appear to be effective for triggering IT involvement, that is, for perceiving a stimulus as a face, which produces the social attention effect. But top-down mechanisms are ineffective once IT involvement has been triggered. That is, once a stimulus has been seen as having eyes, it continues to be seen that way, and accordingly, the social attention effect persists. © 2004 Elsevier B.V. All rights reserved.","author":[{"dropping-particle":"","family":"Ristic","given":"Jelena","non-dropping-particle":"","parse-names":false,"suffix":""},{"dropping-particle":"","family":"Kingstone","given":"Alan","non-dropping-particle":"","parse-names":false,"suffix":""}],"container-title":"Cognition","id":"ITEM-2","issue":"3","issued":{"date-parts":[["2005"]]},"page":"B55-B65","title":"Taking control of reflexive social attention","type":"article-journal","volume":"94"},"uris":["http://www.mendeley.com/documents/?uuid=f71c3270-f945-423d-8846-9a9a5feb7440"]}],"mendeley":{"formattedCitation":"(Driver et al., 1999; Jelena Ristic &amp; Kingstone, 2005)","manualFormatting":"(Driver et al., 1999; Ristic &amp; Kingstone, 2005)","plainTextFormattedCitation":"(Driver et al., 1999; Jelena Ristic &amp; Kingstone, 2005)","previouslyFormattedCitation":"(Driver et al., 1999; Jelena Ristic &amp; Kingstone, 2005)"},"properties":{"noteIndex":0},"schema":"https://github.com/citation-style-language/schema/raw/master/csl-citation.json"}</w:instrText>
      </w:r>
      <w:r w:rsidRPr="00BD14B0">
        <w:fldChar w:fldCharType="separate"/>
      </w:r>
      <w:r w:rsidR="004D2901" w:rsidRPr="00BD14B0">
        <w:rPr>
          <w:noProof/>
        </w:rPr>
        <w:t>(Driver et al., 1999; Ristic &amp; Kingstone, 2005)</w:t>
      </w:r>
      <w:r w:rsidRPr="00BD14B0">
        <w:fldChar w:fldCharType="end"/>
      </w:r>
      <w:r w:rsidRPr="00BD14B0">
        <w:t xml:space="preserve">. Given that this reduced processing affects people with ASD, it is reasonable to assume that it also affects people with high AQ, even if to a lesser degree, given that </w:t>
      </w:r>
      <w:r w:rsidRPr="00BD14B0">
        <w:fldChar w:fldCharType="begin" w:fldLock="1"/>
      </w:r>
      <w:r w:rsidR="004D2901" w:rsidRPr="00BD14B0">
        <w:instrText>ADDIN CSL_CITATION {"citationItems":[{"id":"ITEM-1","itemData":{"DOI":"10.1348/000712604X15626","ISSN":"20448295","author":[{"dropping-particle":"","family":"Bayliss","given":"Andrew P","non-dropping-particle":"","parse-names":false,"suffix":""},{"dropping-particle":"","family":"Tipper","given":"Steven P","non-dropping-particle":"","parse-names":false,"suffix":""}],"container-title":"British Journal of Psychology","id":"ITEM-1","issue":"1","issued":{"date-parts":[["2005"]]},"page":"95-114","title":"Gaze and arrow cueing of attention reveals individual differences along the autism spectrum as a function of target context","type":"article-journal","volume":"96"},"uris":["http://www.mendeley.com/documents/?uuid=187ec140-a032-41d0-9a0e-8f582d48051c"]}],"mendeley":{"formattedCitation":"(Andrew P Bayliss &amp; Tipper, 2005)","manualFormatting":"Bayliss and Tipper, (2005)","plainTextFormattedCitation":"(Andrew P Bayliss &amp; Tipper, 2005)","previouslyFormattedCitation":"(Andrew P Bayliss &amp; Tipper, 2005)"},"properties":{"noteIndex":0},"schema":"https://github.com/citation-style-language/schema/raw/master/csl-citation.json"}</w:instrText>
      </w:r>
      <w:r w:rsidRPr="00BD14B0">
        <w:fldChar w:fldCharType="separate"/>
      </w:r>
      <w:r w:rsidRPr="00BD14B0">
        <w:rPr>
          <w:noProof/>
        </w:rPr>
        <w:t>Bayliss and Tipper, (2005)</w:t>
      </w:r>
      <w:r w:rsidRPr="00BD14B0">
        <w:fldChar w:fldCharType="end"/>
      </w:r>
      <w:r w:rsidRPr="00BD14B0">
        <w:t xml:space="preserve"> noted that higher AQ scores are associated with smaller gaze cueing effects. Studies have shown gender differences in the strength of the gaze cueing </w:t>
      </w:r>
      <w:proofErr w:type="gramStart"/>
      <w:r w:rsidR="00693519" w:rsidRPr="00BD14B0">
        <w:t>effect</w:t>
      </w:r>
      <w:proofErr w:type="gramEnd"/>
      <w:r w:rsidR="00693519" w:rsidRPr="00BD14B0">
        <w:t xml:space="preserve"> but</w:t>
      </w:r>
      <w:r w:rsidRPr="00BD14B0">
        <w:t xml:space="preserve"> autistic traits (which impact on social attention) also need to be considered, since the prevalence of autistic traits in females is lower, and the tendency to be more responsive to social cues may be related to lower autistic traits. Taken together, these personal differences may influence the shift in social attention in a group context, particularly when gathering social information by observing past behaviours of group members. This is particularly important since autistic traits may affect the understanding of social cues based on group members' behaviour during social interactions. </w:t>
      </w:r>
    </w:p>
    <w:p w14:paraId="459ECAF9" w14:textId="43FC76D8" w:rsidR="00FD692F" w:rsidRPr="00BD14B0" w:rsidRDefault="00FD692F" w:rsidP="00FD692F">
      <w:r w:rsidRPr="00BD14B0">
        <w:lastRenderedPageBreak/>
        <w:tab/>
        <w:t xml:space="preserve">Several social factors can influence gaze cueing, such as when the gazer face is rated positively to ingroup members </w:t>
      </w:r>
      <w:r w:rsidRPr="00BD14B0">
        <w:fldChar w:fldCharType="begin" w:fldLock="1"/>
      </w:r>
      <w:r w:rsidRPr="00BD14B0">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Italy","type":"article-journal","volume":"6"},"uris":["http://www.mendeley.com/documents/?uuid=c3ea2b1c-0d14-4450-a7ae-afb548fda639"]}],"mendeley":{"formattedCitation":"(Pavan et al., 2011)","plainTextFormattedCitation":"(Pavan et al., 2011)","previouslyFormattedCitation":"(Pavan et al., 2011)"},"properties":{"noteIndex":0},"schema":"https://github.com/citation-style-language/schema/raw/master/csl-citation.json"}</w:instrText>
      </w:r>
      <w:r w:rsidRPr="00BD14B0">
        <w:fldChar w:fldCharType="separate"/>
      </w:r>
      <w:r w:rsidRPr="00BD14B0">
        <w:rPr>
          <w:noProof/>
        </w:rPr>
        <w:t>(Pavan et al., 2011)</w:t>
      </w:r>
      <w:r w:rsidRPr="00BD14B0">
        <w:fldChar w:fldCharType="end"/>
      </w:r>
      <w:r w:rsidRPr="00BD14B0">
        <w:t xml:space="preserve"> or to a gazer with a similar political view </w:t>
      </w:r>
      <w:r w:rsidRPr="00BD14B0">
        <w:fldChar w:fldCharType="begin" w:fldLock="1"/>
      </w:r>
      <w:r w:rsidRPr="00BD14B0">
        <w:instrText>ADDIN CSL_CITATION {"citationItems":[{"id":"ITEM-1","itemData":{"DOI":"10.1371/journal.pone.0025117","ISSN":"1932-6203","abstract":"Studies in human and non-human primates indicate that basic socio-cognitive operations are inherently linked to the power of gaze in capturing reflexively the attention of an observer. Although monkey studies indicate that the automatic tendency to follow the gaze of a conspecific is modulated by the leader-follower social status, evidence for such effects in humans is meager. Here, we used a gaze following paradigm where the directional gaze of right-or left-wing Italian political characters could influence the oculomotor behavior of ingroup or outgroup voters. We show that the gaze of Berlusconi, the right-wing leader currently dominating the Italian political landscape, potentiates and inhibits gaze following behavior in ingroup and outgroup voters, respectively. Importantly, the higher the perceived similarity in personality traits between voters and Berlusconi, the stronger the gaze interference effect. Thus, higher-order social variables such as political leadership and affiliation prepotently affect reflexive shifts of attention.","author":[{"dropping-particle":"","family":"Liuzza","given":"Marco Tullio","non-dropping-particle":"","parse-names":false,"suffix":""},{"dropping-particle":"","family":"Cazzato","given":"Valentina","non-dropping-particle":"","parse-names":false,"suffix":""},{"dropping-particle":"","family":"Vecchione","given":"Michele","non-dropping-particle":"","parse-names":false,"suffix":""},{"dropping-particle":"","family":"Crostella","given":"Filippo","non-dropping-particle":"","parse-names":false,"suffix":""},{"dropping-particle":"","family":"Caprara","given":"Gian Vittorio","non-dropping-particle":"","parse-names":false,"suffix":""},{"dropping-particle":"","family":"Aglioti","given":"Salvatore Maria","non-dropping-particle":"","parse-names":false,"suffix":""}],"container-title":"Plos One","id":"ITEM-1","issue":"9","issued":{"date-parts":[["2011"]]},"note":"Times Cited: 12\nLiuzza, Marco Tullio/A-9967-2012\n12","title":"Follow My Eyes: The Gaze of Politicians Reflexively Captures the Gaze of Ingroup Voters","type":"article-journal","volume":"6"},"uris":["http://www.mendeley.com/documents/?uuid=5a49dbe4-b43e-4f79-b2bf-d8ab63cce5d6"]}],"mendeley":{"formattedCitation":"(Liuzza et al., 2011)","plainTextFormattedCitation":"(Liuzza et al., 2011)","previouslyFormattedCitation":"(Liuzza et al., 2011)"},"properties":{"noteIndex":0},"schema":"https://github.com/citation-style-language/schema/raw/master/csl-citation.json"}</w:instrText>
      </w:r>
      <w:r w:rsidRPr="00BD14B0">
        <w:fldChar w:fldCharType="separate"/>
      </w:r>
      <w:r w:rsidRPr="00BD14B0">
        <w:rPr>
          <w:noProof/>
        </w:rPr>
        <w:t>(Liuzza et al., 2011)</w:t>
      </w:r>
      <w:r w:rsidRPr="00BD14B0">
        <w:fldChar w:fldCharType="end"/>
      </w:r>
      <w:r w:rsidRPr="00BD14B0">
        <w:t xml:space="preserve">, or when their gaze is regarded as more informative because the gazer is perceived to be trustworthy </w:t>
      </w:r>
      <w:r w:rsidRPr="00BD14B0">
        <w:fldChar w:fldCharType="begin" w:fldLock="1"/>
      </w:r>
      <w:r w:rsidRPr="00BD14B0">
        <w:instrText>ADDIN CSL_CITATION {"citationItems":[{"id":"ITEM-1","itemData":{"DOI":"10.1080/20445911.2014.945457","ISSN":"2044-5911","abstract":"p Gaze cueing (i.e., the shifting of person B&amp;#039;s attention by following person A&amp;#039;s gaze) is closely linked with human interaction and learning. To make the most of this connection, researchers need to investigate possible moderators enhancing or reducing the extent of this attentional shifting. In this study we used a gaze cueing paradigm to demonstrate that the perceived trustworthiness of a cueing person constitutes such a moderator for female participants. Our results show a significant interaction between perceived trustworthiness and the response time trade-off between valid and invalid gaze cues [gaze cueing effect (GCE)], as manifested in greater following of a person&amp;#039;s gaze if this person was trustworthy as opposed to the following of an untrustworthy person&amp;#039;s gaze. An additional exploratory analysis showed potentially moderating influences of trait-anxiety on this interaction ( p = .057). The affective background of the experiment (i.e., using positive or negative target stimuli) had no influence.","author":[{"dropping-particle":"","family":"Süßenbach","given":"Felix","non-dropping-particle":"","parse-names":false,"suffix":""},{"dropping-particle":"","family":"Schönbrodt","given":"Felix","non-dropping-particle":"","parse-names":false,"suffix":""}],"container-title":"Journal of Cognitive Psychology","id":"ITEM-1","issue":"6","issued":{"date-parts":[["2014"]]},"page":"670-678","title":"Not afraid to trust you: Trustworthiness moderates gaze cueing but not in highly anxious participants","type":"article-journal","volume":"26"},"uris":["http://www.mendeley.com/documents/?uuid=fdf0bb08-283c-4e10-b6a0-4b41a1c7c71b"]}],"mendeley":{"formattedCitation":"(Süßenbach &amp; Schönbrodt, 2014)","plainTextFormattedCitation":"(Süßenbach &amp; Schönbrodt, 2014)","previouslyFormattedCitation":"(Süßenbach &amp; Schönbrodt, 2014)"},"properties":{"noteIndex":0},"schema":"https://github.com/citation-style-language/schema/raw/master/csl-citation.json"}</w:instrText>
      </w:r>
      <w:r w:rsidRPr="00BD14B0">
        <w:fldChar w:fldCharType="separate"/>
      </w:r>
      <w:r w:rsidRPr="00BD14B0">
        <w:rPr>
          <w:noProof/>
        </w:rPr>
        <w:t>(Süßenbach &amp; Schönbrodt, 2014)</w:t>
      </w:r>
      <w:r w:rsidRPr="00BD14B0">
        <w:fldChar w:fldCharType="end"/>
      </w:r>
      <w:r w:rsidRPr="00BD14B0">
        <w:t xml:space="preserve"> or when the gazer in a powerful position </w:t>
      </w:r>
      <w:r w:rsidRPr="00BD14B0">
        <w:fldChar w:fldCharType="begin" w:fldLock="1"/>
      </w:r>
      <w:r w:rsidRPr="00BD14B0">
        <w:instrText>ADDIN CSL_CITATION {"citationItems":[{"id":"ITEM-1","itemData":{"DOI":"10.1016/j.cognition.2010.09.003","ISSN":"00100277","abstract":"Human visual attention operates in a context that is complex, social and dynamic. To explore this, we recorded people taking part in a group decision-making task and then showed video clips of these situations to new participants while tracking their eye movements. Observers spent the majority of time looking at the people in the videos, and in particular at their eyes and faces. The social status of the people in the clips had been rated by their peers in the group task, and this status hierarchy strongly predicted where eye-tracker participants looked: high-status individuals were gazed at much more often, and for longer, than low-status individuals, even over short, 20-s videos. Fixation was temporally coupled to the person who was talking at any one time, but this did not account for the effect of social status on attention. These results are consistent with a gaze system that is attuned to the presence of other individuals, to their social status within a group, and to the information most useful for social interaction. (C) 2010 Elsevier B.V. All rights reserved.","author":[{"dropping-particle":"","family":"Foulsham","given":"Tom","non-dropping-particle":"","parse-names":false,"suffix":""},{"dropping-particle":"","family":"Cheng","given":"Joey T","non-dropping-particle":"","parse-names":false,"suffix":""},{"dropping-particle":"","family":"Tracy","given":"Jessica L","non-dropping-particle":"","parse-names":false,"suffix":""},{"dropping-particle":"","family":"Henrich","given":"Joseph","non-dropping-particle":"","parse-names":false,"suffix":""},{"dropping-particle":"","family":"Kingstone","given":"Alan","non-dropping-particle":"","parse-names":false,"suffix":""}],"container-title":"Cognition","id":"ITEM-1","issue":"3","issued":{"date-parts":[["2010","12"]]},"note":"Times Cited: 36\n36","page":"319-331","title":"Gaze allocation in a dynamic situation: Effects of social status and speaking","type":"article-journal","volume":"117"},"uris":["http://www.mendeley.com/documents/?uuid=f47ee137-412c-4b34-a8dd-7a5d7d9e843b"]}],"mendeley":{"formattedCitation":"(Foulsham et al., 2010)","plainTextFormattedCitation":"(Foulsham et al., 2010)","previouslyFormattedCitation":"(Foulsham et al., 2010)"},"properties":{"noteIndex":0},"schema":"https://github.com/citation-style-language/schema/raw/master/csl-citation.json"}</w:instrText>
      </w:r>
      <w:r w:rsidRPr="00BD14B0">
        <w:fldChar w:fldCharType="separate"/>
      </w:r>
      <w:r w:rsidRPr="00BD14B0">
        <w:rPr>
          <w:noProof/>
        </w:rPr>
        <w:t>(Foulsham et al., 2010)</w:t>
      </w:r>
      <w:r w:rsidRPr="00BD14B0">
        <w:fldChar w:fldCharType="end"/>
      </w:r>
      <w:r w:rsidRPr="00BD14B0">
        <w:t xml:space="preserve">. Interestingly, the automatic tendency to pay attention to higher-ranking individuals' gaze cues appears to be involuntary in both humans and monkeys, indicating that it serves an evolutionary important function. This pattern is confirmed by the fact that low-status people receive less attention than high-status people </w:t>
      </w:r>
      <w:r w:rsidRPr="00BD14B0">
        <w:fldChar w:fldCharType="begin" w:fldLock="1"/>
      </w:r>
      <w:r w:rsidRPr="00BD14B0">
        <w:instrText>ADDIN CSL_CITATION {"citationItems":[{"id":"ITEM-1","itemData":{"DOI":"10.1371/journal.pone.0025608","ISSN":"1932-6203","abstract":"Viewing a face with averted gaze results in a spatial shift of attention in the corresponding direction, a phenomenon defined as gaze-mediated orienting. In the present paper, we investigated whether this effect is influenced by social factors. Across three experiments, White and Black participants were presented with faces of White and Black individuals. A modified spatial cueing paradigm was used in which a peripheral target stimulus requiring a discrimination response was preceded by a noninformative gaze cue. Results showed that Black participants shifted attention to the averted gaze of both ingroup and outgroup faces, whereas White participants selectively shifted attention only in response to individuals of their same group. Interestingly, the modulatory effect of social factors was context-dependent and emerged only when group membership was situationally salient to participants. It was hypothesized that differences in the relative social status of the two groups might account for the observed asymmetry between White and Black participants. A final experiment ruled out an alternative explanation based on differences in perceptual familiarity with the face stimuli. Overall, these findings strengthen the idea that gaze-mediated orienting is a socially-connoted phenomenon.","author":[{"dropping-particle":"","family":"Pavan","given":"Giulia","non-dropping-particle":"","parse-names":false,"suffix":""},{"dropping-particle":"","family":"Dalmaso","given":"Mario","non-dropping-particle":"","parse-names":false,"suffix":""},{"dropping-particle":"","family":"Galfano","given":"Giovanni","non-dropping-particle":"","parse-names":false,"suffix":""},{"dropping-particle":"","family":"Castelli","given":"Luigi","non-dropping-particle":"","parse-names":false,"suffix":""}],"container-title":"Plos One","id":"ITEM-1","issue":"10","issued":{"date-parts":[["2011"]]},"note":"Times Cited: 14\nGalfano, Giovanni/B-7582-2008\n14","title":"Racial Group Membership Is Associated to Gaze-Mediated Orienting in Italy","type":"article-journal","volume":"6"},"uris":["http://www.mendeley.com/documents/?uuid=c3ea2b1c-0d14-4450-a7ae-afb548fda639"]},{"id":"ITEM-2","itemData":{"DOI":"10.1016/j.cognition.2010.09.003","ISSN":"00100277","abstract":"Human visual attention operates in a context that is complex, social and dynamic. To explore this, we recorded people taking part in a group decision-making task and then showed video clips of these situations to new participants while tracking their eye movements. Observers spent the majority of time looking at the people in the videos, and in particular at their eyes and faces. The social status of the people in the clips had been rated by their peers in the group task, and this status hierarchy strongly predicted where eye-tracker participants looked: high-status individuals were gazed at much more often, and for longer, than low-status individuals, even over short, 20-s videos. Fixation was temporally coupled to the person who was talking at any one time, but this did not account for the effect of social status on attention. These results are consistent with a gaze system that is attuned to the presence of other individuals, to their social status within a group, and to the information most useful for social interaction. (C) 2010 Elsevier B.V. All rights reserved.","author":[{"dropping-particle":"","family":"Foulsham","given":"Tom","non-dropping-particle":"","parse-names":false,"suffix":""},{"dropping-particle":"","family":"Cheng","given":"Joey T","non-dropping-particle":"","parse-names":false,"suffix":""},{"dropping-particle":"","family":"Tracy","given":"Jessica L","non-dropping-particle":"","parse-names":false,"suffix":""},{"dropping-particle":"","family":"Henrich","given":"Joseph","non-dropping-particle":"","parse-names":false,"suffix":""},{"dropping-particle":"","family":"Kingstone","given":"Alan","non-dropping-particle":"","parse-names":false,"suffix":""}],"container-title":"Cognition","id":"ITEM-2","issue":"3","issued":{"date-parts":[["2010","12"]]},"note":"Times Cited: 36\n36","page":"319-331","title":"Gaze allocation in a dynamic situation: Effects of social status and speaking","type":"article-journal","volume":"117"},"uris":["http://www.mendeley.com/documents/?uuid=f47ee137-412c-4b34-a8dd-7a5d7d9e843b"]}],"mendeley":{"formattedCitation":"(Foulsham et al., 2010; Pavan et al., 2011)","plainTextFormattedCitation":"(Foulsham et al., 2010; Pavan et al., 2011)","previouslyFormattedCitation":"(Foulsham et al., 2010; Pavan et al., 2011)"},"properties":{"noteIndex":0},"schema":"https://github.com/citation-style-language/schema/raw/master/csl-citation.json"}</w:instrText>
      </w:r>
      <w:r w:rsidRPr="00BD14B0">
        <w:fldChar w:fldCharType="separate"/>
      </w:r>
      <w:r w:rsidRPr="00BD14B0">
        <w:rPr>
          <w:noProof/>
        </w:rPr>
        <w:t>(Foulsham et al., 2010; Pavan et al., 2011)</w:t>
      </w:r>
      <w:r w:rsidRPr="00BD14B0">
        <w:fldChar w:fldCharType="end"/>
      </w:r>
      <w:r w:rsidRPr="00BD14B0">
        <w:t xml:space="preserve">. Even when faces are unfamiliar and the status information is implied via fictional career information, the gaze of high-status individuals create an enhanced gaze cueing effect </w:t>
      </w:r>
      <w:r w:rsidRPr="00BD14B0">
        <w:fldChar w:fldCharType="begin" w:fldLock="1"/>
      </w:r>
      <w:r w:rsidR="0028287E" w:rsidRPr="00BD14B0">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Letters","id":"ITEM-1","issue":"3","issued":{"date-parts":[["2012","6","23"]]},"note":"From Duplicate 2 (Social status gates social attention in humans - Dalmaso, Mario; Pavan, Giulia; Castelli, Luigi; Galfano, Giovanni)\n\nTimes Cited: 16\nGalfano, Giovanni/B-7582-2008\n16","page":"450-452","title":"Social status gates social attention in humans","type":"article-journal","volume":"8"},"uris":["http://www.mendeley.com/documents/?uuid=261a4feb-ab80-4609-9cc4-52869ea8889c"]}],"mendeley":{"formattedCitation":"(Dalmaso et al., 2012b)","manualFormatting":"(Dalmaso et al., 2012)","plainTextFormattedCitation":"(Dalmaso et al., 2012b)","previouslyFormattedCitation":"(Dalmaso et al., 2012b)"},"properties":{"noteIndex":0},"schema":"https://github.com/citation-style-language/schema/raw/master/csl-citation.json"}</w:instrText>
      </w:r>
      <w:r w:rsidRPr="00BD14B0">
        <w:fldChar w:fldCharType="separate"/>
      </w:r>
      <w:r w:rsidR="004D2901" w:rsidRPr="00BD14B0">
        <w:rPr>
          <w:noProof/>
        </w:rPr>
        <w:t>(Dalmaso et al., 2012)</w:t>
      </w:r>
      <w:r w:rsidRPr="00BD14B0">
        <w:fldChar w:fldCharType="end"/>
      </w:r>
      <w:r w:rsidRPr="00BD14B0">
        <w:t xml:space="preserve">. The enhanced attentional effect of gaze cueing has been observed both with a visual indication of social status as well as reputation-based status titles </w:t>
      </w:r>
      <w:r w:rsidRPr="00BD14B0">
        <w:fldChar w:fldCharType="begin" w:fldLock="1"/>
      </w:r>
      <w:r w:rsidRPr="00BD14B0">
        <w:instrText>ADDIN CSL_CITATION {"citationItems":[{"id":"ITEM-1","itemData":{"DOI":"10.1371/journal.pone.0093139","ISSN":"1932-6203","abstract":"Fixating someone suddenly moving the eyes is known to trigger a corresponding shift of attention in the observer. This phenomenon, known as gaze-cueing effect, can be modulated as a function of the social status of the individual depicted in the cueing face. Here, in two experiments, we investigated the temporal dynamics underlying this modulation. To this end, a gaze-cueing paradigm was implemented in which centrally-placed faces depicting high-and low-status individuals suddenly shifted the eyes towards a location either spatially congruent or incongruent with that occupied by a subsequent target stimulus. Social status was manipulated by presenting fictive Curriculum Vitae before the experimental phase. In Experiment 1, in which two temporal intervals (50 ms vs. 900 ms) occurred between the direct-gaze face and the averted-gaze face onsets, a stronger gaze-cueing effect in response to high-status faces than low-status faces was observed, irrespective of the time participants were allowed for extracting social information. In Experiment 2, in which two temporal intervals (200 ms vs. 1000 ms) occurred between the averted-gaze face and target onset, a stronger gaze cueing for high-status faces was observed at the shorter interval only. Taken together, these results suggest that information regarding social status is extracted from faces rapidly (Experiment 1), and that the tendency to selectively attend to the locations gazed by high-status individuals may decay with time (Experiment 2).","author":[{"dropping-particle":"","family":"Dalmaso","given":"Mario","non-dropping-particle":"","parse-names":false,"suffix":""},{"dropping-particle":"","family":"Galfano","given":"Giovanni","non-dropping-particle":"","parse-names":false,"suffix":""},{"dropping-particle":"","family":"Coricelli","given":"Carol","non-dropping-particle":"","parse-names":false,"suffix":""},{"dropping-particle":"","family":"Castelli","given":"Luigi","non-dropping-particle":"","parse-names":false,"suffix":""}],"container-title":"PLoS ONE","editor":[{"dropping-particle":"","family":"Senju","given":"Atsushi","non-dropping-particle":"","parse-names":false,"suffix":""}],"id":"ITEM-1","issue":"3","issued":{"date-parts":[["2014","3","25"]]},"note":"Times Cited: 1\n1","page":"e93139","title":"Temporal Dynamics Underlying the Modulation of Social Status on Social Attention","type":"article-journal","volume":"9"},"uris":["http://www.mendeley.com/documents/?uuid=a8c97fd0-ac78-49e7-9a2a-c01e19f02d94"]}],"mendeley":{"formattedCitation":"(Dalmaso et al., 2014)","plainTextFormattedCitation":"(Dalmaso et al., 2014)","previouslyFormattedCitation":"(Dalmaso et al., 2014)"},"properties":{"noteIndex":0},"schema":"https://github.com/citation-style-language/schema/raw/master/csl-citation.json"}</w:instrText>
      </w:r>
      <w:r w:rsidRPr="00BD14B0">
        <w:fldChar w:fldCharType="separate"/>
      </w:r>
      <w:r w:rsidRPr="00BD14B0">
        <w:rPr>
          <w:noProof/>
        </w:rPr>
        <w:t>(Dalmaso et al., 2014)</w:t>
      </w:r>
      <w:r w:rsidRPr="00BD14B0">
        <w:fldChar w:fldCharType="end"/>
      </w:r>
      <w:r w:rsidRPr="00BD14B0">
        <w:t xml:space="preserve">, suggesting that it is highly salient. </w:t>
      </w:r>
    </w:p>
    <w:p w14:paraId="77DD7EF5" w14:textId="604C0DCA" w:rsidR="00FD692F" w:rsidRPr="00BD14B0" w:rsidRDefault="00FD692F" w:rsidP="00FD692F">
      <w:r w:rsidRPr="00BD14B0">
        <w:tab/>
        <w:t xml:space="preserve">Previous research has demonstrated that the gaze following system can be tuned to recognize a specific identity of the gazer when certain conditions are met and a strong memory representation is present </w:t>
      </w:r>
      <w:r w:rsidRPr="00BD14B0">
        <w:fldChar w:fldCharType="begin" w:fldLock="1"/>
      </w:r>
      <w:r w:rsidRPr="00BD14B0">
        <w:instrText>ADDIN CSL_CITATION {"citationItems":[{"id":"ITEM-1","itemData":{"DOI":"10.1080/13506280544000192","ISSN":"1350-6285","abstract":"When people observe other individuals shift gaze to a particular location, the observer's attention automatically and rapidly shifts to the same location. Initial studies provided evidence in support of the idea that such gaze-evoked shifts of attention were transient, no longer being observed after about 1000 ms. However, in contrast to the idea that gaze shifts of attention are transitory, the current work suggests that under certain conditions long-term gaze cueing effects can be detected over a period of 3 minutes. We propose that attention states that are activated when encoding an object such as a face can be retrieved from memory when the face is re-encountered some minutes later. © 2006 Psychology Press Ltd.","author":[{"dropping-particle":"","family":"Frischen","given":"Alexandra","non-dropping-particle":"","parse-names":false,"suffix":""},{"dropping-particle":"","family":"Tipper","given":"Steven P.","non-dropping-particle":"","parse-names":false,"suffix":""}],"container-title":"Visual Cognition","id":"ITEM-1","issue":"3","issued":{"date-parts":[["2006","7"]]},"page":"351-364","title":"Long-term gaze cueing effects: Evidence for retrieval of prior states of attention from memory","type":"article-journal","volume":"14"},"uris":["http://www.mendeley.com/documents/?uuid=5bcc28ba-5c03-478d-b5c3-0e54f236860f"]}],"mendeley":{"formattedCitation":"(Frischen &amp; Tipper, 2006)","plainTextFormattedCitation":"(Frischen &amp; Tipper, 2006)","previouslyFormattedCitation":"(Frischen &amp; Tipper, 2006)"},"properties":{"noteIndex":0},"schema":"https://github.com/citation-style-language/schema/raw/master/csl-citation.json"}</w:instrText>
      </w:r>
      <w:r w:rsidRPr="00BD14B0">
        <w:fldChar w:fldCharType="separate"/>
      </w:r>
      <w:r w:rsidRPr="00BD14B0">
        <w:rPr>
          <w:noProof/>
        </w:rPr>
        <w:t>(Frischen &amp; Tipper, 2006)</w:t>
      </w:r>
      <w:r w:rsidRPr="00BD14B0">
        <w:fldChar w:fldCharType="end"/>
      </w:r>
      <w:r w:rsidRPr="00BD14B0">
        <w:t xml:space="preserve">. These effects are observed in response to both observable status cues (like visual cues) and reputation-based status titles (like social cues) </w:t>
      </w:r>
      <w:r w:rsidR="00C52F63">
        <w:fldChar w:fldCharType="begin" w:fldLock="1"/>
      </w:r>
      <w:r w:rsidR="00C52F63">
        <w:instrText>ADDIN CSL_CITATION {"citationItems":[{"id":"ITEM-1","itemData":{"DOI":"10.1080/17470919.2015.1013223","ISBN":"1747-0927","ISSN":"1747-0927","PMID":"25697184","abstract":"Social groups across species rapidly self-organize into hierarchies, where members vary in their level of power, influence, skill, or dominance. In this review, we explore the nature of social hierarchies and the traits associated with status in both humans and nonhuman primates, and how status varies across development in humans. Our review finds that we can rapidly identify social status based on a wide range of cues. Like monkeys, we tend to use certain cues, like physical strength, to make status judgments, although layered on top of these more primitive perceptual cues are sociocultural status cues like job titles and educational attainment. One's relative status has profound effects on attention, memory, and social interactions, as well as health and wellness. These effects can be particularly pernicious in children and adolescents. Developmental research on peer groups and social exclusion suggests teenagers may be particularly sensitive to social status information, but research focused specifically on status processing and associated brain areas is very limited. Recent evidence from neuroscience suggests that there may be an underlying neural network, including regions involved in executive, emotional, and reward processing, that is sensitive to status information. We conclude with questions for future research as well as stressing the need to expand social neuroscience research on status processing to adolescents.","author":[{"dropping-particle":"","family":"Koski","given":"Jessica E","non-dropping-particle":"","parse-names":false,"suffix":""},{"dropping-particle":"","family":"Xie","given":"Hongling","non-dropping-particle":"","parse-names":false,"suffix":""},{"dropping-particle":"","family":"Olson","given":"Ingrid R","non-dropping-particle":"","parse-names":false,"suffix":""}],"container-title":"Social neuroscience","id":"ITEM-1","issue":"5","issued":{"date-parts":[["2015"]]},"page":"527-550","publisher":"Routledge","title":"Understanding social hierarchies: The neural and psychological foundations of status perception.","type":"article-journal","volume":"10"},"uris":["http://www.mendeley.com/documents/?uuid=49b83793-dac5-4577-8124-c3cfd78d0fd9"]}],"mendeley":{"formattedCitation":"(Koski et al., 2015)","plainTextFormattedCitation":"(Koski et al., 2015)","previouslyFormattedCitation":"(Koski et al., 2015)"},"properties":{"noteIndex":0},"schema":"https://github.com/citation-style-language/schema/raw/master/csl-citation.json"}</w:instrText>
      </w:r>
      <w:r w:rsidR="00C52F63">
        <w:fldChar w:fldCharType="separate"/>
      </w:r>
      <w:r w:rsidR="00C52F63" w:rsidRPr="00C52F63">
        <w:rPr>
          <w:noProof/>
        </w:rPr>
        <w:t>(Koski et al., 2015)</w:t>
      </w:r>
      <w:r w:rsidR="00C52F63">
        <w:fldChar w:fldCharType="end"/>
      </w:r>
      <w:r w:rsidR="00C52F63">
        <w:t xml:space="preserve">, </w:t>
      </w:r>
      <w:r w:rsidRPr="00BD14B0">
        <w:t>indicating that status cues are very important. GCE appears to be involuntary in both humans and monkeys, reflecting an automatic tendency to attend to the gaze cues of higher-ranking individuals. In humans, the advanced gaze of high-status individuals influences subtle immediate shifts in attention even when faces are unfamiliar and status information is implied via fictional career information (</w:t>
      </w:r>
      <w:proofErr w:type="spellStart"/>
      <w:r w:rsidRPr="00BD14B0">
        <w:t>Dalmaso</w:t>
      </w:r>
      <w:proofErr w:type="spellEnd"/>
      <w:r w:rsidRPr="00BD14B0">
        <w:t xml:space="preserve"> et al., 2012). It is unknown whether status information becomes embodied in our sematic representations of others, influencing our social attention and behaviour on a more implicit level. </w:t>
      </w:r>
    </w:p>
    <w:p w14:paraId="075C684E" w14:textId="6E508193" w:rsidR="00FD692F" w:rsidRPr="00BD14B0" w:rsidRDefault="00FD692F" w:rsidP="00FD692F">
      <w:r w:rsidRPr="00BD14B0">
        <w:tab/>
        <w:t xml:space="preserve">Gaze cueing is typically measured individually in a lab </w:t>
      </w:r>
      <w:r w:rsidR="00693519" w:rsidRPr="00BD14B0">
        <w:t>environment</w:t>
      </w:r>
      <w:r w:rsidRPr="00BD14B0">
        <w:t xml:space="preserve">, in front of a computer which lacks the social nature of human interaction. People react differently to real people than they do to images of people. There is a difference between looking at someone's photograph and meeting them in person. </w:t>
      </w:r>
      <w:r w:rsidR="00C52F63">
        <w:fldChar w:fldCharType="begin" w:fldLock="1"/>
      </w:r>
      <w:r w:rsidR="00C52F63">
        <w:instrText>ADDIN CSL_CITATION {"citationItems":[{"id":"ITEM-1","itemData":{"DOI":"10.1073/pnas.1017022108","ISSN":"0027-8424","abstract":"Social attention, or how spatial attention is allocated to biologically relevant stimuli, has typically been studied using simplistic paradigms that do not provide any opportunity for social interaction. To study social attention in a complex setting that affords social interaction, we measured participants’ looking behavior as they were sitting in a waiting room, either in the presence of a confederate posing as another research participant, or in the presence of a videotape of the same confederate. Thus, the potential for social interaction existed only when the confederate was physically present. Although participants frequently looked at the videotaped confederate, they seldom turned toward or looked at the live confederate. Ratings of participants’ social skills correlated with head turns to the live, but not videotaped, confederate. Our results demonstrate the importance of studying social attention within a social context, and suggest that the mere opportunity for social interaction can alter social attention.","author":[{"dropping-particle":"","family":"Laidlaw","given":"Kaitlin E. W.","non-dropping-particle":"","parse-names":false,"suffix":""},{"dropping-particle":"","family":"Foulsham","given":"Tom","non-dropping-particle":"","parse-names":false,"suffix":""},{"dropping-particle":"","family":"Kuhn","given":"Gustav","non-dropping-particle":"","parse-names":false,"suffix":""},{"dropping-particle":"","family":"Kingstone","given":"Alan","non-dropping-particle":"","parse-names":false,"suffix":""}],"container-title":"Proceedings of the National Academy of Sciences","id":"ITEM-1","issue":"14","issued":{"date-parts":[["2011","4","5"]]},"page":"5548-5553","title":"Potential social interactions are important to social attention","type":"article-journal","volume":"108"},"uris":["http://www.mendeley.com/documents/?uuid=94c6ae7f-7195-4265-91ac-5a558d0429bf"]}],"mendeley":{"formattedCitation":"(Laidlaw et al., 2011)","manualFormatting":"Laidlaw et al., (2011)","plainTextFormattedCitation":"(Laidlaw et al., 2011)","previouslyFormattedCitation":"(Laidlaw et al., 2011)"},"properties":{"noteIndex":0},"schema":"https://github.com/citation-style-language/schema/raw/master/csl-citation.json"}</w:instrText>
      </w:r>
      <w:r w:rsidR="00C52F63">
        <w:fldChar w:fldCharType="separate"/>
      </w:r>
      <w:r w:rsidR="00C52F63" w:rsidRPr="00C52F63">
        <w:rPr>
          <w:noProof/>
        </w:rPr>
        <w:t xml:space="preserve">Laidlaw et al., </w:t>
      </w:r>
      <w:r w:rsidR="00C52F63">
        <w:rPr>
          <w:noProof/>
        </w:rPr>
        <w:t>(</w:t>
      </w:r>
      <w:r w:rsidR="00C52F63" w:rsidRPr="00C52F63">
        <w:rPr>
          <w:noProof/>
        </w:rPr>
        <w:t>2011)</w:t>
      </w:r>
      <w:r w:rsidR="00C52F63">
        <w:fldChar w:fldCharType="end"/>
      </w:r>
      <w:r w:rsidR="00C52F63">
        <w:t xml:space="preserve"> </w:t>
      </w:r>
      <w:r w:rsidRPr="00BD14B0">
        <w:t xml:space="preserve">found that when </w:t>
      </w:r>
      <w:r w:rsidRPr="00BD14B0">
        <w:lastRenderedPageBreak/>
        <w:t>participants were in a chair with a stranger sitting across from them, they were less likely to look at that person than to look at an empty chair. However, when the image of that person sitting in a chair was displayed on the screen, the image of the person swayed the participants. Individuals looked at the image much more when they were looking at a computer screen because they did not need to be concerned about their own gaze communicating to the image when looking at a representation of a social stimuli. When the stimuli are real people, this possibility is not available.</w:t>
      </w:r>
    </w:p>
    <w:p w14:paraId="7F1A3001" w14:textId="7CDE4C95" w:rsidR="00FD692F" w:rsidRPr="00BD14B0" w:rsidRDefault="00FD692F" w:rsidP="00FD692F">
      <w:r w:rsidRPr="00BD14B0">
        <w:tab/>
        <w:t xml:space="preserve">In real-world settings, we </w:t>
      </w:r>
      <w:r w:rsidR="00693519" w:rsidRPr="00BD14B0">
        <w:t>automatically</w:t>
      </w:r>
      <w:r w:rsidRPr="00BD14B0">
        <w:t xml:space="preserve"> observe who follows the eye gaze of others and who causes eye gaze shifts. In a social circle, we observe the "leader" and the "follower," since it is important to detect who is the initiator and who is the respondent in a dynamic social context. For instance, if we observe a person who constantly leads the gaze of others, it is more likely that the same person would serve as a more powerful cue for our attention as well. The gazer`s previous behavioural patterns might be an important social cue in the later encounters. Indeed, a study conducted by </w:t>
      </w:r>
      <w:r w:rsidRPr="00BD14B0">
        <w:fldChar w:fldCharType="begin" w:fldLock="1"/>
      </w:r>
      <w:r w:rsidRPr="00BD14B0">
        <w:instrText>ADDIN CSL_CITATION {"citationItems":[{"id":"ITEM-1","itemData":{"DOI":"10.1037/xge0000167","ISSN":"0096-3445","abstract":"We asked whether previous observations of group interactions modulate subsequent social attention episodes. Participants first completed a learning phase with 2 conditions. In the “leader” condition 1 of 3 identities turned her gaze first, followed by the 2 other faces. In the “follower” condition, 1 of the identities turned her gaze after the 2 other faces had first shifted their gaze. Thus, participants observed that some individuals were consistently leaders and others followers of others’ attention. In the test phase, the faces of leaders and followers were presented in a gaze cueing paradigm. Remarkably, the followers did not elicit gaze cueing. Our data demonstrate that individuals who do not guide group attention in exploring the environment are ineffective social attention directors in later encounters. Thus, the role played in previous group social attention interactions modulates the relative weight assigned to others’ gaze: we ignore the gaze of group followers.","author":[{"dropping-particle":"","family":"Capozzi","given":"Francesca","non-dropping-particle":"","parse-names":false,"suffix":""},{"dropping-particle":"","family":"Becchio","given":"Cristina","non-dropping-particle":"","parse-names":false,"suffix":""},{"dropping-particle":"","family":"Willemse","given":"Cesco","non-dropping-particle":"","parse-names":false,"suffix":""},{"dropping-particle":"","family":"Bayliss","given":"Andrew P","non-dropping-particle":"","parse-names":false,"suffix":""}],"container-title":"Journal of Experimental Psychology: General","id":"ITEM-1","issued":{"date-parts":[["2016"]]},"title":"Followers Are Not Followed: Observed Group Interactions Modulate Subsequent Social Attention","type":"article-journal"},"uris":["http://www.mendeley.com/documents/?uuid=375d71b6-ee24-42b5-b1e8-b217d92f5738"]}],"mendeley":{"formattedCitation":"(Capozzi et al., 2016)","manualFormatting":"Capozzi, Becchio, Willemse, and Bayliss, (2016)","plainTextFormattedCitation":"(Capozzi et al., 2016)","previouslyFormattedCitation":"(Capozzi et al., 2016)"},"properties":{"noteIndex":0},"schema":"https://github.com/citation-style-language/schema/raw/master/csl-citation.json"}</w:instrText>
      </w:r>
      <w:r w:rsidRPr="00BD14B0">
        <w:fldChar w:fldCharType="separate"/>
      </w:r>
      <w:r w:rsidRPr="00BD14B0">
        <w:rPr>
          <w:noProof/>
        </w:rPr>
        <w:t>Capozzi, Becchio, Willemse, and Bayliss, (2016)</w:t>
      </w:r>
      <w:r w:rsidRPr="00BD14B0">
        <w:fldChar w:fldCharType="end"/>
      </w:r>
      <w:r w:rsidRPr="00BD14B0">
        <w:t xml:space="preserve"> suggested that the role played (leader or follower) in previous social attention interactions modulated later gaze encounters, thereby demonstrating that person information derived from observed social orienting episodes modulates supposedly low-level social orienting mechanisms. </w:t>
      </w:r>
      <w:r w:rsidRPr="00BD14B0">
        <w:fldChar w:fldCharType="begin" w:fldLock="1"/>
      </w:r>
      <w:r w:rsidRPr="00BD14B0">
        <w:instrText>ADDIN CSL_CITATION {"citationItems":[{"id":"ITEM-1","itemData":{"DOI":"10.1037/xge0000167","ISSN":"0096-3445","abstract":"We asked whether previous observations of group interactions modulate subsequent social attention episodes. Participants first completed a learning phase with 2 conditions. In the “leader” condition 1 of 3 identities turned her gaze first, followed by the 2 other faces. In the “follower” condition, 1 of the identities turned her gaze after the 2 other faces had first shifted their gaze. Thus, participants observed that some individuals were consistently leaders and others followers of others’ attention. In the test phase, the faces of leaders and followers were presented in a gaze cueing paradigm. Remarkably, the followers did not elicit gaze cueing. Our data demonstrate that individuals who do not guide group attention in exploring the environment are ineffective social attention directors in later encounters. Thus, the role played in previous group social attention interactions modulates the relative weight assigned to others’ gaze: we ignore the gaze of group followers.","author":[{"dropping-particle":"","family":"Capozzi","given":"Francesca","non-dropping-particle":"","parse-names":false,"suffix":""},{"dropping-particle":"","family":"Becchio","given":"Cristina","non-dropping-particle":"","parse-names":false,"suffix":""},{"dropping-particle":"","family":"Willemse","given":"Cesco","non-dropping-particle":"","parse-names":false,"suffix":""},{"dropping-particle":"","family":"Bayliss","given":"Andrew P","non-dropping-particle":"","parse-names":false,"suffix":""}],"container-title":"Journal of Experimental Psychology: General","id":"ITEM-1","issued":{"date-parts":[["2016"]]},"title":"Followers Are Not Followed: Observed Group Interactions Modulate Subsequent Social Attention","type":"article-journal"},"uris":["http://www.mendeley.com/documents/?uuid=375d71b6-ee24-42b5-b1e8-b217d92f5738"]}],"mendeley":{"formattedCitation":"(Capozzi et al., 2016)","manualFormatting":"Capozzi et al. (2016)","plainTextFormattedCitation":"(Capozzi et al., 2016)","previouslyFormattedCitation":"(Capozzi et al., 2016)"},"properties":{"noteIndex":0},"schema":"https://github.com/citation-style-language/schema/raw/master/csl-citation.json"}</w:instrText>
      </w:r>
      <w:r w:rsidRPr="00BD14B0">
        <w:fldChar w:fldCharType="separate"/>
      </w:r>
      <w:r w:rsidRPr="00BD14B0">
        <w:rPr>
          <w:noProof/>
        </w:rPr>
        <w:t>Capozzi et al. (2016)</w:t>
      </w:r>
      <w:r w:rsidRPr="00BD14B0">
        <w:fldChar w:fldCharType="end"/>
      </w:r>
      <w:r w:rsidRPr="00BD14B0">
        <w:t xml:space="preserve"> found that faces that were previously observed as leaders elicited a gaze cueing effect in later social attention encounters, whereas faces that were previously observed as followers did not. The researchers primed participants by showing leader faces that were constantly followed by two other faces; however, the follower faces moved their eye gaze in the same manner as the other ingroup members and followed the gaze of others in the group during the experiment. Individuals who explore the environment independently, thereby attracting others' attention, are later used as gaze cues as a potentially trustworthy source of information. Individuals who only pay attention to other people, on the other hand, are eventually ignored. </w:t>
      </w:r>
      <w:r w:rsidRPr="00BD14B0">
        <w:fldChar w:fldCharType="begin" w:fldLock="1"/>
      </w:r>
      <w:r w:rsidRPr="00BD14B0">
        <w:instrText>ADDIN CSL_CITATION {"citationItems":[{"id":"ITEM-1","itemData":{"DOI":"10.1037/xge0000167","ISSN":"0096-3445","abstract":"We asked whether previous observations of group interactions modulate subsequent social attention episodes. Participants first completed a learning phase with 2 conditions. In the “leader” condition 1 of 3 identities turned her gaze first, followed by the 2 other faces. In the “follower” condition, 1 of the identities turned her gaze after the 2 other faces had first shifted their gaze. Thus, participants observed that some individuals were consistently leaders and others followers of others’ attention. In the test phase, the faces of leaders and followers were presented in a gaze cueing paradigm. Remarkably, the followers did not elicit gaze cueing. Our data demonstrate that individuals who do not guide group attention in exploring the environment are ineffective social attention directors in later encounters. Thus, the role played in previous group social attention interactions modulates the relative weight assigned to others’ gaze: we ignore the gaze of group followers.","author":[{"dropping-particle":"","family":"Capozzi","given":"Francesca","non-dropping-particle":"","parse-names":false,"suffix":""},{"dropping-particle":"","family":"Becchio","given":"Cristina","non-dropping-particle":"","parse-names":false,"suffix":""},{"dropping-particle":"","family":"Willemse","given":"Cesco","non-dropping-particle":"","parse-names":false,"suffix":""},{"dropping-particle":"","family":"Bayliss","given":"Andrew P","non-dropping-particle":"","parse-names":false,"suffix":""}],"container-title":"Journal of Experimental Psychology: General","id":"ITEM-1","issued":{"date-parts":[["2016"]]},"title":"Followers Are Not Followed: Observed Group Interactions Modulate Subsequent Social Attention","type":"article-journal"},"uris":["http://www.mendeley.com/documents/?uuid=375d71b6-ee24-42b5-b1e8-b217d92f5738"]}],"mendeley":{"formattedCitation":"(Capozzi et al., 2016)","manualFormatting":"Capozzi et al. (2016)","plainTextFormattedCitation":"(Capozzi et al., 2016)","previouslyFormattedCitation":"(Capozzi et al., 2016)"},"properties":{"noteIndex":0},"schema":"https://github.com/citation-style-language/schema/raw/master/csl-citation.json"}</w:instrText>
      </w:r>
      <w:r w:rsidRPr="00BD14B0">
        <w:fldChar w:fldCharType="separate"/>
      </w:r>
      <w:r w:rsidRPr="00BD14B0">
        <w:rPr>
          <w:noProof/>
        </w:rPr>
        <w:t>Capozzi et al. (2016)</w:t>
      </w:r>
      <w:r w:rsidRPr="00BD14B0">
        <w:fldChar w:fldCharType="end"/>
      </w:r>
      <w:r w:rsidRPr="00BD14B0">
        <w:t xml:space="preserve">  showed that people do not follow the gaze of people who follow crowds. As a result, observing a gazer's previous </w:t>
      </w:r>
      <w:r w:rsidR="00693519" w:rsidRPr="00BD14B0">
        <w:t>behavioural</w:t>
      </w:r>
      <w:r w:rsidRPr="00BD14B0">
        <w:t xml:space="preserve"> patterns may influence social attention shifts in subsequent encounters, as previous observation of an identity may be coded as a social cue for later social interactions. Rather than manipulating physical appearance </w:t>
      </w:r>
      <w:r w:rsidR="002F7F6A">
        <w:fldChar w:fldCharType="begin" w:fldLock="1"/>
      </w:r>
      <w:r w:rsidR="002F7F6A">
        <w:instrText>ADDIN CSL_CITATION {"citationItems":[{"id":"ITEM-1","itemData":{"DOI":"10.14236/ewic/HCI2010.8","abstract":"Research has shown that incorporating eye tracking in usability research can provide certain benefits compared with traditional usability testing. There are various methodologies available when conducting research using eye trackers. This paper presents the results of a study aimed to compare the outcomes from four different retrospective think aloud (RTA) methods in a webusability study: an un-cued RTA, a video cued RTA, a gaze plot cued RTA, and a gaze video cued RTA. Results indicate that using any kind of cue produces more words, comments and allowsparticipants to identify more usability issues compared with not using any cues at all. The findings also suggest that using a gaze plot or gaze video cue stimulates participants to produce the highest number of words and comments, and mention more usability problems.","author":[{"dropping-particle":"","family":"Olsen","given":"Anneli","non-dropping-particle":"","parse-names":false,"suffix":""},{"dropping-particle":"","family":"Smolentzov","given":"Linnea","non-dropping-particle":"","parse-names":false,"suffix":""},{"dropping-particle":"","family":"Strandvall","given":"Tommy","non-dropping-particle":"","parse-names":false,"suffix":""}],"container-title":"Proceedings of the 2010 British Computer Society Conference on Human-Computer Interaction, BCS-HCI 2010","id":"ITEM-1","issue":"July","issued":{"date-parts":[["2010","9","1"]]},"page":"45-53","title":"Comparing different eye tracking cues when using theretrospective think aloud method in usability testing","type":"paper-conference"},"uris":["http://www.mendeley.com/documents/?uuid=fcb17512-02c3-4bbc-852c-bd084fc6db03"]}],"mendeley":{"formattedCitation":"(Olsen et al., 2010)","plainTextFormattedCitation":"(Olsen et al., 2010)","previouslyFormattedCitation":"(Olsen et al., 2010)"},"properties":{"noteIndex":0},"schema":"https://github.com/citation-style-language/schema/raw/master/csl-citation.json"}</w:instrText>
      </w:r>
      <w:r w:rsidR="002F7F6A">
        <w:fldChar w:fldCharType="separate"/>
      </w:r>
      <w:r w:rsidR="002F7F6A" w:rsidRPr="002F7F6A">
        <w:rPr>
          <w:noProof/>
        </w:rPr>
        <w:t>(Olsen et al., 2010)</w:t>
      </w:r>
      <w:r w:rsidR="002F7F6A">
        <w:fldChar w:fldCharType="end"/>
      </w:r>
      <w:r w:rsidR="00C52F63">
        <w:t xml:space="preserve"> </w:t>
      </w:r>
      <w:r w:rsidRPr="00BD14B0">
        <w:t>or explicit information about the</w:t>
      </w:r>
      <w:r w:rsidR="002F7F6A">
        <w:t xml:space="preserve"> </w:t>
      </w:r>
      <w:r w:rsidRPr="00BD14B0">
        <w:lastRenderedPageBreak/>
        <w:t xml:space="preserve">gazers </w:t>
      </w:r>
      <w:r w:rsidR="002F7F6A">
        <w:fldChar w:fldCharType="begin" w:fldLock="1"/>
      </w:r>
      <w:r w:rsidR="00FF7E50">
        <w:instrText>ADDIN CSL_CITATION {"citationItems":[{"id":"ITEM-1","itemData":{"DOI":"10.1098/rsbl.2011.0881","ISBN":"0960-9822 (Print)","ISSN":"1744-9561","PMID":"22090207","abstract":"Humans tend to shift attention in response to the averted gaze of a face they are fixating, a phenomenon known as gaze cuing. In the present paper, we aimed to address whether the social status of the cuing face modulates this phenomenon. Participants were asked to look at the faces of 16 individuals and read fictive curriculum vitae associated with each of them that could describe the person as having a high or low social status. The association between each specific face and either high or low social status was counterbalanced between participants. The same faces were then used as stimuli in a gaze-cuing task. The results showed a greater gaze-cuing effect for high-status faces than for low-status faces, independently of the specific identity of the face. These findings confirm previous evidence regarding the important role of social factors in shaping social attention and show that a modulation of gaze cuing can be observed even when knowledge about social status is acquired through episodic learning.","author":[{"dropping-particle":"","family":"Dalmaso","given":"Mario","non-dropping-particle":"","parse-names":false,"suffix":""},{"dropping-particle":"","family":"Pavan","given":"Giulia","non-dropping-particle":"","parse-names":false,"suffix":""},{"dropping-particle":"","family":"Castelli","given":"Luigi","non-dropping-particle":"","parse-names":false,"suffix":""},{"dropping-particle":"","family":"Galfano","given":"Giovanni","non-dropping-particle":"","parse-names":false,"suffix":""}],"container-title":"Biology Letters","id":"ITEM-1","issue":"3","issued":{"date-parts":[["2012","6","23"]]},"note":"From Duplicate 2 (Social status gates social attention in humans - Dalmaso, Mario; Pavan, Giulia; Castelli, Luigi; Galfano, Giovanni)\n\nTimes Cited: 16\nGalfano, Giovanni/B-7582-2008\n16","page":"450-452","title":"Social status gates social attention in humans","type":"article-journal","volume":"8"},"uris":["http://www.mendeley.com/documents/?uuid=261a4feb-ab80-4609-9cc4-52869ea8889c"]}],"mendeley":{"formattedCitation":"(Dalmaso et al., 2012b)","plainTextFormattedCitation":"(Dalmaso et al., 2012b)","previouslyFormattedCitation":"(Dalmaso et al., 2012b)"},"properties":{"noteIndex":0},"schema":"https://github.com/citation-style-language/schema/raw/master/csl-citation.json"}</w:instrText>
      </w:r>
      <w:r w:rsidR="002F7F6A">
        <w:fldChar w:fldCharType="separate"/>
      </w:r>
      <w:r w:rsidR="002F7F6A" w:rsidRPr="002F7F6A">
        <w:rPr>
          <w:noProof/>
        </w:rPr>
        <w:t>(Dalmaso et al., 2012b)</w:t>
      </w:r>
      <w:r w:rsidR="002F7F6A">
        <w:fldChar w:fldCharType="end"/>
      </w:r>
      <w:r w:rsidR="002F7F6A">
        <w:t xml:space="preserve">, </w:t>
      </w:r>
      <w:r w:rsidRPr="00BD14B0">
        <w:t xml:space="preserve">this was demonstrated through an evocation of leadership based on the demonstrated ability to explore the environment. The social attention system appears to work primarily through the processing of visual social cues </w:t>
      </w:r>
      <w:r w:rsidR="00FF7E50">
        <w:fldChar w:fldCharType="begin" w:fldLock="1"/>
      </w:r>
      <w:r w:rsidR="00FF7E50">
        <w:instrText>ADDIN CSL_CITATION {"citationItems":[{"id":"ITEM-1","itemData":{"DOI":"10.1037/a0020559","ISSN":"0096-1523","abstract":"How information is exchanged between the cognitive mechanisms responsible for gaze perception and social attention is unclear. These systems could be independent; the \"gaze cueing\" effect could emerge from the activation of a general-purpose attentional mechanism that is ignorant of the social nature of the gaze cue. Alternatively, orienting to social gaze direction might be directly determined by the operation of cognitive mechanisms specifically dedicated to gaze perception. This second notion is the dominant assumption in the literature, but there is little direct support for this account. Here, we systematically manipulated observers' perception of gaze direction by implementing a gaze adaptation paradigm. Gaze cueing was reduced only in conditions where perception of specific averted gaze stimuli was impaired (Experiment 1). Adaptation to a pointing stimulus failed to impact gaze cueing (Experiment 2). Overall, these data suggest a direct link between the specific operation of gaze perception mechanisms and the consequential orienting of attention.","author":[{"dropping-particle":"","family":"Bayliss","given":"Andrew P","non-dropping-particle":"","parse-names":false,"suffix":""},{"dropping-particle":"","family":"Bartlett","given":"Jessica","non-dropping-particle":"","parse-names":false,"suffix":""},{"dropping-particle":"","family":"Naughtin","given":"Claire K","non-dropping-particle":"","parse-names":false,"suffix":""},{"dropping-particle":"","family":"Kritikos","given":"Ada","non-dropping-particle":"","parse-names":false,"suffix":""}],"container-title":"Journal of Experimental Psychology-Human Perception and Performance","id":"ITEM-1","issue":"3","issued":{"date-parts":[["2011"]]},"note":"Times Cited: 8\n11","page":"634-644","title":"A Direct Link Between Gaze Perception and Social Attention","type":"article-journal","volume":"37"},"uris":["http://www.mendeley.com/documents/?uuid=5f58fc4d-b93f-40fc-a169-910bbbf1a773"]},{"id":"ITEM-2","itemData":{"DOI":"10.1177/1745691620953773","ISSN":"1745-6916","PMID":"33567223","abstract":"When two people look at the same object in the environment and are aware of each other’s attentional state, they find themselves in a shared-attention episode. This can occur through intentional or incidental signaling and, in either case, causes an exchange of information between the two parties about the environment and each other’s mental states. In this article, we give an overview of what is known about the building blocks of shared attention (gaze perception and joint attention) and focus on bringing to bear new findings on the initiation of shared attention that complement knowledge about gaze following and incorporate new insights from research into the sense of agency. We also present a neurocognitive model, incorporating first-, second-, and third-order social cognitive processes (the shared-attention system, or SAS), building on previous models and approaches. The SAS model aims to encompass perceptual, cognitive, and affective processes that contribute to and follow on from the establishment of shared attention. These processes include fundamental components of social cognition such as reward, affective evaluation, agency, empathy, and theory of mind.","author":[{"dropping-particle":"","family":"Stephenson","given":"Lisa J.","non-dropping-particle":"","parse-names":false,"suffix":""},{"dropping-particle":"","family":"Edwards","given":"S. Gareth","non-dropping-particle":"","parse-names":false,"suffix":""},{"dropping-particle":"","family":"Bayliss","given":"Andrew P.","non-dropping-particle":"","parse-names":false,"suffix":""}],"container-title":"Perspectives on Psychological Science","id":"ITEM-2","issue":"3","issued":{"date-parts":[["2021","5","10"]]},"page":"553-576","title":"From Gaze Perception to Social Cognition: The Shared-Attention System","type":"article-journal","volume":"16"},"uris":["http://www.mendeley.com/documents/?uuid=20d65e36-74b4-4914-bc9d-159064e51c6d"]}],"mendeley":{"formattedCitation":"(Andrew P Bayliss et al., 2011; Stephenson et al., 2021)","manualFormatting":"(Bayliss et al., 2011; Stephenson et al., 2021)","plainTextFormattedCitation":"(Andrew P Bayliss et al., 2011; Stephenson et al., 2021)","previouslyFormattedCitation":"(Andrew P Bayliss et al., 2011; Stephenson et al., 2021)"},"properties":{"noteIndex":0},"schema":"https://github.com/citation-style-language/schema/raw/master/csl-citation.json"}</w:instrText>
      </w:r>
      <w:r w:rsidR="00FF7E50">
        <w:fldChar w:fldCharType="separate"/>
      </w:r>
      <w:r w:rsidR="00FF7E50" w:rsidRPr="00FF7E50">
        <w:rPr>
          <w:noProof/>
        </w:rPr>
        <w:t>(Bayliss et al., 2011; Stephenson et al., 2021)</w:t>
      </w:r>
      <w:r w:rsidR="00FF7E50">
        <w:fldChar w:fldCharType="end"/>
      </w:r>
      <w:r w:rsidR="00FF7E50">
        <w:t xml:space="preserve">. </w:t>
      </w:r>
      <w:r w:rsidRPr="00BD14B0">
        <w:t xml:space="preserve">It is possible that it is based on the </w:t>
      </w:r>
      <w:r w:rsidR="002F7F6A" w:rsidRPr="00BD14B0">
        <w:t>behavioural</w:t>
      </w:r>
      <w:r w:rsidRPr="00BD14B0">
        <w:t xml:space="preserve"> history of the identities, akin to the theory of mind.</w:t>
      </w:r>
    </w:p>
    <w:p w14:paraId="2AB094FE" w14:textId="18E772F1" w:rsidR="00FD692F" w:rsidRPr="00BD14B0" w:rsidRDefault="00FD692F" w:rsidP="00FD692F">
      <w:r w:rsidRPr="00BD14B0">
        <w:tab/>
        <w:t xml:space="preserve">Familiar faces briefly hold attention due to their social relevance. As a result, shifts in attention are slower, even though the direction of eye movements is detected faster in familiar faces. This is because of slow disengagement. Females, according to </w:t>
      </w:r>
      <w:r w:rsidR="00FF7E50">
        <w:fldChar w:fldCharType="begin" w:fldLock="1"/>
      </w:r>
      <w:r w:rsidR="00FF1BA3">
        <w:instrText>ADDIN CSL_CITATION {"citationItems":[{"id":"ITEM-1","itemData":{"DOI":"10.1080/02724980443000124","ISSN":"0272-4987","author":[{"dropping-particle":"","family":"Bayliss","given":"A P","non-dropping-particle":"","parse-names":false,"suffix":""},{"dropping-particle":"","family":"Pellegrino","given":"G","non-dropping-particle":"Di","parse-names":false,"suffix":""},{"dropping-particle":"","family":"Tipper","given":"Sr.","non-dropping-particle":"","parse-names":false,"suffix":""}],"container-title":"Q. J. Exp. Psychol. Sect A-Hum. Exp. Psychol.","id":"ITEM-1","issue":"4","issued":{"date-parts":[["2005"]]},"page":"631-650","title":"Sex differences in eye gaze and symbolic cueing of attention","type":"article-journal","volume":"58"},"uris":["http://www.mendeley.com/documents/?uuid=7b881ecf-5260-4917-87e0-0a239da8d4e2"]}],"mendeley":{"formattedCitation":"(A P Bayliss et al., 2005)","manualFormatting":"Bayliss et al., (2005)","plainTextFormattedCitation":"(A P Bayliss et al., 2005)","previouslyFormattedCitation":"(A P Bayliss et al., 2005)"},"properties":{"noteIndex":0},"schema":"https://github.com/citation-style-language/schema/raw/master/csl-citation.json"}</w:instrText>
      </w:r>
      <w:r w:rsidR="00FF7E50">
        <w:fldChar w:fldCharType="separate"/>
      </w:r>
      <w:r w:rsidR="00FF7E50" w:rsidRPr="00FF7E50">
        <w:rPr>
          <w:noProof/>
        </w:rPr>
        <w:t xml:space="preserve">Bayliss et al., </w:t>
      </w:r>
      <w:r w:rsidR="00FF7E50">
        <w:rPr>
          <w:noProof/>
        </w:rPr>
        <w:t>(</w:t>
      </w:r>
      <w:r w:rsidR="00FF7E50" w:rsidRPr="00FF7E50">
        <w:rPr>
          <w:noProof/>
        </w:rPr>
        <w:t>2005)</w:t>
      </w:r>
      <w:r w:rsidR="00FF7E50">
        <w:fldChar w:fldCharType="end"/>
      </w:r>
      <w:r w:rsidR="00FF7E50">
        <w:t xml:space="preserve">, </w:t>
      </w:r>
      <w:r w:rsidRPr="00BD14B0">
        <w:t xml:space="preserve">have a stronger gaze not only to social cue stimuli (like faces), but also to arrows. Bayliss et al. (2005) proposed a general gender difference in directional attentional processing </w:t>
      </w:r>
      <w:r w:rsidR="00FF1BA3">
        <w:fldChar w:fldCharType="begin" w:fldLock="1"/>
      </w:r>
      <w:r w:rsidR="00C4330D">
        <w:instrText>ADDIN CSL_CITATION {"citationItems":[{"id":"ITEM-1","itemData":{"DOI":"10.1016/j.paid.2007.01.016","ISSN":"01918869","abstract":"Selective attention is considered a central component of cognitive functioning. While a number of studies have demonstrated gender differences in cognitive tasks, there has been little research conducted on gender differences in selective attention. There is limited empirical evidence that indicates males and females may differ in selective attention. To explore this issue we present results from two experiments using a basic Posner cueing paradigm in which females show larger validity effects in endogenously cued tasks, but not with a peripheral cue or exogenous cue. Specifically, we found that while females show costs from an invalid cue relative to a no-cue control condition, males showed a benefit to invalid cues compared to no-cue control conditions. This empirical finding has important implications for future studies using the Posner cueing paradigm. In addition, the possible contribute of gender differences in selective attention to other cognitive gender differences is explored. © 2007 Elsevier Ltd. All rights reserved.","author":[{"dropping-particle":"","family":"Merritt","given":"Paul","non-dropping-particle":"","parse-names":false,"suffix":""},{"dropping-particle":"","family":"Hirshman","given":"Elliot","non-dropping-particle":"","parse-names":false,"suffix":""},{"dropping-particle":"","family":"Wharton","given":"Whitney","non-dropping-particle":"","parse-names":false,"suffix":""},{"dropping-particle":"","family":"Stangl","given":"Bethany","non-dropping-particle":"","parse-names":false,"suffix":""},{"dropping-particle":"","family":"Devlin","given":"James","non-dropping-particle":"","parse-names":false,"suffix":""},{"dropping-particle":"","family":"Lenz","given":"Alan","non-dropping-particle":"","parse-names":false,"suffix":""}],"container-title":"Personality and Individual Differences","id":"ITEM-1","issue":"3","issued":{"date-parts":[["2007","8"]]},"page":"597-609","title":"Evidence for gender differences in visual selective attention","type":"article-journal","volume":"43"},"uris":["http://www.mendeley.com/documents/?uuid=7d3efc8b-5d3e-4e5a-a931-a7099b5d8634"]},{"id":"ITEM-2","itemData":{"DOI":"10.1016/j.cognition.2004.04.005","ISSN":"00100277","abstract":"Attention is shifted reflexively to where other people are looking. It has been argued by a number of investigators that this social attention effect reflects the obligatory bottom-up activation of domain-specific modules within the inferior temporal (IT) cortex that are specialized for processing face and gaze information. However, it is also the case that top-down factors may modulate the activation of IT cells. Here we examined behaviorally whether reflexive social orienting is purely automatic or sensitive to top-down modulation. Participants were shown an ambiguous stimulus that could be perceived either as representing EYES or a CAR. In Experiment 1 we demonstrated between groups that an automatic shift of attention, equivalent to that triggered by a schematic FACE, occurred only when the stimulus was referred to as possessing EYES. In Experiment 2 all participants received the EYES and CAR conditions. When the stimulus was first referred to as a CAR and then as EYES, an attentional shift was only present for the EYES condition. However, when the stimulus was first referred to as possessing EYES, and then later as a CAR, attentional shifts were observed for both conditions. These data indicate that the emergence of a reflexive social attention effect is influenced by top-down mechanisms but in an asymmetrical manner. Top-down processes appear to be effective for triggering IT involvement, that is, for perceiving a stimulus as a face, which produces the social attention effect. But top-down mechanisms are ineffective once IT involvement has been triggered. That is, once a stimulus has been seen as having eyes, it continues to be seen that way, and accordingly, the social attention effect persists. © 2004 Elsevier B.V. All rights reserved.","author":[{"dropping-particle":"","family":"Ristic","given":"Jelena","non-dropping-particle":"","parse-names":false,"suffix":""},{"dropping-particle":"","family":"Kingstone","given":"Alan","non-dropping-particle":"","parse-names":false,"suffix":""}],"container-title":"Cognition","id":"ITEM-2","issue":"3","issued":{"date-parts":[["2005"]]},"page":"B55-B65","title":"Taking control of reflexive social attention","type":"article-journal","volume":"94"},"uris":["http://www.mendeley.com/documents/?uuid=f71c3270-f945-423d-8846-9a9a5feb7440"]},{"id":"ITEM-3","itemData":{"DOI":"10.3758/PP.70.1.77","ISSN":"0031-5117","abstract":"In separate experiments, counterpredictive arrow, eye gaze, or abrupt-onset cues were used to test the hypothesis that individual differences in voluntary control influence involuntary orienting. In contrast with previous findings (Friesen, Ristic, &amp; Kingstone, 2004), involuntary orienting effects were found for arrow cues. Furthermore, for both eye gaze and arrow cues, individual differences in voluntary control were associated with involuntary orienting: Involuntary orienting effects were larger for participants who were more effective at using the cue to reorient attention, and also for participants who reported greater ability to control attention. Orienting to abrupt-onset cues was not correlated to individual differences in self-reported attentional control. The findings show that eye gaze and arrow cues instigate similar involuntary and voluntary effects and that involuntary orienting to symbolic cues is linked to individual differences in voluntary control.","author":[{"dropping-particle":"","family":"Tipples","given":"J.","non-dropping-particle":"","parse-names":false,"suffix":""}],"container-title":"Perception &amp; Psychophysics","id":"ITEM-3","issue":"1","issued":{"date-parts":[["2008","1","1"]]},"page":"77-87","title":"Orienting to counterpredictive gaze and arrow cues","type":"article-journal","volume":"70"},"uris":["http://www.mendeley.com/documents/?uuid=e66ae119-f28d-4a0e-847e-80db94667949"]}],"mendeley":{"formattedCitation":"(Merritt et al., 2007; Jelena Ristic &amp; Kingstone, 2005; Tipples, 2008)","manualFormatting":"(see also, Merritt et al., 2007; Ristic &amp; Kingstone, 2005; Tipples, 2008)","plainTextFormattedCitation":"(Merritt et al., 2007; Jelena Ristic &amp; Kingstone, 2005; Tipples, 2008)","previouslyFormattedCitation":"(Merritt et al., 2007; Jelena Ristic &amp; Kingstone, 2005; Tipples, 2008)"},"properties":{"noteIndex":0},"schema":"https://github.com/citation-style-language/schema/raw/master/csl-citation.json"}</w:instrText>
      </w:r>
      <w:r w:rsidR="00FF1BA3">
        <w:fldChar w:fldCharType="separate"/>
      </w:r>
      <w:r w:rsidR="00FF1BA3" w:rsidRPr="00FF1BA3">
        <w:rPr>
          <w:noProof/>
        </w:rPr>
        <w:t>(</w:t>
      </w:r>
      <w:r w:rsidR="00FF1BA3" w:rsidRPr="00BD14B0">
        <w:rPr>
          <w:noProof/>
        </w:rPr>
        <w:t>see also</w:t>
      </w:r>
      <w:r w:rsidR="00FF1BA3">
        <w:rPr>
          <w:noProof/>
        </w:rPr>
        <w:t>,</w:t>
      </w:r>
      <w:r w:rsidR="00FF1BA3" w:rsidRPr="00BD14B0">
        <w:rPr>
          <w:noProof/>
        </w:rPr>
        <w:t xml:space="preserve"> </w:t>
      </w:r>
      <w:r w:rsidR="00FF1BA3" w:rsidRPr="00FF1BA3">
        <w:rPr>
          <w:noProof/>
        </w:rPr>
        <w:t>Merritt et al., 2007; Ristic &amp; Kingstone, 2005; Tipples, 2008)</w:t>
      </w:r>
      <w:r w:rsidR="00FF1BA3">
        <w:fldChar w:fldCharType="end"/>
      </w:r>
      <w:r w:rsidRPr="00BD14B0">
        <w:t xml:space="preserve">. Because eye gaze and head position are processed even without awareness, any facilitation or slowing caused by familiarity may be acting upon a very early stage of processing </w:t>
      </w:r>
      <w:r w:rsidR="00C4330D">
        <w:fldChar w:fldCharType="begin" w:fldLock="1"/>
      </w:r>
      <w:r w:rsidR="00C4330D">
        <w:instrText>ADDIN CSL_CITATION {"citationItems":[{"id":"ITEM-1","itemData":{"DOI":"10.1371/journal.pone.0066620","ISSN":"1932-6203","PMID":"23805248","abstract":"We investigated whether personally familiar faces are preferentially processed in conditions of reduced attentional resources and in the absence of conscious awareness. In the first experiment, we used Rapid Serial Visual Presentation (RSVP) to test the susceptibility of familiar faces and faces of strangers to the attentional blink. In the second experiment, we used continuous flash interocular suppression to render stimuli invisible and measured face detection time for personally familiar faces as compared to faces of strangers. In both experiments we found an advantage for detection of personally familiar faces as compared to faces of strangers. Our data suggest that the identity of faces is processed with reduced attentional resources and even in the absence of awareness. Our results show that this facilitated processing of familiar faces cannot be attributed to detection of low-level visual features and that a learned unique configuration of facial features can influence preconscious perceptual processing. © 2013 Gobbini et al.","author":[{"dropping-particle":"","family":"Gobbini","given":"Maria Ida","non-dropping-particle":"","parse-names":false,"suffix":""},{"dropping-particle":"","family":"Gors","given":"Jason D.","non-dropping-particle":"","parse-names":false,"suffix":""},{"dropping-particle":"","family":"Halchenko","given":"Yaroslav O.","non-dropping-particle":"","parse-names":false,"suffix":""},{"dropping-particle":"","family":"Rogers","given":"Courtney","non-dropping-particle":"","parse-names":false,"suffix":""},{"dropping-particle":"","family":"Guntupalli","given":"J. Swaroop","non-dropping-particle":"","parse-names":false,"suffix":""},{"dropping-particle":"","family":"Hughes","given":"Howard","non-dropping-particle":"","parse-names":false,"suffix":""},{"dropping-particle":"","family":"Cipolli","given":"Carlo","non-dropping-particle":"","parse-names":false,"suffix":""}],"container-title":"PLoS ONE","editor":[{"dropping-particle":"","family":"Valdes-Sosa","given":"Mitchell","non-dropping-particle":"","parse-names":false,"suffix":""}],"id":"ITEM-1","issue":"6","issued":{"date-parts":[["2013","6","21"]]},"page":"e66620","title":"Prioritized Detection of Personally Familiar Faces","type":"article-journal","volume":"8"},"uris":["http://www.mendeley.com/documents/?uuid=b5b0e8f5-a12f-4601-8ce8-70f1f2f248ff"]}],"mendeley":{"formattedCitation":"(Gobbini et al., 2013)","plainTextFormattedCitation":"(Gobbini et al., 2013)","previouslyFormattedCitation":"(Gobbini et al., 2013)"},"properties":{"noteIndex":0},"schema":"https://github.com/citation-style-language/schema/raw/master/csl-citation.json"}</w:instrText>
      </w:r>
      <w:r w:rsidR="00C4330D">
        <w:fldChar w:fldCharType="separate"/>
      </w:r>
      <w:r w:rsidR="00C4330D" w:rsidRPr="00C4330D">
        <w:rPr>
          <w:noProof/>
        </w:rPr>
        <w:t>(Gobbini et al., 2013)</w:t>
      </w:r>
      <w:r w:rsidR="00C4330D">
        <w:fldChar w:fldCharType="end"/>
      </w:r>
      <w:r w:rsidR="00C4330D">
        <w:t xml:space="preserve">. </w:t>
      </w:r>
      <w:r w:rsidRPr="00BD14B0">
        <w:t xml:space="preserve">Slower response to targets with personally familiar face cues compared to unfamiliar face cues is due to the personally familiar face holding attention rather than due to slower eye gaze shifts </w:t>
      </w:r>
      <w:r w:rsidR="00C4330D">
        <w:fldChar w:fldCharType="begin" w:fldLock="1"/>
      </w:r>
      <w:r w:rsidR="00C4330D">
        <w:instrText>ADDIN CSL_CITATION {"citationItems":[{"id":"ITEM-1","itemData":{"DOI":"10.3389/fpsyg.2017.00738","ISBN":"1664-1078","ISSN":"1664-1078","abstract":"Eye gaze is a powerful cue that indicates where another person's attention is directed in the environment. Seeing another person's eye gaze shift spontaneously and reflexively elicits a shift of one's own attention to the same region in space. Here, we investigated whether reallocation of attention in the direction of eye gaze is modulated by personal familiarity with faces. On the one hand, the eye gaze of a close friend should be more effective in redirecting our attention as compared to the eye gaze of a stranger. On the other hand, the social relevance of a familiar face might itself hold attention and, thereby, slow lateral shifts of attention. To distinguish between these possibilities, we measured the efficacy of the eye gaze of personally familiar and unfamiliar faces as directional attention cues using adapted versions of the Posner paradigm with saccadic and manual responses. We found that attention shifts were slower when elicited by a perceived change in the eye gaze of a familiar individual as compared to attention shifts elicited by unfamiliar faces at short latencies (100 ms). We also measured simple detection of change in direction of gaze in personally familiar and unfamiliar faces to test whether slower attention shifts were due to slower detection. Participants detected changes in eye gaze faster for familiar faces than for unfamiliar faces. Our results suggest that personally familiar faces briefly hold attention due to their social relevance, thereby slowing shifts of attention, even though the direction of eye movements are detected faster in familiar faces.","author":[{"dropping-particle":"","family":"Chauhan","given":"Vassiki","non-dropping-particle":"","parse-names":false,"suffix":""},{"dropping-particle":"","family":"Visconti di Oleggio Castello","given":"Matteo","non-dropping-particle":"","parse-names":false,"suffix":""},{"dropping-particle":"","family":"Soltani","given":"Alireza","non-dropping-particle":"","parse-names":false,"suffix":""},{"dropping-particle":"","family":"Gobbini","given":"Maria Ida","non-dropping-particle":"","parse-names":false,"suffix":""}],"container-title":"Frontiers in Psychology","id":"ITEM-1","issue":"MAY","issued":{"date-parts":[["2017","5","15"]]},"page":"1-11","title":"Social Saliency of the Cue Slows Attention Shifts","type":"article-journal","volume":"8"},"uris":["http://www.mendeley.com/documents/?uuid=3f9a7e43-afc0-4e79-ac34-4a0b5eb7ad6e"]}],"mendeley":{"formattedCitation":"(Chauhan et al., 2017)","plainTextFormattedCitation":"(Chauhan et al., 2017)","previouslyFormattedCitation":"(Chauhan et al., 2017)"},"properties":{"noteIndex":0},"schema":"https://github.com/citation-style-language/schema/raw/master/csl-citation.json"}</w:instrText>
      </w:r>
      <w:r w:rsidR="00C4330D">
        <w:fldChar w:fldCharType="separate"/>
      </w:r>
      <w:r w:rsidR="00C4330D" w:rsidRPr="00C4330D">
        <w:rPr>
          <w:noProof/>
        </w:rPr>
        <w:t>(Chauhan et al., 2017)</w:t>
      </w:r>
      <w:r w:rsidR="00C4330D">
        <w:fldChar w:fldCharType="end"/>
      </w:r>
      <w:r w:rsidR="00C4330D">
        <w:t xml:space="preserve">. </w:t>
      </w:r>
      <w:r w:rsidRPr="00BD14B0">
        <w:t xml:space="preserve">Slower attention disengagement from familiar faces overrides any disadvantage of faster detection of gaze changes in familiar faces versus unfamiliar faces </w:t>
      </w:r>
      <w:r w:rsidR="00C4330D">
        <w:fldChar w:fldCharType="begin" w:fldLock="1"/>
      </w:r>
      <w:r w:rsidR="0054419B">
        <w:instrText>ADDIN CSL_CITATION {"citationItems":[{"id":"ITEM-1","itemData":{"DOI":"10.3389/fpsyg.2017.00738","ISBN":"1664-1078","ISSN":"1664-1078","abstract":"Eye gaze is a powerful cue that indicates where another person's attention is directed in the environment. Seeing another person's eye gaze shift spontaneously and reflexively elicits a shift of one's own attention to the same region in space. Here, we investigated whether reallocation of attention in the direction of eye gaze is modulated by personal familiarity with faces. On the one hand, the eye gaze of a close friend should be more effective in redirecting our attention as compared to the eye gaze of a stranger. On the other hand, the social relevance of a familiar face might itself hold attention and, thereby, slow lateral shifts of attention. To distinguish between these possibilities, we measured the efficacy of the eye gaze of personally familiar and unfamiliar faces as directional attention cues using adapted versions of the Posner paradigm with saccadic and manual responses. We found that attention shifts were slower when elicited by a perceived change in the eye gaze of a familiar individual as compared to attention shifts elicited by unfamiliar faces at short latencies (100 ms). We also measured simple detection of change in direction of gaze in personally familiar and unfamiliar faces to test whether slower attention shifts were due to slower detection. Participants detected changes in eye gaze faster for familiar faces than for unfamiliar faces. Our results suggest that personally familiar faces briefly hold attention due to their social relevance, thereby slowing shifts of attention, even though the direction of eye movements are detected faster in familiar faces.","author":[{"dropping-particle":"","family":"Chauhan","given":"Vassiki","non-dropping-particle":"","parse-names":false,"suffix":""},{"dropping-particle":"","family":"Visconti di Oleggio Castello","given":"Matteo","non-dropping-particle":"","parse-names":false,"suffix":""},{"dropping-particle":"","family":"Soltani","given":"Alireza","non-dropping-particle":"","parse-names":false,"suffix":""},{"dropping-particle":"","family":"Gobbini","given":"Maria Ida","non-dropping-particle":"","parse-names":false,"suffix":""}],"container-title":"Frontiers in Psychology","id":"ITEM-1","issue":"MAY","issued":{"date-parts":[["2017","5","15"]]},"page":"1-11","title":"Social Saliency of the Cue Slows Attention Shifts","type":"article-journal","volume":"8"},"uris":["http://www.mendeley.com/documents/?uuid=3f9a7e43-afc0-4e79-ac34-4a0b5eb7ad6e"]}],"mendeley":{"formattedCitation":"(Chauhan et al., 2017)","plainTextFormattedCitation":"(Chauhan et al., 2017)","previouslyFormattedCitation":"(Chauhan et al., 2017)"},"properties":{"noteIndex":0},"schema":"https://github.com/citation-style-language/schema/raw/master/csl-citation.json"}</w:instrText>
      </w:r>
      <w:r w:rsidR="00C4330D">
        <w:fldChar w:fldCharType="separate"/>
      </w:r>
      <w:r w:rsidR="00C4330D" w:rsidRPr="00C4330D">
        <w:rPr>
          <w:noProof/>
        </w:rPr>
        <w:t>(Chauhan et al., 2017)</w:t>
      </w:r>
      <w:r w:rsidR="00C4330D">
        <w:fldChar w:fldCharType="end"/>
      </w:r>
      <w:r w:rsidR="00C4330D">
        <w:t xml:space="preserve">. </w:t>
      </w:r>
      <w:r w:rsidRPr="00BD14B0">
        <w:t xml:space="preserve">The cue and target should be 300 </w:t>
      </w:r>
      <w:proofErr w:type="spellStart"/>
      <w:r w:rsidRPr="00BD14B0">
        <w:t>ms</w:t>
      </w:r>
      <w:proofErr w:type="spellEnd"/>
      <w:r w:rsidRPr="00BD14B0">
        <w:t xml:space="preserve"> or less apart; if its longer than that, the effect fades. So, exogenous cueing of location is a short-term effect. The early attention network is more sensitive to stimuli in attended space than in unattended space. </w:t>
      </w:r>
    </w:p>
    <w:p w14:paraId="5350AD36" w14:textId="5E4F3B88" w:rsidR="00FD692F" w:rsidRPr="00BD14B0" w:rsidRDefault="00FD692F" w:rsidP="00FD692F">
      <w:r w:rsidRPr="00BD14B0">
        <w:tab/>
        <w:t xml:space="preserve">Decoding social cues to successfully reorient attention in the environment is also related to observers’ gender. Interestingly, this gender difference is not confined to social cue stimuli, and it also observed with arrow cues. </w:t>
      </w:r>
      <w:r w:rsidR="00C4330D">
        <w:fldChar w:fldCharType="begin" w:fldLock="1"/>
      </w:r>
      <w:r w:rsidR="00C4330D">
        <w:instrText>ADDIN CSL_CITATION {"citationItems":[{"id":"ITEM-1","itemData":{"DOI":"10.1080/02724980443000124","ISSN":"0272-4987","author":[{"dropping-particle":"","family":"Bayliss","given":"A P","non-dropping-particle":"","parse-names":false,"suffix":""},{"dropping-particle":"","family":"Pellegrino","given":"G","non-dropping-particle":"Di","parse-names":false,"suffix":""},{"dropping-particle":"","family":"Tipper","given":"Sr.","non-dropping-particle":"","parse-names":false,"suffix":""}],"container-title":"Q. J. Exp. Psychol. Sect A-Hum. Exp. Psychol.","id":"ITEM-1","issue":"4","issued":{"date-parts":[["2005"]]},"page":"631-650","title":"Sex differences in eye gaze and symbolic cueing of attention","type":"article-journal","volume":"58"},"uris":["http://www.mendeley.com/documents/?uuid=7b881ecf-5260-4917-87e0-0a239da8d4e2"]}],"mendeley":{"formattedCitation":"(A P Bayliss et al., 2005)","manualFormatting":"Bayliss et al., (2005)","plainTextFormattedCitation":"(A P Bayliss et al., 2005)","previouslyFormattedCitation":"(A P Bayliss et al., 2005)"},"properties":{"noteIndex":0},"schema":"https://github.com/citation-style-language/schema/raw/master/csl-citation.json"}</w:instrText>
      </w:r>
      <w:r w:rsidR="00C4330D">
        <w:fldChar w:fldCharType="separate"/>
      </w:r>
      <w:r w:rsidR="00C4330D" w:rsidRPr="00FF7E50">
        <w:rPr>
          <w:noProof/>
        </w:rPr>
        <w:t xml:space="preserve">Bayliss et al., </w:t>
      </w:r>
      <w:r w:rsidR="00C4330D">
        <w:rPr>
          <w:noProof/>
        </w:rPr>
        <w:t>(</w:t>
      </w:r>
      <w:r w:rsidR="00C4330D" w:rsidRPr="00FF7E50">
        <w:rPr>
          <w:noProof/>
        </w:rPr>
        <w:t>2005)</w:t>
      </w:r>
      <w:r w:rsidR="00C4330D">
        <w:fldChar w:fldCharType="end"/>
      </w:r>
      <w:r w:rsidR="00C4330D">
        <w:t xml:space="preserve"> </w:t>
      </w:r>
      <w:r w:rsidRPr="00BD14B0">
        <w:t xml:space="preserve">proposed a general gender difference when it comes to attentional processing of directional stimuli </w:t>
      </w:r>
      <w:r w:rsidR="00C4330D">
        <w:fldChar w:fldCharType="begin" w:fldLock="1"/>
      </w:r>
      <w:r w:rsidR="00C4330D">
        <w:instrText>ADDIN CSL_CITATION {"citationItems":[{"id":"ITEM-1","itemData":{"DOI":"10.1016/j.paid.2007.01.016","ISSN":"01918869","abstract":"Selective attention is considered a central component of cognitive functioning. While a number of studies have demonstrated gender differences in cognitive tasks, there has been little research conducted on gender differences in selective attention. There is limited empirical evidence that indicates males and females may differ in selective attention. To explore this issue we present results from two experiments using a basic Posner cueing paradigm in which females show larger validity effects in endogenously cued tasks, but not with a peripheral cue or exogenous cue. Specifically, we found that while females show costs from an invalid cue relative to a no-cue control condition, males showed a benefit to invalid cues compared to no-cue control conditions. This empirical finding has important implications for future studies using the Posner cueing paradigm. In addition, the possible contribute of gender differences in selective attention to other cognitive gender differences is explored. © 2007 Elsevier Ltd. All rights reserved.","author":[{"dropping-particle":"","family":"Merritt","given":"Paul","non-dropping-particle":"","parse-names":false,"suffix":""},{"dropping-particle":"","family":"Hirshman","given":"Elliot","non-dropping-particle":"","parse-names":false,"suffix":""},{"dropping-particle":"","family":"Wharton","given":"Whitney","non-dropping-particle":"","parse-names":false,"suffix":""},{"dropping-particle":"","family":"Stangl","given":"Bethany","non-dropping-particle":"","parse-names":false,"suffix":""},{"dropping-particle":"","family":"Devlin","given":"James","non-dropping-particle":"","parse-names":false,"suffix":""},{"dropping-particle":"","family":"Lenz","given":"Alan","non-dropping-particle":"","parse-names":false,"suffix":""}],"container-title":"Personality and Individual Differences","id":"ITEM-1","issue":"3","issued":{"date-parts":[["2007","8"]]},"page":"597-609","title":"Evidence for gender differences in visual selective attention","type":"article-journal","volume":"43"},"uris":["http://www.mendeley.com/documents/?uuid=7d3efc8b-5d3e-4e5a-a931-a7099b5d8634"]},{"id":"ITEM-2","itemData":{"DOI":"10.1016/j.cognition.2004.04.005","ISSN":"00100277","abstract":"Attention is shifted reflexively to where other people are looking. It has been argued by a number of investigators that this social attention effect reflects the obligatory bottom-up activation of domain-specific modules within the inferior temporal (IT) cortex that are specialized for processing face and gaze information. However, it is also the case that top-down factors may modulate the activation of IT cells. Here we examined behaviorally whether reflexive social orienting is purely automatic or sensitive to top-down modulation. Participants were shown an ambiguous stimulus that could be perceived either as representing EYES or a CAR. In Experiment 1 we demonstrated between groups that an automatic shift of attention, equivalent to that triggered by a schematic FACE, occurred only when the stimulus was referred to as possessing EYES. In Experiment 2 all participants received the EYES and CAR conditions. When the stimulus was first referred to as a CAR and then as EYES, an attentional shift was only present for the EYES condition. However, when the stimulus was first referred to as possessing EYES, and then later as a CAR, attentional shifts were observed for both conditions. These data indicate that the emergence of a reflexive social attention effect is influenced by top-down mechanisms but in an asymmetrical manner. Top-down processes appear to be effective for triggering IT involvement, that is, for perceiving a stimulus as a face, which produces the social attention effect. But top-down mechanisms are ineffective once IT involvement has been triggered. That is, once a stimulus has been seen as having eyes, it continues to be seen that way, and accordingly, the social attention effect persists. © 2004 Elsevier B.V. All rights reserved.","author":[{"dropping-particle":"","family":"Ristic","given":"Jelena","non-dropping-particle":"","parse-names":false,"suffix":""},{"dropping-particle":"","family":"Kingstone","given":"Alan","non-dropping-particle":"","parse-names":false,"suffix":""}],"container-title":"Cognition","id":"ITEM-2","issue":"3","issued":{"date-parts":[["2005"]]},"page":"B55-B65","title":"Taking control of reflexive social attention","type":"article-journal","volume":"94"},"uris":["http://www.mendeley.com/documents/?uuid=f71c3270-f945-423d-8846-9a9a5feb7440"]},{"id":"ITEM-3","itemData":{"DOI":"10.3758/PP.70.1.77","ISSN":"0031-5117","abstract":"In separate experiments, counterpredictive arrow, eye gaze, or abrupt-onset cues were used to test the hypothesis that individual differences in voluntary control influence involuntary orienting. In contrast with previous findings (Friesen, Ristic, &amp; Kingstone, 2004), involuntary orienting effects were found for arrow cues. Furthermore, for both eye gaze and arrow cues, individual differences in voluntary control were associated with involuntary orienting: Involuntary orienting effects were larger for participants who were more effective at using the cue to reorient attention, and also for participants who reported greater ability to control attention. Orienting to abrupt-onset cues was not correlated to individual differences in self-reported attentional control. The findings show that eye gaze and arrow cues instigate similar involuntary and voluntary effects and that involuntary orienting to symbolic cues is linked to individual differences in voluntary control.","author":[{"dropping-particle":"","family":"Tipples","given":"J.","non-dropping-particle":"","parse-names":false,"suffix":""}],"container-title":"Perception &amp; Psychophysics","id":"ITEM-3","issue":"1","issued":{"date-parts":[["2008","1","1"]]},"page":"77-87","title":"Orienting to counterpredictive gaze and arrow cues","type":"article-journal","volume":"70"},"uris":["http://www.mendeley.com/documents/?uuid=e66ae119-f28d-4a0e-847e-80db94667949"]}],"mendeley":{"formattedCitation":"(Merritt et al., 2007; Jelena Ristic &amp; Kingstone, 2005; Tipples, 2008)","manualFormatting":"(see also, Merritt et al., 2007; Ristic &amp; Kingstone, 2005; Tipples, 2008)","plainTextFormattedCitation":"(Merritt et al., 2007; Jelena Ristic &amp; Kingstone, 2005; Tipples, 2008)","previouslyFormattedCitation":"(Merritt et al., 2007; Jelena Ristic &amp; Kingstone, 2005; Tipples, 2008)"},"properties":{"noteIndex":0},"schema":"https://github.com/citation-style-language/schema/raw/master/csl-citation.json"}</w:instrText>
      </w:r>
      <w:r w:rsidR="00C4330D">
        <w:fldChar w:fldCharType="separate"/>
      </w:r>
      <w:r w:rsidR="00C4330D" w:rsidRPr="00FF1BA3">
        <w:rPr>
          <w:noProof/>
        </w:rPr>
        <w:t>(</w:t>
      </w:r>
      <w:r w:rsidR="00C4330D" w:rsidRPr="00BD14B0">
        <w:rPr>
          <w:noProof/>
        </w:rPr>
        <w:t>see also</w:t>
      </w:r>
      <w:r w:rsidR="00C4330D">
        <w:rPr>
          <w:noProof/>
        </w:rPr>
        <w:t>,</w:t>
      </w:r>
      <w:r w:rsidR="00C4330D" w:rsidRPr="00BD14B0">
        <w:rPr>
          <w:noProof/>
        </w:rPr>
        <w:t xml:space="preserve"> </w:t>
      </w:r>
      <w:r w:rsidR="00C4330D" w:rsidRPr="00FF1BA3">
        <w:rPr>
          <w:noProof/>
        </w:rPr>
        <w:t>Merritt et al., 2007; Ristic &amp; Kingstone, 2005; Tipples, 2008)</w:t>
      </w:r>
      <w:r w:rsidR="00C4330D">
        <w:fldChar w:fldCharType="end"/>
      </w:r>
      <w:r w:rsidRPr="00BD14B0">
        <w:t xml:space="preserve">. It is possible </w:t>
      </w:r>
      <w:r w:rsidR="00693519" w:rsidRPr="00BD14B0">
        <w:t>that males</w:t>
      </w:r>
      <w:r w:rsidRPr="00BD14B0">
        <w:t xml:space="preserve"> are less sensitive to central cues. However, this is a categorical distinction and, as a result, does not mean that every female is more social than every male. Indeed, there might be other confounding variables which have been overlooked. For example, females and males might </w:t>
      </w:r>
      <w:r w:rsidRPr="00BD14B0">
        <w:lastRenderedPageBreak/>
        <w:t>use different strategies in general, in computer and in real-life. The impact of other variables, such as AQ scores, should also be considered.</w:t>
      </w:r>
    </w:p>
    <w:p w14:paraId="377FDBFB" w14:textId="77777777" w:rsidR="003323F7" w:rsidRPr="009A7B14" w:rsidRDefault="00FD692F" w:rsidP="003323F7">
      <w:r w:rsidRPr="00BD14B0">
        <w:tab/>
      </w:r>
      <w:r w:rsidR="003323F7" w:rsidRPr="009A7B14">
        <w:tab/>
        <w:t xml:space="preserve">Individuals with high AQ scores have difficulties empathizing, i.e., recognizing the emotions and thoughts of others and responding appropriately </w:t>
      </w:r>
      <w:r w:rsidR="003323F7" w:rsidRPr="009A7B14">
        <w:fldChar w:fldCharType="begin" w:fldLock="1"/>
      </w:r>
      <w:r w:rsidR="003323F7" w:rsidRPr="009A7B14">
        <w:instrText>ADDIN CSL_CITATION {"citationItems":[{"id":"ITEM-1","itemData":{"DOI":"10.1023/A:1005653411471","ISBN":"0162-3257","ISSN":"0162-3257,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Disorders","id":"ITEM-1","issue":"1","issued":{"date-parts":[["2001"]]},"page":"5-17","title":"The Autism Spectrum Quotient : Evidence from Asperger syndrome/high functioning autism, males and females, scientists and mathematicians","type":"article-journal","volume":"31"},"uris":["http://www.mendeley.com/documents/?uuid=11e2804f-d120-4a68-b02a-5d1d609712da"]}],"mendeley":{"formattedCitation":"(Baron-Cohen et al., 2001)","plainTextFormattedCitation":"(Baron-Cohen et al., 2001)","previouslyFormattedCitation":"(Baron-Cohen et al., 2001)"},"properties":{"noteIndex":0},"schema":"https://github.com/citation-style-language/schema/raw/master/csl-citation.json"}</w:instrText>
      </w:r>
      <w:r w:rsidR="003323F7" w:rsidRPr="009A7B14">
        <w:fldChar w:fldCharType="separate"/>
      </w:r>
      <w:r w:rsidR="003323F7" w:rsidRPr="009A7B14">
        <w:rPr>
          <w:noProof/>
        </w:rPr>
        <w:t>(Baron-Cohen et al., 2001)</w:t>
      </w:r>
      <w:r w:rsidR="003323F7" w:rsidRPr="009A7B14">
        <w:fldChar w:fldCharType="end"/>
      </w:r>
      <w:r w:rsidR="003323F7" w:rsidRPr="009A7B14">
        <w:t xml:space="preserve">. Furthermore, </w:t>
      </w:r>
      <w:r w:rsidR="003323F7" w:rsidRPr="009A7B14">
        <w:fldChar w:fldCharType="begin" w:fldLock="1"/>
      </w:r>
      <w:r w:rsidR="003323F7" w:rsidRPr="009A7B14">
        <w:instrText>ADDIN CSL_CITATION {"citationItems":[{"id":"ITEM-1","itemData":{"DOI":"10.1023/A:1005653411471","ISBN":"0162-3257","ISSN":"0162-3257,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Disorders","id":"ITEM-1","issue":"1","issued":{"date-parts":[["2001"]]},"page":"5-17","title":"The Autism Spectrum Quotient : Evidence from Asperger syndrome/high functioning autism, males and females, scientists and mathematicians","type":"article-journal","volume":"31"},"uris":["http://www.mendeley.com/documents/?uuid=11e2804f-d120-4a68-b02a-5d1d609712da"]}],"mendeley":{"formattedCitation":"(Baron-Cohen et al., 2001)","manualFormatting":"Baron-Cohen et al. (2001)","plainTextFormattedCitation":"(Baron-Cohen et al., 2001)","previouslyFormattedCitation":"(Baron-Cohen et al., 2001)"},"properties":{"noteIndex":0},"schema":"https://github.com/citation-style-language/schema/raw/master/csl-citation.json"}</w:instrText>
      </w:r>
      <w:r w:rsidR="003323F7" w:rsidRPr="009A7B14">
        <w:fldChar w:fldCharType="separate"/>
      </w:r>
      <w:r w:rsidR="003323F7" w:rsidRPr="009A7B14">
        <w:rPr>
          <w:noProof/>
        </w:rPr>
        <w:t>Baron-Cohen et al. (2001)</w:t>
      </w:r>
      <w:r w:rsidR="003323F7" w:rsidRPr="009A7B14">
        <w:fldChar w:fldCharType="end"/>
      </w:r>
      <w:r w:rsidR="003323F7" w:rsidRPr="009A7B14">
        <w:t xml:space="preserve"> also suggested that individuals with higher autistic traits tend to systemize, i.e., the drive to analyse and construct a system. While some research has found a negative correlation between systemizing and empathizing </w:t>
      </w:r>
      <w:r w:rsidR="003323F7" w:rsidRPr="009A7B14">
        <w:fldChar w:fldCharType="begin" w:fldLock="1"/>
      </w:r>
      <w:r w:rsidR="003323F7" w:rsidRPr="009A7B14">
        <w:instrText>ADDIN CSL_CITATION {"citationItems":[{"id":"ITEM-1","itemData":{"ISSN":"2385-0787(Electronic),1724-4935(Print)","abstract":"Sex differences exist in empathizing (females showing a stronger drive than males), and this contrasts with sex differences in systemizing (males showing a stronger drive). Systemizing occurs when one analyses or constructs a system according to rules that govern that system. In this article we re-analyse data from the Empathy Quotient (EQ) and Systemizing Quotient (SQ) to test if empathy and systemizing \"compete\" in the brain. We conclude that they do, because there is no difference between the sexes in the measure of C (combined scores). This suggests that females' relatively high empathizing score compensates for their less developed systemizing score, and conversely males' high systemizing score compensates for their less well-developed empathizing score. Whilst many psychiatric conditions entail an impairment in empathy, autism and Asperger Syndrome (AS) may be specific in entailing an impairment in empathy alongside a heightened drive to systemizing, controlling for IQ and sex. This difference-score (between EQ and SQ) is tested for its power to classify individuals with AS. Finally, we propose a classification of 5 different 'brain types' based on such difference scores, which broadly correspond to the male- and female-typical brain, the extremes of these, and a final brain type which is 'balanced' (no difference between EQ and SQ). Future research should test the neural basis of these 5 cognitively-defined brain types in order to understand their developmental and anatomical characteristics further. (PsycINFO Database Record (c) 2016 APA, all rights reserved)","author":[{"dropping-particle":"","family":"Goldenfeld","given":"Nigel","non-dropping-particle":"","parse-names":false,"suffix":""},{"dropping-particle":"","family":"Baron-Cohen","given":"Simon","non-dropping-particle":"","parse-names":false,"suffix":""},{"dropping-particle":"","family":"Wheelwright","given":"Sally","non-dropping-particle":"","parse-names":false,"suffix":""}],"container-title":"Clinical Neuropsychiatry: Journal of Treatment Evaluation","id":"ITEM-1","issue":"6","issued":{"date-parts":[["2005"]]},"page":"338-345","publisher":"Giovanni Fioriti Editore","publisher-place":"Goldenfeld, Nigel: Department of Physics, University of Illinois at Urbana-Champaign, 1110 West Green Street, Urbana, IL, US, 61801, nigel@uiuc.edu","title":"Empathizing and systemizing in males, females, and autism.","type":"article-journal","volume":"2"},"uris":["http://www.mendeley.com/documents/?uuid=7a932dec-d501-49cd-ba43-bfda2a9e8a35"]}],"mendeley":{"formattedCitation":"(Goldenfeld et al., 2005)","plainTextFormattedCitation":"(Goldenfeld et al., 2005)","previouslyFormattedCitation":"(Goldenfeld et al., 2005)"},"properties":{"noteIndex":0},"schema":"https://github.com/citation-style-language/schema/raw/master/csl-citation.json"}</w:instrText>
      </w:r>
      <w:r w:rsidR="003323F7" w:rsidRPr="009A7B14">
        <w:fldChar w:fldCharType="separate"/>
      </w:r>
      <w:r w:rsidR="003323F7" w:rsidRPr="009A7B14">
        <w:rPr>
          <w:noProof/>
        </w:rPr>
        <w:t>(Goldenfeld et al., 2005)</w:t>
      </w:r>
      <w:r w:rsidR="003323F7" w:rsidRPr="009A7B14">
        <w:fldChar w:fldCharType="end"/>
      </w:r>
      <w:r w:rsidR="003323F7" w:rsidRPr="009A7B14">
        <w:t xml:space="preserve">, one study showed that when a mechanical (systemising) task was converted to an empathising task, performance was significantly improved </w:t>
      </w:r>
      <w:r w:rsidR="003323F7" w:rsidRPr="009006CD">
        <w:fldChar w:fldCharType="begin" w:fldLock="1"/>
      </w:r>
      <w:r w:rsidR="003323F7" w:rsidRPr="009006CD">
        <w:instrText>ADDIN CSL_CITATION {"citationItems":[{"id":"ITEM-1","itemData":{"DOI":"10.1207/s15327647jcd0602_5","ISSN":"1524-8372","author":[{"dropping-particle":"","family":"Bowler","given":"Dermot M","non-dropping-particle":"","parse-names":false,"suffix":""},{"dropping-particle":"","family":"Briskman","given":"Jackie","non-dropping-particle":"","parse-names":false,"suffix":""},{"dropping-particle":"","family":"Gurvidi","given":"Nicole","non-dropping-particle":"","parse-names":false,"suffix":""},{"dropping-particle":"","family":"Fornells-Ambrojo","given":"Miriam","non-dropping-particle":"","parse-names":false,"suffix":""}],"container-title":"Journal of Cognition and Development","id":"ITEM-1","issue":"2","issued":{"date-parts":[["2005","5","1"]]},"note":"doi: 10.1207/s15327647jcd0602_5","page":"259-283","publisher":"Routledge","title":"Understanding the Mind or Predicting Signal-Dependent Action? Performance of Children With and Without Autism on Analogues of the False-Belief Task","type":"article-journal","volume":"6"},"uris":["http://www.mendeley.com/documents/?uuid=f9c9bedb-f2a2-4aee-a11b-7452d052b384"]}],"mendeley":{"formattedCitation":"(Bowler et al., 2005)","plainTextFormattedCitation":"(Bowler et al., 2005)","previouslyFormattedCitation":"(Bowler et al., 2005)"},"properties":{"noteIndex":0},"schema":"https://github.com/citation-style-language/schema/raw/master/csl-citation.json"}</w:instrText>
      </w:r>
      <w:r w:rsidR="003323F7" w:rsidRPr="009006CD">
        <w:fldChar w:fldCharType="separate"/>
      </w:r>
      <w:r w:rsidR="003323F7" w:rsidRPr="009006CD">
        <w:rPr>
          <w:noProof/>
        </w:rPr>
        <w:t>(Bowler et al., 2005)</w:t>
      </w:r>
      <w:r w:rsidR="003323F7" w:rsidRPr="009006CD">
        <w:fldChar w:fldCharType="end"/>
      </w:r>
      <w:r w:rsidR="003323F7" w:rsidRPr="009006CD">
        <w:t xml:space="preserve">. For example, patients with schizophrenia display some abnormalities to the gaze direction of others. They show difficulties in disengaging from gazing at the location, once joint attention is established </w:t>
      </w:r>
      <w:r w:rsidR="003323F7" w:rsidRPr="009006CD">
        <w:fldChar w:fldCharType="begin" w:fldLock="1"/>
      </w:r>
      <w:r w:rsidR="003323F7" w:rsidRPr="009006CD">
        <w:instrText>ADDIN CSL_CITATION {"citationItems":[{"id":"ITEM-1","itemData":{"DOI":"10.1080/13546805.2017.1285755","ISSN":"1354-6805","author":[{"dropping-particle":"","family":"Seymour","given":"Kiley","non-dropping-particle":"","parse-names":false,"suffix":""},{"dropping-particle":"","family":"Rhodes","given":"Gillian","non-dropping-particle":"","parse-names":false,"suffix":""},{"dropping-particle":"","family":"McGuire","given":"Jonathan","non-dropping-particle":"","parse-names":false,"suffix":""},{"dropping-particle":"","family":"Williams","given":"Nikolas","non-dropping-particle":"","parse-names":false,"suffix":""},{"dropping-particle":"","family":"Jeffery","given":"Linda","non-dropping-particle":"","parse-names":false,"suffix":""},{"dropping-particle":"","family":"Langdon","given":"Robyn","non-dropping-particle":"","parse-names":false,"suffix":""}],"container-title":"Cognitive Neuropsychiatry","id":"ITEM-1","issue":"0","issued":{"date-parts":[["2017"]]},"note":"NULL","page":"1-15","publisher":"Taylor &amp; Francis","title":"Assessing early processing of eye gaze in schizophrenia: measuring the cone of direct gaze and reflexive orienting of attention","type":"article-journal","volume":"0"},"uris":["http://www.mendeley.com/documents/?uuid=48eb0aa2-033a-4e65-942b-a0f90dda171a"]}],"mendeley":{"formattedCitation":"(Seymour et al., 2017)","plainTextFormattedCitation":"(Seymour et al., 2017)","previouslyFormattedCitation":"(Seymour et al., 2017)"},"properties":{"noteIndex":0},"schema":"https://github.com/citation-style-language/schema/raw/master/csl-citation.json"}</w:instrText>
      </w:r>
      <w:r w:rsidR="003323F7" w:rsidRPr="009006CD">
        <w:fldChar w:fldCharType="separate"/>
      </w:r>
      <w:r w:rsidR="003323F7" w:rsidRPr="009006CD">
        <w:rPr>
          <w:noProof/>
        </w:rPr>
        <w:t>(Seymour et al., 2017)</w:t>
      </w:r>
      <w:r w:rsidR="003323F7" w:rsidRPr="009006CD">
        <w:fldChar w:fldCharType="end"/>
      </w:r>
      <w:r w:rsidR="003323F7" w:rsidRPr="009006CD">
        <w:t xml:space="preserve">. It is explained by the inferential concept that increasing the amount of effort required to draw inference improves one's ability to distinguish between inferred information and perceived information </w:t>
      </w:r>
      <w:r w:rsidR="003323F7" w:rsidRPr="009006CD">
        <w:fldChar w:fldCharType="begin" w:fldLock="1"/>
      </w:r>
      <w:r w:rsidR="003323F7" w:rsidRPr="009006CD">
        <w:instrText>ADDIN CSL_CITATION {"citationItems":[{"id":"ITEM-1","itemData":{"DOI":"10.2307/1422597","author":[{"dropping-particle":"","family":"W. Alba","given":"Joseph","non-dropping-particle":"","parse-names":false,"suffix":""}],"container-title":"The American Journal of Psychology","id":"ITEM-1","issued":{"date-parts":[["1984","7"]]},"number-of-pages":"215","title":"Nature of Inference Representation","type":"book","volume":"97"},"uris":["http://www.mendeley.com/documents/?uuid=5d9eef47-0af7-4731-943d-9b21e8a6df9b"]}],"mendeley":{"formattedCitation":"(W. Alba, 1984)","manualFormatting":"(Alba, 1984)","plainTextFormattedCitation":"(W. Alba, 1984)","previouslyFormattedCitation":"(W. Alba, 1984)"},"properties":{"noteIndex":0},"schema":"https://github.com/citation-style-language/schema/raw/master/csl-citation.json"}</w:instrText>
      </w:r>
      <w:r w:rsidR="003323F7" w:rsidRPr="009006CD">
        <w:fldChar w:fldCharType="separate"/>
      </w:r>
      <w:r w:rsidR="003323F7" w:rsidRPr="009006CD">
        <w:rPr>
          <w:noProof/>
        </w:rPr>
        <w:t>(Alba, 1984)</w:t>
      </w:r>
      <w:r w:rsidR="003323F7" w:rsidRPr="009006CD">
        <w:fldChar w:fldCharType="end"/>
      </w:r>
      <w:r w:rsidR="003323F7" w:rsidRPr="009006CD">
        <w:t xml:space="preserve">. Even though the individual understands that the threat does not exist, they react to it emotionally. This means that a </w:t>
      </w:r>
      <w:r w:rsidR="003323F7" w:rsidRPr="00F10C52">
        <w:t xml:space="preserve">person's thoughts become preoccupied with imaginary possibilities that do not exist in reality. </w:t>
      </w:r>
      <w:r w:rsidR="003323F7" w:rsidRPr="00F10C52">
        <w:rPr>
          <w:rFonts w:ascii="TimesNewRomanPSMT" w:hAnsi="TimesNewRomanPSMT"/>
        </w:rPr>
        <w:t xml:space="preserve">Inferential confusion was </w:t>
      </w:r>
      <w:r w:rsidR="003323F7" w:rsidRPr="00F10C52">
        <w:t xml:space="preserve">emerged </w:t>
      </w:r>
      <w:r w:rsidR="003323F7" w:rsidRPr="00F10C52">
        <w:rPr>
          <w:rFonts w:ascii="TimesNewRomanPSMT" w:hAnsi="TimesNewRomanPSMT"/>
        </w:rPr>
        <w:t xml:space="preserve">from the </w:t>
      </w:r>
      <w:r w:rsidR="003323F7" w:rsidRPr="006F1D86">
        <w:rPr>
          <w:rFonts w:ascii="TimesNewRomanPSMT" w:hAnsi="TimesNewRomanPSMT"/>
        </w:rPr>
        <w:t xml:space="preserve">observation that people distrust sensory data in favour of imagined possibilities. For example, a person may wonder “did I lock my door?”. </w:t>
      </w:r>
      <w:r w:rsidR="003323F7" w:rsidRPr="006F1D86">
        <w:t>When they reflect on the occurrence, they remember closing the door and turning the key in the lock which is sensory-based information. However, they also consider the imagined possibility such as the lock mechanism malfunctioning.</w:t>
      </w:r>
      <w:r w:rsidR="003323F7">
        <w:t xml:space="preserve"> </w:t>
      </w:r>
      <w:r w:rsidR="003323F7" w:rsidRPr="009006CD">
        <w:t>As a result, the inferential effort is increased when there is a decrease in recognition confidence</w:t>
      </w:r>
      <w:r w:rsidR="003323F7">
        <w:t xml:space="preserve"> and the inferential effort increases</w:t>
      </w:r>
      <w:r w:rsidR="003323F7" w:rsidRPr="009006CD">
        <w:t xml:space="preserve">. Therefore, when there is sufficient and strong inferential implication, gazing information can lead to the generation of elaborative inferences by the individual. </w:t>
      </w:r>
    </w:p>
    <w:p w14:paraId="41FB34B2" w14:textId="1DDBC769" w:rsidR="00677F33" w:rsidRPr="009A7B14" w:rsidRDefault="003323F7" w:rsidP="003323F7">
      <w:r w:rsidRPr="009A7B14">
        <w:tab/>
        <w:t xml:space="preserve">The inferential confusion questionnaire-expanded version (ICQ-EV) is the main measure that has been used to assess inferential confusion, which occurs when a person confuses internal input with the external input due to subjective reasoning. </w:t>
      </w:r>
      <w:r w:rsidRPr="009A7B14">
        <w:fldChar w:fldCharType="begin" w:fldLock="1"/>
      </w:r>
      <w:r w:rsidRPr="009A7B14">
        <w:instrText>ADDIN CSL_CITATION {"citationItems":[{"id":"ITEM-1","itemData":{"DOI":"10.1002/cpp.464","abstract":"Inferential confusion has been defined as a confusion between reality and possibility, where the person with Obsessive–Compulsive Disorder (OCD) persists in his/her obsessional belief despite sense information to the contrary. The current study investigates whether inferential confusion is associated with treatment outcome in an OCD sample receiving cognitive–behavioral therapy (CBT). Results indicated that changes in inferential confusion as measured by the Inferential Confusion Questionnaire (ICQ) were significantly associated with treatment outcome. In addition, inferential confusion showed differential validity as a cognitive marker in OCD and was specifically associated with change in obsessive–compulsive symptoms during treatment, rather than confounded with change in negative mood states. Results are discussed in terms of the importance of the concept of inferential confusion for obsessive–compulsive disorder with and without schizotypal characteristics. Copyright © 2005 John Wiley &amp; Sons, Ltd.","author":[{"dropping-particle":"","family":"Aardema","given":"Frederick","non-dropping-particle":"","parse-names":false,"suffix":""},{"dropping-particle":"","family":"Emmelkamp","given":"Paul","non-dropping-particle":"","parse-names":false,"suffix":""},{"dropping-particle":"","family":"O'Connor","given":"Kieron","non-dropping-particle":"","parse-names":false,"suffix":""}],"container-title":"Clinical Psychology &amp; Psychotherapy","id":"ITEM-1","issued":{"date-parts":[["2005","9"]]},"number-of-pages":"337-345","title":"Inferential confusion, cognitive change and treatment outcome in Obsessive–Compulsive Disorder","type":"book","volume":"12"},"uris":["http://www.mendeley.com/documents/?uuid=6c996328-ebf6-46b0-8c57-a0ea47558d1a"]}],"mendeley":{"formattedCitation":"(Aardema et al., 2005)","manualFormatting":"Aardema, Emmelkamp, and O’Connor (2005)","plainTextFormattedCitation":"(Aardema et al., 2005)","previouslyFormattedCitation":"(Aardema et al., 2005)"},"properties":{"noteIndex":0},"schema":"https://github.com/citation-style-language/schema/raw/master/csl-citation.json"}</w:instrText>
      </w:r>
      <w:r w:rsidRPr="009A7B14">
        <w:fldChar w:fldCharType="separate"/>
      </w:r>
      <w:r w:rsidRPr="009A7B14">
        <w:rPr>
          <w:noProof/>
        </w:rPr>
        <w:t>Aardema, Emmelkamp, and O’Connor (2005)</w:t>
      </w:r>
      <w:r w:rsidRPr="009A7B14">
        <w:fldChar w:fldCharType="end"/>
      </w:r>
      <w:r w:rsidRPr="009A7B14">
        <w:t xml:space="preserve"> suggested that inferential confusion makes an individual confuse imagined possibilities with actual probability and it contributes to the </w:t>
      </w:r>
      <w:r w:rsidRPr="009A7B14">
        <w:lastRenderedPageBreak/>
        <w:t xml:space="preserve">distorted reasoning processes. The inferential confusion is higher in people suffering from obsessive-compulsive disorder compared to non-clinical and anxious controls. Therefore, it is critical to distinguish the context in which orientation of attention occurs because gaze cueing effects may be influenced by the coherence or perceptions of the target visual. According to </w:t>
      </w:r>
      <w:proofErr w:type="spellStart"/>
      <w:r w:rsidRPr="009A7B14">
        <w:t>Pierno</w:t>
      </w:r>
      <w:proofErr w:type="spellEnd"/>
      <w:r w:rsidRPr="009A7B14">
        <w:t xml:space="preserve"> et al. (2006), gaze direction does not assist autistic children in inferring the likely actions of others. Importantly, by 12 months of age, infants expect human eye gaze to convey referential information and comprehend the referential nature of the gaze cueing action (Moll &amp; </w:t>
      </w:r>
      <w:proofErr w:type="spellStart"/>
      <w:r w:rsidRPr="009A7B14">
        <w:t>Tomasello</w:t>
      </w:r>
      <w:proofErr w:type="spellEnd"/>
      <w:r w:rsidRPr="009A7B14">
        <w:t>, 2004)</w:t>
      </w:r>
      <w:r w:rsidRPr="006847AA">
        <w:t>. This implies that infants anticipate gaze to convey information about the object's location (i.e., referential information) and that they mentally understand that others see other things. In</w:t>
      </w:r>
      <w:r w:rsidRPr="009A7B14">
        <w:t xml:space="preserve"> infants and monkeys, gaze following has been shown to have a function in inferring mental states (chimpanzees successfully followed human gaze direction behind barriers). Chimpanzees compete for food either in the open or behind barriers, implying that they </w:t>
      </w:r>
      <w:proofErr w:type="gramStart"/>
      <w:r w:rsidRPr="009A7B14">
        <w:t>have an understanding of</w:t>
      </w:r>
      <w:proofErr w:type="gramEnd"/>
      <w:r w:rsidRPr="009A7B14">
        <w:t xml:space="preserve"> what other people can and cannot see (</w:t>
      </w:r>
      <w:proofErr w:type="spellStart"/>
      <w:r w:rsidRPr="009A7B14">
        <w:t>Tomasello</w:t>
      </w:r>
      <w:proofErr w:type="spellEnd"/>
      <w:r w:rsidRPr="009A7B14">
        <w:t xml:space="preserve">, Hare &amp; </w:t>
      </w:r>
      <w:proofErr w:type="spellStart"/>
      <w:r w:rsidRPr="009A7B14">
        <w:t>Agnetta</w:t>
      </w:r>
      <w:proofErr w:type="spellEnd"/>
      <w:r w:rsidRPr="009A7B14">
        <w:t xml:space="preserve">, 1999). Recent research has revealed that not all adolescents with ASD have difficulty inferring mental states (Back, 2019). Nonetheless, this has significant implications for research practices focusing on social cognition on autistic traits in the general population. Dawson, Kingstone and </w:t>
      </w:r>
      <w:proofErr w:type="spellStart"/>
      <w:r w:rsidRPr="009A7B14">
        <w:t>Foulsham</w:t>
      </w:r>
      <w:proofErr w:type="spellEnd"/>
      <w:r w:rsidRPr="009A7B14">
        <w:t xml:space="preserve"> (2021) demonstrated that participants attach minds to representations of other people's gaze (not just images of their eyes) and to the stimuli to which </w:t>
      </w:r>
      <w:r w:rsidRPr="00A013A6">
        <w:t>representations of eyes are directed, and that this attribution of mind influences where the participant looks. As a result, the findings suggests that the gaze following is related to inferring information about others but in which context it is not clear. Therefore</w:t>
      </w:r>
      <w:r w:rsidRPr="009A7B14">
        <w:t>, it is important/preferable to measure inferential confusion tendencies (</w:t>
      </w:r>
      <w:proofErr w:type="spellStart"/>
      <w:r w:rsidRPr="009A7B14">
        <w:t>Aerdema</w:t>
      </w:r>
      <w:proofErr w:type="spellEnd"/>
      <w:r w:rsidRPr="009A7B14">
        <w:t xml:space="preserve"> et al., 2005).</w:t>
      </w:r>
    </w:p>
    <w:p w14:paraId="43A47415" w14:textId="5D21719F" w:rsidR="00192CD6" w:rsidRPr="00BD14B0" w:rsidRDefault="00FD692F" w:rsidP="00FD692F">
      <w:r w:rsidRPr="00BD14B0">
        <w:tab/>
        <w:t>On the other hand, the Autistic Quotient test (AQ) is the mostly used analytical scale for testing autistic traits, although some of its functionalities are questionable</w:t>
      </w:r>
      <w:r w:rsidR="00956EFF">
        <w:t xml:space="preserve"> </w:t>
      </w:r>
      <w:r w:rsidR="00956EFF">
        <w:fldChar w:fldCharType="begin" w:fldLock="1"/>
      </w:r>
      <w:r w:rsidR="00F320AB">
        <w:instrText>ADDIN CSL_CITATION {"citationItems":[{"id":"ITEM-1","itemData":{"DOI":"10.1007/s10803-017-3128-y","ISSN":"0162-3257","PMID":"28425021","abstract":"The Autism-Spectrum Quotient (AQ) is among the most widely used scales assessing autistic traits in the general population. However, some aspects of the AQ are questionable. To test its scale properties, the AQ was translated into Swedish, and data were collected from 349 adults, 130 with autism spectrum disorder (ASD) and 219 without ASD, and analysed with Rasch. Several scale properties of the AQ were satisfactory but it did not meet the criterion of a unidimensional measure of autistic traits. The Rasch analysis showed that the 50-item AQ could be reduced to a 12-item subset with little loss of explanatory power, with the potential to efficiently measure the degree to which adults with and without ASD show autistic traits.","author":[{"dropping-particle":"","family":"Lundqvist","given":"Lars-Olov","non-dropping-particle":"","parse-names":false,"suffix":""},{"dropping-particle":"","family":"Lindner","given":"Helen","non-dropping-particle":"","parse-names":false,"suffix":""}],"container-title":"Journal of Autism and Developmental Disorders","id":"ITEM-1","issue":"7","issued":{"date-parts":[["2017","7","19"]]},"page":"2080-2091","publisher":"Springer US","title":"Is the Autism-Spectrum Quotient a Valid Measure of Traits Associated with the Autism Spectrum? A Rasch Validation in Adults with and Without Autism Spectrum Disorders","type":"article-journal","volume":"47"},"uris":["http://www.mendeley.com/documents/?uuid=a2422cc4-9224-4d16-96f0-690d274d7e7a"]}],"mendeley":{"formattedCitation":"(Lundqvist &amp; Lindner, 2017)","plainTextFormattedCitation":"(Lundqvist &amp; Lindner, 2017)","previouslyFormattedCitation":"(Lundqvist &amp; Lindner, 2017)"},"properties":{"noteIndex":0},"schema":"https://github.com/citation-style-language/schema/raw/master/csl-citation.json"}</w:instrText>
      </w:r>
      <w:r w:rsidR="00956EFF">
        <w:fldChar w:fldCharType="separate"/>
      </w:r>
      <w:r w:rsidR="00956EFF" w:rsidRPr="00956EFF">
        <w:rPr>
          <w:noProof/>
        </w:rPr>
        <w:t>(Lundqvist &amp; Lindner, 2017)</w:t>
      </w:r>
      <w:r w:rsidR="00956EFF">
        <w:fldChar w:fldCharType="end"/>
      </w:r>
      <w:r w:rsidR="00956EFF">
        <w:t xml:space="preserve">. </w:t>
      </w:r>
      <w:r w:rsidRPr="00BD14B0">
        <w:t>It is critical to consider the AQ because it is the most commonly used measurement of autistic traits</w:t>
      </w:r>
      <w:r w:rsidR="00F320AB">
        <w:t xml:space="preserve"> </w:t>
      </w:r>
      <w:r w:rsidR="00F320AB">
        <w:fldChar w:fldCharType="begin" w:fldLock="1"/>
      </w:r>
      <w:r w:rsidR="0038710A">
        <w:instrText>ADDIN CSL_CITATION {"citationItems":[{"id":"ITEM-1","itemData":{"DOI":"10.1007/s10803-017-3128-y","ISSN":"0162-3257","PMID":"28425021","abstract":"The Autism-Spectrum Quotient (AQ) is among the most widely used scales assessing autistic traits in the general population. However, some aspects of the AQ are questionable. To test its scale properties, the AQ was translated into Swedish, and data were collected from 349 adults, 130 with autism spectrum disorder (ASD) and 219 without ASD, and analysed with Rasch. Several scale properties of the AQ were satisfactory but it did not meet the criterion of a unidimensional measure of autistic traits. The Rasch analysis showed that the 50-item AQ could be reduced to a 12-item subset with little loss of explanatory power, with the potential to efficiently measure the degree to which adults with and without ASD show autistic traits.","author":[{"dropping-particle":"","family":"Lundqvist","given":"Lars-Olov","non-dropping-particle":"","parse-names":false,"suffix":""},{"dropping-particle":"","family":"Lindner","given":"Helen","non-dropping-particle":"","parse-names":false,"suffix":""}],"container-title":"Journal of Autism and Developmental Disorders","id":"ITEM-1","issue":"7","issued":{"date-parts":[["2017","7","19"]]},"page":"2080-2091","publisher":"Springer US","title":"Is the Autism-Spectrum Quotient a Valid Measure of Traits Associated with the Autism Spectrum? A Rasch Validation in Adults with and Without Autism Spectrum Disorders","type":"article-journal","volume":"47"},"uris":["http://www.mendeley.com/documents/?uuid=a2422cc4-9224-4d16-96f0-690d274d7e7a"]}],"mendeley":{"formattedCitation":"(Lundqvist &amp; Lindner, 2017)","plainTextFormattedCitation":"(Lundqvist &amp; Lindner, 2017)","previouslyFormattedCitation":"(Lundqvist &amp; Lindner, 2017)"},"properties":{"noteIndex":0},"schema":"https://github.com/citation-style-language/schema/raw/master/csl-citation.json"}</w:instrText>
      </w:r>
      <w:r w:rsidR="00F320AB">
        <w:fldChar w:fldCharType="separate"/>
      </w:r>
      <w:r w:rsidR="00F320AB" w:rsidRPr="00F320AB">
        <w:rPr>
          <w:noProof/>
        </w:rPr>
        <w:t>(Lundqvist &amp; Lindner, 2017)</w:t>
      </w:r>
      <w:r w:rsidR="00F320AB">
        <w:fldChar w:fldCharType="end"/>
      </w:r>
      <w:r w:rsidR="00F320AB">
        <w:t xml:space="preserve">, </w:t>
      </w:r>
      <w:r w:rsidR="00693519" w:rsidRPr="00BD14B0">
        <w:t>although</w:t>
      </w:r>
      <w:r w:rsidRPr="00BD14B0">
        <w:t xml:space="preserve"> its factorial </w:t>
      </w:r>
      <w:r w:rsidR="00693519" w:rsidRPr="00BD14B0">
        <w:t>validly</w:t>
      </w:r>
      <w:r w:rsidRPr="00BD14B0">
        <w:t xml:space="preserve"> has been </w:t>
      </w:r>
      <w:r w:rsidR="00693519" w:rsidRPr="00BD14B0">
        <w:t>questioned</w:t>
      </w:r>
      <w:r w:rsidRPr="00BD14B0">
        <w:t xml:space="preserve">. Baron-Cohen (2001) suggested a unidimensional structure of the AQ across ASD and neurotypical samples. However, the proposed unidimensional model has not been replicated. For example, Lundqvist and Lindner (2017) showed that the AQ did not meet the criteria of a unidimensional measure of autistic traits. </w:t>
      </w:r>
      <w:r w:rsidRPr="00BD14B0">
        <w:lastRenderedPageBreak/>
        <w:t xml:space="preserve">Lundqvist and Lindner (2017) translated the AQ into Swedish and administered it to 349 adults (130 ASD, 219 neurotypical participants). They used </w:t>
      </w:r>
      <w:proofErr w:type="spellStart"/>
      <w:r w:rsidRPr="00BD14B0">
        <w:t>Roshe</w:t>
      </w:r>
      <w:proofErr w:type="spellEnd"/>
      <w:r w:rsidRPr="00BD14B0">
        <w:t xml:space="preserve"> models to test whether the scale works similarly in men and women with and without autism spectrum disorders. They showed that it did not meet the criteria of a unidimensional measure of autistic traits.</w:t>
      </w:r>
    </w:p>
    <w:p w14:paraId="34C591F1" w14:textId="77777777" w:rsidR="00EF7858" w:rsidRPr="00BD14B0" w:rsidRDefault="00EF7858" w:rsidP="00553E01"/>
    <w:p w14:paraId="170618FB" w14:textId="20CA1927" w:rsidR="00192CD6" w:rsidRPr="00BD14B0" w:rsidRDefault="00192CD6" w:rsidP="00553E01">
      <w:pPr>
        <w:pStyle w:val="Heading2"/>
        <w:rPr>
          <w:lang w:eastAsia="en-US"/>
        </w:rPr>
      </w:pPr>
      <w:bookmarkStart w:id="75" w:name="_Toc108310787"/>
      <w:r w:rsidRPr="00BD14B0">
        <w:rPr>
          <w:lang w:eastAsia="en-US"/>
        </w:rPr>
        <w:t>Aims and hypothesis</w:t>
      </w:r>
      <w:bookmarkEnd w:id="75"/>
    </w:p>
    <w:p w14:paraId="5FF9165F" w14:textId="0742B441" w:rsidR="00192CD6" w:rsidRPr="00BD14B0" w:rsidRDefault="00AD78B4" w:rsidP="00553E01">
      <w:r w:rsidRPr="00BD14B0">
        <w:tab/>
      </w:r>
      <w:r w:rsidR="0020284B" w:rsidRPr="00BD14B0">
        <w:t>The overall aim of the current study is to investigate the possible relationship between social attention shift and leadership in a group context where social information is obtained based on the observed social interactions within the group. This prediction was based on previous research on gaze cueing has also shown that facial cues such as trustworthiness, likability, attractiveness, and dominance of the observed face influence gaze cueing. which has indicated the mechanisms underlying reflexive gaze cuing are sensitive to facial cues of dominance because such a differential gaze cuing promotes a desirable outcome from encounters with dominant individuals (</w:t>
      </w:r>
      <w:r w:rsidR="0020284B" w:rsidRPr="00BD14B0">
        <w:fldChar w:fldCharType="begin" w:fldLock="1"/>
      </w:r>
      <w:r w:rsidR="004D2901" w:rsidRPr="00BD14B0">
        <w:instrText>ADDIN CSL_CITATION {"citationItems":[{"id":"ITEM-1","itemData":{"DOI":"10.1098/rspb.2009.1575","ISSN":"0962-8452","abstract":"Responding appropriately to gaze cues is essential for fluent social interaction, playing a crucial role in social learning, collaboration, threat assessment and understanding others' intentions. Previous research has shown that responses to gaze cues can be studied by investigating the gaze-cuing effect (i.e. the tendency for observers to respond more quickly to targets in locations that were cued by others' gaze than to uncued targets). A recent study demonstrating that macaques demonstrate larger gaze-cuing effects when viewing dominant conspecifics than when viewing subordinate conspecifics suggests that cues of dominance modulate the gaze-cuing effect in at least one primate species. Here, we show a similar effect of facial cues associated with dominance on gaze cuing in human observers: at short viewing times, observers demonstrated a greater cuing effect for gaze cues from masculinized (i.e. dominant) faces than from feminized (i.e. subordinate) faces. Moreover, this effect of facial masculinity on gaze cuing decreased as viewing time was increased, suggesting that the effect is driven by involuntary responses. Our findings suggest that the mechanisms that underpin reflexive gaze cuing evolved to be sensitive to facial cues of others' dominance, potentially because such differential gaze cuing promoted desirable outcomes from encounters with dominant individuals.","author":[{"dropping-particle":"","family":"Jones","given":"Benedict C","non-dropping-particle":"","parse-names":false,"suffix":""},{"dropping-particle":"","family":"DeBruine","given":"Lisa M","non-dropping-particle":"","parse-names":false,"suffix":""},{"dropping-particle":"","family":"Main","given":"Julie C","non-dropping-particle":"","parse-names":false,"suffix":""},{"dropping-particle":"","family":"Little","given":"Anthony C","non-dropping-particle":"","parse-names":false,"suffix":""},{"dropping-particle":"","family":"Welling","given":"Lisa L M","non-dropping-particle":"","parse-names":false,"suffix":""},{"dropping-particle":"","family":"Feinberg","given":"David R","non-dropping-particle":"","parse-names":false,"suffix":""},{"dropping-particle":"","family":"Tiddeman","given":"Bernard P","non-dropping-particle":"","parse-names":false,"suffix":""}],"container-title":"Proceedings of the Royal Society B: Biological Sciences","id":"ITEM-1","issue":"1681","issued":{"date-parts":[["2010","2","22"]]},"note":"Times Cited: 54\nJones, Benedict/A-7850-2008; DeBruine, Lisa/A-6990-2008; Little, Anthony/B-8497-2009; Feinberg, David/C-1249-2009\nJones, Benedict/0000-0001-7777-0220; DeBruine, Lisa/0000-0002-7523-5539; Little, Anthony/0000-0001-9100-1903; Feinberg, David/0000-0003-4179-1446\n56","page":"617-624","title":"Facial cues of dominance modulate the short-term gaze-cuing effect in human observers","type":"article-journal","volume":"277"},"uris":["http://www.mendeley.com/documents/?uuid=64bfee74-1a8b-412c-b705-07f9a61342c4"]}],"mendeley":{"formattedCitation":"(B. C. Jones et al., 2010)","manualFormatting":"Jones et al., 2010)","plainTextFormattedCitation":"(B. C. Jones et al., 2010)","previouslyFormattedCitation":"(B. C. Jones et al., 2010)"},"properties":{"noteIndex":0},"schema":"https://github.com/citation-style-language/schema/raw/master/csl-citation.json"}</w:instrText>
      </w:r>
      <w:r w:rsidR="0020284B" w:rsidRPr="00BD14B0">
        <w:fldChar w:fldCharType="separate"/>
      </w:r>
      <w:r w:rsidR="0020284B" w:rsidRPr="00BD14B0">
        <w:rPr>
          <w:noProof/>
        </w:rPr>
        <w:t>Jones et al., 2010)</w:t>
      </w:r>
      <w:r w:rsidR="0020284B" w:rsidRPr="00BD14B0">
        <w:fldChar w:fldCharType="end"/>
      </w:r>
      <w:r w:rsidR="0020284B" w:rsidRPr="00BD14B0">
        <w:t xml:space="preserve">. First, it was predicted that that leader faces would be perceived as more dominant, while follower faces would be perceived as more likeable. </w:t>
      </w:r>
      <w:r w:rsidR="0020284B" w:rsidRPr="00BD14B0">
        <w:fldChar w:fldCharType="begin" w:fldLock="1"/>
      </w:r>
      <w:r w:rsidR="004D2901" w:rsidRPr="00BD14B0">
        <w:instrText>ADDIN CSL_CITATION {"citationItems":[{"id":"ITEM-1","itemData":{"DOI":"10.1111/j.0956-7976.2005.00809.x","ISSN":"0956-7976 (Print)","PMID":"15733205","abstract":"Gaze direction is a vital communicative channel through which people transmit information to each other. By signaling the locus of social attention, gaze cues convey information about the relative importance of objects, including other people, in the environment. For the most part, this information is communicated via patterns of gaze direction, with gaze shifts signaling changes in the objects of attention. Noting the relevance of gaze cues in social cognition, we speculated that gaze shifts may modulate people's evaluations of others. We investigated this possibility by asking participants to judge the likability (Experiment 1) and physical attractiveness (Experiment 2) of targets displaying gaze shifts indicative of attentional engagement or disengagement with the participants. As expected, person evaluation was moderated by the direction of gaze shifts, but only when the judgment under consideration was relevant to participants. We consider how and when gaze shifts may modulate person perception and its associated behavioral products.","author":[{"dropping-particle":"","family":"Mason","given":"Malia F","non-dropping-particle":"","parse-names":false,"suffix":""},{"dropping-particle":"","family":"Tatkow","given":"Elizabeth P","non-dropping-particle":"","parse-names":false,"suffix":""},{"dropping-particle":"","family":"Macrae","given":"C Neil","non-dropping-particle":"","parse-names":false,"suffix":""}],"container-title":"Psychological science","id":"ITEM-1","issue":"3","issued":{"date-parts":[["2005","3"]]},"language":"eng","page":"236-239","publisher-place":"United States","title":"The look of love: gaze shifts and person perception.","type":"article-journal","volume":"16"},"uris":["http://www.mendeley.com/documents/?uuid=b031eeef-0a95-4f73-b521-8979a335edd7"]}],"mendeley":{"formattedCitation":"(Mason et al., 2005)","manualFormatting":"Mason, Tatkow, and Macrae (2005)","plainTextFormattedCitation":"(Mason et al., 2005)","previouslyFormattedCitation":"(Mason et al., 2005)"},"properties":{"noteIndex":0},"schema":"https://github.com/citation-style-language/schema/raw/master/csl-citation.json"}</w:instrText>
      </w:r>
      <w:r w:rsidR="0020284B" w:rsidRPr="00BD14B0">
        <w:fldChar w:fldCharType="separate"/>
      </w:r>
      <w:r w:rsidR="0020284B" w:rsidRPr="00BD14B0">
        <w:rPr>
          <w:noProof/>
        </w:rPr>
        <w:t>Mason, Tatkow, and Macrae (2005)</w:t>
      </w:r>
      <w:r w:rsidR="0020284B" w:rsidRPr="00BD14B0">
        <w:fldChar w:fldCharType="end"/>
      </w:r>
      <w:r w:rsidR="0020284B" w:rsidRPr="00BD14B0">
        <w:t xml:space="preserve"> found that (female) faces shifting their gaze toward the observer were rated as more attractive by male participants but not by female participants.</w:t>
      </w:r>
      <w:r w:rsidR="006A6517" w:rsidRPr="00BD14B0">
        <w:t xml:space="preserve"> </w:t>
      </w:r>
      <w:r w:rsidR="0020284B" w:rsidRPr="00BD14B0">
        <w:t xml:space="preserve">Second, it was predicted that, the perceived facial cues gathered from the gazer appear to affect gaze cueing by creating longer reaction times </w:t>
      </w:r>
      <w:r w:rsidR="0020284B" w:rsidRPr="00BD14B0">
        <w:fldChar w:fldCharType="begin" w:fldLock="1"/>
      </w:r>
      <w:r w:rsidR="0020284B" w:rsidRPr="00BD14B0">
        <w:instrText>ADDIN CSL_CITATION {"citationItems":[{"id":"ITEM-1","itemData":{"DOI":"10.1080/20445911.2014.945457","ISSN":"2044-5911","abstract":"p Gaze cueing (i.e., the shifting of person B&amp;#039;s attention by following person A&amp;#039;s gaze) is closely linked with human interaction and learning. To make the most of this connection, researchers need to investigate possible moderators enhancing or reducing the extent of this attentional shifting. In this study we used a gaze cueing paradigm to demonstrate that the perceived trustworthiness of a cueing person constitutes such a moderator for female participants. Our results show a significant interaction between perceived trustworthiness and the response time trade-off between valid and invalid gaze cues [gaze cueing effect (GCE)], as manifested in greater following of a person&amp;#039;s gaze if this person was trustworthy as opposed to the following of an untrustworthy person&amp;#039;s gaze. An additional exploratory analysis showed potentially moderating influences of trait-anxiety on this interaction ( p = .057). The affective background of the experiment (i.e., using positive or negative target stimuli) had no influence.","author":[{"dropping-particle":"","family":"Süßenbach","given":"Felix","non-dropping-particle":"","parse-names":false,"suffix":""},{"dropping-particle":"","family":"Schönbrodt","given":"Felix","non-dropping-particle":"","parse-names":false,"suffix":""}],"container-title":"Journal of Cognitive Psychology","id":"ITEM-1","issue":"6","issued":{"date-parts":[["2014"]]},"page":"670-678","title":"Not afraid to trust you: Trustworthiness moderates gaze cueing but not in highly anxious participants","type":"article-journal","volume":"26"},"uris":["http://www.mendeley.com/documents/?uuid=fdf0bb08-283c-4e10-b6a0-4b41a1c7c71b"]}],"mendeley":{"formattedCitation":"(Süßenbach &amp; Schönbrodt, 2014)","plainTextFormattedCitation":"(Süßenbach &amp; Schönbrodt, 2014)","previouslyFormattedCitation":"(Süßenbach &amp; Schönbrodt, 2014)"},"properties":{"noteIndex":0},"schema":"https://github.com/citation-style-language/schema/raw/master/csl-citation.json"}</w:instrText>
      </w:r>
      <w:r w:rsidR="0020284B" w:rsidRPr="00BD14B0">
        <w:fldChar w:fldCharType="separate"/>
      </w:r>
      <w:r w:rsidR="0020284B" w:rsidRPr="00BD14B0">
        <w:rPr>
          <w:noProof/>
        </w:rPr>
        <w:t>(Süßenbach &amp; Schönbrodt, 2014)</w:t>
      </w:r>
      <w:r w:rsidR="0020284B" w:rsidRPr="00BD14B0">
        <w:fldChar w:fldCharType="end"/>
      </w:r>
      <w:r w:rsidR="0020284B" w:rsidRPr="00BD14B0">
        <w:t xml:space="preserve">. We therefore also asked participants to rate each face they saw as a "leader" or a "follower" because leaders vs followers have different impact on the GCE. </w:t>
      </w:r>
    </w:p>
    <w:p w14:paraId="1839BD91" w14:textId="74952B03" w:rsidR="00272C48" w:rsidRPr="00BD14B0" w:rsidRDefault="00AD78B4" w:rsidP="00272C48">
      <w:r w:rsidRPr="00BD14B0">
        <w:tab/>
      </w:r>
      <w:r w:rsidR="001D39E9" w:rsidRPr="00BD14B0">
        <w:t xml:space="preserve">In line with </w:t>
      </w:r>
      <w:r w:rsidR="001D39E9" w:rsidRPr="00BD14B0">
        <w:fldChar w:fldCharType="begin" w:fldLock="1"/>
      </w:r>
      <w:r w:rsidR="004D2901" w:rsidRPr="00BD14B0">
        <w:instrText>ADDIN CSL_CITATION {"citationItems":[{"id":"ITEM-1","itemData":{"DOI":"10.1037/xge0000167","ISSN":"0096-3445","abstract":"We asked whether previous observations of group interactions modulate subsequent social attention episodes. Participants first completed a learning phase with 2 conditions. In the “leader” condition 1 of 3 identities turned her gaze first, followed by the 2 other faces. In the “follower” condition, 1 of the identities turned her gaze after the 2 other faces had first shifted their gaze. Thus, participants observed that some individuals were consistently leaders and others followers of others’ attention. In the test phase, the faces of leaders and followers were presented in a gaze cueing paradigm. Remarkably, the followers did not elicit gaze cueing. Our data demonstrate that individuals who do not guide group attention in exploring the environment are ineffective social attention directors in later encounters. Thus, the role played in previous group social attention interactions modulates the relative weight assigned to others’ gaze: we ignore the gaze of group followers.","author":[{"dropping-particle":"","family":"Capozzi","given":"Francesca","non-dropping-particle":"","parse-names":false,"suffix":""},{"dropping-particle":"","family":"Becchio","given":"Cristina","non-dropping-particle":"","parse-names":false,"suffix":""},{"dropping-particle":"","family":"Willemse","given":"Cesco","non-dropping-particle":"","parse-names":false,"suffix":""},{"dropping-particle":"","family":"Bayliss","given":"Andrew P","non-dropping-particle":"","parse-names":false,"suffix":""}],"container-title":"Journal of Experimental Psychology: General","id":"ITEM-1","issued":{"date-parts":[["2016"]]},"title":"Followers Are Not Followed: Observed Group Interactions Modulate Subsequent Social Attention","type":"article-journal"},"uris":["http://www.mendeley.com/documents/?uuid=375d71b6-ee24-42b5-b1e8-b217d92f5738"]}],"mendeley":{"formattedCitation":"(Capozzi et al., 2016)","manualFormatting":"Capozzi et al. (2016)","plainTextFormattedCitation":"(Capozzi et al., 2016)","previouslyFormattedCitation":"(Capozzi et al., 2016)"},"properties":{"noteIndex":0},"schema":"https://github.com/citation-style-language/schema/raw/master/csl-citation.json"}</w:instrText>
      </w:r>
      <w:r w:rsidR="001D39E9" w:rsidRPr="00BD14B0">
        <w:fldChar w:fldCharType="separate"/>
      </w:r>
      <w:r w:rsidR="001D39E9" w:rsidRPr="00BD14B0">
        <w:rPr>
          <w:noProof/>
        </w:rPr>
        <w:t>Capozzi et al. (2016)</w:t>
      </w:r>
      <w:r w:rsidR="001D39E9" w:rsidRPr="00BD14B0">
        <w:fldChar w:fldCharType="end"/>
      </w:r>
      <w:r w:rsidR="001D39E9" w:rsidRPr="00BD14B0">
        <w:t xml:space="preserve">, we predicted that observation of previous behaviour would significantly affect later social attention encounters. </w:t>
      </w:r>
      <w:proofErr w:type="spellStart"/>
      <w:r w:rsidR="001D39E9" w:rsidRPr="00BD14B0">
        <w:t>Capozzi</w:t>
      </w:r>
      <w:proofErr w:type="spellEnd"/>
      <w:r w:rsidR="001D39E9" w:rsidRPr="00BD14B0">
        <w:t xml:space="preserve"> et al. (2016) demonstrated that faces perceived to be followers did not elicit a gaze cueing effect in subsequent social attention encounters, whereas faces perceived to be leaders did. Furthermore, we also predicted that gender of the observed face will have an effect on gaze cueing, since women's appearance gathers more attention in mixed-gender social groups </w:t>
      </w:r>
      <w:r w:rsidR="001D39E9" w:rsidRPr="00BD14B0">
        <w:fldChar w:fldCharType="begin" w:fldLock="1"/>
      </w:r>
      <w:r w:rsidR="001D39E9" w:rsidRPr="00BD14B0">
        <w:instrText>ADDIN CSL_CITATION {"citationItems":[{"id":"ITEM-1","itemData":{"DOI":"10.3389/fpsyg.2014.01569 info:doi/10.3389/fpsyg.2014.01569","ISSN":"1664-1078","author":[{"dropping-particle":"","family":"Amon","given":"Mary Jean","non-dropping-particle":"","parse-names":false,"suffix":""}],"container-title":"FRONT PSYCHOL","id":"ITEM-1","issued":{"date-parts":[["2015"]]},"title":"Visual attention in mixed-gender groups","type":"article-journal","volume":"5"},"uris":["http://www.mendeley.com/documents/?uuid=3d7814e8-0b3f-4415-92c0-97a0eefa4a7a"]}],"mendeley":{"formattedCitation":"(Amon, 2015)","plainTextFormattedCitation":"(Amon, 2015)","previouslyFormattedCitation":"(Amon, 2015)"},"properties":{"noteIndex":0},"schema":"https://github.com/citation-style-language/schema/raw/master/csl-citation.json"}</w:instrText>
      </w:r>
      <w:r w:rsidR="001D39E9" w:rsidRPr="00BD14B0">
        <w:fldChar w:fldCharType="separate"/>
      </w:r>
      <w:r w:rsidR="001D39E9" w:rsidRPr="00BD14B0">
        <w:rPr>
          <w:noProof/>
        </w:rPr>
        <w:t>(Amon, 2015)</w:t>
      </w:r>
      <w:r w:rsidR="001D39E9" w:rsidRPr="00BD14B0">
        <w:fldChar w:fldCharType="end"/>
      </w:r>
      <w:r w:rsidR="001D39E9" w:rsidRPr="00BD14B0">
        <w:t xml:space="preserve">. According to </w:t>
      </w:r>
      <w:r w:rsidR="001D39E9" w:rsidRPr="00BD14B0">
        <w:fldChar w:fldCharType="begin" w:fldLock="1"/>
      </w:r>
      <w:r w:rsidR="004D2901" w:rsidRPr="00BD14B0">
        <w:instrText>ADDIN CSL_CITATION {"citationItems":[{"id":"ITEM-1","itemData":{"DOI":"10.1080/02724980443000124","ISSN":"0272-4987","author":[{"dropping-particle":"","family":"Bayliss","given":"A P","non-dropping-particle":"","parse-names":false,"suffix":""},{"dropping-particle":"","family":"Pellegrino","given":"G","non-dropping-particle":"Di","parse-names":false,"suffix":""},{"dropping-particle":"","family":"Tipper","given":"Sr.","non-dropping-particle":"","parse-names":false,"suffix":""}],"container-title":"Q. J. Exp. Psychol. Sect A-Hum. Exp. Psychol.","id":"ITEM-1","issue":"4","issued":{"date-parts":[["2005"]]},"page":"631-650","title":"Sex differences in eye gaze and symbolic cueing of attention","type":"article-journal","volume":"58"},"uris":["http://www.mendeley.com/documents/?uuid=7b881ecf-5260-4917-87e0-0a239da8d4e2"]}],"mendeley":{"formattedCitation":"(A P Bayliss et al., 2005)","manualFormatting":"Bayliss et al, (2005)","plainTextFormattedCitation":"(A P Bayliss et al., 2005)","previouslyFormattedCitation":"(A P Bayliss et al., 2005)"},"properties":{"noteIndex":0},"schema":"https://github.com/citation-style-language/schema/raw/master/csl-citation.json"}</w:instrText>
      </w:r>
      <w:r w:rsidR="001D39E9" w:rsidRPr="00BD14B0">
        <w:fldChar w:fldCharType="separate"/>
      </w:r>
      <w:r w:rsidR="001D39E9" w:rsidRPr="00BD14B0">
        <w:rPr>
          <w:noProof/>
        </w:rPr>
        <w:t>Bayliss et al, (2005)</w:t>
      </w:r>
      <w:r w:rsidR="001D39E9" w:rsidRPr="00BD14B0">
        <w:fldChar w:fldCharType="end"/>
      </w:r>
      <w:r w:rsidR="001D39E9" w:rsidRPr="00BD14B0">
        <w:t xml:space="preserve">, the inhibition effects in facilitation cueing are unaffected by gender as a response to peripheral cues. However, it is difficult to </w:t>
      </w:r>
      <w:r w:rsidR="001D39E9" w:rsidRPr="00BD14B0">
        <w:lastRenderedPageBreak/>
        <w:t>determine whether gender differences exist within IOR (inhibition of return), particularly in response to gaze cues. To measure this, we created a mixed gender group by displaying a “leader” or a “follower” face and two other group member faces, one of which was always male, and the other was always female (3 in total). We predicted that the gender of the observed face would influence social attention</w:t>
      </w:r>
      <w:r w:rsidR="00192CD6" w:rsidRPr="00BD14B0">
        <w:t>.</w:t>
      </w:r>
      <w:r w:rsidR="00272C48" w:rsidRPr="00BD14B0">
        <w:t xml:space="preserve"> </w:t>
      </w:r>
    </w:p>
    <w:p w14:paraId="7A2A0F6F" w14:textId="194D6BBF" w:rsidR="00272C48" w:rsidRPr="00BD14B0" w:rsidRDefault="00272C48" w:rsidP="00272C48">
      <w:r w:rsidRPr="00BD14B0">
        <w:tab/>
        <w:t xml:space="preserve">We also predicted that there will be a relationship between AQ and ICQ-EV scores, given that they may assess overlapping attention system and social attention problems. Studies comparing infants' reactions to human and robot gaze provide more evidence that infants expect human eye gaze to convey referential information. 12-month-old infants reliably followed both human and robot gaze, but only when it was cued by human gaze did, they reliably predict an object at the target location </w:t>
      </w:r>
      <w:r w:rsidR="0038710A">
        <w:fldChar w:fldCharType="begin" w:fldLock="1"/>
      </w:r>
      <w:r w:rsidR="0038710A">
        <w:instrText>ADDIN CSL_CITATION {"citationItems":[{"id":"ITEM-1","itemData":{"DOI":"10.1016/j.jecp.2013.02.007","ISSN":"00220965","PMID":"23660178","abstract":"Infants can acquire much information by following the gaze direction of others. This type of social learning is underpinned by the ability to understand the relationship between gaze direction and a referent object (i.e., the referential nature of gaze). However, it is unknown whether human gaze is a privileged cue for information that infants use. Comparing human gaze with nonhuman (robot) gaze, we investigated whether infants' understanding of the referential nature of looking is restricted to human gaze. In the current study, we developed a novel task that measured by eye-tracking infants' anticipation of an object from observing an agent's gaze shift. Results revealed that although 10- and 12-month-olds followed the gaze direction of both a human and a robot, only 12-month-olds predicted the appearance of objects from referential gaze information when the agent was the human. Such a prediction for objects reflects an understanding of referential gaze. Our study demonstrates that by 12. months of age, infants hold referential expectations specifically from the gaze shift of humans. These specific expectations from human gaze may enable infants to acquire various information that others convey in social learning and social interaction. © 2013 Elsevier Inc.","author":[{"dropping-particle":"","family":"Okumura","given":"Yuko","non-dropping-particle":"","parse-names":false,"suffix":""},{"dropping-particle":"","family":"Kanakogi","given":"Yasuhiro","non-dropping-particle":"","parse-names":false,"suffix":""},{"dropping-particle":"","family":"Kanda","given":"Takayuki","non-dropping-particle":"","parse-names":false,"suffix":""},{"dropping-particle":"","family":"Ishiguro","given":"Hiroshi","non-dropping-particle":"","parse-names":false,"suffix":""},{"dropping-particle":"","family":"Itakura","given":"Shoji","non-dropping-particle":"","parse-names":false,"suffix":""}],"container-title":"Journal of Experimental Child Psychology","id":"ITEM-1","issue":"1","issued":{"date-parts":[["2013","9"]]},"page":"86-95","publisher":"Elsevier Inc.","title":"Infants understand the referential nature of human gaze but not robot gaze","type":"article-journal","volume":"116"},"uris":["http://www.mendeley.com/documents/?uuid=aea23ae0-7e39-462d-84b7-f4986bc8e77b"]}],"mendeley":{"formattedCitation":"(Okumura et al., 2013)","plainTextFormattedCitation":"(Okumura et al., 2013)","previouslyFormattedCitation":"(Okumura et al., 2013)"},"properties":{"noteIndex":0},"schema":"https://github.com/citation-style-language/schema/raw/master/csl-citation.json"}</w:instrText>
      </w:r>
      <w:r w:rsidR="0038710A">
        <w:fldChar w:fldCharType="separate"/>
      </w:r>
      <w:r w:rsidR="0038710A" w:rsidRPr="0038710A">
        <w:rPr>
          <w:noProof/>
        </w:rPr>
        <w:t>(Okumura et al., 2013)</w:t>
      </w:r>
      <w:r w:rsidR="0038710A">
        <w:fldChar w:fldCharType="end"/>
      </w:r>
      <w:r w:rsidR="0038710A">
        <w:t xml:space="preserve">. </w:t>
      </w:r>
      <w:r w:rsidRPr="00BD14B0">
        <w:t>Infants expect human eye gaze to convey referential information. Hence, inferring information is essential part of human social attention system. To test this notion, we asked our participants to fill out a questionnaire called inferential confusion. Autistic traits are generally researched with questionnaire scores which is consistent and reliable; however, the social attentional difficulties may be caused by more than one systematic difference of the individual. In a healthy population, the effect of inferential confusion on the social attention system has never been tested and this is the first time this questionnaire used in this manner.</w:t>
      </w:r>
    </w:p>
    <w:p w14:paraId="25433AB8" w14:textId="137EAA12" w:rsidR="006A6517" w:rsidRPr="00BD14B0" w:rsidRDefault="00272C48" w:rsidP="00272C48">
      <w:r w:rsidRPr="00BD14B0">
        <w:tab/>
        <w:t>This study used a group context which would help with the understanding of the real-world interactions. Being influenced by ingroup members who follow the specific individual's eye gaze would be an important and adaptive function to avoid danger and detect self-relevant stimuli in the environment. The overall goal of this study therefore was to investigate the possible link between social attention shift and leadership in a group setting where social information is obtained based on the observed social interactions within the group. Moreover, personal differences in autistic traits and inferential confusion might affect the social attention shift in a group context, especially when gathering social information by observing past behaviours of group members, since because autistic traits and inferential confusion might interfere with understanding social cues based on group members’ behaviour during social interactions.</w:t>
      </w:r>
    </w:p>
    <w:p w14:paraId="09D08D05" w14:textId="371DAFFA" w:rsidR="00192CD6" w:rsidRPr="00BD14B0" w:rsidRDefault="00192CD6" w:rsidP="00553E01">
      <w:pPr>
        <w:pStyle w:val="Heading2"/>
      </w:pPr>
      <w:bookmarkStart w:id="76" w:name="_Toc108310788"/>
      <w:r w:rsidRPr="00BD14B0">
        <w:lastRenderedPageBreak/>
        <w:t>Methods</w:t>
      </w:r>
      <w:bookmarkEnd w:id="76"/>
    </w:p>
    <w:p w14:paraId="20BEA733" w14:textId="77777777" w:rsidR="00192CD6" w:rsidRPr="00BD14B0" w:rsidRDefault="00192CD6" w:rsidP="00553E01"/>
    <w:p w14:paraId="4D2113B6" w14:textId="328AB8C7" w:rsidR="00192CD6" w:rsidRPr="00BD14B0" w:rsidRDefault="00192CD6" w:rsidP="00553E01">
      <w:pPr>
        <w:pStyle w:val="Heading3"/>
      </w:pPr>
      <w:bookmarkStart w:id="77" w:name="_Toc108310789"/>
      <w:r w:rsidRPr="00BD14B0">
        <w:t>Ethics</w:t>
      </w:r>
      <w:bookmarkEnd w:id="77"/>
      <w:r w:rsidRPr="00BD14B0">
        <w:t xml:space="preserve"> </w:t>
      </w:r>
    </w:p>
    <w:p w14:paraId="08FE1233" w14:textId="3503B09C" w:rsidR="00192CD6" w:rsidRPr="00BD14B0" w:rsidRDefault="00AD78B4" w:rsidP="00553E01">
      <w:r w:rsidRPr="00BD14B0">
        <w:tab/>
      </w:r>
      <w:r w:rsidR="00192CD6" w:rsidRPr="00BD14B0">
        <w:t>The Research Ethics Sub-Committee of the Department of Psychology, University of Sheffield approved the protocol for this study. Participants were recruited using ORPS (online research participation system). Participants were fully informed verbally and with a written information sheet. A written informed consent was obtained from all participants prior to the start of the experiment.</w:t>
      </w:r>
      <w:r w:rsidR="00192CD6" w:rsidRPr="00BD14B0">
        <w:rPr>
          <w:b/>
          <w:bCs/>
        </w:rPr>
        <w:t xml:space="preserve"> </w:t>
      </w:r>
      <w:r w:rsidR="00192CD6" w:rsidRPr="00BD14B0">
        <w:t>At the end of the study, all participants received a debriefing form with details on the nature of the study.</w:t>
      </w:r>
    </w:p>
    <w:p w14:paraId="160CE348" w14:textId="77777777" w:rsidR="00192CD6" w:rsidRPr="00BD14B0" w:rsidRDefault="00192CD6" w:rsidP="00553E01"/>
    <w:p w14:paraId="0777EFD7" w14:textId="1FF60F9D" w:rsidR="00192CD6" w:rsidRPr="00BD14B0" w:rsidRDefault="00192CD6" w:rsidP="00553E01">
      <w:pPr>
        <w:pStyle w:val="Heading3"/>
      </w:pPr>
      <w:bookmarkStart w:id="78" w:name="_Toc108310790"/>
      <w:r w:rsidRPr="00BD14B0">
        <w:t>Participants</w:t>
      </w:r>
      <w:bookmarkEnd w:id="78"/>
      <w:r w:rsidRPr="00BD14B0">
        <w:t xml:space="preserve"> </w:t>
      </w:r>
    </w:p>
    <w:p w14:paraId="1F38C4CD" w14:textId="1D84D224" w:rsidR="00192CD6" w:rsidRPr="00BD14B0" w:rsidRDefault="00192CD6" w:rsidP="00553E01">
      <w:r w:rsidRPr="00BD14B0">
        <w:tab/>
        <w:t xml:space="preserve">There were 44 University of Sheffield psychology undergraduate students who took part in the study. All participants were females </w:t>
      </w:r>
      <w:r w:rsidR="00E97F6F">
        <w:t xml:space="preserve">aged raging from 19 to 32 </w:t>
      </w:r>
      <w:r w:rsidRPr="00BD14B0">
        <w:t>(Mean Age = 19.84, SD = 0.89). All participants were unpaid but received course credit for their time. All participants had normal or corrected to normal vision.</w:t>
      </w:r>
    </w:p>
    <w:p w14:paraId="5FE2C111" w14:textId="77777777" w:rsidR="00192CD6" w:rsidRPr="00BD14B0" w:rsidRDefault="00192CD6" w:rsidP="00553E01"/>
    <w:p w14:paraId="191585CA" w14:textId="0F5507CA" w:rsidR="00192CD6" w:rsidRPr="00BD14B0" w:rsidRDefault="00192CD6" w:rsidP="00553E01">
      <w:pPr>
        <w:pStyle w:val="Heading3"/>
        <w:rPr>
          <w:rFonts w:eastAsia="Calibri"/>
          <w:lang w:eastAsia="en-US"/>
        </w:rPr>
      </w:pPr>
      <w:bookmarkStart w:id="79" w:name="_Toc108310791"/>
      <w:r w:rsidRPr="00BD14B0">
        <w:rPr>
          <w:rFonts w:eastAsia="Calibri"/>
          <w:lang w:eastAsia="en-US"/>
        </w:rPr>
        <w:t>Apparatus and Stimuli</w:t>
      </w:r>
      <w:bookmarkEnd w:id="79"/>
    </w:p>
    <w:p w14:paraId="69BA5D56" w14:textId="2ACE440B" w:rsidR="00192CD6" w:rsidRPr="00BD14B0" w:rsidRDefault="00AD78B4" w:rsidP="00553E01">
      <w:r w:rsidRPr="00BD14B0">
        <w:tab/>
      </w:r>
      <w:r w:rsidR="00192CD6" w:rsidRPr="00BD14B0">
        <w:t xml:space="preserve">Stimulus presentation and the data collection were obtained from </w:t>
      </w:r>
      <w:proofErr w:type="spellStart"/>
      <w:r w:rsidR="00192CD6" w:rsidRPr="00BD14B0">
        <w:t>PsychoPy</w:t>
      </w:r>
      <w:proofErr w:type="spellEnd"/>
      <w:r w:rsidR="00192CD6" w:rsidRPr="00BD14B0">
        <w:t xml:space="preserve"> presentation software on a 23-inch monitor (1920x1080; 60Hz refresh rate) </w:t>
      </w:r>
      <w:r w:rsidR="00192CD6" w:rsidRPr="00BD14B0">
        <w:fldChar w:fldCharType="begin" w:fldLock="1"/>
      </w:r>
      <w:r w:rsidR="004D2901" w:rsidRPr="00BD14B0">
        <w:instrText>ADDIN CSL_CITATION {"citationItems":[{"id":"ITEM-1","itemData":{"DOI":"http://dx.doi.org/10.1016/j.jneumeth.2006.11.017","ISSN":"0165-0270","abstract":"The vast majority of studies into visual processing are conducted using computer display technology. The current paper describes a new free suite of software tools designed to make this task easier, using the latest advances in hardware and software. PsychoPy is a platform-independent experimental control system written in the Python interpreted language using entirely free libraries. PsychoPy scripts are designed to be extremely easy to read and write, while retaining complete power for the user to customize the stimuli and environment. Tools are provided within the package to allow everything from stimulus presentation and response collection (from a wide range of devices) to simple data analysis such as psychometric function fitting. Most importantly, PsychoPy is highly extensible and the whole system can evolve via user contributions. If a user wants to add support for a particular stimulus, analysis or hardware device they can look at the code for existing examples, modify them and submit the modifications back into the package so that the whole community benefits.","author":[{"dropping-particle":"","family":"Peirce","given":"Jonathan W","non-dropping-particle":"","parse-names":false,"suffix":""}],"container-title":"Journal of Neuroscience Methods","id":"ITEM-1","issue":"1–2","issued":{"date-parts":[["2007"]]},"page":"8-13","title":"PsychoPy—Psychophysics software in Python","type":"article-journal","volume":"162"},"uris":["http://www.mendeley.com/documents/?uuid=91eaba94-c62c-4629-883b-be903ad94bcd"]}],"mendeley":{"formattedCitation":"(Peirce, 2007)","plainTextFormattedCitation":"(Peirce, 2007)","previouslyFormattedCitation":"(Peirce, 2007)"},"properties":{"noteIndex":0},"schema":"https://github.com/citation-style-language/schema/raw/master/csl-citation.json"}</w:instrText>
      </w:r>
      <w:r w:rsidR="00192CD6" w:rsidRPr="00BD14B0">
        <w:fldChar w:fldCharType="separate"/>
      </w:r>
      <w:r w:rsidR="00192CD6" w:rsidRPr="00BD14B0">
        <w:rPr>
          <w:noProof/>
        </w:rPr>
        <w:t>(Peirce, 2007)</w:t>
      </w:r>
      <w:r w:rsidR="00192CD6" w:rsidRPr="00BD14B0">
        <w:fldChar w:fldCharType="end"/>
      </w:r>
      <w:r w:rsidR="00192CD6" w:rsidRPr="00BD14B0">
        <w:t>. This program recorded demographics, reaction time (RT), accuracy ratings and faces rating measurements. Participants completed two questionnaires: The Autism Quotient (AQ) and Inferential Confusion Questionnaire-Extended Version (ICQ-EV) using Qualtrics (Qualtrics, Provo, UT).</w:t>
      </w:r>
    </w:p>
    <w:p w14:paraId="2D9BACF8" w14:textId="77777777" w:rsidR="00192CD6" w:rsidRPr="00BD14B0" w:rsidRDefault="00192CD6" w:rsidP="00553E01">
      <w:pPr>
        <w:rPr>
          <w:rFonts w:eastAsia="Calibri"/>
          <w:lang w:eastAsia="en-US"/>
        </w:rPr>
      </w:pPr>
    </w:p>
    <w:p w14:paraId="4847822E" w14:textId="4861C2B3" w:rsidR="00192CD6" w:rsidRPr="00BD14B0" w:rsidRDefault="00192CD6" w:rsidP="00353148">
      <w:pPr>
        <w:pStyle w:val="Heading4"/>
        <w:numPr>
          <w:ilvl w:val="0"/>
          <w:numId w:val="0"/>
        </w:numPr>
        <w:ind w:left="851"/>
      </w:pPr>
      <w:bookmarkStart w:id="80" w:name="_Hlk480561583"/>
      <w:r w:rsidRPr="00BD14B0">
        <w:t>The Autism Quotient (AQ)</w:t>
      </w:r>
      <w:bookmarkEnd w:id="80"/>
    </w:p>
    <w:p w14:paraId="7A5A019D" w14:textId="193AD329" w:rsidR="00192CD6" w:rsidRPr="00BD14B0" w:rsidRDefault="00192CD6" w:rsidP="00553E01">
      <w:r w:rsidRPr="00BD14B0">
        <w:tab/>
        <w:t xml:space="preserve">The AQ is a self-report questionnaire that asks 50 Likert-type questions about social-communicative skills on a scale of 1 (strongly agree) to 4 (strongly disagree) </w:t>
      </w:r>
      <w:r w:rsidRPr="00BD14B0">
        <w:fldChar w:fldCharType="begin" w:fldLock="1"/>
      </w:r>
      <w:r w:rsidR="004D2901" w:rsidRPr="00BD14B0">
        <w:instrText>ADDIN CSL_CITATION {"citationItems":[{"id":"ITEM-1","itemData":{"DOI":"10.1023/A:1005653411471","ISBN":"0162-3257","ISSN":"0162-3257,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Disorders","id":"ITEM-1","issue":"1","issued":{"date-parts":[["2001"]]},"page":"5-17","title":"The Autism Spectrum Quotient : Evidence from Asperger syndrome/high functioning autism, males and females, scientists and mathematicians","type":"article-journal","volume":"31"},"uris":["http://www.mendeley.com/documents/?uuid=11e2804f-d120-4a68-b02a-5d1d609712da"]}],"mendeley":{"formattedCitation":"(Baron-Cohen et al., 2001)","plainTextFormattedCitation":"(Baron-Cohen et al., 2001)","previouslyFormattedCitation":"(Baron-Cohen et al., 2001)"},"properties":{"noteIndex":0},"schema":"https://github.com/citation-style-language/schema/raw/master/csl-citation.json"}</w:instrText>
      </w:r>
      <w:r w:rsidRPr="00BD14B0">
        <w:fldChar w:fldCharType="separate"/>
      </w:r>
      <w:r w:rsidRPr="00BD14B0">
        <w:rPr>
          <w:noProof/>
        </w:rPr>
        <w:t>(Baron-Cohen et al., 2001)</w:t>
      </w:r>
      <w:r w:rsidRPr="00BD14B0">
        <w:fldChar w:fldCharType="end"/>
      </w:r>
      <w:r w:rsidRPr="00BD14B0">
        <w:t xml:space="preserve">. In this questionnaire, each of the 50 items is coded by either 1 or 0 (see </w:t>
      </w:r>
      <w:r w:rsidRPr="00BD14B0">
        <w:lastRenderedPageBreak/>
        <w:t>Baron-Cohen et al., 2001 for details). Higher scores indicate a greater frequency of autistic traits.</w:t>
      </w:r>
    </w:p>
    <w:p w14:paraId="69FCDB3E" w14:textId="5EAB0D54" w:rsidR="00192CD6" w:rsidRPr="00BD14B0" w:rsidRDefault="00192CD6" w:rsidP="00553E01">
      <w:r w:rsidRPr="00BD14B0">
        <w:tab/>
        <w:t xml:space="preserve">It is critical to understand that AQ is not a diagnostic tool for autism spectrum disorder (ASD). It is used in the neurotypical population, people who do not have an autism diagnosis, to measure the association with autistic traits. </w:t>
      </w:r>
      <w:r w:rsidRPr="00BD14B0">
        <w:fldChar w:fldCharType="begin" w:fldLock="1"/>
      </w:r>
      <w:r w:rsidR="004D2901" w:rsidRPr="00BD14B0">
        <w:instrText>ADDIN CSL_CITATION {"citationItems":[{"id":"ITEM-1","itemData":{"ISSN":"0162-3257 (Print)","PMID":"8226580","abstract":"This study compared the executive function and theory-of-mind abilities of siblings of autistic individuals to those of siblings of learning-disabled controls. Three different analyses of the dependent measures provided convergent support for a potential subclinical marker in the executive function domain. No group differences in theory-of-mind abilities were found. However, power analyses revealed that the measures employed in this study, which are typically used with autistic individuals, were not sufficiently sensitive to detect any group differences that might exist in \"unaffected\" family members. Suggestions for future research are provided, including the need to develop more sensitive tasks that produce larger effects and measure more elementary cognitive operations.","author":[{"dropping-particle":"","family":"Ozonoff","given":"S","non-dropping-particle":"","parse-names":false,"suffix":""},{"dropping-particle":"","family":"Rogers","given":"S J","non-dropping-particle":"","parse-names":false,"suffix":""},{"dropping-particle":"","family":"Farnham","given":"J M","non-dropping-particle":"","parse-names":false,"suffix":""},{"dropping-particle":"","family":"Pennington","given":"B F","non-dropping-particle":"","parse-names":false,"suffix":""}],"container-title":"Journal of autism and developmental disorders","id":"ITEM-1","issue":"3","issued":{"date-parts":[["1993","9"]]},"language":"eng","page":"429-441","publisher-place":"United States","title":"Can standard measures identify subclinical markers of autism?","type":"article-journal","volume":"23"},"uris":["http://www.mendeley.com/documents/?uuid=d9cea55a-6b99-443a-831b-10acea85544f"]}],"mendeley":{"formattedCitation":"(Ozonoff et al., 1993)","manualFormatting":"Ozonoff, Rogers, Farnham, and Pennington (1993)","plainTextFormattedCitation":"(Ozonoff et al., 1993)","previouslyFormattedCitation":"(Ozonoff et al., 1993)"},"properties":{"noteIndex":0},"schema":"https://github.com/citation-style-language/schema/raw/master/csl-citation.json"}</w:instrText>
      </w:r>
      <w:r w:rsidRPr="00BD14B0">
        <w:fldChar w:fldCharType="separate"/>
      </w:r>
      <w:r w:rsidRPr="00BD14B0">
        <w:rPr>
          <w:noProof/>
        </w:rPr>
        <w:t>Ozonoff, Rogers, Farnham, and Pennington (1993)</w:t>
      </w:r>
      <w:r w:rsidRPr="00BD14B0">
        <w:fldChar w:fldCharType="end"/>
      </w:r>
      <w:r w:rsidRPr="00BD14B0">
        <w:t xml:space="preserve">, described this as a sub-clinical group of people who have different levels of traits associated with autism. Autism Quotient (AQ) is defined by </w:t>
      </w:r>
      <w:r w:rsidRPr="00BD14B0">
        <w:fldChar w:fldCharType="begin" w:fldLock="1"/>
      </w:r>
      <w:r w:rsidR="004D2901" w:rsidRPr="00BD14B0">
        <w:instrText>ADDIN CSL_CITATION {"citationItems":[{"id":"ITEM-1","itemData":{"DOI":"10.1023/A:1005653411471","ISBN":"0162-3257","ISSN":"0162-3257,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Disorders","id":"ITEM-1","issue":"1","issued":{"date-parts":[["2001"]]},"page":"5-17","title":"The Autism Spectrum Quotient : Evidence from Asperger syndrome/high functioning autism, males and females, scientists and mathematicians","type":"article-journal","volume":"31"},"uris":["http://www.mendeley.com/documents/?uuid=11e2804f-d120-4a68-b02a-5d1d609712da"]}],"mendeley":{"formattedCitation":"(Baron-Cohen et al., 2001)","manualFormatting":"Baron-Cohen, Wheelwright, Skinner, Martin, and Clubley (2001)","plainTextFormattedCitation":"(Baron-Cohen et al., 2001)","previouslyFormattedCitation":"(Baron-Cohen et al., 2001)"},"properties":{"noteIndex":0},"schema":"https://github.com/citation-style-language/schema/raw/master/csl-citation.json"}</w:instrText>
      </w:r>
      <w:r w:rsidRPr="00BD14B0">
        <w:fldChar w:fldCharType="separate"/>
      </w:r>
      <w:r w:rsidRPr="00BD14B0">
        <w:rPr>
          <w:noProof/>
        </w:rPr>
        <w:t>Baron-Cohen, Wheelwright, Skinner, Martin, and Clubley (2001)</w:t>
      </w:r>
      <w:r w:rsidRPr="00BD14B0">
        <w:fldChar w:fldCharType="end"/>
      </w:r>
      <w:r w:rsidRPr="00BD14B0">
        <w:t xml:space="preserve"> as a brief self-administered instrument to “</w:t>
      </w:r>
      <w:r w:rsidRPr="00BD14B0">
        <w:rPr>
          <w:i/>
        </w:rPr>
        <w:t>measure the degree to which an adult with normal intelligence has the traits associated with the autistic spectrum on the continuum from autism to normality</w:t>
      </w:r>
      <w:r w:rsidRPr="00BD14B0">
        <w:t>”.</w:t>
      </w:r>
    </w:p>
    <w:p w14:paraId="2473D96E" w14:textId="75F19BFC" w:rsidR="00192CD6" w:rsidRPr="00BD14B0" w:rsidRDefault="00192CD6" w:rsidP="00553E01">
      <w:r w:rsidRPr="00BD14B0">
        <w:tab/>
        <w:t xml:space="preserve">The AQ has found to be reliable both in terms of internal reliability and test-retest reliability </w:t>
      </w:r>
      <w:r w:rsidRPr="00BD14B0">
        <w:fldChar w:fldCharType="begin" w:fldLock="1"/>
      </w:r>
      <w:r w:rsidR="004D2901" w:rsidRPr="00BD14B0">
        <w:instrText>ADDIN CSL_CITATION {"citationItems":[{"id":"ITEM-1","itemData":{"DOI":"10.1007/s10803-008-0538-x","ISSN":"1573-3432","abstract":"The factor structure of the Dutch translation of the Autism-Spectrum Quotient (AQ; a continuous, quantitative measure of autistic traits) was evaluated with confirmatory factor analyses in a large general population and student sample. The criterion validity of the AQ was examined in three matched patient groups (autism spectrum conditions (ASC), social anxiety disorder, and obsessive–compulsive disorder). A two factor model, consisting of a “Social interaction” factor and “Attention to detail” factor could be identified. The internal consistency and test–retest reliability of the AQ were satisfactory. High total AQ and factor scores were specific to ASC patients. Men scored higher than women and science students higher than non-science students. The Dutch translation of the AQ is a reliable instrument to assess autism spectrum conditions.","author":[{"dropping-particle":"","family":"Hoekstra","given":"Rosa A","non-dropping-particle":"","parse-names":false,"suffix":""},{"dropping-particle":"","family":"Bartels","given":"Meike","non-dropping-particle":"","parse-names":false,"suffix":""},{"dropping-particle":"","family":"Cath","given":"Danielle C","non-dropping-particle":"","parse-names":false,"suffix":""},{"dropping-particle":"","family":"Boomsma","given":"Dorret I","non-dropping-particle":"","parse-names":false,"suffix":""}],"container-title":"Journal of Autism and Developmental Disorders","id":"ITEM-1","issue":"8","issued":{"date-parts":[["2008"]]},"page":"1555-1566","title":"Factor Structure, Reliability and Criterion Validity of the Autism-Spectrum Quotient (AQ): A Study in Dutch Population and Patient Groups","type":"article-journal","volume":"38"},"uris":["http://www.mendeley.com/documents/?uuid=20062549-9ae0-4f1b-ab0b-d7a1c8855f2a","http://www.mendeley.com/documents/?uuid=84b8e9fc-afd3-4542-a344-71dc0fae5c2d"]},{"id":"ITEM-2","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Disorders","id":"ITEM-2","issue":"1","issued":{"date-parts":[["2001"]]},"page":"5-17","title":"The Autism Spectrum Quotient : Evidence from Asperger syndrome/high functioning autism, males and females, scientists and mathematicians","type":"article-journal","volume":"31"},"uris":["http://www.mendeley.com/documents/?uuid=11e2804f-d120-4a68-b02a-5d1d609712da"]}],"mendeley":{"formattedCitation":"(Baron-Cohen et al., 2001; Hoekstra et al., 2008)","plainTextFormattedCitation":"(Baron-Cohen et al., 2001; Hoekstra et al., 2008)","previouslyFormattedCitation":"(Baron-Cohen et al., 2001; Hoekstra et al., 2008)"},"properties":{"noteIndex":0},"schema":"https://github.com/citation-style-language/schema/raw/master/csl-citation.json"}</w:instrText>
      </w:r>
      <w:r w:rsidRPr="00BD14B0">
        <w:fldChar w:fldCharType="separate"/>
      </w:r>
      <w:r w:rsidR="004D2901" w:rsidRPr="00BD14B0">
        <w:rPr>
          <w:noProof/>
        </w:rPr>
        <w:t>(Baron-Cohen et al., 2001; Hoekstra et al., 2008)</w:t>
      </w:r>
      <w:r w:rsidRPr="00BD14B0">
        <w:fldChar w:fldCharType="end"/>
      </w:r>
      <w:r w:rsidRPr="00BD14B0">
        <w:t>. Cronbach’s alpha for the AQ has bee</w:t>
      </w:r>
      <w:r w:rsidR="00575F06" w:rsidRPr="00BD14B0">
        <w:t>n</w:t>
      </w:r>
      <w:r w:rsidRPr="00BD14B0">
        <w:t xml:space="preserve"> found to be .81 for a student sample and .71 for the general population sample </w:t>
      </w:r>
      <w:r w:rsidRPr="00BD14B0">
        <w:fldChar w:fldCharType="begin" w:fldLock="1"/>
      </w:r>
      <w:r w:rsidR="004D2901" w:rsidRPr="00BD14B0">
        <w:instrText>ADDIN CSL_CITATION {"citationItems":[{"id":"ITEM-1","itemData":{"DOI":"10.1007/s10803-008-0538-x","ISSN":"1573-3432","abstract":"The factor structure of the Dutch translation of the Autism-Spectrum Quotient (AQ; a continuous, quantitative measure of autistic traits) was evaluated with confirmatory factor analyses in a large general population and student sample. The criterion validity of the AQ was examined in three matched patient groups (autism spectrum conditions (ASC), social anxiety disorder, and obsessive–compulsive disorder). A two factor model, consisting of a “Social interaction” factor and “Attention to detail” factor could be identified. The internal consistency and test–retest reliability of the AQ were satisfactory. High total AQ and factor scores were specific to ASC patients. Men scored higher than women and science students higher than non-science students. The Dutch translation of the AQ is a reliable instrument to assess autism spectrum conditions.","author":[{"dropping-particle":"","family":"Hoekstra","given":"Rosa A","non-dropping-particle":"","parse-names":false,"suffix":""},{"dropping-particle":"","family":"Bartels","given":"Meike","non-dropping-particle":"","parse-names":false,"suffix":""},{"dropping-particle":"","family":"Cath","given":"Danielle C","non-dropping-particle":"","parse-names":false,"suffix":""},{"dropping-particle":"","family":"Boomsma","given":"Dorret I","non-dropping-particle":"","parse-names":false,"suffix":""}],"container-title":"Journal of Autism and Developmental Disorders","id":"ITEM-1","issue":"8","issued":{"date-parts":[["2008"]]},"page":"1555-1566","title":"Factor Structure, Reliability and Criterion Validity of the Autism-Spectrum Quotient (AQ): A Study in Dutch Population and Patient Groups","type":"article-journal","volume":"38"},"uris":["http://www.mendeley.com/documents/?uuid=84b8e9fc-afd3-4542-a344-71dc0fae5c2d","http://www.mendeley.com/documents/?uuid=20062549-9ae0-4f1b-ab0b-d7a1c8855f2a"]}],"mendeley":{"formattedCitation":"(Hoekstra et al., 2008)","plainTextFormattedCitation":"(Hoekstra et al., 2008)","previouslyFormattedCitation":"(Hoekstra et al., 2008)"},"properties":{"noteIndex":0},"schema":"https://github.com/citation-style-language/schema/raw/master/csl-citation.json"}</w:instrText>
      </w:r>
      <w:r w:rsidRPr="00BD14B0">
        <w:fldChar w:fldCharType="separate"/>
      </w:r>
      <w:r w:rsidRPr="00BD14B0">
        <w:rPr>
          <w:noProof/>
        </w:rPr>
        <w:t>(Hoekstra et al., 2008)</w:t>
      </w:r>
      <w:r w:rsidRPr="00BD14B0">
        <w:fldChar w:fldCharType="end"/>
      </w:r>
      <w:r w:rsidRPr="00BD14B0">
        <w:t xml:space="preserve">. The questionnaire has a </w:t>
      </w:r>
      <w:r w:rsidR="00575F06" w:rsidRPr="00BD14B0">
        <w:t>cut-off</w:t>
      </w:r>
      <w:r w:rsidRPr="00BD14B0">
        <w:t xml:space="preserve"> score, which is 35 and 38 for males and females, respectively. A score of more than 32 is taken to indicate a higher likelihood of having a clinical diagnosis of Autism Spectrum Disorder </w:t>
      </w:r>
      <w:r w:rsidRPr="00BD14B0">
        <w:fldChar w:fldCharType="begin" w:fldLock="1"/>
      </w:r>
      <w:r w:rsidR="004D2901" w:rsidRPr="00BD14B0">
        <w:instrText>ADDIN CSL_CITATION {"citationItems":[{"id":"ITEM-1","itemData":{"DOI":"10.1023/A:1005653411471","ISBN":"0162-3257","ISSN":"0162-3257,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Disorders","id":"ITEM-1","issue":"1","issued":{"date-parts":[["2001"]]},"page":"5-17","title":"The Autism Spectrum Quotient : Evidence from Asperger syndrome/high functioning autism, males and females, scientists and mathematicians","type":"article-journal","volume":"31"},"uris":["http://www.mendeley.com/documents/?uuid=11e2804f-d120-4a68-b02a-5d1d609712da"]}],"mendeley":{"formattedCitation":"(Baron-Cohen et al., 2001)","plainTextFormattedCitation":"(Baron-Cohen et al., 2001)","previouslyFormattedCitation":"(Baron-Cohen et al., 2001)"},"properties":{"noteIndex":0},"schema":"https://github.com/citation-style-language/schema/raw/master/csl-citation.json"}</w:instrText>
      </w:r>
      <w:r w:rsidRPr="00BD14B0">
        <w:fldChar w:fldCharType="separate"/>
      </w:r>
      <w:r w:rsidRPr="00BD14B0">
        <w:rPr>
          <w:noProof/>
        </w:rPr>
        <w:t>(Baron-Cohen et al., 2001)</w:t>
      </w:r>
      <w:r w:rsidRPr="00BD14B0">
        <w:fldChar w:fldCharType="end"/>
      </w:r>
      <w:r w:rsidRPr="00BD14B0">
        <w:t xml:space="preserve"> (For the full list of statements in the AQ, see appendix). </w:t>
      </w:r>
    </w:p>
    <w:p w14:paraId="0B6906C3" w14:textId="4138C1DA" w:rsidR="00192CD6" w:rsidRPr="00BD14B0" w:rsidRDefault="00192CD6" w:rsidP="00553E01">
      <w:r w:rsidRPr="00BD14B0">
        <w:tab/>
        <w:t xml:space="preserve">The AQ consists of five subscales with 10 items in each subscale, covering five different domains associated with the autism spectrum: social skills; communication skills; imagination; attention to detail; and attention switching/tolerance of change. These five subscales have high internal consistency </w:t>
      </w:r>
      <w:r w:rsidRPr="00BD14B0">
        <w:fldChar w:fldCharType="begin" w:fldLock="1"/>
      </w:r>
      <w:r w:rsidR="004D2901" w:rsidRPr="00BD14B0">
        <w:instrText>ADDIN CSL_CITATION {"citationItems":[{"id":"ITEM-1","itemData":{"DOI":"10.1023/A:1005653411471","ISBN":"0162-3257","ISSN":"0162-3257,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Disorders","id":"ITEM-1","issue":"1","issued":{"date-parts":[["2001"]]},"page":"5-17","title":"The Autism Spectrum Quotient : Evidence from Asperger syndrome/high functioning autism, males and females, scientists and mathematicians","type":"article-journal","volume":"31"},"uris":["http://www.mendeley.com/documents/?uuid=11e2804f-d120-4a68-b02a-5d1d609712da"]}],"mendeley":{"formattedCitation":"(Baron-Cohen et al., 2001)","plainTextFormattedCitation":"(Baron-Cohen et al., 2001)","previouslyFormattedCitation":"(Baron-Cohen et al., 2001)"},"properties":{"noteIndex":0},"schema":"https://github.com/citation-style-language/schema/raw/master/csl-citation.json"}</w:instrText>
      </w:r>
      <w:r w:rsidRPr="00BD14B0">
        <w:fldChar w:fldCharType="separate"/>
      </w:r>
      <w:r w:rsidRPr="00BD14B0">
        <w:rPr>
          <w:noProof/>
        </w:rPr>
        <w:t>(Baron-Cohen et al., 2001)</w:t>
      </w:r>
      <w:r w:rsidRPr="00BD14B0">
        <w:fldChar w:fldCharType="end"/>
      </w:r>
      <w:r w:rsidRPr="00BD14B0">
        <w:t xml:space="preserve">. However, factor analysis results have been inconsistent. </w:t>
      </w:r>
      <w:r w:rsidRPr="00BD14B0">
        <w:fldChar w:fldCharType="begin" w:fldLock="1"/>
      </w:r>
      <w:r w:rsidR="004D2901" w:rsidRPr="00BD14B0">
        <w:instrText>ADDIN CSL_CITATION {"citationItems":[{"id":"ITEM-1","itemData":{"DOI":"https://doi.org/10.1016/j.paid.2004.04.022","ISSN":"0191-8869","author":[{"dropping-particle":"","family":"Austin","given":"Elizabeth J","non-dropping-particle":"","parse-names":false,"suffix":""}],"container-title":"Personality and Individual Differences","id":"ITEM-1","issue":"2","issued":{"date-parts":[["2005"]]},"page":"451-460","title":"Personality correlates of the broader autism phenotype as assessed by the Autism Spectrum Quotient (AQ)","type":"article-journal","volume":"38"},"uris":["http://www.mendeley.com/documents/?uuid=f8b542d7-324c-4843-ac04-c3aac6a6b5f9","http://www.mendeley.com/documents/?uuid=0197e0b1-3113-4772-ab63-77050f5b4e1c"]}],"mendeley":{"formattedCitation":"(Austin, 2005)","manualFormatting":"Austin (2005)","plainTextFormattedCitation":"(Austin, 2005)","previouslyFormattedCitation":"(Austin, 2005)"},"properties":{"noteIndex":0},"schema":"https://github.com/citation-style-language/schema/raw/master/csl-citation.json"}</w:instrText>
      </w:r>
      <w:r w:rsidRPr="00BD14B0">
        <w:fldChar w:fldCharType="separate"/>
      </w:r>
      <w:r w:rsidRPr="00BD14B0">
        <w:rPr>
          <w:noProof/>
        </w:rPr>
        <w:t>Austin (2005)</w:t>
      </w:r>
      <w:r w:rsidRPr="00BD14B0">
        <w:fldChar w:fldCharType="end"/>
      </w:r>
      <w:r w:rsidRPr="00BD14B0">
        <w:t xml:space="preserve"> suggests that AQ consists of three subscales: social skills, detail/patterns, and communication/mind reading. A later study suggested that the AQ has two subscales: social interaction and attention to details </w:t>
      </w:r>
      <w:r w:rsidRPr="00BD14B0">
        <w:fldChar w:fldCharType="begin" w:fldLock="1"/>
      </w:r>
      <w:r w:rsidR="004D2901" w:rsidRPr="00BD14B0">
        <w:instrText>ADDIN CSL_CITATION {"citationItems":[{"id":"ITEM-1","itemData":{"DOI":"10.1007/s10803-008-0538-x","ISSN":"1573-3432","abstract":"The factor structure of the Dutch translation of the Autism-Spectrum Quotient (AQ; a continuous, quantitative measure of autistic traits) was evaluated with confirmatory factor analyses in a large general population and student sample. The criterion validity of the AQ was examined in three matched patient groups (autism spectrum conditions (ASC), social anxiety disorder, and obsessive–compulsive disorder). A two factor model, consisting of a “Social interaction” factor and “Attention to detail” factor could be identified. The internal consistency and test–retest reliability of the AQ were satisfactory. High total AQ and factor scores were specific to ASC patients. Men scored higher than women and science students higher than non-science students. The Dutch translation of the AQ is a reliable instrument to assess autism spectrum conditions.","author":[{"dropping-particle":"","family":"Hoekstra","given":"Rosa A","non-dropping-particle":"","parse-names":false,"suffix":""},{"dropping-particle":"","family":"Bartels","given":"Meike","non-dropping-particle":"","parse-names":false,"suffix":""},{"dropping-particle":"","family":"Cath","given":"Danielle C","non-dropping-particle":"","parse-names":false,"suffix":""},{"dropping-particle":"","family":"Boomsma","given":"Dorret I","non-dropping-particle":"","parse-names":false,"suffix":""}],"container-title":"Journal of Autism and Developmental Disorders","id":"ITEM-1","issue":"8","issued":{"date-parts":[["2008"]]},"page":"1555-1566","title":"Factor Structure, Reliability and Criterion Validity of the Autism-Spectrum Quotient (AQ): A Study in Dutch Population and Patient Groups","type":"article-journal","volume":"38"},"uris":["http://www.mendeley.com/documents/?uuid=84b8e9fc-afd3-4542-a344-71dc0fae5c2d","http://www.mendeley.com/documents/?uuid=20062549-9ae0-4f1b-ab0b-d7a1c8855f2a"]}],"mendeley":{"formattedCitation":"(Hoekstra et al., 2008)","plainTextFormattedCitation":"(Hoekstra et al., 2008)","previouslyFormattedCitation":"(Hoekstra et al., 2008)"},"properties":{"noteIndex":0},"schema":"https://github.com/citation-style-language/schema/raw/master/csl-citation.json"}</w:instrText>
      </w:r>
      <w:r w:rsidRPr="00BD14B0">
        <w:fldChar w:fldCharType="separate"/>
      </w:r>
      <w:r w:rsidRPr="00BD14B0">
        <w:rPr>
          <w:noProof/>
        </w:rPr>
        <w:t>(Hoekstra et al., 2008)</w:t>
      </w:r>
      <w:r w:rsidRPr="00BD14B0">
        <w:fldChar w:fldCharType="end"/>
      </w:r>
      <w:r w:rsidRPr="00BD14B0">
        <w:t xml:space="preserve">. As a result, while the AQ has high internal consistency, there is </w:t>
      </w:r>
      <w:r w:rsidR="00575F06" w:rsidRPr="00BD14B0">
        <w:t>disagreement</w:t>
      </w:r>
      <w:r w:rsidRPr="00BD14B0">
        <w:t xml:space="preserve"> on the number of subscales it contains. In this study, we use the original five subscales proposed by </w:t>
      </w:r>
      <w:r w:rsidRPr="00BD14B0">
        <w:fldChar w:fldCharType="begin" w:fldLock="1"/>
      </w:r>
      <w:r w:rsidR="004D2901" w:rsidRPr="00BD14B0">
        <w:instrText>ADDIN CSL_CITATION {"citationItems":[{"id":"ITEM-1","itemData":{"DOI":"10.1023/A:1005653411471","ISBN":"0162-3257","ISSN":"0162-3257,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Disorders","id":"ITEM-1","issue":"1","issued":{"date-parts":[["2001"]]},"page":"5-17","title":"The Autism Spectrum Quotient : Evidence from Asperger syndrome/high functioning autism, males and females, scientists and mathematicians","type":"article-journal","volume":"31"},"uris":["http://www.mendeley.com/documents/?uuid=11e2804f-d120-4a68-b02a-5d1d609712da"]}],"mendeley":{"formattedCitation":"(Baron-Cohen et al., 2001)","manualFormatting":"Baron-Cohen et al. (2001)","plainTextFormattedCitation":"(Baron-Cohen et al., 2001)","previouslyFormattedCitation":"(Baron-Cohen et al., 2001)"},"properties":{"noteIndex":0},"schema":"https://github.com/citation-style-language/schema/raw/master/csl-citation.json"}</w:instrText>
      </w:r>
      <w:r w:rsidRPr="00BD14B0">
        <w:fldChar w:fldCharType="separate"/>
      </w:r>
      <w:r w:rsidRPr="00BD14B0">
        <w:rPr>
          <w:noProof/>
        </w:rPr>
        <w:t>Baron-Cohen et al. (2001)</w:t>
      </w:r>
      <w:r w:rsidRPr="00BD14B0">
        <w:fldChar w:fldCharType="end"/>
      </w:r>
      <w:r w:rsidRPr="00BD14B0">
        <w:t xml:space="preserve">. See Table 6 for these subscales. </w:t>
      </w:r>
    </w:p>
    <w:p w14:paraId="4CE74D18" w14:textId="7D4F223E" w:rsidR="00C30E58" w:rsidRDefault="00C30E58" w:rsidP="00553E01"/>
    <w:p w14:paraId="5FE19D15" w14:textId="77777777" w:rsidR="00656710" w:rsidRPr="00BD14B0" w:rsidRDefault="00656710" w:rsidP="00553E01"/>
    <w:p w14:paraId="2DA68B6C" w14:textId="6CECD4D5" w:rsidR="00192CD6" w:rsidRPr="00BD14B0" w:rsidRDefault="00EC76C1" w:rsidP="00EC76C1">
      <w:pPr>
        <w:pStyle w:val="Title"/>
      </w:pPr>
      <w:bookmarkStart w:id="81" w:name="_Toc108321854"/>
      <w:bookmarkStart w:id="82" w:name="_Hlk509971225"/>
      <w:r>
        <w:lastRenderedPageBreak/>
        <w:t xml:space="preserve">Table </w:t>
      </w:r>
      <w:bookmarkEnd w:id="81"/>
      <w:r w:rsidR="00656710">
        <w:t>6</w:t>
      </w:r>
    </w:p>
    <w:p w14:paraId="693F8812" w14:textId="3463F99D" w:rsidR="00192CD6" w:rsidRPr="00BD14B0" w:rsidRDefault="00192CD6" w:rsidP="00553E01">
      <w:pPr>
        <w:rPr>
          <w:u w:val="single"/>
        </w:rPr>
      </w:pPr>
      <w:r w:rsidRPr="00BD14B0">
        <w:rPr>
          <w:i/>
          <w:iCs/>
        </w:rPr>
        <w:t>Number of items and example questions from each of the five subscales of the A</w:t>
      </w:r>
      <w:r w:rsidR="0014652C" w:rsidRPr="00BD14B0">
        <w:rPr>
          <w:i/>
          <w:iCs/>
        </w:rPr>
        <w:t>Q</w:t>
      </w:r>
      <w:r w:rsidR="00FB3E82" w:rsidRPr="00BD14B0">
        <w:t>.</w:t>
      </w:r>
    </w:p>
    <w:tbl>
      <w:tblPr>
        <w:tblW w:w="9072" w:type="dxa"/>
        <w:tblLook w:val="04A0" w:firstRow="1" w:lastRow="0" w:firstColumn="1" w:lastColumn="0" w:noHBand="0" w:noVBand="1"/>
      </w:tblPr>
      <w:tblGrid>
        <w:gridCol w:w="2483"/>
        <w:gridCol w:w="1806"/>
        <w:gridCol w:w="106"/>
        <w:gridCol w:w="4677"/>
      </w:tblGrid>
      <w:tr w:rsidR="00695B36" w:rsidRPr="00BD14B0" w14:paraId="70D20B35" w14:textId="77777777" w:rsidTr="004A06B6">
        <w:trPr>
          <w:trHeight w:val="416"/>
        </w:trPr>
        <w:tc>
          <w:tcPr>
            <w:tcW w:w="2483" w:type="dxa"/>
            <w:tcBorders>
              <w:top w:val="single" w:sz="4" w:space="0" w:color="auto"/>
              <w:bottom w:val="single" w:sz="4" w:space="0" w:color="auto"/>
            </w:tcBorders>
          </w:tcPr>
          <w:bookmarkEnd w:id="82"/>
          <w:p w14:paraId="45541293" w14:textId="77777777" w:rsidR="00192CD6" w:rsidRPr="00BD14B0" w:rsidRDefault="00192CD6" w:rsidP="00553E01">
            <w:r w:rsidRPr="00BD14B0">
              <w:t>Subscales of the AQ</w:t>
            </w:r>
          </w:p>
        </w:tc>
        <w:tc>
          <w:tcPr>
            <w:tcW w:w="1912" w:type="dxa"/>
            <w:gridSpan w:val="2"/>
            <w:tcBorders>
              <w:top w:val="single" w:sz="4" w:space="0" w:color="auto"/>
              <w:bottom w:val="single" w:sz="4" w:space="0" w:color="auto"/>
            </w:tcBorders>
          </w:tcPr>
          <w:p w14:paraId="45596ACB" w14:textId="77777777" w:rsidR="00192CD6" w:rsidRPr="00BD14B0" w:rsidRDefault="00192CD6" w:rsidP="00553E01">
            <w:r w:rsidRPr="00BD14B0">
              <w:t>Number of items</w:t>
            </w:r>
          </w:p>
        </w:tc>
        <w:tc>
          <w:tcPr>
            <w:tcW w:w="4677" w:type="dxa"/>
            <w:tcBorders>
              <w:top w:val="single" w:sz="4" w:space="0" w:color="auto"/>
              <w:bottom w:val="single" w:sz="4" w:space="0" w:color="auto"/>
            </w:tcBorders>
          </w:tcPr>
          <w:p w14:paraId="1262BBF9" w14:textId="77777777" w:rsidR="00192CD6" w:rsidRPr="00BD14B0" w:rsidRDefault="00192CD6" w:rsidP="00553E01">
            <w:r w:rsidRPr="00BD14B0">
              <w:t xml:space="preserve">Example </w:t>
            </w:r>
            <w:r w:rsidRPr="00BD14B0">
              <w:rPr>
                <w:sz w:val="23"/>
                <w:szCs w:val="23"/>
              </w:rPr>
              <w:t>questions</w:t>
            </w:r>
          </w:p>
        </w:tc>
      </w:tr>
      <w:tr w:rsidR="00695B36" w:rsidRPr="00BD14B0" w14:paraId="31F73428" w14:textId="77777777" w:rsidTr="004A06B6">
        <w:tc>
          <w:tcPr>
            <w:tcW w:w="2483" w:type="dxa"/>
          </w:tcPr>
          <w:p w14:paraId="4504E298" w14:textId="77777777" w:rsidR="00192CD6" w:rsidRPr="00BD14B0" w:rsidRDefault="00192CD6" w:rsidP="00553E01">
            <w:r w:rsidRPr="00BD14B0">
              <w:t>Social Skills</w:t>
            </w:r>
          </w:p>
        </w:tc>
        <w:tc>
          <w:tcPr>
            <w:tcW w:w="1806" w:type="dxa"/>
          </w:tcPr>
          <w:p w14:paraId="6775C240" w14:textId="77777777" w:rsidR="00192CD6" w:rsidRPr="00BD14B0" w:rsidRDefault="00192CD6" w:rsidP="00553E01">
            <w:r w:rsidRPr="00BD14B0">
              <w:t>10</w:t>
            </w:r>
          </w:p>
        </w:tc>
        <w:tc>
          <w:tcPr>
            <w:tcW w:w="4783" w:type="dxa"/>
            <w:gridSpan w:val="2"/>
          </w:tcPr>
          <w:p w14:paraId="2BA9F3B5" w14:textId="77777777" w:rsidR="00192CD6" w:rsidRPr="00BD14B0" w:rsidRDefault="00192CD6" w:rsidP="00553E01">
            <w:r w:rsidRPr="00BD14B0">
              <w:t>“I prefer to do things with others rather than on my own.”</w:t>
            </w:r>
          </w:p>
        </w:tc>
      </w:tr>
      <w:tr w:rsidR="00695B36" w:rsidRPr="00BD14B0" w14:paraId="38E46B69" w14:textId="77777777" w:rsidTr="004A06B6">
        <w:tc>
          <w:tcPr>
            <w:tcW w:w="2483" w:type="dxa"/>
          </w:tcPr>
          <w:p w14:paraId="7398AE5B" w14:textId="77777777" w:rsidR="00192CD6" w:rsidRPr="00BD14B0" w:rsidRDefault="00192CD6" w:rsidP="00553E01">
            <w:r w:rsidRPr="00BD14B0">
              <w:t>Attention Switching</w:t>
            </w:r>
          </w:p>
        </w:tc>
        <w:tc>
          <w:tcPr>
            <w:tcW w:w="1806" w:type="dxa"/>
          </w:tcPr>
          <w:p w14:paraId="4365D25E" w14:textId="77777777" w:rsidR="00192CD6" w:rsidRPr="00BD14B0" w:rsidRDefault="00192CD6" w:rsidP="00553E01">
            <w:r w:rsidRPr="00BD14B0">
              <w:t>10</w:t>
            </w:r>
          </w:p>
        </w:tc>
        <w:tc>
          <w:tcPr>
            <w:tcW w:w="4783" w:type="dxa"/>
            <w:gridSpan w:val="2"/>
          </w:tcPr>
          <w:p w14:paraId="34443CFC" w14:textId="77777777" w:rsidR="00192CD6" w:rsidRPr="00BD14B0" w:rsidRDefault="00192CD6" w:rsidP="00553E01">
            <w:r w:rsidRPr="00BD14B0">
              <w:t>“I prefer to do things the same way over and over again.”</w:t>
            </w:r>
          </w:p>
        </w:tc>
      </w:tr>
      <w:tr w:rsidR="00695B36" w:rsidRPr="00BD14B0" w14:paraId="520BE47C" w14:textId="77777777" w:rsidTr="004A06B6">
        <w:tc>
          <w:tcPr>
            <w:tcW w:w="2483" w:type="dxa"/>
          </w:tcPr>
          <w:p w14:paraId="2DF96925" w14:textId="77777777" w:rsidR="00192CD6" w:rsidRPr="00BD14B0" w:rsidRDefault="00192CD6" w:rsidP="00553E01">
            <w:r w:rsidRPr="00BD14B0">
              <w:t>Attention to detail</w:t>
            </w:r>
          </w:p>
        </w:tc>
        <w:tc>
          <w:tcPr>
            <w:tcW w:w="1806" w:type="dxa"/>
          </w:tcPr>
          <w:p w14:paraId="54438DA7" w14:textId="77777777" w:rsidR="00192CD6" w:rsidRPr="00BD14B0" w:rsidRDefault="00192CD6" w:rsidP="00553E01">
            <w:r w:rsidRPr="00BD14B0">
              <w:t>10</w:t>
            </w:r>
          </w:p>
        </w:tc>
        <w:tc>
          <w:tcPr>
            <w:tcW w:w="4783" w:type="dxa"/>
            <w:gridSpan w:val="2"/>
          </w:tcPr>
          <w:p w14:paraId="3E9E1802" w14:textId="77777777" w:rsidR="00192CD6" w:rsidRPr="00BD14B0" w:rsidRDefault="00192CD6" w:rsidP="00553E01">
            <w:r w:rsidRPr="00BD14B0">
              <w:t>“I often notice small sounds when others do not.”</w:t>
            </w:r>
          </w:p>
        </w:tc>
      </w:tr>
      <w:tr w:rsidR="00695B36" w:rsidRPr="00BD14B0" w14:paraId="20D3D04E" w14:textId="77777777" w:rsidTr="004A06B6">
        <w:tc>
          <w:tcPr>
            <w:tcW w:w="2483" w:type="dxa"/>
          </w:tcPr>
          <w:p w14:paraId="2D494822" w14:textId="77777777" w:rsidR="00192CD6" w:rsidRPr="00BD14B0" w:rsidRDefault="00192CD6" w:rsidP="00553E01">
            <w:r w:rsidRPr="00BD14B0">
              <w:t>Communication</w:t>
            </w:r>
          </w:p>
        </w:tc>
        <w:tc>
          <w:tcPr>
            <w:tcW w:w="1806" w:type="dxa"/>
          </w:tcPr>
          <w:p w14:paraId="6F610715" w14:textId="77777777" w:rsidR="00192CD6" w:rsidRPr="00BD14B0" w:rsidRDefault="00192CD6" w:rsidP="00553E01">
            <w:r w:rsidRPr="00BD14B0">
              <w:t>10</w:t>
            </w:r>
          </w:p>
        </w:tc>
        <w:tc>
          <w:tcPr>
            <w:tcW w:w="4783" w:type="dxa"/>
            <w:gridSpan w:val="2"/>
          </w:tcPr>
          <w:p w14:paraId="78599C73" w14:textId="77777777" w:rsidR="00192CD6" w:rsidRPr="00BD14B0" w:rsidRDefault="00192CD6" w:rsidP="00553E01">
            <w:r w:rsidRPr="00BD14B0">
              <w:t>“Other people frequently tell me that what I’ve said is impolite, even though I think it is polite.”</w:t>
            </w:r>
          </w:p>
        </w:tc>
      </w:tr>
      <w:tr w:rsidR="00192CD6" w:rsidRPr="00BD14B0" w14:paraId="0952E709" w14:textId="77777777" w:rsidTr="004A06B6">
        <w:tc>
          <w:tcPr>
            <w:tcW w:w="2483" w:type="dxa"/>
            <w:tcBorders>
              <w:bottom w:val="single" w:sz="4" w:space="0" w:color="auto"/>
            </w:tcBorders>
          </w:tcPr>
          <w:p w14:paraId="78EB02CB" w14:textId="77777777" w:rsidR="00192CD6" w:rsidRPr="00BD14B0" w:rsidRDefault="00192CD6" w:rsidP="00553E01">
            <w:r w:rsidRPr="00BD14B0">
              <w:t>Imagination</w:t>
            </w:r>
          </w:p>
        </w:tc>
        <w:tc>
          <w:tcPr>
            <w:tcW w:w="1806" w:type="dxa"/>
            <w:tcBorders>
              <w:bottom w:val="single" w:sz="4" w:space="0" w:color="auto"/>
            </w:tcBorders>
          </w:tcPr>
          <w:p w14:paraId="6AD72A5E" w14:textId="77777777" w:rsidR="00192CD6" w:rsidRPr="00BD14B0" w:rsidRDefault="00192CD6" w:rsidP="00553E01">
            <w:r w:rsidRPr="00BD14B0">
              <w:t>10</w:t>
            </w:r>
          </w:p>
        </w:tc>
        <w:tc>
          <w:tcPr>
            <w:tcW w:w="4783" w:type="dxa"/>
            <w:gridSpan w:val="2"/>
            <w:tcBorders>
              <w:bottom w:val="single" w:sz="4" w:space="0" w:color="auto"/>
            </w:tcBorders>
          </w:tcPr>
          <w:p w14:paraId="5B814578" w14:textId="77777777" w:rsidR="00192CD6" w:rsidRPr="00BD14B0" w:rsidRDefault="00192CD6" w:rsidP="00553E01">
            <w:r w:rsidRPr="00BD14B0">
              <w:t>“If I try to imagine something, I find it very easy to create a picture in my mind.”</w:t>
            </w:r>
          </w:p>
        </w:tc>
      </w:tr>
    </w:tbl>
    <w:p w14:paraId="660FBC26" w14:textId="77777777" w:rsidR="00192CD6" w:rsidRPr="00BD14B0" w:rsidRDefault="00192CD6" w:rsidP="00553E01"/>
    <w:p w14:paraId="04B1F565" w14:textId="77777777" w:rsidR="00192CD6" w:rsidRPr="00BD14B0" w:rsidRDefault="00192CD6" w:rsidP="00353148">
      <w:pPr>
        <w:pStyle w:val="Heading4"/>
        <w:numPr>
          <w:ilvl w:val="0"/>
          <w:numId w:val="0"/>
        </w:numPr>
        <w:ind w:left="851"/>
      </w:pPr>
      <w:r w:rsidRPr="00BD14B0">
        <w:t>Inferential Confusion Questionnaire-Extended Version</w:t>
      </w:r>
    </w:p>
    <w:p w14:paraId="3A1FD346" w14:textId="3D361B82" w:rsidR="00192CD6" w:rsidRPr="00BD14B0" w:rsidRDefault="00AD78B4" w:rsidP="00553E01">
      <w:r w:rsidRPr="00BD14B0">
        <w:tab/>
      </w:r>
      <w:r w:rsidR="00192CD6" w:rsidRPr="00BD14B0">
        <w:t xml:space="preserve">The Inferential Confusion Questionnaire-extended version (ICQ-EV) was first developed by </w:t>
      </w:r>
      <w:r w:rsidR="00192CD6" w:rsidRPr="00BD14B0">
        <w:fldChar w:fldCharType="begin" w:fldLock="1"/>
      </w:r>
      <w:r w:rsidR="004D2901" w:rsidRPr="00BD14B0">
        <w:instrText>ADDIN CSL_CITATION {"citationItems":[{"id":"ITEM-1","itemData":{"ISSN":"0005-7967 (Print)","PMID":"7487848","abstract":"In this paper we outline a cognitive model of Obsessive-Compulsive Disorder (OCD) which proposes that the core belief of OCD evolves through a series of illogical inferences. These faulty inference processes involve inferring the plausibility of events on the basis of irrelevant associations, dismissing actual evidence on the grounds of going beyond surface reality to a deeper reality, and finally inferring that a completely fictional narrative is a remote probability. A therapy aimed specifically at changing these inference processes is illustrated with case examples of OCD clients who had not benefited from conventional behavior therapy. The inference based approach (IBA) complements existing cognitive-behavioral therapy but suggests that in certain cases, the conventional cognitive therapy view of OCD beliefs as exaggerated fears of remote possibilities may actually reinforce the obsessional belief since even remote events are real. The IBA on the contrary suggests that an important goal in therapy is to highlight this confusion found in OCD between imagination and reality and illuminate for the OCD client how their compulsions, far from reassuring them about a remote possibility, actually take them further away from reality and reinforce their imaginary doubt.","author":[{"dropping-particle":"","family":"O'Connor","given":"K","non-dropping-particle":"","parse-names":false,"suffix":""},{"dropping-particle":"","family":"Robillard","given":"S","non-dropping-particle":"","parse-names":false,"suffix":""}],"container-title":"Behaviour research and therapy","id":"ITEM-1","issue":"8","issued":{"date-parts":[["1995","11"]]},"language":"eng","page":"887-896","publisher-place":"England","title":"Inference processes in obsessive-compulsive disorder: some clinical observations.","type":"article-journal","volume":"33"},"uris":["http://www.mendeley.com/documents/?uuid=f6d62d9b-0462-4a1a-a29f-085ce562b702","http://www.mendeley.com/documents/?uuid=4b8566ae-7544-4449-97b9-84399b47de8b"]}],"mendeley":{"formattedCitation":"(O’Connor &amp; Robillard, 1995)","manualFormatting":"Connor and Robillard (1995)","plainTextFormattedCitation":"(O’Connor &amp; Robillard, 1995)","previouslyFormattedCitation":"(O’Connor &amp; Robillard, 1995)"},"properties":{"noteIndex":0},"schema":"https://github.com/citation-style-language/schema/raw/master/csl-citation.json"}</w:instrText>
      </w:r>
      <w:r w:rsidR="00192CD6" w:rsidRPr="00BD14B0">
        <w:fldChar w:fldCharType="separate"/>
      </w:r>
      <w:r w:rsidR="00192CD6" w:rsidRPr="00BD14B0">
        <w:rPr>
          <w:noProof/>
        </w:rPr>
        <w:t>Connor and Robillard (1995)</w:t>
      </w:r>
      <w:r w:rsidR="00192CD6" w:rsidRPr="00BD14B0">
        <w:fldChar w:fldCharType="end"/>
      </w:r>
      <w:r w:rsidR="00192CD6" w:rsidRPr="00BD14B0">
        <w:t xml:space="preserve"> and revised by </w:t>
      </w:r>
      <w:r w:rsidR="00192CD6" w:rsidRPr="00BD14B0">
        <w:fldChar w:fldCharType="begin" w:fldLock="1"/>
      </w:r>
      <w:r w:rsidR="004D2901" w:rsidRPr="00BD14B0">
        <w:instrText>ADDIN CSL_CITATION {"citationItems":[{"id":"ITEM-1","itemData":{"DOI":"10.1002/cpp.464","abstract":"Inferential confusion has been defined as a confusion between reality and possibility, where the person with Obsessive–Compulsive Disorder (OCD) persists in his/her obsessional belief despite sense information to the contrary. The current study investigates whether inferential confusion is associated with treatment outcome in an OCD sample receiving cognitive–behavioral therapy (CBT). Results indicated that changes in inferential confusion as measured by the Inferential Confusion Questionnaire (ICQ) were significantly associated with treatment outcome. In addition, inferential confusion showed differential validity as a cognitive marker in OCD and was specifically associated with change in obsessive–compulsive symptoms during treatment, rather than confounded with change in negative mood states. Results are discussed in terms of the importance of the concept of inferential confusion for obsessive–compulsive disorder with and without schizotypal characteristics. Copyright © 2005 John Wiley &amp; Sons, Ltd.","author":[{"dropping-particle":"","family":"Aardema","given":"Frederick","non-dropping-particle":"","parse-names":false,"suffix":""},{"dropping-particle":"","family":"Emmelkamp","given":"Paul","non-dropping-particle":"","parse-names":false,"suffix":""},{"dropping-particle":"","family":"O'Connor","given":"Kieron","non-dropping-particle":"","parse-names":false,"suffix":""}],"container-title":"Clinical Psychology &amp; Psychotherapy","id":"ITEM-1","issued":{"date-parts":[["2005","9"]]},"number-of-pages":"337-345","title":"Inferential confusion, cognitive change and treatment outcome in Obsessive–Compulsive Disorder","type":"book","volume":"12"},"uris":["http://www.mendeley.com/documents/?uuid=6c996328-ebf6-46b0-8c57-a0ea47558d1a"]}],"mendeley":{"formattedCitation":"(Aardema et al., 2005)","manualFormatting":"Aardema et al. (2005)","plainTextFormattedCitation":"(Aardema et al., 2005)","previouslyFormattedCitation":"(Aardema et al., 2005)"},"properties":{"noteIndex":0},"schema":"https://github.com/citation-style-language/schema/raw/master/csl-citation.json"}</w:instrText>
      </w:r>
      <w:r w:rsidR="00192CD6" w:rsidRPr="00BD14B0">
        <w:fldChar w:fldCharType="separate"/>
      </w:r>
      <w:r w:rsidR="00192CD6" w:rsidRPr="00BD14B0">
        <w:rPr>
          <w:noProof/>
        </w:rPr>
        <w:t>Aardema et al. (2005)</w:t>
      </w:r>
      <w:r w:rsidR="00192CD6" w:rsidRPr="00BD14B0">
        <w:fldChar w:fldCharType="end"/>
      </w:r>
      <w:r w:rsidR="00192CD6" w:rsidRPr="00BD14B0">
        <w:t xml:space="preserve"> and </w:t>
      </w:r>
      <w:r w:rsidR="00192CD6" w:rsidRPr="00BD14B0">
        <w:fldChar w:fldCharType="begin" w:fldLock="1"/>
      </w:r>
      <w:r w:rsidR="004D2901" w:rsidRPr="00BD14B0">
        <w:instrText>ADDIN CSL_CITATION {"citationItems":[{"id":"ITEM-1","itemData":{"DOI":"10.1007/s10862-009-9157-x","ISBN":"0882-2689","ISSN":"08822689","abstract":"The current study represents the further development and validation of an expanded version of the Inferential Confusion Questionnaire (ICQ-EV) in non-clinical and clinical samples. Inferential confusion seems to be particularly relevant to Obsessive-Compulsive Disorder (OCD) and is defined as a failure to recognize the unrealistic nature of obsessions due to a subjective form of reasoning. Factor analysis of the item-set of the ICQ-EV indicated a one-dimensional solution in non-clinical and clinical samples. It was hypothesized that inferential confusion as measured by the ICQ-EV would be particu- larly relevant to participants with OCD. Results confirmed convergent validity with strong relationships between the ICQ-EV and obsessive-compulsive symptoms in all samples independent of other cognitive domains and general distress. In addition, those with OCD scored higher on the ICQ-EV than non-clinical controls and a mixed anxiety disorder group so confirming group-criterion validity. Finally, the ICQ-EV also showed clinical validity with change in ICQ-EV scores during treatment significantly related to successful treatment outcome.","author":[{"dropping-particle":"","family":"Aardema","given":"Frederick","non-dropping-particle":"","parse-names":false,"suffix":""},{"dropping-particle":"","family":"Wu","given":"Kevin D.","non-dropping-particle":"","parse-names":false,"suffix":""},{"dropping-particle":"","family":"Careau","given":"Yves","non-dropping-particle":"","parse-names":false,"suffix":""},{"dropping-particle":"","family":"O'Connor","given":"Kieron","non-dropping-particle":"","parse-names":false,"suffix":""},{"dropping-particle":"","family":"Julien","given":"Dominic","non-dropping-particle":"","parse-names":false,"suffix":""},{"dropping-particle":"","family":"Dennie","given":"Susan","non-dropping-particle":"","parse-names":false,"suffix":""}],"container-title":"Journal of Psychopathology and Behavioral Assessment","id":"ITEM-1","issue":"3","issued":{"date-parts":[["2010"]]},"page":"448-462","title":"The expanded version of the inferential confusion questionnaire: Further development and validation in clinical and non-clinical samples","type":"article-journal","volume":"32"},"uris":["http://www.mendeley.com/documents/?uuid=47cd3021-a931-4a52-add4-d3e09dd7d83d"]}],"mendeley":{"formattedCitation":"(Aardema et al., 2010)","manualFormatting":"Aardema et al. (2010)","plainTextFormattedCitation":"(Aardema et al., 2010)","previouslyFormattedCitation":"(Aardema et al., 2010)"},"properties":{"noteIndex":0},"schema":"https://github.com/citation-style-language/schema/raw/master/csl-citation.json"}</w:instrText>
      </w:r>
      <w:r w:rsidR="00192CD6" w:rsidRPr="00BD14B0">
        <w:fldChar w:fldCharType="separate"/>
      </w:r>
      <w:r w:rsidR="00192CD6" w:rsidRPr="00BD14B0">
        <w:rPr>
          <w:noProof/>
        </w:rPr>
        <w:t>Aardema et al. (2010)</w:t>
      </w:r>
      <w:r w:rsidR="00192CD6" w:rsidRPr="00BD14B0">
        <w:fldChar w:fldCharType="end"/>
      </w:r>
      <w:r w:rsidR="00192CD6" w:rsidRPr="00BD14B0">
        <w:t xml:space="preserve">. It measures the inferential confusion of senses. The ICQ-EV uses self-reported Likert-type scales ranging from 1 (strongly disagree) to 6 (strongly agree). The </w:t>
      </w:r>
      <w:r w:rsidR="00192CD6" w:rsidRPr="00BD14B0">
        <w:rPr>
          <w:shd w:val="clear" w:color="auto" w:fill="FFFFFF"/>
        </w:rPr>
        <w:t xml:space="preserve">ICQ-EV </w:t>
      </w:r>
      <w:r w:rsidR="00192CD6" w:rsidRPr="00BD14B0">
        <w:rPr>
          <w:shd w:val="clear" w:color="auto" w:fill="FFFFFF"/>
        </w:rPr>
        <w:fldChar w:fldCharType="begin" w:fldLock="1"/>
      </w:r>
      <w:r w:rsidR="004D2901" w:rsidRPr="00BD14B0">
        <w:rPr>
          <w:shd w:val="clear" w:color="auto" w:fill="FFFFFF"/>
        </w:rPr>
        <w:instrText>ADDIN CSL_CITATION {"citationItems":[{"id":"ITEM-1","itemData":{"DOI":"10.1007/s10862-009-9157-x","ISBN":"0882-2689","ISSN":"08822689","abstract":"The current study represents the further development and validation of an expanded version of the Inferential Confusion Questionnaire (ICQ-EV) in non-clinical and clinical samples. Inferential confusion seems to be particularly relevant to Obsessive-Compulsive Disorder (OCD) and is defined as a failure to recognize the unrealistic nature of obsessions due to a subjective form of reasoning. Factor analysis of the item-set of the ICQ-EV indicated a one-dimensional solution in non-clinical and clinical samples. It was hypothesized that inferential confusion as measured by the ICQ-EV would be particu- larly relevant to participants with OCD. Results confirmed convergent validity with strong relationships between the ICQ-EV and obsessive-compulsive symptoms in all samples independent of other cognitive domains and general distress. In addition, those with OCD scored higher on the ICQ-EV than non-clinical controls and a mixed anxiety disorder group so confirming group-criterion validity. Finally, the ICQ-EV also showed clinical validity with change in ICQ-EV scores during treatment significantly related to successful treatment outcome.","author":[{"dropping-particle":"","family":"Aardema","given":"Frederick","non-dropping-particle":"","parse-names":false,"suffix":""},{"dropping-particle":"","family":"Wu","given":"Kevin D.","non-dropping-particle":"","parse-names":false,"suffix":""},{"dropping-particle":"","family":"Careau","given":"Yves","non-dropping-particle":"","parse-names":false,"suffix":""},{"dropping-particle":"","family":"O'Connor","given":"Kieron","non-dropping-particle":"","parse-names":false,"suffix":""},{"dropping-particle":"","family":"Julien","given":"Dominic","non-dropping-particle":"","parse-names":false,"suffix":""},{"dropping-particle":"","family":"Dennie","given":"Susan","non-dropping-particle":"","parse-names":false,"suffix":""}],"container-title":"Journal of Psychopathology and Behavioral Assessment","id":"ITEM-1","issue":"3","issued":{"date-parts":[["2010"]]},"page":"448-462","title":"The expanded version of the inferential confusion questionnaire: Further development and validation in clinical and non-clinical samples","type":"article-journal","volume":"32"},"uris":["http://www.mendeley.com/documents/?uuid=47cd3021-a931-4a52-add4-d3e09dd7d83d"]}],"mendeley":{"formattedCitation":"(Aardema et al., 2010)","plainTextFormattedCitation":"(Aardema et al., 2010)","previouslyFormattedCitation":"(Aardema et al., 2010)"},"properties":{"noteIndex":0},"schema":"https://github.com/citation-style-language/schema/raw/master/csl-citation.json"}</w:instrText>
      </w:r>
      <w:r w:rsidR="00192CD6" w:rsidRPr="00BD14B0">
        <w:rPr>
          <w:shd w:val="clear" w:color="auto" w:fill="FFFFFF"/>
        </w:rPr>
        <w:fldChar w:fldCharType="separate"/>
      </w:r>
      <w:r w:rsidR="00192CD6" w:rsidRPr="00BD14B0">
        <w:rPr>
          <w:noProof/>
          <w:shd w:val="clear" w:color="auto" w:fill="FFFFFF"/>
        </w:rPr>
        <w:t>(Aardema et al., 2010)</w:t>
      </w:r>
      <w:r w:rsidR="00192CD6" w:rsidRPr="00BD14B0">
        <w:rPr>
          <w:shd w:val="clear" w:color="auto" w:fill="FFFFFF"/>
        </w:rPr>
        <w:fldChar w:fldCharType="end"/>
      </w:r>
      <w:r w:rsidR="00192CD6" w:rsidRPr="00BD14B0">
        <w:rPr>
          <w:shd w:val="clear" w:color="auto" w:fill="FFFFFF"/>
        </w:rPr>
        <w:t xml:space="preserve"> is a 30-item revision of the original 15-item ICQ </w:t>
      </w:r>
      <w:r w:rsidR="00192CD6" w:rsidRPr="00BD14B0">
        <w:rPr>
          <w:shd w:val="clear" w:color="auto" w:fill="FFFFFF"/>
        </w:rPr>
        <w:fldChar w:fldCharType="begin" w:fldLock="1"/>
      </w:r>
      <w:r w:rsidR="004D2901" w:rsidRPr="00BD14B0">
        <w:rPr>
          <w:shd w:val="clear" w:color="auto" w:fill="FFFFFF"/>
        </w:rPr>
        <w:instrText>ADDIN CSL_CITATION {"citationItems":[{"id":"ITEM-1","itemData":{"DOI":"10.1002/cpp.464","abstract":"Inferential confusion has been defined as a confusion between reality and possibility, where the person with Obsessive–Compulsive Disorder (OCD) persists in his/her obsessional belief despite sense information to the contrary. The current study investigates whether inferential confusion is associated with treatment outcome in an OCD sample receiving cognitive–behavioral therapy (CBT). Results indicated that changes in inferential confusion as measured by the Inferential Confusion Questionnaire (ICQ) were significantly associated with treatment outcome. In addition, inferential confusion showed differential validity as a cognitive marker in OCD and was specifically associated with change in obsessive–compulsive symptoms during treatment, rather than confounded with change in negative mood states. Results are discussed in terms of the importance of the concept of inferential confusion for obsessive–compulsive disorder with and without schizotypal characteristics. Copyright © 2005 John Wiley &amp; Sons, Ltd.","author":[{"dropping-particle":"","family":"Aardema","given":"Frederick","non-dropping-particle":"","parse-names":false,"suffix":""},{"dropping-particle":"","family":"Emmelkamp","given":"Paul","non-dropping-particle":"","parse-names":false,"suffix":""},{"dropping-particle":"","family":"O'Connor","given":"Kieron","non-dropping-particle":"","parse-names":false,"suffix":""}],"container-title":"Clinical Psychology &amp; Psychotherapy","id":"ITEM-1","issued":{"date-parts":[["2005","9"]]},"number-of-pages":"337-345","title":"Inferential confusion, cognitive change and treatment outcome in Obsessive–Compulsive Disorder","type":"book","volume":"12"},"uris":["http://www.mendeley.com/documents/?uuid=6c996328-ebf6-46b0-8c57-a0ea47558d1a"]}],"mendeley":{"formattedCitation":"(Aardema et al., 2005)","plainTextFormattedCitation":"(Aardema et al., 2005)","previouslyFormattedCitation":"(Aardema et al., 2005)"},"properties":{"noteIndex":0},"schema":"https://github.com/citation-style-language/schema/raw/master/csl-citation.json"}</w:instrText>
      </w:r>
      <w:r w:rsidR="00192CD6" w:rsidRPr="00BD14B0">
        <w:rPr>
          <w:shd w:val="clear" w:color="auto" w:fill="FFFFFF"/>
        </w:rPr>
        <w:fldChar w:fldCharType="separate"/>
      </w:r>
      <w:r w:rsidR="00192CD6" w:rsidRPr="00BD14B0">
        <w:rPr>
          <w:noProof/>
          <w:shd w:val="clear" w:color="auto" w:fill="FFFFFF"/>
        </w:rPr>
        <w:t>(Aardema et al., 2005)</w:t>
      </w:r>
      <w:r w:rsidR="00192CD6" w:rsidRPr="00BD14B0">
        <w:rPr>
          <w:shd w:val="clear" w:color="auto" w:fill="FFFFFF"/>
        </w:rPr>
        <w:fldChar w:fldCharType="end"/>
      </w:r>
      <w:r w:rsidR="00192CD6" w:rsidRPr="00BD14B0">
        <w:rPr>
          <w:shd w:val="clear" w:color="auto" w:fill="FFFFFF"/>
        </w:rPr>
        <w:t xml:space="preserve">. </w:t>
      </w:r>
      <w:r w:rsidR="00192CD6" w:rsidRPr="00BD14B0">
        <w:rPr>
          <w:shd w:val="clear" w:color="auto" w:fill="FFFFFF"/>
        </w:rPr>
        <w:fldChar w:fldCharType="begin" w:fldLock="1"/>
      </w:r>
      <w:r w:rsidR="004D2901" w:rsidRPr="00BD14B0">
        <w:rPr>
          <w:shd w:val="clear" w:color="auto" w:fill="FFFFFF"/>
        </w:rPr>
        <w:instrText>ADDIN CSL_CITATION {"citationItems":[{"id":"ITEM-1","itemData":{"DOI":"10.1007/s10862-009-9157-x","ISBN":"0882-2689","ISSN":"08822689","abstract":"The current study represents the further development and validation of an expanded version of the Inferential Confusion Questionnaire (ICQ-EV) in non-clinical and clinical samples. Inferential confusion seems to be particularly relevant to Obsessive-Compulsive Disorder (OCD) and is defined as a failure to recognize the unrealistic nature of obsessions due to a subjective form of reasoning. Factor analysis of the item-set of the ICQ-EV indicated a one-dimensional solution in non-clinical and clinical samples. It was hypothesized that inferential confusion as measured by the ICQ-EV would be particu- larly relevant to participants with OCD. Results confirmed convergent validity with strong relationships between the ICQ-EV and obsessive-compulsive symptoms in all samples independent of other cognitive domains and general distress. In addition, those with OCD scored higher on the ICQ-EV than non-clinical controls and a mixed anxiety disorder group so confirming group-criterion validity. Finally, the ICQ-EV also showed clinical validity with change in ICQ-EV scores during treatment significantly related to successful treatment outcome.","author":[{"dropping-particle":"","family":"Aardema","given":"Frederick","non-dropping-particle":"","parse-names":false,"suffix":""},{"dropping-particle":"","family":"Wu","given":"Kevin D.","non-dropping-particle":"","parse-names":false,"suffix":""},{"dropping-particle":"","family":"Careau","given":"Yves","non-dropping-particle":"","parse-names":false,"suffix":""},{"dropping-particle":"","family":"O'Connor","given":"Kieron","non-dropping-particle":"","parse-names":false,"suffix":""},{"dropping-particle":"","family":"Julien","given":"Dominic","non-dropping-particle":"","parse-names":false,"suffix":""},{"dropping-particle":"","family":"Dennie","given":"Susan","non-dropping-particle":"","parse-names":false,"suffix":""}],"container-title":"Journal of Psychopathology and Behavioral Assessment","id":"ITEM-1","issue":"3","issued":{"date-parts":[["2010"]]},"page":"448-462","title":"The expanded version of the inferential confusion questionnaire: Further development and validation in clinical and non-clinical samples","type":"article-journal","volume":"32"},"uris":["http://www.mendeley.com/documents/?uuid=47cd3021-a931-4a52-add4-d3e09dd7d83d"]}],"mendeley":{"formattedCitation":"(Aardema et al., 2010)","manualFormatting":"Aardema et al. (2010)","plainTextFormattedCitation":"(Aardema et al., 2010)","previouslyFormattedCitation":"(Aardema et al., 2010)"},"properties":{"noteIndex":0},"schema":"https://github.com/citation-style-language/schema/raw/master/csl-citation.json"}</w:instrText>
      </w:r>
      <w:r w:rsidR="00192CD6" w:rsidRPr="00BD14B0">
        <w:rPr>
          <w:shd w:val="clear" w:color="auto" w:fill="FFFFFF"/>
        </w:rPr>
        <w:fldChar w:fldCharType="separate"/>
      </w:r>
      <w:r w:rsidR="00192CD6" w:rsidRPr="00BD14B0">
        <w:rPr>
          <w:noProof/>
          <w:shd w:val="clear" w:color="auto" w:fill="FFFFFF"/>
        </w:rPr>
        <w:t>Aardema et al. (2010)</w:t>
      </w:r>
      <w:r w:rsidR="00192CD6" w:rsidRPr="00BD14B0">
        <w:rPr>
          <w:shd w:val="clear" w:color="auto" w:fill="FFFFFF"/>
        </w:rPr>
        <w:fldChar w:fldCharType="end"/>
      </w:r>
      <w:r w:rsidR="00192CD6" w:rsidRPr="00BD14B0">
        <w:rPr>
          <w:shd w:val="clear" w:color="auto" w:fill="FFFFFF"/>
        </w:rPr>
        <w:t xml:space="preserve"> </w:t>
      </w:r>
      <w:r w:rsidR="00192CD6" w:rsidRPr="00BD14B0">
        <w:t xml:space="preserve">administered a </w:t>
      </w:r>
      <w:r w:rsidR="00192CD6" w:rsidRPr="00BD14B0">
        <w:rPr>
          <w:rFonts w:eastAsia="Arial Unicode MS"/>
          <w:shd w:val="clear" w:color="auto" w:fill="FCFCFC"/>
        </w:rPr>
        <w:t>54-item version of ICQ by adding new items to expand its components. As a result of a frequency and principal component analysis, the 30-item ICQ-EV was taken from the 54-item ICQ. Therefore, this study used the 30-item ICQ-EV.</w:t>
      </w:r>
      <w:bookmarkStart w:id="83" w:name="_Hlk480561631"/>
    </w:p>
    <w:bookmarkEnd w:id="83"/>
    <w:p w14:paraId="7476BA51" w14:textId="54ADF101" w:rsidR="00192CD6" w:rsidRDefault="00192CD6" w:rsidP="00553E01">
      <w:r w:rsidRPr="00BD14B0">
        <w:lastRenderedPageBreak/>
        <w:tab/>
        <w:t xml:space="preserve">The ICQ-EV is a one-dimensional measure of inferential confusion used in both clinical and non-clinical populations. People with OCD score significantly higher than people with an anxiety disorder and non-clinical controls, thus the questionnaire appears to be a one-dimensional scale that lies in a continuum in the population. Higher scores indicate a tendency to have inferential confusion, which is the confusion between imagined possibilities and the actual probability of an event based on the senses. Therefore, people who score higher on this scale have a higher tendency to act as if the imagined possibility is real, where imagination overrides the senses. </w:t>
      </w:r>
      <w:r w:rsidRPr="00BD14B0">
        <w:rPr>
          <w:shd w:val="clear" w:color="auto" w:fill="FFFFFF"/>
        </w:rPr>
        <w:t>The ICQ-EV has been tested for internal consistency and retest reliability. It shows a good internal consistency (coefficient alpha = .97 for an OCD group and = .96 in a community group) and excellent 12-week test-retest reliability (</w:t>
      </w:r>
      <w:r w:rsidRPr="00BD14B0">
        <w:rPr>
          <w:i/>
          <w:iCs/>
          <w:bdr w:val="none" w:sz="0" w:space="0" w:color="auto" w:frame="1"/>
          <w:shd w:val="clear" w:color="auto" w:fill="FFFFFF"/>
        </w:rPr>
        <w:t>r</w:t>
      </w:r>
      <w:r w:rsidRPr="00BD14B0">
        <w:rPr>
          <w:shd w:val="clear" w:color="auto" w:fill="FFFFFF"/>
        </w:rPr>
        <w:t xml:space="preserve"> = .90). It has also been found to distinguish OCD patients from both students and non-OCD anxiety patients </w:t>
      </w:r>
      <w:r w:rsidRPr="00BD14B0">
        <w:rPr>
          <w:shd w:val="clear" w:color="auto" w:fill="FFFFFF"/>
        </w:rPr>
        <w:fldChar w:fldCharType="begin" w:fldLock="1"/>
      </w:r>
      <w:r w:rsidR="004D2901" w:rsidRPr="00BD14B0">
        <w:rPr>
          <w:shd w:val="clear" w:color="auto" w:fill="FFFFFF"/>
        </w:rPr>
        <w:instrText>ADDIN CSL_CITATION {"citationItems":[{"id":"ITEM-1","itemData":{"DOI":"10.1007/s10862-009-9157-x","ISBN":"0882-2689","ISSN":"08822689","abstract":"The current study represents the further development and validation of an expanded version of the Inferential Confusion Questionnaire (ICQ-EV) in non-clinical and clinical samples. Inferential confusion seems to be particularly relevant to Obsessive-Compulsive Disorder (OCD) and is defined as a failure to recognize the unrealistic nature of obsessions due to a subjective form of reasoning. Factor analysis of the item-set of the ICQ-EV indicated a one-dimensional solution in non-clinical and clinical samples. It was hypothesized that inferential confusion as measured by the ICQ-EV would be particu- larly relevant to participants with OCD. Results confirmed convergent validity with strong relationships between the ICQ-EV and obsessive-compulsive symptoms in all samples independent of other cognitive domains and general distress. In addition, those with OCD scored higher on the ICQ-EV than non-clinical controls and a mixed anxiety disorder group so confirming group-criterion validity. Finally, the ICQ-EV also showed clinical validity with change in ICQ-EV scores during treatment significantly related to successful treatment outcome.","author":[{"dropping-particle":"","family":"Aardema","given":"Frederick","non-dropping-particle":"","parse-names":false,"suffix":""},{"dropping-particle":"","family":"Wu","given":"Kevin D.","non-dropping-particle":"","parse-names":false,"suffix":""},{"dropping-particle":"","family":"Careau","given":"Yves","non-dropping-particle":"","parse-names":false,"suffix":""},{"dropping-particle":"","family":"O'Connor","given":"Kieron","non-dropping-particle":"","parse-names":false,"suffix":""},{"dropping-particle":"","family":"Julien","given":"Dominic","non-dropping-particle":"","parse-names":false,"suffix":""},{"dropping-particle":"","family":"Dennie","given":"Susan","non-dropping-particle":"","parse-names":false,"suffix":""}],"container-title":"Journal of Psychopathology and Behavioral Assessment","id":"ITEM-1","issue":"3","issued":{"date-parts":[["2010"]]},"page":"448-462","title":"The expanded version of the inferential confusion questionnaire: Further development and validation in clinical and non-clinical samples","type":"article-journal","volume":"32"},"uris":["http://www.mendeley.com/documents/?uuid=47cd3021-a931-4a52-add4-d3e09dd7d83d"]}],"mendeley":{"formattedCitation":"(Aardema et al., 2010)","plainTextFormattedCitation":"(Aardema et al., 2010)","previouslyFormattedCitation":"(Aardema et al., 2010)"},"properties":{"noteIndex":0},"schema":"https://github.com/citation-style-language/schema/raw/master/csl-citation.json"}</w:instrText>
      </w:r>
      <w:r w:rsidRPr="00BD14B0">
        <w:rPr>
          <w:shd w:val="clear" w:color="auto" w:fill="FFFFFF"/>
        </w:rPr>
        <w:fldChar w:fldCharType="separate"/>
      </w:r>
      <w:r w:rsidRPr="00BD14B0">
        <w:rPr>
          <w:noProof/>
          <w:shd w:val="clear" w:color="auto" w:fill="FFFFFF"/>
        </w:rPr>
        <w:t>(Aardema et al., 2010)</w:t>
      </w:r>
      <w:r w:rsidRPr="00BD14B0">
        <w:rPr>
          <w:shd w:val="clear" w:color="auto" w:fill="FFFFFF"/>
        </w:rPr>
        <w:fldChar w:fldCharType="end"/>
      </w:r>
      <w:r w:rsidRPr="00BD14B0">
        <w:rPr>
          <w:shd w:val="clear" w:color="auto" w:fill="FFFFFF"/>
        </w:rPr>
        <w:t xml:space="preserve">. </w:t>
      </w:r>
      <w:r w:rsidRPr="00BD14B0">
        <w:t xml:space="preserve">(For the full list of statements in the ICQ-EV, See </w:t>
      </w:r>
      <w:r w:rsidR="009F745C" w:rsidRPr="00BD14B0">
        <w:t>A</w:t>
      </w:r>
      <w:r w:rsidRPr="00BD14B0">
        <w:t>ppendix</w:t>
      </w:r>
      <w:r w:rsidR="009F745C" w:rsidRPr="00BD14B0">
        <w:t xml:space="preserve"> C</w:t>
      </w:r>
      <w:r w:rsidRPr="00BD14B0">
        <w:t>).</w:t>
      </w:r>
    </w:p>
    <w:p w14:paraId="3003967F" w14:textId="77777777" w:rsidR="00656710" w:rsidRPr="00BD14B0" w:rsidRDefault="00656710" w:rsidP="00553E01"/>
    <w:p w14:paraId="09D6BCFA" w14:textId="77777777" w:rsidR="00192CD6" w:rsidRPr="00BD14B0" w:rsidRDefault="00192CD6" w:rsidP="00353148">
      <w:pPr>
        <w:pStyle w:val="Heading4"/>
        <w:numPr>
          <w:ilvl w:val="0"/>
          <w:numId w:val="0"/>
        </w:numPr>
        <w:ind w:left="851"/>
      </w:pPr>
      <w:r w:rsidRPr="00BD14B0">
        <w:t>Faces and target objects</w:t>
      </w:r>
    </w:p>
    <w:p w14:paraId="0E1C6691" w14:textId="378E483F" w:rsidR="00192CD6" w:rsidRPr="00BD14B0" w:rsidRDefault="00AD78B4" w:rsidP="00553E01">
      <w:r w:rsidRPr="00BD14B0">
        <w:tab/>
      </w:r>
      <w:r w:rsidR="00192CD6" w:rsidRPr="00BD14B0">
        <w:t xml:space="preserve">The face and target stimuli set was obtained from the previous work of </w:t>
      </w:r>
      <w:r w:rsidR="00192CD6" w:rsidRPr="00BD14B0">
        <w:fldChar w:fldCharType="begin" w:fldLock="1"/>
      </w:r>
      <w:r w:rsidR="004D2901" w:rsidRPr="00BD14B0">
        <w:instrText>ADDIN CSL_CITATION {"citationItems":[{"id":"ITEM-1","itemData":{"DOI":"10.1037/xlm0000159","ISSN":"1939-1285","PMID":"26237618","abstract":"We assessed the extent to which previous experience of joint gaze with people (i.e., looking toward the same object) modulates later gaze cueing of attention elicited by those individuals. Participants in Experiments 1 and 2a/b first completed a saccade/antisaccade task while a to-be-ignored face either looked at, or away from, the participants&amp;#039; eye movement target. Two faces always engaged in joint gaze with the participant, whereas 2 other faces never engaged in joint gaze. Then, we assessed standard gaze cueing in response to these faces to ascertain the effect of these prior interactions on subsequent social attention episodes. In Experiment 1, the face&amp;#039;s eyes moved before the participant&amp;#039;s target appeared, meaning that the participant always gaze-followed 2 faces and never gaze-followed 2 other faces. We found that this prior experience modulated the timecourse of subsequent gaze cueing. In Experiments 2a/b, the participant looked at the target first, then was either followed (i.e., the participant initiated joint gaze), or was not followed. These participants then showed an overall decrement of gaze cueing with individuals who had previously followed participants&amp;#039; eyes (Experiment 2a), an effect that was associated with autism spectrum quotient scores and modulated perceived trustworthiness of the faces (Experiment 2b). Experiment 3 demonstrated that these modulations are unlikely to be because of the association of different levels of task difficulty with particular faces. These findings suggest that establishing joint gaze with others influences subsequent social attention processes that are generally thought to be relatively insensitive to learning from prior episodes.","author":[{"dropping-particle":"","family":"Dalmaso","given":"Mario","non-dropping-particle":"","parse-names":false,"suffix":""},{"dropping-particle":"","family":"Edwards","given":"S. Gareth","non-dropping-particle":"","parse-names":false,"suffix":""},{"dropping-particle":"","family":"Bayliss","given":"Andrew P.","non-dropping-particle":"","parse-names":false,"suffix":""}],"container-title":"Journal of Experimental Psychology: Learning, Memory, and Cognition","id":"ITEM-1","issue":"2","issued":{"date-parts":[["2016"]]},"page":"271-284","title":"Re-encountering individuals who previously engaged in joint gaze modulates subsequent gaze cueing.","type":"article-journal","volume":"42"},"uris":["http://www.mendeley.com/documents/?uuid=a7f36e5d-a347-40e8-9ba4-63ed8145ceab"]}],"mendeley":{"formattedCitation":"(Dalmaso et al., 2016)","manualFormatting":"Dalmaso et al. (2016)","plainTextFormattedCitation":"(Dalmaso et al., 2016)","previouslyFormattedCitation":"(Dalmaso et al., 2016)"},"properties":{"noteIndex":0},"schema":"https://github.com/citation-style-language/schema/raw/master/csl-citation.json"}</w:instrText>
      </w:r>
      <w:r w:rsidR="00192CD6" w:rsidRPr="00BD14B0">
        <w:fldChar w:fldCharType="separate"/>
      </w:r>
      <w:r w:rsidR="00192CD6" w:rsidRPr="00BD14B0">
        <w:rPr>
          <w:noProof/>
        </w:rPr>
        <w:t>Dalmaso et al. (2016)</w:t>
      </w:r>
      <w:r w:rsidR="00192CD6" w:rsidRPr="00BD14B0">
        <w:fldChar w:fldCharType="end"/>
      </w:r>
      <w:r w:rsidR="00192CD6" w:rsidRPr="00BD14B0">
        <w:t xml:space="preserve">. The stimuli set consisted of 12 faces created with Poser 9, Smith Micro Software. There were six male and six female faces. All faces had a neutral emotional expression. Each of the 12 faces had nine versions with different angles; either looking towards the right, left or central part of the screen. Furthermore, the faces could be located on the left, right, or </w:t>
      </w:r>
      <w:proofErr w:type="spellStart"/>
      <w:r w:rsidR="00192CD6" w:rsidRPr="00BD14B0">
        <w:t>center</w:t>
      </w:r>
      <w:proofErr w:type="spellEnd"/>
      <w:r w:rsidR="00192CD6" w:rsidRPr="00BD14B0">
        <w:t xml:space="preserve"> of the screen (in relation to other faces) (see Figure 1</w:t>
      </w:r>
      <w:r w:rsidR="00324F8E" w:rsidRPr="00BD14B0">
        <w:t>2</w:t>
      </w:r>
      <w:r w:rsidR="00192CD6" w:rsidRPr="00BD14B0">
        <w:t xml:space="preserve">). Twelve images were used during the learning phase of the experiment, four of which (two males and two female) were used later during the face rating and testing phase of the experiment. </w:t>
      </w:r>
    </w:p>
    <w:p w14:paraId="7B445880" w14:textId="724E7F6E" w:rsidR="00674202" w:rsidRPr="00BD14B0" w:rsidRDefault="00192CD6" w:rsidP="00553E01">
      <w:r w:rsidRPr="00BD14B0">
        <w:tab/>
        <w:t>For each participant, one male and one female face were chosen as the “</w:t>
      </w:r>
      <w:r w:rsidRPr="00BD14B0">
        <w:rPr>
          <w:i/>
          <w:iCs/>
        </w:rPr>
        <w:t>leader</w:t>
      </w:r>
      <w:r w:rsidRPr="00BD14B0">
        <w:t xml:space="preserve">” identity and one </w:t>
      </w:r>
      <w:proofErr w:type="gramStart"/>
      <w:r w:rsidRPr="00BD14B0">
        <w:t>male</w:t>
      </w:r>
      <w:proofErr w:type="gramEnd"/>
      <w:r w:rsidRPr="00BD14B0">
        <w:t xml:space="preserve"> and one female were chosen as the “</w:t>
      </w:r>
      <w:r w:rsidRPr="00BD14B0">
        <w:rPr>
          <w:i/>
          <w:iCs/>
        </w:rPr>
        <w:t>follower</w:t>
      </w:r>
      <w:r w:rsidRPr="00BD14B0">
        <w:t xml:space="preserve">” identity. The "group" was made up of the remaining eight faces. Participants saw three faces (of mixed gender) at each trial during the learning phase (Phase 1). In the leader condition, the leader’s face looked at one side of the screen first, and the remaining two faces followed the leader’s face. The leader face either looked at the target (congruent condition) or looked away from the target (incongruent condition). In the follower condition, the follower’s face turned its </w:t>
      </w:r>
      <w:r w:rsidRPr="00BD14B0">
        <w:lastRenderedPageBreak/>
        <w:t>gaze and head in the same direction after another identity. The leader or the follower identity remained the same but the other two faces (group members) changed throughout the trials. These leader and follower identities were used later used in phase 3 of the experiment by themselves without the rest of the group faces (see Figures 1</w:t>
      </w:r>
      <w:r w:rsidR="00F14B9B" w:rsidRPr="00BD14B0">
        <w:t>2</w:t>
      </w:r>
      <w:r w:rsidRPr="00BD14B0">
        <w:t xml:space="preserve"> and 1</w:t>
      </w:r>
      <w:r w:rsidR="00F14B9B" w:rsidRPr="00BD14B0">
        <w:t>3</w:t>
      </w:r>
      <w:r w:rsidRPr="00BD14B0">
        <w:t>).</w:t>
      </w:r>
    </w:p>
    <w:p w14:paraId="72C043A9" w14:textId="77777777" w:rsidR="0053392F" w:rsidRPr="00BD14B0" w:rsidRDefault="0053392F" w:rsidP="00553E01"/>
    <w:p w14:paraId="51AA41C1" w14:textId="6B12E19A" w:rsidR="00F14B9B" w:rsidRPr="00BD14B0" w:rsidRDefault="00EC76C1" w:rsidP="00EC76C1">
      <w:pPr>
        <w:pStyle w:val="Title"/>
        <w:rPr>
          <w:rFonts w:eastAsia="Calibri"/>
          <w:lang w:eastAsia="en-US"/>
        </w:rPr>
      </w:pPr>
      <w:bookmarkStart w:id="84" w:name="_Toc108322127"/>
      <w:r>
        <w:t xml:space="preserve">Figure </w:t>
      </w:r>
      <w:r w:rsidR="003B267D">
        <w:fldChar w:fldCharType="begin"/>
      </w:r>
      <w:r w:rsidR="003B267D">
        <w:instrText xml:space="preserve"> SEQ Figure \* ARABIC </w:instrText>
      </w:r>
      <w:r w:rsidR="003B267D">
        <w:fldChar w:fldCharType="separate"/>
      </w:r>
      <w:r w:rsidR="003B267D">
        <w:rPr>
          <w:noProof/>
        </w:rPr>
        <w:t>12</w:t>
      </w:r>
      <w:r w:rsidR="003B267D">
        <w:fldChar w:fldCharType="end"/>
      </w:r>
      <w:bookmarkEnd w:id="84"/>
    </w:p>
    <w:p w14:paraId="6214C985" w14:textId="5CAFEFD2" w:rsidR="00F14B9B" w:rsidRPr="00BD14B0" w:rsidRDefault="00F14B9B" w:rsidP="00553E01">
      <w:pPr>
        <w:rPr>
          <w:rFonts w:eastAsia="Calibri"/>
          <w:lang w:eastAsia="en-US"/>
        </w:rPr>
      </w:pPr>
      <w:bookmarkStart w:id="85" w:name="_Hlk509967375"/>
      <w:r w:rsidRPr="00BD14B0">
        <w:rPr>
          <w:rFonts w:eastAsia="Calibri"/>
          <w:i/>
          <w:iCs/>
          <w:lang w:eastAsia="en-US"/>
        </w:rPr>
        <w:t>Example of 9 versions of a face with all angles</w:t>
      </w:r>
      <w:bookmarkEnd w:id="85"/>
    </w:p>
    <w:p w14:paraId="3674AD82" w14:textId="77777777" w:rsidR="00192CD6" w:rsidRPr="00BD14B0" w:rsidRDefault="00192CD6" w:rsidP="00553E01">
      <w:r w:rsidRPr="00BD14B0">
        <w:rPr>
          <w:noProof/>
          <w:lang w:eastAsia="en-US"/>
        </w:rPr>
        <w:drawing>
          <wp:inline distT="0" distB="0" distL="0" distR="0" wp14:anchorId="11F40260" wp14:editId="590BDF09">
            <wp:extent cx="3508744" cy="4547476"/>
            <wp:effectExtent l="0" t="0" r="0" b="0"/>
            <wp:docPr id="30733" name="Picture 30733" descr="C:\Users\Psychology\Dropbox\Nazli PhD\writings2017\chapter4\chapter4.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ychology\Dropbox\Nazli PhD\writings2017\chapter4\chapter4.figure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43739" cy="4592831"/>
                    </a:xfrm>
                    <a:prstGeom prst="rect">
                      <a:avLst/>
                    </a:prstGeom>
                    <a:noFill/>
                    <a:ln>
                      <a:noFill/>
                    </a:ln>
                  </pic:spPr>
                </pic:pic>
              </a:graphicData>
            </a:graphic>
          </wp:inline>
        </w:drawing>
      </w:r>
    </w:p>
    <w:p w14:paraId="1EF1CEFB" w14:textId="77777777" w:rsidR="00AD78B4" w:rsidRPr="00BD14B0" w:rsidRDefault="00AD78B4" w:rsidP="00553E01">
      <w:r w:rsidRPr="00BD14B0">
        <w:tab/>
      </w:r>
    </w:p>
    <w:p w14:paraId="38BBAB21" w14:textId="3D9E22C4" w:rsidR="00192CD6" w:rsidRPr="00BD14B0" w:rsidRDefault="00AD78B4" w:rsidP="00553E01">
      <w:r w:rsidRPr="00BD14B0">
        <w:tab/>
      </w:r>
      <w:r w:rsidR="00192CD6" w:rsidRPr="00BD14B0">
        <w:t xml:space="preserve">During the testing phase, four faces were chosen for the gaze cueing task. In this task, the head remained still, while the eyes either moved to the right or left side of the screen. In order to achieve this, the four faces were modified using Photoshop cs6. Adobe </w:t>
      </w:r>
      <w:r w:rsidR="00192CD6" w:rsidRPr="00BD14B0">
        <w:lastRenderedPageBreak/>
        <w:t>Photoshop CS6 was used to cut the irises of each image then paste the irises to the corners of the eyes to produce left and right eye gazing.</w:t>
      </w:r>
    </w:p>
    <w:p w14:paraId="12A0D0E8" w14:textId="77777777" w:rsidR="00192CD6" w:rsidRPr="00BD14B0" w:rsidRDefault="00192CD6" w:rsidP="00553E01">
      <w:r w:rsidRPr="00BD14B0">
        <w:tab/>
        <w:t xml:space="preserve">There were three different objects used only during the learning phase of the experiment. These objects included a cube, a </w:t>
      </w:r>
      <w:proofErr w:type="gramStart"/>
      <w:r w:rsidRPr="00BD14B0">
        <w:t>cylinder</w:t>
      </w:r>
      <w:proofErr w:type="gramEnd"/>
      <w:r w:rsidRPr="00BD14B0">
        <w:t xml:space="preserve"> and a sphere. The position of the objects was randomized and counterbalanced across trials. They were always positioned at the bottom of the screen. An upright “T” served as a target and was positioned at the top of one of these objects.</w:t>
      </w:r>
    </w:p>
    <w:p w14:paraId="3E7B056F" w14:textId="77777777" w:rsidR="00192CD6" w:rsidRPr="00BD14B0" w:rsidRDefault="00192CD6" w:rsidP="00553E01">
      <w:pPr>
        <w:rPr>
          <w:rFonts w:eastAsia="Calibri"/>
        </w:rPr>
      </w:pPr>
    </w:p>
    <w:p w14:paraId="108C5329" w14:textId="220A1F5D" w:rsidR="00192CD6" w:rsidRPr="00BD14B0" w:rsidRDefault="00192CD6" w:rsidP="00553E01">
      <w:pPr>
        <w:pStyle w:val="Heading3"/>
        <w:rPr>
          <w:rFonts w:eastAsia="Calibri"/>
          <w:lang w:eastAsia="en-US"/>
        </w:rPr>
      </w:pPr>
      <w:bookmarkStart w:id="86" w:name="_Toc108310792"/>
      <w:r w:rsidRPr="00BD14B0">
        <w:rPr>
          <w:rFonts w:eastAsia="Calibri"/>
          <w:lang w:eastAsia="en-US"/>
        </w:rPr>
        <w:t>Design</w:t>
      </w:r>
      <w:bookmarkEnd w:id="86"/>
    </w:p>
    <w:p w14:paraId="725F0B95" w14:textId="76A890CB" w:rsidR="00192CD6" w:rsidRPr="00BD14B0" w:rsidRDefault="00AD78B4" w:rsidP="00553E01">
      <w:r w:rsidRPr="00BD14B0">
        <w:tab/>
      </w:r>
      <w:r w:rsidR="00192CD6" w:rsidRPr="00BD14B0">
        <w:t>Each participant completed the experiment in one sitting. At the start of the experiment, participants were informed about the study procedure and given time to ask questions. They were asked to sign a consent form after verbally agreeing to participate. They were then asked to complete phases one, two, and three of the experiment, which took 35-40 minutes in total. After that, they took a 5-minute break before moving on to the final phase of the experiment (phase four), where they completed two questionnaires.</w:t>
      </w:r>
    </w:p>
    <w:p w14:paraId="434C3C1B" w14:textId="77777777" w:rsidR="00192CD6" w:rsidRPr="00BD14B0" w:rsidRDefault="00192CD6" w:rsidP="00553E01">
      <w:r w:rsidRPr="00BD14B0">
        <w:tab/>
        <w:t>A within-participant design with within-participant factors of leadership (leader/follower) X gender of the gazer (male/female) X congruency (congruent/ incongruent) were used. Each participant completed the same task. In addition, they all saw one male and one female identity for the “follower” condition and one male and one female identity for the “leader” condition. The only difference between them was which face they saw. We wanted to eliminate the effect of physical features of the face and only measure our manipulation of leadership. As a result, the faces were counter-balanced throughout the experiment. For example, some participants saw Female1 as the “</w:t>
      </w:r>
      <w:r w:rsidRPr="00BD14B0">
        <w:rPr>
          <w:i/>
          <w:iCs/>
        </w:rPr>
        <w:t>leader</w:t>
      </w:r>
      <w:r w:rsidRPr="00BD14B0">
        <w:t>” identity, while others saw Female2 as the “</w:t>
      </w:r>
      <w:r w:rsidRPr="00BD14B0">
        <w:rPr>
          <w:i/>
          <w:iCs/>
        </w:rPr>
        <w:t>leader</w:t>
      </w:r>
      <w:r w:rsidRPr="00BD14B0">
        <w:t>” identity.</w:t>
      </w:r>
    </w:p>
    <w:p w14:paraId="5EAA9DB7" w14:textId="74B3B6CA" w:rsidR="00192CD6" w:rsidRPr="00BD14B0" w:rsidRDefault="00AD78B4" w:rsidP="00553E01">
      <w:r w:rsidRPr="00BD14B0">
        <w:rPr>
          <w:i/>
        </w:rPr>
        <w:tab/>
      </w:r>
      <w:r w:rsidR="00192CD6" w:rsidRPr="00BD14B0">
        <w:rPr>
          <w:i/>
        </w:rPr>
        <w:t xml:space="preserve">Task1: Learning Phase. </w:t>
      </w:r>
      <w:r w:rsidR="00192CD6" w:rsidRPr="00BD14B0">
        <w:t xml:space="preserve">At the start of the experiment, participants completed the learning phase. </w:t>
      </w:r>
      <w:proofErr w:type="spellStart"/>
      <w:r w:rsidR="00192CD6" w:rsidRPr="00BD14B0">
        <w:t>PscyhoPy</w:t>
      </w:r>
      <w:proofErr w:type="spellEnd"/>
      <w:r w:rsidR="00192CD6" w:rsidRPr="00BD14B0">
        <w:t xml:space="preserve"> collected reaction time and accuracy ratings for this part of the experiment. At the start of each trial, three faces were seen fixating on the central object at the bottom of the screen for 1500 </w:t>
      </w:r>
      <w:proofErr w:type="spellStart"/>
      <w:r w:rsidR="00192CD6" w:rsidRPr="00BD14B0">
        <w:t>ms</w:t>
      </w:r>
      <w:proofErr w:type="spellEnd"/>
      <w:r w:rsidR="00192CD6" w:rsidRPr="00BD14B0">
        <w:t xml:space="preserve">. There were two conditions in this phase. In the “Leader” condition, which was 50% of trials, the “leader” always moved first, turning </w:t>
      </w:r>
      <w:r w:rsidR="00192CD6" w:rsidRPr="00BD14B0">
        <w:lastRenderedPageBreak/>
        <w:t xml:space="preserve">his/her head towards the left or right direction for 300 </w:t>
      </w:r>
      <w:proofErr w:type="spellStart"/>
      <w:r w:rsidR="00192CD6" w:rsidRPr="00BD14B0">
        <w:t>ms</w:t>
      </w:r>
      <w:proofErr w:type="spellEnd"/>
      <w:r w:rsidR="00192CD6" w:rsidRPr="00BD14B0">
        <w:t xml:space="preserve">. This was followed by the two other identities, the “group” turning in the same direction. In the "Follower" condition, the "group" turned their heads first, either to the right or left, for 300 </w:t>
      </w:r>
      <w:proofErr w:type="spellStart"/>
      <w:r w:rsidR="00192CD6" w:rsidRPr="00BD14B0">
        <w:t>ms</w:t>
      </w:r>
      <w:proofErr w:type="spellEnd"/>
      <w:r w:rsidR="00192CD6" w:rsidRPr="00BD14B0">
        <w:t xml:space="preserve">, followed by the "Follower" identity turning towards in the same direction. The direction that they looked was either left or right and fully randomized. 50% of the trials looked left, while 50% of the trials looked right. Three objects (a cube, a sphere, and a cylinder) were positioned at the bottom of the screen and randomly varied in position across all the trials. All identities gazed in the same direction at the end of 300 </w:t>
      </w:r>
      <w:proofErr w:type="spellStart"/>
      <w:r w:rsidR="00192CD6" w:rsidRPr="00BD14B0">
        <w:t>ms</w:t>
      </w:r>
      <w:proofErr w:type="spellEnd"/>
      <w:r w:rsidR="00192CD6" w:rsidRPr="00BD14B0">
        <w:t xml:space="preserve">, then a target appeared. This target appeared on top of one of the objects, which was located on either the left or right side of the screen, but never on the object that appeared in the middle of the screen. The target was cued (eyes looked in the direction of the target) by the eye gaze 50% of the time and </w:t>
      </w:r>
      <w:proofErr w:type="spellStart"/>
      <w:r w:rsidR="00192CD6" w:rsidRPr="00BD14B0">
        <w:t>uncued</w:t>
      </w:r>
      <w:proofErr w:type="spellEnd"/>
      <w:r w:rsidR="00192CD6" w:rsidRPr="00BD14B0">
        <w:t xml:space="preserve"> (eyes looked away from the target) 50% of the time (also fully randomized). This screen remained for 1500 </w:t>
      </w:r>
      <w:proofErr w:type="spellStart"/>
      <w:r w:rsidR="00192CD6" w:rsidRPr="00BD14B0">
        <w:t>ms</w:t>
      </w:r>
      <w:proofErr w:type="spellEnd"/>
      <w:r w:rsidR="00192CD6" w:rsidRPr="00BD14B0">
        <w:t xml:space="preserve">, but the target disappeared after 500 </w:t>
      </w:r>
      <w:proofErr w:type="spellStart"/>
      <w:r w:rsidR="00192CD6" w:rsidRPr="00BD14B0">
        <w:t>ms</w:t>
      </w:r>
      <w:proofErr w:type="spellEnd"/>
      <w:r w:rsidR="00192CD6" w:rsidRPr="00BD14B0">
        <w:t xml:space="preserve"> (see Figure 14). The main identity (leader or follower) was placed at random on the left, right, or </w:t>
      </w:r>
      <w:proofErr w:type="spellStart"/>
      <w:r w:rsidR="00192CD6" w:rsidRPr="00BD14B0">
        <w:t>center</w:t>
      </w:r>
      <w:proofErr w:type="spellEnd"/>
      <w:r w:rsidR="00192CD6" w:rsidRPr="00BD14B0">
        <w:t xml:space="preserve"> of the screen.</w:t>
      </w:r>
      <w:r w:rsidR="00192CD6" w:rsidRPr="00BD14B0">
        <w:rPr>
          <w:i/>
        </w:rPr>
        <w:t xml:space="preserve"> </w:t>
      </w:r>
      <w:r w:rsidR="00192CD6" w:rsidRPr="00BD14B0">
        <w:t xml:space="preserve">Two male faces and two female faces were chosen to be either the “Leader” or the “Follower”. All participants had the same four faces, but the role they played (leader or follower) was randomized. However, the arrangement of the faces that the participants saw was pseudo-randomized. </w:t>
      </w:r>
    </w:p>
    <w:p w14:paraId="29B5E55B" w14:textId="487B895C" w:rsidR="000C624B" w:rsidRPr="00BD14B0" w:rsidRDefault="00AD78B4" w:rsidP="00553E01">
      <w:r w:rsidRPr="00BD14B0">
        <w:tab/>
      </w:r>
      <w:r w:rsidR="00192CD6" w:rsidRPr="00BD14B0">
        <w:t>Participants first saw an introduction screen explaining what to do in the study. They were asked to press “</w:t>
      </w:r>
      <w:r w:rsidR="00192CD6" w:rsidRPr="00BD14B0">
        <w:sym w:font="Wingdings" w:char="F0DF"/>
      </w:r>
      <w:r w:rsidR="00192CD6" w:rsidRPr="00BD14B0">
        <w:t>” or “</w:t>
      </w:r>
      <w:r w:rsidR="00192CD6" w:rsidRPr="00BD14B0">
        <w:sym w:font="Wingdings" w:char="F0E0"/>
      </w:r>
      <w:r w:rsidR="00192CD6" w:rsidRPr="00BD14B0">
        <w:t>” using the keyboard to indicate the direction of the target. They were asked to press the right or left arrow as quickly and as accurately as possible. They were informed that 30 practice trials would be completed first, in which the participants saw a leader or a follower identity, positioned on the left, right or at the centre of the screen with 5 repetitions (identity 2 X placement 3 X repeats 5). After which they saw another information screen letting them know that the experiment was starting and would contain 240 trials. These 240 trials, all of which were randomized, included congruent versus incongruent, leader versus follower, and male versus female gazer conditions. The practice trials were not recorded and completed only for participants to understand the task. The overall learning phase was approximately 25 min, including the practise trials.</w:t>
      </w:r>
    </w:p>
    <w:p w14:paraId="43524DAE" w14:textId="41F8ABB4" w:rsidR="000C624B" w:rsidRPr="00BD14B0" w:rsidRDefault="00EC76C1" w:rsidP="00EC76C1">
      <w:pPr>
        <w:pStyle w:val="Title"/>
      </w:pPr>
      <w:bookmarkStart w:id="87" w:name="_Toc108322128"/>
      <w:r>
        <w:lastRenderedPageBreak/>
        <w:t xml:space="preserve">Figure </w:t>
      </w:r>
      <w:r w:rsidR="003B267D">
        <w:fldChar w:fldCharType="begin"/>
      </w:r>
      <w:r w:rsidR="003B267D">
        <w:instrText xml:space="preserve"> SEQ Figure \* ARABIC </w:instrText>
      </w:r>
      <w:r w:rsidR="003B267D">
        <w:fldChar w:fldCharType="separate"/>
      </w:r>
      <w:r w:rsidR="003B267D">
        <w:rPr>
          <w:noProof/>
        </w:rPr>
        <w:t>13</w:t>
      </w:r>
      <w:r w:rsidR="003B267D">
        <w:fldChar w:fldCharType="end"/>
      </w:r>
      <w:bookmarkEnd w:id="87"/>
    </w:p>
    <w:p w14:paraId="10E4F80B" w14:textId="6614B03F" w:rsidR="00F14B9B" w:rsidRPr="00BD14B0" w:rsidRDefault="00F14B9B" w:rsidP="00553E01">
      <w:r w:rsidRPr="00BD14B0">
        <w:rPr>
          <w:rFonts w:eastAsia="Calibri"/>
          <w:i/>
          <w:iCs/>
          <w:lang w:eastAsia="en-US"/>
        </w:rPr>
        <w:t>Example of leader versus follower trials, congruent versus incongruent versions and head turns</w:t>
      </w:r>
      <w:r w:rsidRPr="00BD14B0">
        <w:rPr>
          <w:rFonts w:eastAsia="Calibri"/>
          <w:lang w:eastAsia="en-US"/>
        </w:rPr>
        <w:t xml:space="preserve">. </w:t>
      </w:r>
    </w:p>
    <w:p w14:paraId="7B248AC1" w14:textId="77777777" w:rsidR="00AD78B4" w:rsidRPr="00BD14B0" w:rsidRDefault="00AD78B4" w:rsidP="00553E01"/>
    <w:tbl>
      <w:tblPr>
        <w:tblStyle w:val="TableGrid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3"/>
        <w:gridCol w:w="7937"/>
      </w:tblGrid>
      <w:tr w:rsidR="00695B36" w:rsidRPr="00BD14B0" w14:paraId="4A83985F" w14:textId="77777777" w:rsidTr="004A06B6">
        <w:tc>
          <w:tcPr>
            <w:tcW w:w="1413" w:type="dxa"/>
          </w:tcPr>
          <w:p w14:paraId="50D30DE8" w14:textId="77777777" w:rsidR="00192CD6" w:rsidRPr="00BD14B0" w:rsidRDefault="00192CD6" w:rsidP="00553E01">
            <w:pPr>
              <w:rPr>
                <w:rFonts w:eastAsiaTheme="minorHAnsi"/>
                <w:lang w:eastAsia="en-US"/>
              </w:rPr>
            </w:pPr>
          </w:p>
        </w:tc>
        <w:tc>
          <w:tcPr>
            <w:tcW w:w="7937" w:type="dxa"/>
          </w:tcPr>
          <w:p w14:paraId="4BC95911" w14:textId="77777777" w:rsidR="00192CD6" w:rsidRPr="00BD14B0" w:rsidRDefault="00192CD6" w:rsidP="00553E01">
            <w:pPr>
              <w:rPr>
                <w:rFonts w:eastAsiaTheme="minorHAnsi"/>
                <w:lang w:eastAsia="en-US"/>
              </w:rPr>
            </w:pPr>
            <w:r w:rsidRPr="00BD14B0">
              <w:rPr>
                <w:rFonts w:eastAsiaTheme="minorHAnsi"/>
                <w:lang w:eastAsia="en-US"/>
              </w:rPr>
              <w:t>Leader Condition</w:t>
            </w:r>
          </w:p>
          <w:p w14:paraId="066ACE93" w14:textId="77777777" w:rsidR="00192CD6" w:rsidRPr="00BD14B0" w:rsidRDefault="00192CD6" w:rsidP="00553E01">
            <w:pPr>
              <w:rPr>
                <w:rFonts w:eastAsiaTheme="minorHAnsi"/>
                <w:lang w:eastAsia="en-US"/>
              </w:rPr>
            </w:pPr>
          </w:p>
        </w:tc>
      </w:tr>
      <w:tr w:rsidR="00695B36" w:rsidRPr="00BD14B0" w14:paraId="53312C45" w14:textId="77777777" w:rsidTr="004A06B6">
        <w:tc>
          <w:tcPr>
            <w:tcW w:w="1413" w:type="dxa"/>
          </w:tcPr>
          <w:p w14:paraId="35794C7A" w14:textId="77777777" w:rsidR="00192CD6" w:rsidRPr="00BD14B0" w:rsidRDefault="00192CD6" w:rsidP="00553E01">
            <w:pPr>
              <w:rPr>
                <w:rFonts w:eastAsiaTheme="minorHAnsi"/>
                <w:lang w:eastAsia="en-US"/>
              </w:rPr>
            </w:pPr>
            <w:r w:rsidRPr="00BD14B0">
              <w:rPr>
                <w:rFonts w:eastAsiaTheme="minorHAnsi"/>
                <w:lang w:eastAsia="en-US"/>
              </w:rPr>
              <w:t>Congruent trial</w:t>
            </w:r>
          </w:p>
        </w:tc>
        <w:tc>
          <w:tcPr>
            <w:tcW w:w="7937" w:type="dxa"/>
          </w:tcPr>
          <w:p w14:paraId="0977C79B" w14:textId="77777777" w:rsidR="00192CD6" w:rsidRPr="00BD14B0" w:rsidRDefault="00192CD6" w:rsidP="00553E01">
            <w:pPr>
              <w:rPr>
                <w:rFonts w:eastAsiaTheme="minorHAnsi"/>
                <w:lang w:eastAsia="en-US"/>
              </w:rPr>
            </w:pPr>
            <w:r w:rsidRPr="00BD14B0">
              <w:rPr>
                <w:rFonts w:eastAsiaTheme="minorHAnsi"/>
                <w:noProof/>
                <w:lang w:eastAsia="en-US"/>
              </w:rPr>
              <w:drawing>
                <wp:inline distT="0" distB="0" distL="0" distR="0" wp14:anchorId="37784505" wp14:editId="1BFCA81C">
                  <wp:extent cx="4928870" cy="2786378"/>
                  <wp:effectExtent l="12700" t="12700" r="11430" b="8255"/>
                  <wp:docPr id="16" name="Picture 1" descr="A picture containing website&#10;&#10;Description automatically generated">
                    <a:extLst xmlns:a="http://schemas.openxmlformats.org/drawingml/2006/main">
                      <a:ext uri="{FF2B5EF4-FFF2-40B4-BE49-F238E27FC236}">
                        <a16:creationId xmlns:a16="http://schemas.microsoft.com/office/drawing/2014/main" id="{5C5E9F89-39C0-9D41-B212-53073D93E0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icture containing website&#10;&#10;Description automatically generated">
                            <a:extLst>
                              <a:ext uri="{FF2B5EF4-FFF2-40B4-BE49-F238E27FC236}">
                                <a16:creationId xmlns:a16="http://schemas.microsoft.com/office/drawing/2014/main" id="{5C5E9F89-39C0-9D41-B212-53073D93E031}"/>
                              </a:ext>
                            </a:extLst>
                          </pic:cNvPr>
                          <pic:cNvPicPr>
                            <a:picLocks noChangeAspect="1"/>
                          </pic:cNvPicPr>
                        </pic:nvPicPr>
                        <pic:blipFill>
                          <a:blip r:embed="rId27"/>
                          <a:stretch>
                            <a:fillRect/>
                          </a:stretch>
                        </pic:blipFill>
                        <pic:spPr>
                          <a:xfrm>
                            <a:off x="0" y="0"/>
                            <a:ext cx="4953720" cy="2800426"/>
                          </a:xfrm>
                          <a:prstGeom prst="rect">
                            <a:avLst/>
                          </a:prstGeom>
                          <a:ln>
                            <a:solidFill>
                              <a:sysClr val="windowText" lastClr="000000"/>
                            </a:solidFill>
                          </a:ln>
                        </pic:spPr>
                      </pic:pic>
                    </a:graphicData>
                  </a:graphic>
                </wp:inline>
              </w:drawing>
            </w:r>
          </w:p>
        </w:tc>
      </w:tr>
      <w:tr w:rsidR="00695B36" w:rsidRPr="00BD14B0" w14:paraId="7D630DA9" w14:textId="77777777" w:rsidTr="004A06B6">
        <w:tc>
          <w:tcPr>
            <w:tcW w:w="1413" w:type="dxa"/>
          </w:tcPr>
          <w:p w14:paraId="207C3E4B" w14:textId="77777777" w:rsidR="00192CD6" w:rsidRPr="00BD14B0" w:rsidRDefault="00192CD6" w:rsidP="00553E01">
            <w:pPr>
              <w:rPr>
                <w:rFonts w:eastAsiaTheme="minorHAnsi"/>
                <w:lang w:eastAsia="en-US"/>
              </w:rPr>
            </w:pPr>
            <w:r w:rsidRPr="00BD14B0">
              <w:rPr>
                <w:rFonts w:eastAsiaTheme="minorHAnsi"/>
                <w:lang w:eastAsia="en-US"/>
              </w:rPr>
              <w:t>Incongruent trial</w:t>
            </w:r>
          </w:p>
        </w:tc>
        <w:tc>
          <w:tcPr>
            <w:tcW w:w="7937" w:type="dxa"/>
          </w:tcPr>
          <w:p w14:paraId="596E73F3" w14:textId="77777777" w:rsidR="00192CD6" w:rsidRPr="00BD14B0" w:rsidRDefault="00192CD6" w:rsidP="00553E01">
            <w:pPr>
              <w:rPr>
                <w:rFonts w:eastAsiaTheme="minorHAnsi"/>
                <w:lang w:eastAsia="en-US"/>
              </w:rPr>
            </w:pPr>
            <w:r w:rsidRPr="00BD14B0">
              <w:rPr>
                <w:rFonts w:eastAsiaTheme="minorHAnsi"/>
                <w:noProof/>
                <w:lang w:eastAsia="en-US"/>
              </w:rPr>
              <w:drawing>
                <wp:inline distT="0" distB="0" distL="0" distR="0" wp14:anchorId="46CA051A" wp14:editId="4F32827F">
                  <wp:extent cx="4928951" cy="2807335"/>
                  <wp:effectExtent l="12700" t="12700" r="11430" b="12065"/>
                  <wp:docPr id="17" name="Picture 17" descr="A picture containing timeline&#10;&#10;Description automatically generated">
                    <a:extLst xmlns:a="http://schemas.openxmlformats.org/drawingml/2006/main">
                      <a:ext uri="{FF2B5EF4-FFF2-40B4-BE49-F238E27FC236}">
                        <a16:creationId xmlns:a16="http://schemas.microsoft.com/office/drawing/2014/main" id="{25E6B1CA-D234-654C-86AA-A25F373569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icture containing timeline&#10;&#10;Description automatically generated">
                            <a:extLst>
                              <a:ext uri="{FF2B5EF4-FFF2-40B4-BE49-F238E27FC236}">
                                <a16:creationId xmlns:a16="http://schemas.microsoft.com/office/drawing/2014/main" id="{25E6B1CA-D234-654C-86AA-A25F373569AD}"/>
                              </a:ext>
                            </a:extLst>
                          </pic:cNvPr>
                          <pic:cNvPicPr>
                            <a:picLocks noChangeAspect="1"/>
                          </pic:cNvPicPr>
                        </pic:nvPicPr>
                        <pic:blipFill>
                          <a:blip r:embed="rId28"/>
                          <a:stretch>
                            <a:fillRect/>
                          </a:stretch>
                        </pic:blipFill>
                        <pic:spPr>
                          <a:xfrm>
                            <a:off x="0" y="0"/>
                            <a:ext cx="4945222" cy="2816602"/>
                          </a:xfrm>
                          <a:prstGeom prst="rect">
                            <a:avLst/>
                          </a:prstGeom>
                          <a:ln>
                            <a:solidFill>
                              <a:sysClr val="windowText" lastClr="000000"/>
                            </a:solidFill>
                          </a:ln>
                        </pic:spPr>
                      </pic:pic>
                    </a:graphicData>
                  </a:graphic>
                </wp:inline>
              </w:drawing>
            </w:r>
          </w:p>
        </w:tc>
      </w:tr>
      <w:tr w:rsidR="00695B36" w:rsidRPr="00BD14B0" w14:paraId="0F31B07A" w14:textId="77777777" w:rsidTr="004A06B6">
        <w:tc>
          <w:tcPr>
            <w:tcW w:w="1413" w:type="dxa"/>
          </w:tcPr>
          <w:p w14:paraId="5C100B2C" w14:textId="77777777" w:rsidR="00192CD6" w:rsidRPr="00BD14B0" w:rsidRDefault="00192CD6" w:rsidP="00553E01">
            <w:pPr>
              <w:rPr>
                <w:rFonts w:eastAsiaTheme="minorHAnsi"/>
                <w:lang w:eastAsia="en-US"/>
              </w:rPr>
            </w:pPr>
          </w:p>
        </w:tc>
        <w:tc>
          <w:tcPr>
            <w:tcW w:w="7937" w:type="dxa"/>
          </w:tcPr>
          <w:p w14:paraId="7835EA56" w14:textId="77777777" w:rsidR="00192CD6" w:rsidRPr="00BD14B0" w:rsidRDefault="00192CD6" w:rsidP="00553E01">
            <w:pPr>
              <w:rPr>
                <w:rFonts w:eastAsiaTheme="minorHAnsi"/>
                <w:lang w:eastAsia="en-US"/>
              </w:rPr>
            </w:pPr>
            <w:r w:rsidRPr="00BD14B0">
              <w:rPr>
                <w:rFonts w:eastAsiaTheme="minorHAnsi"/>
                <w:lang w:eastAsia="en-US"/>
              </w:rPr>
              <w:t>Follower Condition</w:t>
            </w:r>
          </w:p>
          <w:p w14:paraId="476BD75C" w14:textId="77777777" w:rsidR="00192CD6" w:rsidRPr="00BD14B0" w:rsidRDefault="00192CD6" w:rsidP="00553E01">
            <w:pPr>
              <w:rPr>
                <w:rFonts w:eastAsiaTheme="minorHAnsi"/>
                <w:lang w:eastAsia="en-US"/>
              </w:rPr>
            </w:pPr>
          </w:p>
        </w:tc>
      </w:tr>
      <w:tr w:rsidR="00695B36" w:rsidRPr="00BD14B0" w14:paraId="1529A59B" w14:textId="77777777" w:rsidTr="004A06B6">
        <w:tc>
          <w:tcPr>
            <w:tcW w:w="1413" w:type="dxa"/>
          </w:tcPr>
          <w:p w14:paraId="004BF9D0" w14:textId="77777777" w:rsidR="00192CD6" w:rsidRPr="00BD14B0" w:rsidRDefault="00192CD6" w:rsidP="00553E01">
            <w:pPr>
              <w:rPr>
                <w:rFonts w:eastAsiaTheme="minorHAnsi"/>
                <w:lang w:eastAsia="en-US"/>
              </w:rPr>
            </w:pPr>
            <w:r w:rsidRPr="00BD14B0">
              <w:rPr>
                <w:rFonts w:eastAsiaTheme="minorHAnsi"/>
                <w:lang w:eastAsia="en-US"/>
              </w:rPr>
              <w:t>Congruent trial</w:t>
            </w:r>
          </w:p>
        </w:tc>
        <w:tc>
          <w:tcPr>
            <w:tcW w:w="7937" w:type="dxa"/>
          </w:tcPr>
          <w:p w14:paraId="7DBB4A98" w14:textId="77777777" w:rsidR="00192CD6" w:rsidRPr="00BD14B0" w:rsidRDefault="00192CD6" w:rsidP="00553E01">
            <w:pPr>
              <w:rPr>
                <w:rFonts w:eastAsiaTheme="minorHAnsi"/>
                <w:lang w:eastAsia="en-US"/>
              </w:rPr>
            </w:pPr>
            <w:r w:rsidRPr="00BD14B0">
              <w:rPr>
                <w:rFonts w:eastAsiaTheme="minorHAnsi"/>
                <w:noProof/>
                <w:lang w:eastAsia="en-US"/>
              </w:rPr>
              <w:drawing>
                <wp:inline distT="0" distB="0" distL="0" distR="0" wp14:anchorId="5FC529FC" wp14:editId="29E89F4F">
                  <wp:extent cx="4899768" cy="2811145"/>
                  <wp:effectExtent l="12700" t="12700" r="15240" b="8255"/>
                  <wp:docPr id="18" name="Picture 1" descr="A picture containing graphical user interface&#10;&#10;Description automatically generated">
                    <a:extLst xmlns:a="http://schemas.openxmlformats.org/drawingml/2006/main">
                      <a:ext uri="{FF2B5EF4-FFF2-40B4-BE49-F238E27FC236}">
                        <a16:creationId xmlns:a16="http://schemas.microsoft.com/office/drawing/2014/main" id="{2D668048-9CA8-9749-9221-88ACE9401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icture containing graphical user interface&#10;&#10;Description automatically generated">
                            <a:extLst>
                              <a:ext uri="{FF2B5EF4-FFF2-40B4-BE49-F238E27FC236}">
                                <a16:creationId xmlns:a16="http://schemas.microsoft.com/office/drawing/2014/main" id="{2D668048-9CA8-9749-9221-88ACE9401885}"/>
                              </a:ext>
                            </a:extLst>
                          </pic:cNvPr>
                          <pic:cNvPicPr>
                            <a:picLocks noChangeAspect="1"/>
                          </pic:cNvPicPr>
                        </pic:nvPicPr>
                        <pic:blipFill>
                          <a:blip r:embed="rId29"/>
                          <a:stretch>
                            <a:fillRect/>
                          </a:stretch>
                        </pic:blipFill>
                        <pic:spPr>
                          <a:xfrm>
                            <a:off x="0" y="0"/>
                            <a:ext cx="4944090" cy="2836574"/>
                          </a:xfrm>
                          <a:prstGeom prst="rect">
                            <a:avLst/>
                          </a:prstGeom>
                          <a:ln>
                            <a:solidFill>
                              <a:sysClr val="windowText" lastClr="000000"/>
                            </a:solidFill>
                          </a:ln>
                        </pic:spPr>
                      </pic:pic>
                    </a:graphicData>
                  </a:graphic>
                </wp:inline>
              </w:drawing>
            </w:r>
          </w:p>
        </w:tc>
      </w:tr>
      <w:tr w:rsidR="00192CD6" w:rsidRPr="00BD14B0" w14:paraId="0CF95B87" w14:textId="77777777" w:rsidTr="004A06B6">
        <w:tc>
          <w:tcPr>
            <w:tcW w:w="1413" w:type="dxa"/>
          </w:tcPr>
          <w:p w14:paraId="79C2DAE3" w14:textId="77777777" w:rsidR="00192CD6" w:rsidRPr="00BD14B0" w:rsidRDefault="00192CD6" w:rsidP="00553E01">
            <w:pPr>
              <w:rPr>
                <w:rFonts w:eastAsiaTheme="minorHAnsi"/>
                <w:lang w:eastAsia="en-US"/>
              </w:rPr>
            </w:pPr>
            <w:r w:rsidRPr="00BD14B0">
              <w:rPr>
                <w:rFonts w:eastAsiaTheme="minorHAnsi"/>
                <w:lang w:eastAsia="en-US"/>
              </w:rPr>
              <w:t>Incongruent trial</w:t>
            </w:r>
          </w:p>
        </w:tc>
        <w:tc>
          <w:tcPr>
            <w:tcW w:w="7937" w:type="dxa"/>
          </w:tcPr>
          <w:p w14:paraId="43541D6B" w14:textId="77777777" w:rsidR="00192CD6" w:rsidRPr="00BD14B0" w:rsidRDefault="00192CD6" w:rsidP="00553E01">
            <w:pPr>
              <w:rPr>
                <w:rFonts w:eastAsiaTheme="minorHAnsi"/>
                <w:lang w:eastAsia="en-US"/>
              </w:rPr>
            </w:pPr>
            <w:r w:rsidRPr="00BD14B0">
              <w:rPr>
                <w:rFonts w:eastAsiaTheme="minorHAnsi"/>
                <w:noProof/>
                <w:lang w:eastAsia="en-US"/>
              </w:rPr>
              <w:drawing>
                <wp:inline distT="0" distB="0" distL="0" distR="0" wp14:anchorId="5C346FB7" wp14:editId="62AEAD66">
                  <wp:extent cx="4899660" cy="2838450"/>
                  <wp:effectExtent l="12700" t="12700" r="15240" b="19050"/>
                  <wp:docPr id="3" name="Picture 1" descr="A picture containing website&#10;&#10;Description automatically generated">
                    <a:extLst xmlns:a="http://schemas.openxmlformats.org/drawingml/2006/main">
                      <a:ext uri="{FF2B5EF4-FFF2-40B4-BE49-F238E27FC236}">
                        <a16:creationId xmlns:a16="http://schemas.microsoft.com/office/drawing/2014/main" id="{A8E90060-3835-0A4C-BAF4-07399B284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icture containing website&#10;&#10;Description automatically generated">
                            <a:extLst>
                              <a:ext uri="{FF2B5EF4-FFF2-40B4-BE49-F238E27FC236}">
                                <a16:creationId xmlns:a16="http://schemas.microsoft.com/office/drawing/2014/main" id="{A8E90060-3835-0A4C-BAF4-07399B284885}"/>
                              </a:ext>
                            </a:extLst>
                          </pic:cNvPr>
                          <pic:cNvPicPr>
                            <a:picLocks noChangeAspect="1"/>
                          </pic:cNvPicPr>
                        </pic:nvPicPr>
                        <pic:blipFill>
                          <a:blip r:embed="rId30"/>
                          <a:stretch>
                            <a:fillRect/>
                          </a:stretch>
                        </pic:blipFill>
                        <pic:spPr>
                          <a:xfrm>
                            <a:off x="0" y="0"/>
                            <a:ext cx="4953860" cy="2869849"/>
                          </a:xfrm>
                          <a:prstGeom prst="rect">
                            <a:avLst/>
                          </a:prstGeom>
                          <a:ln>
                            <a:solidFill>
                              <a:sysClr val="windowText" lastClr="000000"/>
                            </a:solidFill>
                          </a:ln>
                        </pic:spPr>
                      </pic:pic>
                    </a:graphicData>
                  </a:graphic>
                </wp:inline>
              </w:drawing>
            </w:r>
          </w:p>
        </w:tc>
      </w:tr>
    </w:tbl>
    <w:p w14:paraId="79D0DA5B" w14:textId="77777777" w:rsidR="00192CD6" w:rsidRPr="00BD14B0" w:rsidRDefault="00192CD6" w:rsidP="00553E01"/>
    <w:p w14:paraId="5C55C094" w14:textId="205EBACD" w:rsidR="00192CD6" w:rsidRPr="00BD14B0" w:rsidRDefault="00AD78B4" w:rsidP="00553E01">
      <w:r w:rsidRPr="00BD14B0">
        <w:rPr>
          <w:i/>
        </w:rPr>
        <w:tab/>
      </w:r>
      <w:r w:rsidR="00192CD6" w:rsidRPr="00BD14B0">
        <w:rPr>
          <w:i/>
        </w:rPr>
        <w:t xml:space="preserve">Task 2: Face Ratings. </w:t>
      </w:r>
      <w:r w:rsidR="00694610" w:rsidRPr="00BD14B0">
        <w:t>Next</w:t>
      </w:r>
      <w:r w:rsidR="00192CD6" w:rsidRPr="00BD14B0">
        <w:t xml:space="preserve">, participants rated each of the four faces that acted as a leader and a follower (1 male, 1 female each). </w:t>
      </w:r>
      <w:proofErr w:type="spellStart"/>
      <w:r w:rsidR="00192CD6" w:rsidRPr="00BD14B0">
        <w:t>PscyhoPy</w:t>
      </w:r>
      <w:proofErr w:type="spellEnd"/>
      <w:r w:rsidR="00192CD6" w:rsidRPr="00BD14B0">
        <w:t xml:space="preserve"> collected reaction time and rating scale responses for this part of the experiment. They were asked to rate each identity on a 1-</w:t>
      </w:r>
      <w:r w:rsidR="00192CD6" w:rsidRPr="00BD14B0">
        <w:lastRenderedPageBreak/>
        <w:t>7 scale based on how "Dominant," "Attractive," "Trustworthy," and "Likable" it was. The four chosen faces were presented in a fully randomized order. Participants were asked to do this by clicking the scale design on the screen using the mouse (see Figure 1</w:t>
      </w:r>
      <w:r w:rsidR="00324F8E" w:rsidRPr="00BD14B0">
        <w:t>4</w:t>
      </w:r>
      <w:r w:rsidR="00192CD6" w:rsidRPr="00BD14B0">
        <w:t>). Higher scores indicated a higher perception of ratings for “Dominant”, “</w:t>
      </w:r>
      <w:bookmarkStart w:id="88" w:name="OLE_LINK2"/>
      <w:r w:rsidR="00192CD6" w:rsidRPr="00BD14B0">
        <w:t>Attractive</w:t>
      </w:r>
      <w:bookmarkEnd w:id="88"/>
      <w:r w:rsidR="00192CD6" w:rsidRPr="00BD14B0">
        <w:t>”, “</w:t>
      </w:r>
      <w:bookmarkStart w:id="89" w:name="OLE_LINK3"/>
      <w:r w:rsidR="00192CD6" w:rsidRPr="00BD14B0">
        <w:t>Trustworthy</w:t>
      </w:r>
      <w:bookmarkEnd w:id="89"/>
      <w:r w:rsidR="00192CD6" w:rsidRPr="00BD14B0">
        <w:t>” or “</w:t>
      </w:r>
      <w:bookmarkStart w:id="90" w:name="OLE_LINK4"/>
      <w:r w:rsidR="00192CD6" w:rsidRPr="00BD14B0">
        <w:t>Likable</w:t>
      </w:r>
      <w:bookmarkEnd w:id="90"/>
      <w:r w:rsidR="00192CD6" w:rsidRPr="00BD14B0">
        <w:t xml:space="preserve">”, respectively. </w:t>
      </w:r>
    </w:p>
    <w:p w14:paraId="64E2EA3B" w14:textId="7040D2F7" w:rsidR="00F14B9B" w:rsidRPr="00BD14B0" w:rsidRDefault="00F14B9B" w:rsidP="00553E01"/>
    <w:p w14:paraId="4B1232D3" w14:textId="05008C9E" w:rsidR="00F14B9B" w:rsidRPr="00BD14B0" w:rsidRDefault="00EC76C1" w:rsidP="00EC76C1">
      <w:pPr>
        <w:pStyle w:val="Title"/>
        <w:rPr>
          <w:rFonts w:eastAsia="Calibri"/>
          <w:lang w:eastAsia="en-US"/>
        </w:rPr>
      </w:pPr>
      <w:bookmarkStart w:id="91" w:name="_Toc108322129"/>
      <w:r>
        <w:t xml:space="preserve">Figure </w:t>
      </w:r>
      <w:r w:rsidR="003B267D">
        <w:fldChar w:fldCharType="begin"/>
      </w:r>
      <w:r w:rsidR="003B267D">
        <w:instrText xml:space="preserve"> SEQ Figure \* ARABIC </w:instrText>
      </w:r>
      <w:r w:rsidR="003B267D">
        <w:fldChar w:fldCharType="separate"/>
      </w:r>
      <w:r w:rsidR="003B267D">
        <w:rPr>
          <w:noProof/>
        </w:rPr>
        <w:t>14</w:t>
      </w:r>
      <w:r w:rsidR="003B267D">
        <w:fldChar w:fldCharType="end"/>
      </w:r>
      <w:bookmarkEnd w:id="91"/>
    </w:p>
    <w:p w14:paraId="01EA3F67" w14:textId="6B0F4AAA" w:rsidR="00F14B9B" w:rsidRPr="00BD14B0" w:rsidRDefault="00F14B9B" w:rsidP="00553E01">
      <w:r w:rsidRPr="00BD14B0">
        <w:rPr>
          <w:rFonts w:eastAsia="Calibri"/>
          <w:i/>
          <w:iCs/>
          <w:lang w:eastAsia="en-US"/>
        </w:rPr>
        <w:t>Example of face rating trials with leader or follower faces</w:t>
      </w:r>
      <w:r w:rsidRPr="00BD14B0">
        <w:rPr>
          <w:rFonts w:eastAsia="Calibri"/>
          <w:lang w:eastAsia="en-US"/>
        </w:rPr>
        <w:t xml:space="preserve"> </w:t>
      </w:r>
    </w:p>
    <w:p w14:paraId="60C9E0C7" w14:textId="77777777" w:rsidR="00192CD6" w:rsidRPr="00BD14B0" w:rsidRDefault="00192CD6" w:rsidP="00553E01"/>
    <w:p w14:paraId="7AF97DC1" w14:textId="1F5DD78B" w:rsidR="00192CD6" w:rsidRPr="00BD14B0" w:rsidRDefault="00192CD6" w:rsidP="00553E01">
      <w:r w:rsidRPr="00BD14B0">
        <w:rPr>
          <w:noProof/>
          <w:lang w:eastAsia="en-US"/>
        </w:rPr>
        <w:drawing>
          <wp:inline distT="0" distB="0" distL="0" distR="0" wp14:anchorId="623F0DCD" wp14:editId="34E1F476">
            <wp:extent cx="6007261" cy="3024701"/>
            <wp:effectExtent l="0" t="0" r="0" b="0"/>
            <wp:docPr id="4" name="Picture 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imelin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16769" cy="3029488"/>
                    </a:xfrm>
                    <a:prstGeom prst="rect">
                      <a:avLst/>
                    </a:prstGeom>
                  </pic:spPr>
                </pic:pic>
              </a:graphicData>
            </a:graphic>
          </wp:inline>
        </w:drawing>
      </w:r>
    </w:p>
    <w:p w14:paraId="505A4D39" w14:textId="5297A39E" w:rsidR="00192CD6" w:rsidRPr="00BD14B0" w:rsidRDefault="00AD78B4" w:rsidP="00553E01">
      <w:pPr>
        <w:rPr>
          <w:i/>
        </w:rPr>
      </w:pPr>
      <w:r w:rsidRPr="00BD14B0">
        <w:rPr>
          <w:i/>
        </w:rPr>
        <w:tab/>
      </w:r>
      <w:r w:rsidR="00192CD6" w:rsidRPr="00BD14B0">
        <w:rPr>
          <w:i/>
        </w:rPr>
        <w:t xml:space="preserve">Task 3: Testing Phase. </w:t>
      </w:r>
      <w:r w:rsidR="00192CD6" w:rsidRPr="00BD14B0">
        <w:t>Third, participants saw one of the four faces that they rated in the Face Rating Phase (which also served as a “Leader” or “Follower” in the Testing Phase). First, they saw an information screen where they were asked to ignore the eye gaze and locate the target (appearing on the left or right side of the screen) by pressing “</w:t>
      </w:r>
      <w:r w:rsidR="00192CD6" w:rsidRPr="00BD14B0">
        <w:sym w:font="Wingdings" w:char="F0DF"/>
      </w:r>
      <w:r w:rsidR="00192CD6" w:rsidRPr="00BD14B0">
        <w:t>” or “</w:t>
      </w:r>
      <w:r w:rsidR="00192CD6" w:rsidRPr="00BD14B0">
        <w:sym w:font="Wingdings" w:char="F0E0"/>
      </w:r>
      <w:r w:rsidR="00192CD6" w:rsidRPr="00BD14B0">
        <w:t xml:space="preserve">”, as quick and as accurate as possible. </w:t>
      </w:r>
    </w:p>
    <w:p w14:paraId="33516424" w14:textId="1E7DE527" w:rsidR="00192CD6" w:rsidRPr="00BD14B0" w:rsidRDefault="00192CD6" w:rsidP="00553E01">
      <w:r w:rsidRPr="00BD14B0">
        <w:tab/>
        <w:t xml:space="preserve">First, participants saw a fixation cross for 900 </w:t>
      </w:r>
      <w:proofErr w:type="spellStart"/>
      <w:r w:rsidR="00A35ECD" w:rsidRPr="00BD14B0">
        <w:t>m</w:t>
      </w:r>
      <w:r w:rsidRPr="00BD14B0">
        <w:t>s</w:t>
      </w:r>
      <w:proofErr w:type="spellEnd"/>
      <w:r w:rsidRPr="00BD14B0">
        <w:t xml:space="preserve">. Then the direct gaze of one of the identities appeared on the screen for 600 </w:t>
      </w:r>
      <w:proofErr w:type="spellStart"/>
      <w:r w:rsidR="00A35ECD" w:rsidRPr="00BD14B0">
        <w:t>m</w:t>
      </w:r>
      <w:r w:rsidRPr="00BD14B0">
        <w:t>s</w:t>
      </w:r>
      <w:proofErr w:type="spellEnd"/>
      <w:r w:rsidRPr="00BD14B0">
        <w:t xml:space="preserve">. After this, the eyes of the face turned either to the right side or left side of the screen (head stayed still, and only eyes moved) for </w:t>
      </w:r>
      <w:r w:rsidRPr="00BD14B0">
        <w:lastRenderedPageBreak/>
        <w:t xml:space="preserve">300 </w:t>
      </w:r>
      <w:proofErr w:type="spellStart"/>
      <w:r w:rsidR="00A35ECD" w:rsidRPr="00BD14B0">
        <w:t>m</w:t>
      </w:r>
      <w:r w:rsidRPr="00BD14B0">
        <w:t>s</w:t>
      </w:r>
      <w:proofErr w:type="spellEnd"/>
      <w:r w:rsidRPr="00BD14B0">
        <w:t xml:space="preserve">. Lastly, the target (a black dot) appeared on the screen for 300 </w:t>
      </w:r>
      <w:proofErr w:type="spellStart"/>
      <w:r w:rsidR="00A35ECD" w:rsidRPr="00BD14B0">
        <w:t>m</w:t>
      </w:r>
      <w:r w:rsidRPr="00BD14B0">
        <w:t>s</w:t>
      </w:r>
      <w:proofErr w:type="spellEnd"/>
      <w:r w:rsidRPr="00BD14B0">
        <w:t xml:space="preserve">. </w:t>
      </w:r>
      <w:r w:rsidRPr="00BD14B0">
        <w:rPr>
          <w:rFonts w:eastAsia="Calibri"/>
        </w:rPr>
        <w:t>If the participant did not press any key for more than 1000 seconds, then experiment automatically continued.</w:t>
      </w:r>
    </w:p>
    <w:p w14:paraId="547B8A26" w14:textId="3354253D" w:rsidR="00192CD6" w:rsidRPr="00BD14B0" w:rsidRDefault="00192CD6" w:rsidP="00553E01">
      <w:r w:rsidRPr="00BD14B0">
        <w:tab/>
        <w:t>Participants first saw 30 practice trials. The practice trials were not recorded. After practice trials, participants saw 240 experiment trials. The testing phase lasted about 15 minutes.</w:t>
      </w:r>
    </w:p>
    <w:p w14:paraId="3E2573B8" w14:textId="77777777" w:rsidR="00F14B9B" w:rsidRPr="00BD14B0" w:rsidRDefault="00F14B9B" w:rsidP="00553E01"/>
    <w:p w14:paraId="3B63E63D" w14:textId="332F2B59" w:rsidR="00F14B9B" w:rsidRPr="00BD14B0" w:rsidRDefault="003914E8" w:rsidP="003914E8">
      <w:pPr>
        <w:pStyle w:val="Title"/>
        <w:rPr>
          <w:rFonts w:eastAsia="Calibri"/>
          <w:lang w:eastAsia="en-US"/>
        </w:rPr>
      </w:pPr>
      <w:bookmarkStart w:id="92" w:name="_Toc108322130"/>
      <w:r>
        <w:t xml:space="preserve">Figure </w:t>
      </w:r>
      <w:r w:rsidR="003B267D">
        <w:fldChar w:fldCharType="begin"/>
      </w:r>
      <w:r w:rsidR="003B267D">
        <w:instrText xml:space="preserve"> SEQ Figure \* ARABIC </w:instrText>
      </w:r>
      <w:r w:rsidR="003B267D">
        <w:fldChar w:fldCharType="separate"/>
      </w:r>
      <w:r w:rsidR="003B267D">
        <w:rPr>
          <w:noProof/>
        </w:rPr>
        <w:t>15</w:t>
      </w:r>
      <w:r w:rsidR="003B267D">
        <w:fldChar w:fldCharType="end"/>
      </w:r>
      <w:bookmarkEnd w:id="92"/>
    </w:p>
    <w:p w14:paraId="041882F0" w14:textId="24B9C4A5" w:rsidR="00F14B9B" w:rsidRPr="00BD14B0" w:rsidRDefault="00F14B9B" w:rsidP="00F14B9B">
      <w:r w:rsidRPr="00BD14B0">
        <w:rPr>
          <w:rFonts w:eastAsia="Calibri"/>
          <w:i/>
          <w:iCs/>
          <w:lang w:eastAsia="en-US"/>
        </w:rPr>
        <w:t>Gaze cueing task: An example of congruent and incongruent trials</w:t>
      </w:r>
    </w:p>
    <w:p w14:paraId="212F0A78" w14:textId="05B9AAA3" w:rsidR="00192CD6" w:rsidRPr="00BD14B0" w:rsidRDefault="00192CD6" w:rsidP="00553E01">
      <w:r w:rsidRPr="00BD14B0">
        <w:rPr>
          <w:noProof/>
          <w:lang w:eastAsia="en-US"/>
        </w:rPr>
        <w:drawing>
          <wp:inline distT="0" distB="0" distL="0" distR="0" wp14:anchorId="55D8408B" wp14:editId="6430EF88">
            <wp:extent cx="5742584" cy="2997795"/>
            <wp:effectExtent l="0" t="0" r="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ell phone&#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5154" cy="3009577"/>
                    </a:xfrm>
                    <a:prstGeom prst="rect">
                      <a:avLst/>
                    </a:prstGeom>
                    <a:noFill/>
                  </pic:spPr>
                </pic:pic>
              </a:graphicData>
            </a:graphic>
          </wp:inline>
        </w:drawing>
      </w:r>
    </w:p>
    <w:p w14:paraId="24B15F62" w14:textId="7D94016E" w:rsidR="00192CD6" w:rsidRPr="00BD14B0" w:rsidRDefault="00AD78B4" w:rsidP="00553E01">
      <w:r w:rsidRPr="00BD14B0">
        <w:rPr>
          <w:i/>
        </w:rPr>
        <w:tab/>
      </w:r>
      <w:r w:rsidR="00192CD6" w:rsidRPr="00BD14B0">
        <w:rPr>
          <w:i/>
        </w:rPr>
        <w:t xml:space="preserve">Task 4: Questionnaires. </w:t>
      </w:r>
      <w:r w:rsidR="00192CD6" w:rsidRPr="00BD14B0">
        <w:t xml:space="preserve">After completing the testing phase, participants took a </w:t>
      </w:r>
      <w:r w:rsidR="00575F06" w:rsidRPr="00BD14B0">
        <w:t>five-minute</w:t>
      </w:r>
      <w:r w:rsidR="00192CD6" w:rsidRPr="00BD14B0">
        <w:t xml:space="preserve"> break before completing the AQ and ICQ-EV questionnaires. This took approximately 15 minutes. All participants first completed the AQ afterwards the ICQ-EV. At the end of the study, participants were given a verbal debriefing as well as a written debriefing form. They were thanked for their time and given time to ask any questions about the nature of the study. This concluded the experiment, which took approximately 45-50 minutes in total.</w:t>
      </w:r>
    </w:p>
    <w:p w14:paraId="43A4F882" w14:textId="77777777" w:rsidR="00192CD6" w:rsidRPr="00BD14B0" w:rsidRDefault="00192CD6" w:rsidP="00553E01"/>
    <w:p w14:paraId="2ADE7F20" w14:textId="310566A3" w:rsidR="00192CD6" w:rsidRPr="00BD14B0" w:rsidRDefault="00192CD6" w:rsidP="00553E01">
      <w:pPr>
        <w:pStyle w:val="Heading3"/>
      </w:pPr>
      <w:bookmarkStart w:id="93" w:name="_Toc108310793"/>
      <w:r w:rsidRPr="00BD14B0">
        <w:rPr>
          <w:rFonts w:eastAsia="Calibri"/>
          <w:lang w:eastAsia="en-US"/>
        </w:rPr>
        <w:lastRenderedPageBreak/>
        <w:t>Procedure</w:t>
      </w:r>
      <w:bookmarkEnd w:id="93"/>
    </w:p>
    <w:p w14:paraId="34BFB7AE" w14:textId="705F84E2" w:rsidR="00192CD6" w:rsidRPr="00BD14B0" w:rsidRDefault="00AD78B4" w:rsidP="00553E01">
      <w:r w:rsidRPr="00BD14B0">
        <w:tab/>
      </w:r>
      <w:r w:rsidR="00192CD6" w:rsidRPr="00BD14B0">
        <w:t xml:space="preserve">Phase 1, Phase </w:t>
      </w:r>
      <w:proofErr w:type="gramStart"/>
      <w:r w:rsidR="00192CD6" w:rsidRPr="00BD14B0">
        <w:t>2</w:t>
      </w:r>
      <w:proofErr w:type="gramEnd"/>
      <w:r w:rsidR="00192CD6" w:rsidRPr="00BD14B0">
        <w:t xml:space="preserve"> and Phase 3 parts of the study were presented using </w:t>
      </w:r>
      <w:proofErr w:type="spellStart"/>
      <w:r w:rsidR="00192CD6" w:rsidRPr="00BD14B0">
        <w:t>Psychopy</w:t>
      </w:r>
      <w:proofErr w:type="spellEnd"/>
      <w:r w:rsidR="00192CD6" w:rsidRPr="00BD14B0">
        <w:t xml:space="preserve"> </w:t>
      </w:r>
      <w:r w:rsidR="004D2901" w:rsidRPr="00BD14B0">
        <w:t xml:space="preserve">(Peirce, 2007), </w:t>
      </w:r>
      <w:r w:rsidR="00192CD6" w:rsidRPr="00BD14B0">
        <w:t xml:space="preserve">and the reaction times, accuracy responses and answers to the ratings were recorded. Phase 4 included two questionnaires (AQ and ICQ-EV) and Likert type answers recorded using Qualtrics software. The study took approximately 45 minutes in total. All participants were first provided with verbal and written information about the nature of the </w:t>
      </w:r>
      <w:proofErr w:type="gramStart"/>
      <w:r w:rsidR="00575F06" w:rsidRPr="00BD14B0">
        <w:t>experiment</w:t>
      </w:r>
      <w:proofErr w:type="gramEnd"/>
      <w:r w:rsidR="00192CD6" w:rsidRPr="00BD14B0">
        <w:t xml:space="preserve"> and they were allowed to ask any questions before consenting to participate. After the participants were provided with introductory information, they were asked to sign the informed consent and the experimenter left the room. Phase 1, 2 and 3 started and finished in one sitting. At the end of the Phase 3, examiner re-entered the experiment room, opened Qualtrics software, informed participants that this would be the last part of the study and would take around 15 </w:t>
      </w:r>
      <w:r w:rsidR="00575F06" w:rsidRPr="00BD14B0">
        <w:t>minutes</w:t>
      </w:r>
      <w:r w:rsidR="00192CD6" w:rsidRPr="00BD14B0">
        <w:t xml:space="preserve"> to complete, and the left the room. </w:t>
      </w:r>
    </w:p>
    <w:p w14:paraId="3D9525CD" w14:textId="7891A6DF" w:rsidR="00192CD6" w:rsidRPr="00BD14B0" w:rsidRDefault="00AD78B4" w:rsidP="00553E01">
      <w:r w:rsidRPr="00BD14B0">
        <w:tab/>
      </w:r>
      <w:r w:rsidR="00192CD6" w:rsidRPr="00BD14B0">
        <w:t xml:space="preserve">First, the participants saw a general introduction screen for the whole experiment. Then, they saw an introduction screen for the practice trial. They were informed that this part of the experiment was so that could understand the task and that it would not be recorded. They then completed a practice trial which consisted of 5 repetitions of 3 positions and 2 genders (Gazer at right X Gazer at middle X Gazer at left, Male gazer X Female gazer). Next, they saw another introduction screen informing them that the experiment would be beginning. Participants saw three faces, three objects, and a black "T" as their target at the start of each trial. In the leader condition, which was 50% of the time, one of the three gazers’ (leader) head turned towards one of the three objects at the bottom of the screen. The other two gazers (group members) turned their heads towards the same object as the leader. In the follower condition, two of the faces turned their head towards to one of the three objects at the bottom of the screen and one of the gazers (follower) followed by turning his/her head. Then, the target (black “T”) appeared either for either left or right object. The three faces on the screen either looked at (congruent) or away (incongruent) to the target (black “T”) locating at the left or to the right object. The participants were asked to locate the target (which is a “T”) as quick and as accurate as possible by using the "right” or “left” arrows from the keyboard with their index and their middle fingers. The overall learning phase was approximately 25 minutes, including the </w:t>
      </w:r>
      <w:r w:rsidR="00192CD6" w:rsidRPr="00BD14B0">
        <w:lastRenderedPageBreak/>
        <w:t>practice trials. At the end of the learning phase, participants saw another screen informing them first part of the experiment was over. </w:t>
      </w:r>
    </w:p>
    <w:p w14:paraId="06BBB878" w14:textId="77777777" w:rsidR="001F28C7" w:rsidRPr="00BD14B0" w:rsidRDefault="001F28C7" w:rsidP="00553E01"/>
    <w:p w14:paraId="1DD7F082" w14:textId="15BFAFFE" w:rsidR="00192CD6" w:rsidRPr="00BD14B0" w:rsidRDefault="00192CD6" w:rsidP="00553E01">
      <w:pPr>
        <w:pStyle w:val="Heading3"/>
      </w:pPr>
      <w:bookmarkStart w:id="94" w:name="_Toc108310794"/>
      <w:r w:rsidRPr="00BD14B0">
        <w:t>Data pre-processing</w:t>
      </w:r>
      <w:bookmarkEnd w:id="94"/>
      <w:r w:rsidRPr="00BD14B0">
        <w:t xml:space="preserve"> </w:t>
      </w:r>
    </w:p>
    <w:p w14:paraId="00326633" w14:textId="2249CC37" w:rsidR="00192CD6" w:rsidRPr="00BD14B0" w:rsidRDefault="00AD78B4" w:rsidP="00553E01">
      <w:pPr>
        <w:rPr>
          <w:i/>
        </w:rPr>
      </w:pPr>
      <w:r w:rsidRPr="00BD14B0">
        <w:rPr>
          <w:i/>
        </w:rPr>
        <w:tab/>
      </w:r>
      <w:r w:rsidR="00192CD6" w:rsidRPr="00BD14B0">
        <w:rPr>
          <w:i/>
        </w:rPr>
        <w:t xml:space="preserve">Task1: Learning Phase. </w:t>
      </w:r>
      <w:r w:rsidR="00192CD6" w:rsidRPr="00BD14B0">
        <w:t>Reaction time and accuracy were recorded for each participant. Overall accuracy was calculated for each condition using excel sheets. For RT (reaction time) data, answers that were not accurate were excluded from the analysis. Average and SD (standard deviation) for each variable calculated and answers over or under 2SD were excluded from further analysis.</w:t>
      </w:r>
    </w:p>
    <w:p w14:paraId="28876422" w14:textId="042C0D16" w:rsidR="00192CD6" w:rsidRPr="00BD14B0" w:rsidRDefault="00AD78B4" w:rsidP="00553E01">
      <w:pPr>
        <w:rPr>
          <w:i/>
        </w:rPr>
      </w:pPr>
      <w:r w:rsidRPr="00BD14B0">
        <w:rPr>
          <w:i/>
        </w:rPr>
        <w:tab/>
      </w:r>
      <w:r w:rsidR="00192CD6" w:rsidRPr="00BD14B0">
        <w:rPr>
          <w:i/>
        </w:rPr>
        <w:t xml:space="preserve">Task 2: Face Ratings. </w:t>
      </w:r>
      <w:r w:rsidR="00192CD6" w:rsidRPr="00BD14B0">
        <w:t xml:space="preserve">Reaction time and face rating data were recorded, and RT data processed by removing answers that were under or over 2SD.  Averages were calculated for face rating data for each face and condition. </w:t>
      </w:r>
    </w:p>
    <w:p w14:paraId="6D192944" w14:textId="28FEB3D3" w:rsidR="00192CD6" w:rsidRPr="00BD14B0" w:rsidRDefault="00AD78B4" w:rsidP="00553E01">
      <w:r w:rsidRPr="00BD14B0">
        <w:rPr>
          <w:i/>
        </w:rPr>
        <w:tab/>
      </w:r>
      <w:r w:rsidR="00192CD6" w:rsidRPr="00BD14B0">
        <w:rPr>
          <w:i/>
        </w:rPr>
        <w:t xml:space="preserve">Task 3: Testing Phase. </w:t>
      </w:r>
      <w:r w:rsidR="00192CD6" w:rsidRPr="00BD14B0">
        <w:t>Like the learning phase, accuracy and RT were recorded and calculated. For RT (reaction time) data, answers that were not accurate were excluded from the analysis. Reaction times over and below 2SD were excluded and average RT for each condition recorded with excel sheets.</w:t>
      </w:r>
    </w:p>
    <w:p w14:paraId="795117C7" w14:textId="65E23F9D" w:rsidR="00192CD6" w:rsidRPr="00BD14B0" w:rsidRDefault="00AD78B4" w:rsidP="00553E01">
      <w:r w:rsidRPr="00BD14B0">
        <w:rPr>
          <w:i/>
        </w:rPr>
        <w:tab/>
      </w:r>
      <w:r w:rsidR="00192CD6" w:rsidRPr="00BD14B0">
        <w:rPr>
          <w:i/>
        </w:rPr>
        <w:t xml:space="preserve">Task 4: Questionnaires. </w:t>
      </w:r>
      <w:r w:rsidR="00192CD6" w:rsidRPr="00BD14B0">
        <w:t xml:space="preserve">In the last task, Qualtrics used to record the data and the data directly transferred to SPSS. First, total AQ scores were calculated according to Baron-Cohen et al. (2001), </w:t>
      </w:r>
      <w:r w:rsidR="00575F06" w:rsidRPr="00BD14B0">
        <w:t>followed</w:t>
      </w:r>
      <w:r w:rsidR="00192CD6" w:rsidRPr="00BD14B0">
        <w:t xml:space="preserve"> by scores for AQ subcategories. Second, the overall score for ICQ-EV was calculated by summing scores for each answer (</w:t>
      </w:r>
      <w:proofErr w:type="spellStart"/>
      <w:r w:rsidR="00192CD6" w:rsidRPr="00BD14B0">
        <w:t>Aardema</w:t>
      </w:r>
      <w:proofErr w:type="spellEnd"/>
      <w:r w:rsidR="00192CD6" w:rsidRPr="00BD14B0">
        <w:t xml:space="preserve"> et al., 2010).</w:t>
      </w:r>
    </w:p>
    <w:p w14:paraId="370A13B9" w14:textId="77777777" w:rsidR="00192CD6" w:rsidRPr="00BD14B0" w:rsidRDefault="00192CD6" w:rsidP="00553E01"/>
    <w:p w14:paraId="18A35F60" w14:textId="1CFCDD77" w:rsidR="00192CD6" w:rsidRPr="00BD14B0" w:rsidRDefault="00192CD6" w:rsidP="00553E01">
      <w:pPr>
        <w:pStyle w:val="Heading3"/>
      </w:pPr>
      <w:bookmarkStart w:id="95" w:name="_Toc108310795"/>
      <w:r w:rsidRPr="00BD14B0">
        <w:t>Data exclusion</w:t>
      </w:r>
      <w:bookmarkEnd w:id="95"/>
    </w:p>
    <w:p w14:paraId="4E8E9E12" w14:textId="6AA08605" w:rsidR="00192CD6" w:rsidRPr="00BD14B0" w:rsidRDefault="00192CD6" w:rsidP="00553E01">
      <w:r w:rsidRPr="00BD14B0">
        <w:tab/>
        <w:t xml:space="preserve">A total of 44 participants completed the experiment. For each participant, responses representing errors (an inaccurate response) and outliers were removed from RT data. In Phase 1 (learning phase) RT and accuracy were measured. First, a boxplot analysis explored reaction time data for all conditions. From visual inspection of the boxplot data, one extreme outlier was identified. Then, the mean and standard deviations of correct RT </w:t>
      </w:r>
      <w:r w:rsidRPr="00BD14B0">
        <w:lastRenderedPageBreak/>
        <w:t>were calculated for all participants (see Table 7). From these calculations, one participant (number 5) was removed due to being an extreme outlier (a mean that was greater than 2 standard deviations from the overall mean). In phase1, no outliers were identified based on visual and statistical inspection of the data. Furthermore, in phase 2 (face rating) no outliers were identified for face rating or reaction time data.</w:t>
      </w:r>
    </w:p>
    <w:p w14:paraId="2B425106" w14:textId="77777777" w:rsidR="001F28C7" w:rsidRPr="00BD14B0" w:rsidRDefault="001F28C7" w:rsidP="00553E01"/>
    <w:p w14:paraId="1A7C75A7" w14:textId="28FA0559" w:rsidR="00192CD6" w:rsidRPr="00BD14B0" w:rsidRDefault="008303ED" w:rsidP="008303ED">
      <w:pPr>
        <w:pStyle w:val="Title"/>
      </w:pPr>
      <w:bookmarkStart w:id="96" w:name="_Toc108321855"/>
      <w:bookmarkStart w:id="97" w:name="_Hlk509569189"/>
      <w:r>
        <w:t xml:space="preserve">Table </w:t>
      </w:r>
      <w:bookmarkEnd w:id="96"/>
      <w:r w:rsidR="00656710">
        <w:t>7</w:t>
      </w:r>
    </w:p>
    <w:p w14:paraId="33BA4722" w14:textId="5136A405" w:rsidR="00192CD6" w:rsidRPr="00BD14B0" w:rsidRDefault="00192CD6" w:rsidP="00553E01">
      <w:pPr>
        <w:rPr>
          <w:u w:val="single"/>
        </w:rPr>
      </w:pPr>
      <w:r w:rsidRPr="00BD14B0">
        <w:rPr>
          <w:i/>
          <w:iCs/>
        </w:rPr>
        <w:t>Mean and standard deviation reaction times (RT) data for each condition in Phase 1</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254"/>
        <w:gridCol w:w="2254"/>
      </w:tblGrid>
      <w:tr w:rsidR="00695B36" w:rsidRPr="00BD14B0" w14:paraId="5CD115F1" w14:textId="77777777" w:rsidTr="004A06B6">
        <w:trPr>
          <w:cnfStyle w:val="100000000000" w:firstRow="1" w:lastRow="0" w:firstColumn="0" w:lastColumn="0" w:oddVBand="0" w:evenVBand="0" w:oddHBand="0" w:evenHBand="0" w:firstRowFirstColumn="0" w:firstRowLastColumn="0" w:lastRowFirstColumn="0" w:lastRowLastColumn="0"/>
        </w:trPr>
        <w:tc>
          <w:tcPr>
            <w:tcW w:w="2254" w:type="dxa"/>
            <w:tcBorders>
              <w:top w:val="single" w:sz="4" w:space="0" w:color="auto"/>
              <w:bottom w:val="single" w:sz="4" w:space="0" w:color="auto"/>
            </w:tcBorders>
          </w:tcPr>
          <w:bookmarkEnd w:id="97"/>
          <w:p w14:paraId="0C47B76D" w14:textId="77777777" w:rsidR="00192CD6" w:rsidRPr="00BD14B0" w:rsidRDefault="00192CD6" w:rsidP="00553E01">
            <w:r w:rsidRPr="00BD14B0">
              <w:t>Condition</w:t>
            </w:r>
          </w:p>
        </w:tc>
        <w:tc>
          <w:tcPr>
            <w:tcW w:w="2254" w:type="dxa"/>
            <w:tcBorders>
              <w:top w:val="single" w:sz="4" w:space="0" w:color="auto"/>
              <w:bottom w:val="single" w:sz="4" w:space="0" w:color="auto"/>
            </w:tcBorders>
          </w:tcPr>
          <w:p w14:paraId="36547C6E" w14:textId="77777777" w:rsidR="00192CD6" w:rsidRPr="00BD14B0" w:rsidRDefault="00192CD6" w:rsidP="00553E01">
            <w:r w:rsidRPr="00BD14B0">
              <w:t>Mean</w:t>
            </w:r>
          </w:p>
        </w:tc>
        <w:tc>
          <w:tcPr>
            <w:tcW w:w="2254" w:type="dxa"/>
            <w:tcBorders>
              <w:top w:val="single" w:sz="4" w:space="0" w:color="auto"/>
              <w:bottom w:val="single" w:sz="4" w:space="0" w:color="auto"/>
            </w:tcBorders>
          </w:tcPr>
          <w:p w14:paraId="62366BC3" w14:textId="77777777" w:rsidR="00192CD6" w:rsidRPr="00BD14B0" w:rsidRDefault="00192CD6" w:rsidP="00553E01">
            <w:r w:rsidRPr="00BD14B0">
              <w:t>Standard Deviation</w:t>
            </w:r>
          </w:p>
        </w:tc>
      </w:tr>
      <w:tr w:rsidR="00695B36" w:rsidRPr="00BD14B0" w14:paraId="5CFDCE58" w14:textId="77777777" w:rsidTr="004A06B6">
        <w:tc>
          <w:tcPr>
            <w:tcW w:w="2254" w:type="dxa"/>
            <w:tcBorders>
              <w:top w:val="single" w:sz="4" w:space="0" w:color="auto"/>
            </w:tcBorders>
          </w:tcPr>
          <w:p w14:paraId="5C43B34A" w14:textId="11528AC7" w:rsidR="00192CD6" w:rsidRPr="00BD14B0" w:rsidRDefault="00192CD6" w:rsidP="0014652C">
            <w:pPr>
              <w:jc w:val="left"/>
            </w:pPr>
            <w:proofErr w:type="spellStart"/>
            <w:r w:rsidRPr="00BD14B0">
              <w:t>MaleLeaderCon</w:t>
            </w:r>
            <w:proofErr w:type="spellEnd"/>
          </w:p>
        </w:tc>
        <w:tc>
          <w:tcPr>
            <w:tcW w:w="2254" w:type="dxa"/>
            <w:tcBorders>
              <w:top w:val="single" w:sz="4" w:space="0" w:color="auto"/>
            </w:tcBorders>
          </w:tcPr>
          <w:p w14:paraId="2C41F793" w14:textId="77777777" w:rsidR="00192CD6" w:rsidRPr="00BD14B0" w:rsidRDefault="00192CD6" w:rsidP="00553E01">
            <w:r w:rsidRPr="00BD14B0">
              <w:t>0.41</w:t>
            </w:r>
          </w:p>
        </w:tc>
        <w:tc>
          <w:tcPr>
            <w:tcW w:w="2254" w:type="dxa"/>
            <w:tcBorders>
              <w:top w:val="single" w:sz="4" w:space="0" w:color="auto"/>
            </w:tcBorders>
          </w:tcPr>
          <w:p w14:paraId="79C38622" w14:textId="77777777" w:rsidR="00192CD6" w:rsidRPr="00BD14B0" w:rsidRDefault="00192CD6" w:rsidP="00553E01">
            <w:r w:rsidRPr="00BD14B0">
              <w:t>0.10</w:t>
            </w:r>
          </w:p>
        </w:tc>
      </w:tr>
      <w:tr w:rsidR="00695B36" w:rsidRPr="00BD14B0" w14:paraId="43CA5948" w14:textId="77777777" w:rsidTr="004A06B6">
        <w:tc>
          <w:tcPr>
            <w:tcW w:w="2254" w:type="dxa"/>
          </w:tcPr>
          <w:p w14:paraId="0FE1F9E3" w14:textId="48F12367" w:rsidR="00192CD6" w:rsidRPr="00BD14B0" w:rsidRDefault="00192CD6" w:rsidP="0014652C">
            <w:pPr>
              <w:jc w:val="left"/>
            </w:pPr>
            <w:proofErr w:type="spellStart"/>
            <w:r w:rsidRPr="00BD14B0">
              <w:t>MaleLeaderIncon</w:t>
            </w:r>
            <w:proofErr w:type="spellEnd"/>
          </w:p>
        </w:tc>
        <w:tc>
          <w:tcPr>
            <w:tcW w:w="2254" w:type="dxa"/>
          </w:tcPr>
          <w:p w14:paraId="6B3C2CDD" w14:textId="77777777" w:rsidR="00192CD6" w:rsidRPr="00BD14B0" w:rsidRDefault="00192CD6" w:rsidP="00553E01">
            <w:r w:rsidRPr="00BD14B0">
              <w:t>0.46</w:t>
            </w:r>
          </w:p>
        </w:tc>
        <w:tc>
          <w:tcPr>
            <w:tcW w:w="2254" w:type="dxa"/>
          </w:tcPr>
          <w:p w14:paraId="7E920B59" w14:textId="77777777" w:rsidR="00192CD6" w:rsidRPr="00BD14B0" w:rsidRDefault="00192CD6" w:rsidP="00553E01">
            <w:r w:rsidRPr="00BD14B0">
              <w:t>0.14</w:t>
            </w:r>
          </w:p>
        </w:tc>
      </w:tr>
      <w:tr w:rsidR="00695B36" w:rsidRPr="00BD14B0" w14:paraId="7D44A345" w14:textId="77777777" w:rsidTr="004A06B6">
        <w:tc>
          <w:tcPr>
            <w:tcW w:w="2254" w:type="dxa"/>
          </w:tcPr>
          <w:p w14:paraId="44CFF40D" w14:textId="3417F736" w:rsidR="00192CD6" w:rsidRPr="00BD14B0" w:rsidRDefault="00192CD6" w:rsidP="0014652C">
            <w:pPr>
              <w:jc w:val="left"/>
            </w:pPr>
            <w:proofErr w:type="spellStart"/>
            <w:r w:rsidRPr="00BD14B0">
              <w:t>MaleFollowerCon</w:t>
            </w:r>
            <w:proofErr w:type="spellEnd"/>
          </w:p>
        </w:tc>
        <w:tc>
          <w:tcPr>
            <w:tcW w:w="2254" w:type="dxa"/>
          </w:tcPr>
          <w:p w14:paraId="78D268D7" w14:textId="77777777" w:rsidR="00192CD6" w:rsidRPr="00BD14B0" w:rsidRDefault="00192CD6" w:rsidP="00553E01">
            <w:r w:rsidRPr="00BD14B0">
              <w:t>0.40</w:t>
            </w:r>
          </w:p>
        </w:tc>
        <w:tc>
          <w:tcPr>
            <w:tcW w:w="2254" w:type="dxa"/>
          </w:tcPr>
          <w:p w14:paraId="3B0D034E" w14:textId="77777777" w:rsidR="00192CD6" w:rsidRPr="00BD14B0" w:rsidRDefault="00192CD6" w:rsidP="00553E01">
            <w:r w:rsidRPr="00BD14B0">
              <w:t>0.10</w:t>
            </w:r>
          </w:p>
        </w:tc>
      </w:tr>
      <w:tr w:rsidR="00695B36" w:rsidRPr="00BD14B0" w14:paraId="0C79618E" w14:textId="77777777" w:rsidTr="004A06B6">
        <w:tc>
          <w:tcPr>
            <w:tcW w:w="2254" w:type="dxa"/>
          </w:tcPr>
          <w:p w14:paraId="4D388966" w14:textId="1673983A" w:rsidR="00192CD6" w:rsidRPr="00BD14B0" w:rsidRDefault="00192CD6" w:rsidP="0014652C">
            <w:pPr>
              <w:jc w:val="left"/>
            </w:pPr>
            <w:proofErr w:type="spellStart"/>
            <w:r w:rsidRPr="00BD14B0">
              <w:t>MaleFollowerIncon</w:t>
            </w:r>
            <w:proofErr w:type="spellEnd"/>
          </w:p>
        </w:tc>
        <w:tc>
          <w:tcPr>
            <w:tcW w:w="2254" w:type="dxa"/>
          </w:tcPr>
          <w:p w14:paraId="0CFBE74C" w14:textId="77777777" w:rsidR="00192CD6" w:rsidRPr="00BD14B0" w:rsidRDefault="00192CD6" w:rsidP="00553E01">
            <w:r w:rsidRPr="00BD14B0">
              <w:t>0.45</w:t>
            </w:r>
          </w:p>
        </w:tc>
        <w:tc>
          <w:tcPr>
            <w:tcW w:w="2254" w:type="dxa"/>
          </w:tcPr>
          <w:p w14:paraId="36E50EE6" w14:textId="77777777" w:rsidR="00192CD6" w:rsidRPr="00BD14B0" w:rsidRDefault="00192CD6" w:rsidP="00553E01">
            <w:r w:rsidRPr="00BD14B0">
              <w:t>0.19</w:t>
            </w:r>
          </w:p>
        </w:tc>
      </w:tr>
      <w:tr w:rsidR="00695B36" w:rsidRPr="00BD14B0" w14:paraId="3A29BC60" w14:textId="77777777" w:rsidTr="004A06B6">
        <w:tc>
          <w:tcPr>
            <w:tcW w:w="2254" w:type="dxa"/>
          </w:tcPr>
          <w:p w14:paraId="27A02974" w14:textId="0300A743" w:rsidR="00192CD6" w:rsidRPr="00BD14B0" w:rsidRDefault="00192CD6" w:rsidP="0014652C">
            <w:pPr>
              <w:jc w:val="left"/>
            </w:pPr>
            <w:proofErr w:type="spellStart"/>
            <w:r w:rsidRPr="00BD14B0">
              <w:t>FemaleLeaderCon</w:t>
            </w:r>
            <w:proofErr w:type="spellEnd"/>
          </w:p>
        </w:tc>
        <w:tc>
          <w:tcPr>
            <w:tcW w:w="2254" w:type="dxa"/>
          </w:tcPr>
          <w:p w14:paraId="466308B4" w14:textId="77777777" w:rsidR="00192CD6" w:rsidRPr="00BD14B0" w:rsidRDefault="00192CD6" w:rsidP="00553E01">
            <w:r w:rsidRPr="00BD14B0">
              <w:t>0.41</w:t>
            </w:r>
          </w:p>
        </w:tc>
        <w:tc>
          <w:tcPr>
            <w:tcW w:w="2254" w:type="dxa"/>
          </w:tcPr>
          <w:p w14:paraId="6051B8C1" w14:textId="77777777" w:rsidR="00192CD6" w:rsidRPr="00BD14B0" w:rsidRDefault="00192CD6" w:rsidP="00553E01">
            <w:r w:rsidRPr="00BD14B0">
              <w:t>0.11</w:t>
            </w:r>
          </w:p>
        </w:tc>
      </w:tr>
      <w:tr w:rsidR="00695B36" w:rsidRPr="00BD14B0" w14:paraId="7673DE95" w14:textId="77777777" w:rsidTr="004A06B6">
        <w:tc>
          <w:tcPr>
            <w:tcW w:w="2254" w:type="dxa"/>
          </w:tcPr>
          <w:p w14:paraId="6E2C76CE" w14:textId="42A6E776" w:rsidR="00192CD6" w:rsidRPr="00BD14B0" w:rsidRDefault="00192CD6" w:rsidP="0014652C">
            <w:pPr>
              <w:jc w:val="left"/>
            </w:pPr>
            <w:proofErr w:type="spellStart"/>
            <w:r w:rsidRPr="00BD14B0">
              <w:t>FemaleLeaderIncon</w:t>
            </w:r>
            <w:proofErr w:type="spellEnd"/>
          </w:p>
        </w:tc>
        <w:tc>
          <w:tcPr>
            <w:tcW w:w="2254" w:type="dxa"/>
          </w:tcPr>
          <w:p w14:paraId="3AD6A510" w14:textId="77777777" w:rsidR="00192CD6" w:rsidRPr="00BD14B0" w:rsidRDefault="00192CD6" w:rsidP="00553E01">
            <w:r w:rsidRPr="00BD14B0">
              <w:t>0.43</w:t>
            </w:r>
          </w:p>
        </w:tc>
        <w:tc>
          <w:tcPr>
            <w:tcW w:w="2254" w:type="dxa"/>
          </w:tcPr>
          <w:p w14:paraId="578723C3" w14:textId="77777777" w:rsidR="00192CD6" w:rsidRPr="00BD14B0" w:rsidRDefault="00192CD6" w:rsidP="00553E01">
            <w:r w:rsidRPr="00BD14B0">
              <w:t>0.10</w:t>
            </w:r>
          </w:p>
        </w:tc>
      </w:tr>
      <w:tr w:rsidR="00695B36" w:rsidRPr="00BD14B0" w14:paraId="6F521997" w14:textId="77777777" w:rsidTr="004A06B6">
        <w:tc>
          <w:tcPr>
            <w:tcW w:w="2254" w:type="dxa"/>
          </w:tcPr>
          <w:p w14:paraId="562EE5CD" w14:textId="64E30E77" w:rsidR="00192CD6" w:rsidRPr="00BD14B0" w:rsidRDefault="00192CD6" w:rsidP="0014652C">
            <w:pPr>
              <w:jc w:val="left"/>
            </w:pPr>
            <w:proofErr w:type="spellStart"/>
            <w:r w:rsidRPr="00BD14B0">
              <w:t>FemaleFollowerCon</w:t>
            </w:r>
            <w:proofErr w:type="spellEnd"/>
          </w:p>
        </w:tc>
        <w:tc>
          <w:tcPr>
            <w:tcW w:w="2254" w:type="dxa"/>
          </w:tcPr>
          <w:p w14:paraId="6032C40F" w14:textId="77777777" w:rsidR="00192CD6" w:rsidRPr="00BD14B0" w:rsidRDefault="00192CD6" w:rsidP="00553E01">
            <w:r w:rsidRPr="00BD14B0">
              <w:t>0.41</w:t>
            </w:r>
          </w:p>
        </w:tc>
        <w:tc>
          <w:tcPr>
            <w:tcW w:w="2254" w:type="dxa"/>
          </w:tcPr>
          <w:p w14:paraId="16986472" w14:textId="77777777" w:rsidR="00192CD6" w:rsidRPr="00BD14B0" w:rsidRDefault="00192CD6" w:rsidP="00553E01">
            <w:r w:rsidRPr="00BD14B0">
              <w:t>0.13</w:t>
            </w:r>
          </w:p>
        </w:tc>
      </w:tr>
      <w:tr w:rsidR="00695B36" w:rsidRPr="00BD14B0" w14:paraId="33657063" w14:textId="77777777" w:rsidTr="004A06B6">
        <w:tc>
          <w:tcPr>
            <w:tcW w:w="2254" w:type="dxa"/>
            <w:tcBorders>
              <w:bottom w:val="single" w:sz="4" w:space="0" w:color="auto"/>
            </w:tcBorders>
          </w:tcPr>
          <w:p w14:paraId="3BACAE31" w14:textId="50EA05BF" w:rsidR="00192CD6" w:rsidRPr="00BD14B0" w:rsidRDefault="00192CD6" w:rsidP="0014652C">
            <w:pPr>
              <w:jc w:val="left"/>
            </w:pPr>
            <w:proofErr w:type="spellStart"/>
            <w:r w:rsidRPr="00BD14B0">
              <w:t>FemaleFollowerIncon</w:t>
            </w:r>
            <w:proofErr w:type="spellEnd"/>
          </w:p>
        </w:tc>
        <w:tc>
          <w:tcPr>
            <w:tcW w:w="2254" w:type="dxa"/>
            <w:tcBorders>
              <w:bottom w:val="single" w:sz="4" w:space="0" w:color="auto"/>
            </w:tcBorders>
          </w:tcPr>
          <w:p w14:paraId="6AA35CD9" w14:textId="77777777" w:rsidR="00192CD6" w:rsidRPr="00BD14B0" w:rsidRDefault="00192CD6" w:rsidP="00553E01">
            <w:r w:rsidRPr="00BD14B0">
              <w:t>0.43</w:t>
            </w:r>
          </w:p>
        </w:tc>
        <w:tc>
          <w:tcPr>
            <w:tcW w:w="2254" w:type="dxa"/>
            <w:tcBorders>
              <w:bottom w:val="single" w:sz="4" w:space="0" w:color="auto"/>
            </w:tcBorders>
          </w:tcPr>
          <w:p w14:paraId="182DE2E0" w14:textId="77777777" w:rsidR="00192CD6" w:rsidRPr="00BD14B0" w:rsidRDefault="00192CD6" w:rsidP="00553E01">
            <w:r w:rsidRPr="00BD14B0">
              <w:t>0.10</w:t>
            </w:r>
          </w:p>
        </w:tc>
      </w:tr>
    </w:tbl>
    <w:p w14:paraId="5595449B" w14:textId="77777777" w:rsidR="00192CD6" w:rsidRPr="00BD14B0" w:rsidRDefault="00192CD6" w:rsidP="00553E01"/>
    <w:p w14:paraId="1249882E" w14:textId="3D6CD4C0" w:rsidR="00656710" w:rsidRPr="00BD14B0" w:rsidRDefault="00192CD6" w:rsidP="00553E01">
      <w:r w:rsidRPr="00BD14B0">
        <w:tab/>
        <w:t xml:space="preserve">In phase 3 (testing phase) a boxplot analysis explored reaction time data for all conditions. From visual inspection of this boxplot data, two extreme outliers were identified. For each participant, the mean and standard deviations of correct RTs were calculated. This information is shown in Table 8. From these calculations, two participants (number 4 and number 5) were removed due to being extreme outliers. Based on visual and statistical inspection of the data no outliers were identified for accuracy data in phase 3. Furthermore, in phase 4 (questionnaire phase) no outliers were </w:t>
      </w:r>
      <w:r w:rsidR="00575F06" w:rsidRPr="00BD14B0">
        <w:t>identified.</w:t>
      </w:r>
      <w:r w:rsidRPr="00BD14B0">
        <w:t xml:space="preserve"> Hence, no data were removed in the phase 4. </w:t>
      </w:r>
    </w:p>
    <w:p w14:paraId="26855105" w14:textId="35637652" w:rsidR="00192CD6" w:rsidRPr="00BD14B0" w:rsidRDefault="008303ED" w:rsidP="008303ED">
      <w:pPr>
        <w:pStyle w:val="Title"/>
      </w:pPr>
      <w:bookmarkStart w:id="98" w:name="_Toc108321856"/>
      <w:r>
        <w:lastRenderedPageBreak/>
        <w:t xml:space="preserve">Table </w:t>
      </w:r>
      <w:bookmarkEnd w:id="98"/>
      <w:r w:rsidR="00656710">
        <w:t>8</w:t>
      </w:r>
    </w:p>
    <w:p w14:paraId="63820501" w14:textId="10117760" w:rsidR="00192CD6" w:rsidRPr="00BD14B0" w:rsidRDefault="00192CD6" w:rsidP="00553E01">
      <w:r w:rsidRPr="00BD14B0">
        <w:rPr>
          <w:i/>
          <w:iCs/>
        </w:rPr>
        <w:t>Mean and standard deviation reaction times (RT) data for each condition in Phase 3</w:t>
      </w:r>
      <w:r w:rsidR="00F908DD" w:rsidRPr="00BD14B0">
        <w:t>.</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6"/>
        <w:gridCol w:w="2254"/>
        <w:gridCol w:w="2254"/>
      </w:tblGrid>
      <w:tr w:rsidR="00695B36" w:rsidRPr="00BD14B0" w14:paraId="0556D3BD" w14:textId="77777777" w:rsidTr="004A06B6">
        <w:trPr>
          <w:cnfStyle w:val="100000000000" w:firstRow="1" w:lastRow="0" w:firstColumn="0" w:lastColumn="0" w:oddVBand="0" w:evenVBand="0" w:oddHBand="0" w:evenHBand="0" w:firstRowFirstColumn="0" w:firstRowLastColumn="0" w:lastRowFirstColumn="0" w:lastRowLastColumn="0"/>
        </w:trPr>
        <w:tc>
          <w:tcPr>
            <w:tcW w:w="2336" w:type="dxa"/>
            <w:tcBorders>
              <w:top w:val="single" w:sz="4" w:space="0" w:color="auto"/>
              <w:bottom w:val="single" w:sz="4" w:space="0" w:color="auto"/>
            </w:tcBorders>
          </w:tcPr>
          <w:p w14:paraId="0E06EF8D" w14:textId="77777777" w:rsidR="00192CD6" w:rsidRPr="00BD14B0" w:rsidRDefault="00192CD6" w:rsidP="00553E01">
            <w:r w:rsidRPr="00BD14B0">
              <w:t>Condition</w:t>
            </w:r>
          </w:p>
        </w:tc>
        <w:tc>
          <w:tcPr>
            <w:tcW w:w="2254" w:type="dxa"/>
            <w:tcBorders>
              <w:top w:val="single" w:sz="4" w:space="0" w:color="auto"/>
              <w:bottom w:val="single" w:sz="4" w:space="0" w:color="auto"/>
            </w:tcBorders>
          </w:tcPr>
          <w:p w14:paraId="3B20B530" w14:textId="77777777" w:rsidR="00192CD6" w:rsidRPr="00BD14B0" w:rsidRDefault="00192CD6" w:rsidP="00553E01">
            <w:r w:rsidRPr="00BD14B0">
              <w:t>Mean</w:t>
            </w:r>
          </w:p>
        </w:tc>
        <w:tc>
          <w:tcPr>
            <w:tcW w:w="2254" w:type="dxa"/>
            <w:tcBorders>
              <w:top w:val="single" w:sz="4" w:space="0" w:color="auto"/>
              <w:bottom w:val="single" w:sz="4" w:space="0" w:color="auto"/>
            </w:tcBorders>
          </w:tcPr>
          <w:p w14:paraId="70D3B86B" w14:textId="77777777" w:rsidR="00192CD6" w:rsidRPr="00BD14B0" w:rsidRDefault="00192CD6" w:rsidP="00553E01">
            <w:r w:rsidRPr="00BD14B0">
              <w:t>Standard Deviation</w:t>
            </w:r>
          </w:p>
        </w:tc>
      </w:tr>
      <w:tr w:rsidR="00695B36" w:rsidRPr="00BD14B0" w14:paraId="4C2744BB" w14:textId="77777777" w:rsidTr="004A06B6">
        <w:tc>
          <w:tcPr>
            <w:tcW w:w="2336" w:type="dxa"/>
            <w:tcBorders>
              <w:top w:val="single" w:sz="4" w:space="0" w:color="auto"/>
            </w:tcBorders>
          </w:tcPr>
          <w:p w14:paraId="6F05BEAB" w14:textId="4816B537" w:rsidR="00192CD6" w:rsidRPr="00BD14B0" w:rsidRDefault="00192CD6" w:rsidP="00B10421">
            <w:pPr>
              <w:jc w:val="left"/>
            </w:pPr>
            <w:proofErr w:type="spellStart"/>
            <w:r w:rsidRPr="00BD14B0">
              <w:t>MaleLeaderCon</w:t>
            </w:r>
            <w:proofErr w:type="spellEnd"/>
          </w:p>
        </w:tc>
        <w:tc>
          <w:tcPr>
            <w:tcW w:w="2254" w:type="dxa"/>
            <w:tcBorders>
              <w:top w:val="single" w:sz="4" w:space="0" w:color="auto"/>
            </w:tcBorders>
          </w:tcPr>
          <w:p w14:paraId="4A708B20" w14:textId="77777777" w:rsidR="00192CD6" w:rsidRPr="00BD14B0" w:rsidRDefault="00192CD6" w:rsidP="00553E01">
            <w:r w:rsidRPr="00BD14B0">
              <w:t>0.35</w:t>
            </w:r>
          </w:p>
        </w:tc>
        <w:tc>
          <w:tcPr>
            <w:tcW w:w="2254" w:type="dxa"/>
            <w:tcBorders>
              <w:top w:val="single" w:sz="4" w:space="0" w:color="auto"/>
            </w:tcBorders>
          </w:tcPr>
          <w:p w14:paraId="5A961EC5" w14:textId="77777777" w:rsidR="00192CD6" w:rsidRPr="00BD14B0" w:rsidRDefault="00192CD6" w:rsidP="00553E01">
            <w:r w:rsidRPr="00BD14B0">
              <w:t>0.07</w:t>
            </w:r>
          </w:p>
        </w:tc>
      </w:tr>
      <w:tr w:rsidR="00695B36" w:rsidRPr="00BD14B0" w14:paraId="7EA93E48" w14:textId="77777777" w:rsidTr="004A06B6">
        <w:tc>
          <w:tcPr>
            <w:tcW w:w="2336" w:type="dxa"/>
          </w:tcPr>
          <w:p w14:paraId="1984999F" w14:textId="7D6C8E2C" w:rsidR="00192CD6" w:rsidRPr="00BD14B0" w:rsidRDefault="00192CD6" w:rsidP="00B10421">
            <w:pPr>
              <w:jc w:val="left"/>
            </w:pPr>
            <w:proofErr w:type="spellStart"/>
            <w:r w:rsidRPr="00BD14B0">
              <w:t>MaleLeaderIncon</w:t>
            </w:r>
            <w:proofErr w:type="spellEnd"/>
          </w:p>
        </w:tc>
        <w:tc>
          <w:tcPr>
            <w:tcW w:w="2254" w:type="dxa"/>
          </w:tcPr>
          <w:p w14:paraId="0F061A84" w14:textId="77777777" w:rsidR="00192CD6" w:rsidRPr="00BD14B0" w:rsidRDefault="00192CD6" w:rsidP="00553E01">
            <w:r w:rsidRPr="00BD14B0">
              <w:t>0.38</w:t>
            </w:r>
          </w:p>
        </w:tc>
        <w:tc>
          <w:tcPr>
            <w:tcW w:w="2254" w:type="dxa"/>
          </w:tcPr>
          <w:p w14:paraId="783404CE" w14:textId="77777777" w:rsidR="00192CD6" w:rsidRPr="00BD14B0" w:rsidRDefault="00192CD6" w:rsidP="00553E01">
            <w:r w:rsidRPr="00BD14B0">
              <w:t>0.06</w:t>
            </w:r>
          </w:p>
        </w:tc>
      </w:tr>
      <w:tr w:rsidR="00695B36" w:rsidRPr="00BD14B0" w14:paraId="481020F2" w14:textId="77777777" w:rsidTr="004A06B6">
        <w:tc>
          <w:tcPr>
            <w:tcW w:w="2336" w:type="dxa"/>
          </w:tcPr>
          <w:p w14:paraId="3DC73C47" w14:textId="684176DF" w:rsidR="00192CD6" w:rsidRPr="00BD14B0" w:rsidRDefault="00192CD6" w:rsidP="00B10421">
            <w:pPr>
              <w:jc w:val="left"/>
            </w:pPr>
            <w:proofErr w:type="spellStart"/>
            <w:r w:rsidRPr="00BD14B0">
              <w:t>MaleFollowerCon</w:t>
            </w:r>
            <w:proofErr w:type="spellEnd"/>
          </w:p>
        </w:tc>
        <w:tc>
          <w:tcPr>
            <w:tcW w:w="2254" w:type="dxa"/>
          </w:tcPr>
          <w:p w14:paraId="1F604DD5" w14:textId="77777777" w:rsidR="00192CD6" w:rsidRPr="00BD14B0" w:rsidRDefault="00192CD6" w:rsidP="00553E01">
            <w:r w:rsidRPr="00BD14B0">
              <w:t>0.35</w:t>
            </w:r>
          </w:p>
        </w:tc>
        <w:tc>
          <w:tcPr>
            <w:tcW w:w="2254" w:type="dxa"/>
          </w:tcPr>
          <w:p w14:paraId="4C969648" w14:textId="77777777" w:rsidR="00192CD6" w:rsidRPr="00BD14B0" w:rsidRDefault="00192CD6" w:rsidP="00553E01">
            <w:r w:rsidRPr="00BD14B0">
              <w:t>0.06</w:t>
            </w:r>
          </w:p>
        </w:tc>
      </w:tr>
      <w:tr w:rsidR="00695B36" w:rsidRPr="00BD14B0" w14:paraId="3DC1E1B7" w14:textId="77777777" w:rsidTr="004A06B6">
        <w:tc>
          <w:tcPr>
            <w:tcW w:w="2336" w:type="dxa"/>
          </w:tcPr>
          <w:p w14:paraId="2DCCC71F" w14:textId="08D30D03" w:rsidR="00192CD6" w:rsidRPr="00BD14B0" w:rsidRDefault="00192CD6" w:rsidP="00B10421">
            <w:pPr>
              <w:jc w:val="left"/>
            </w:pPr>
            <w:proofErr w:type="spellStart"/>
            <w:r w:rsidRPr="00BD14B0">
              <w:t>MaleFollowerIncon</w:t>
            </w:r>
            <w:proofErr w:type="spellEnd"/>
          </w:p>
        </w:tc>
        <w:tc>
          <w:tcPr>
            <w:tcW w:w="2254" w:type="dxa"/>
          </w:tcPr>
          <w:p w14:paraId="23FFB69F" w14:textId="77777777" w:rsidR="00192CD6" w:rsidRPr="00BD14B0" w:rsidRDefault="00192CD6" w:rsidP="00553E01">
            <w:r w:rsidRPr="00BD14B0">
              <w:t>0.38</w:t>
            </w:r>
          </w:p>
        </w:tc>
        <w:tc>
          <w:tcPr>
            <w:tcW w:w="2254" w:type="dxa"/>
          </w:tcPr>
          <w:p w14:paraId="240DBABE" w14:textId="77777777" w:rsidR="00192CD6" w:rsidRPr="00BD14B0" w:rsidRDefault="00192CD6" w:rsidP="00553E01">
            <w:r w:rsidRPr="00BD14B0">
              <w:t>0.06</w:t>
            </w:r>
          </w:p>
        </w:tc>
      </w:tr>
      <w:tr w:rsidR="00695B36" w:rsidRPr="00BD14B0" w14:paraId="3A71BCC7" w14:textId="77777777" w:rsidTr="004A06B6">
        <w:tc>
          <w:tcPr>
            <w:tcW w:w="2336" w:type="dxa"/>
          </w:tcPr>
          <w:p w14:paraId="51FD0963" w14:textId="545A09A8" w:rsidR="00192CD6" w:rsidRPr="00BD14B0" w:rsidRDefault="00192CD6" w:rsidP="005A2E51">
            <w:pPr>
              <w:jc w:val="left"/>
            </w:pPr>
            <w:proofErr w:type="spellStart"/>
            <w:r w:rsidRPr="00BD14B0">
              <w:t>FemaleLeaderCon</w:t>
            </w:r>
            <w:proofErr w:type="spellEnd"/>
          </w:p>
        </w:tc>
        <w:tc>
          <w:tcPr>
            <w:tcW w:w="2254" w:type="dxa"/>
          </w:tcPr>
          <w:p w14:paraId="735E07FC" w14:textId="77777777" w:rsidR="00192CD6" w:rsidRPr="00BD14B0" w:rsidRDefault="00192CD6" w:rsidP="00553E01">
            <w:r w:rsidRPr="00BD14B0">
              <w:t>0.34</w:t>
            </w:r>
          </w:p>
        </w:tc>
        <w:tc>
          <w:tcPr>
            <w:tcW w:w="2254" w:type="dxa"/>
          </w:tcPr>
          <w:p w14:paraId="79653366" w14:textId="77777777" w:rsidR="00192CD6" w:rsidRPr="00BD14B0" w:rsidRDefault="00192CD6" w:rsidP="00553E01">
            <w:r w:rsidRPr="00BD14B0">
              <w:t>0.05</w:t>
            </w:r>
          </w:p>
        </w:tc>
      </w:tr>
      <w:tr w:rsidR="00695B36" w:rsidRPr="00BD14B0" w14:paraId="433B76EB" w14:textId="77777777" w:rsidTr="004A06B6">
        <w:tc>
          <w:tcPr>
            <w:tcW w:w="2336" w:type="dxa"/>
          </w:tcPr>
          <w:p w14:paraId="3863E759" w14:textId="08B9AA5C" w:rsidR="00192CD6" w:rsidRPr="00BD14B0" w:rsidRDefault="00192CD6" w:rsidP="005A2E51">
            <w:pPr>
              <w:jc w:val="left"/>
            </w:pPr>
            <w:proofErr w:type="spellStart"/>
            <w:r w:rsidRPr="00BD14B0">
              <w:t>FemaleLeaderIncon</w:t>
            </w:r>
            <w:proofErr w:type="spellEnd"/>
          </w:p>
        </w:tc>
        <w:tc>
          <w:tcPr>
            <w:tcW w:w="2254" w:type="dxa"/>
          </w:tcPr>
          <w:p w14:paraId="6BAF1EFD" w14:textId="77777777" w:rsidR="00192CD6" w:rsidRPr="00BD14B0" w:rsidRDefault="00192CD6" w:rsidP="00553E01">
            <w:r w:rsidRPr="00BD14B0">
              <w:t>0.38</w:t>
            </w:r>
          </w:p>
        </w:tc>
        <w:tc>
          <w:tcPr>
            <w:tcW w:w="2254" w:type="dxa"/>
          </w:tcPr>
          <w:p w14:paraId="3844D210" w14:textId="77777777" w:rsidR="00192CD6" w:rsidRPr="00BD14B0" w:rsidRDefault="00192CD6" w:rsidP="00553E01">
            <w:r w:rsidRPr="00BD14B0">
              <w:t>0.06</w:t>
            </w:r>
          </w:p>
        </w:tc>
      </w:tr>
      <w:tr w:rsidR="00695B36" w:rsidRPr="00BD14B0" w14:paraId="2F9F8ECA" w14:textId="77777777" w:rsidTr="004A06B6">
        <w:tc>
          <w:tcPr>
            <w:tcW w:w="2336" w:type="dxa"/>
          </w:tcPr>
          <w:p w14:paraId="5B4DFDAC" w14:textId="2228EA21" w:rsidR="00192CD6" w:rsidRPr="00BD14B0" w:rsidRDefault="00192CD6" w:rsidP="005A2E51">
            <w:pPr>
              <w:jc w:val="left"/>
            </w:pPr>
            <w:proofErr w:type="spellStart"/>
            <w:r w:rsidRPr="00BD14B0">
              <w:t>FemaleFollowerCon</w:t>
            </w:r>
            <w:proofErr w:type="spellEnd"/>
          </w:p>
        </w:tc>
        <w:tc>
          <w:tcPr>
            <w:tcW w:w="2254" w:type="dxa"/>
          </w:tcPr>
          <w:p w14:paraId="5A098354" w14:textId="77777777" w:rsidR="00192CD6" w:rsidRPr="00BD14B0" w:rsidRDefault="00192CD6" w:rsidP="00553E01">
            <w:r w:rsidRPr="00BD14B0">
              <w:t>0.34</w:t>
            </w:r>
          </w:p>
        </w:tc>
        <w:tc>
          <w:tcPr>
            <w:tcW w:w="2254" w:type="dxa"/>
          </w:tcPr>
          <w:p w14:paraId="3A00112C" w14:textId="77777777" w:rsidR="00192CD6" w:rsidRPr="00BD14B0" w:rsidRDefault="00192CD6" w:rsidP="00553E01">
            <w:r w:rsidRPr="00BD14B0">
              <w:t>0.06</w:t>
            </w:r>
          </w:p>
        </w:tc>
      </w:tr>
      <w:tr w:rsidR="00695B36" w:rsidRPr="00BD14B0" w14:paraId="3BF7D4FF" w14:textId="77777777" w:rsidTr="004A06B6">
        <w:tc>
          <w:tcPr>
            <w:tcW w:w="2336" w:type="dxa"/>
            <w:tcBorders>
              <w:bottom w:val="single" w:sz="4" w:space="0" w:color="auto"/>
            </w:tcBorders>
          </w:tcPr>
          <w:p w14:paraId="1735B201" w14:textId="16AAB434" w:rsidR="00192CD6" w:rsidRPr="00BD14B0" w:rsidRDefault="00192CD6" w:rsidP="005A2E51">
            <w:pPr>
              <w:jc w:val="left"/>
            </w:pPr>
            <w:proofErr w:type="spellStart"/>
            <w:r w:rsidRPr="00BD14B0">
              <w:t>FemaleFollowerIncon</w:t>
            </w:r>
            <w:proofErr w:type="spellEnd"/>
            <w:r w:rsidR="005A2E51" w:rsidRPr="00BD14B0">
              <w:t>.</w:t>
            </w:r>
          </w:p>
        </w:tc>
        <w:tc>
          <w:tcPr>
            <w:tcW w:w="2254" w:type="dxa"/>
            <w:tcBorders>
              <w:bottom w:val="single" w:sz="4" w:space="0" w:color="auto"/>
            </w:tcBorders>
          </w:tcPr>
          <w:p w14:paraId="01FA82F2" w14:textId="77777777" w:rsidR="00192CD6" w:rsidRPr="00BD14B0" w:rsidRDefault="00192CD6" w:rsidP="00553E01">
            <w:r w:rsidRPr="00BD14B0">
              <w:t>0.38</w:t>
            </w:r>
          </w:p>
        </w:tc>
        <w:tc>
          <w:tcPr>
            <w:tcW w:w="2254" w:type="dxa"/>
            <w:tcBorders>
              <w:bottom w:val="single" w:sz="4" w:space="0" w:color="auto"/>
            </w:tcBorders>
          </w:tcPr>
          <w:p w14:paraId="027E2255" w14:textId="77777777" w:rsidR="00192CD6" w:rsidRPr="00BD14B0" w:rsidRDefault="00192CD6" w:rsidP="00553E01">
            <w:r w:rsidRPr="00BD14B0">
              <w:t>0.06</w:t>
            </w:r>
          </w:p>
        </w:tc>
      </w:tr>
    </w:tbl>
    <w:p w14:paraId="4B2DA416" w14:textId="77777777" w:rsidR="00192CD6" w:rsidRPr="00BD14B0" w:rsidRDefault="00192CD6" w:rsidP="00553E01"/>
    <w:p w14:paraId="30FCD003" w14:textId="1CE07491" w:rsidR="00192CD6" w:rsidRPr="00BD14B0" w:rsidRDefault="00192CD6" w:rsidP="00553E01">
      <w:pPr>
        <w:pStyle w:val="Heading2"/>
      </w:pPr>
      <w:bookmarkStart w:id="99" w:name="_Toc108310796"/>
      <w:r w:rsidRPr="00BD14B0">
        <w:t>Results</w:t>
      </w:r>
      <w:bookmarkEnd w:id="99"/>
      <w:r w:rsidRPr="00BD14B0">
        <w:t xml:space="preserve"> </w:t>
      </w:r>
    </w:p>
    <w:p w14:paraId="6DC4CBC5" w14:textId="77777777" w:rsidR="00192CD6" w:rsidRPr="00BD14B0" w:rsidRDefault="00192CD6" w:rsidP="00553E01"/>
    <w:p w14:paraId="31CA25C0" w14:textId="67FC8181" w:rsidR="00192CD6" w:rsidRPr="00BD14B0" w:rsidRDefault="00192CD6" w:rsidP="00553E01">
      <w:pPr>
        <w:pStyle w:val="Heading3"/>
      </w:pPr>
      <w:bookmarkStart w:id="100" w:name="_Toc108310797"/>
      <w:r w:rsidRPr="00BD14B0">
        <w:t>Task 1: Learning Phase</w:t>
      </w:r>
      <w:bookmarkEnd w:id="100"/>
    </w:p>
    <w:p w14:paraId="331700DB" w14:textId="2C785144" w:rsidR="00192CD6" w:rsidRPr="00BD14B0" w:rsidRDefault="00192CD6" w:rsidP="00553E01">
      <w:r w:rsidRPr="00BD14B0">
        <w:tab/>
        <w:t xml:space="preserve">In the learning phase of the task both (Reaction Time) RT and accuracy readings were measured. Outliers for these two measures were calculated separately. Considering the RT data, one outlier (number 4) was discovered and eliminated from further analyses. However, no outliers were found in the accuracy measurements. Two ANOVAs were conducted on both accuracy (number of accurate response) and reaction times (in </w:t>
      </w:r>
      <w:proofErr w:type="spellStart"/>
      <w:r w:rsidR="00A35ECD" w:rsidRPr="00BD14B0">
        <w:t>m</w:t>
      </w:r>
      <w:r w:rsidRPr="00BD14B0">
        <w:t>s</w:t>
      </w:r>
      <w:proofErr w:type="spellEnd"/>
      <w:r w:rsidRPr="00BD14B0">
        <w:t xml:space="preserve">) separately. These two repeated measures ANOVAs were conducted with leadership (leader / follower), gender of gazer (male / female) and congruency (congruent / incongruent) as within-participants factors. </w:t>
      </w:r>
      <w:r w:rsidR="0038710A">
        <w:fldChar w:fldCharType="begin" w:fldLock="1"/>
      </w:r>
      <w:r w:rsidR="0038710A">
        <w:instrText>ADDIN CSL_CITATION {"citationItems":[{"id":"ITEM-1","itemData":{"DOI":"10.1037/xge0000167","ISSN":"0096-3445","abstract":"We asked whether previous observations of group interactions modulate subsequent social attention episodes. Participants first completed a learning phase with 2 conditions. In the “leader” condition 1 of 3 identities turned her gaze first, followed by the 2 other faces. In the “follower” condition, 1 of the identities turned her gaze after the 2 other faces had first shifted their gaze. Thus, participants observed that some individuals were consistently leaders and others followers of others’ attention. In the test phase, the faces of leaders and followers were presented in a gaze cueing paradigm. Remarkably, the followers did not elicit gaze cueing. Our data demonstrate that individuals who do not guide group attention in exploring the environment are ineffective social attention directors in later encounters. Thus, the role played in previous group social attention interactions modulates the relative weight assigned to others’ gaze: we ignore the gaze of group followers.","author":[{"dropping-particle":"","family":"Capozzi","given":"Francesca","non-dropping-particle":"","parse-names":false,"suffix":""},{"dropping-particle":"","family":"Becchio","given":"Cristina","non-dropping-particle":"","parse-names":false,"suffix":""},{"dropping-particle":"","family":"Willemse","given":"Cesco","non-dropping-particle":"","parse-names":false,"suffix":""},{"dropping-particle":"","family":"Bayliss","given":"Andrew P","non-dropping-particle":"","parse-names":false,"suffix":""}],"container-title":"Journal of Experimental Psychology: General","id":"ITEM-1","issued":{"date-parts":[["2016"]]},"title":"Followers Are Not Followed: Observed Group Interactions Modulate Subsequent Social Attention","type":"article-journal"},"uris":["http://www.mendeley.com/documents/?uuid=375d71b6-ee24-42b5-b1e8-b217d92f5738"]}],"mendeley":{"formattedCitation":"(Capozzi et al., 2016)","manualFormatting":"Capozzi et al., (2016)","plainTextFormattedCitation":"(Capozzi et al., 2016)","previouslyFormattedCitation":"(Capozzi et al., 2016)"},"properties":{"noteIndex":0},"schema":"https://github.com/citation-style-language/schema/raw/master/csl-citation.json"}</w:instrText>
      </w:r>
      <w:r w:rsidR="0038710A">
        <w:fldChar w:fldCharType="separate"/>
      </w:r>
      <w:r w:rsidR="0038710A" w:rsidRPr="0038710A">
        <w:rPr>
          <w:noProof/>
        </w:rPr>
        <w:t xml:space="preserve">Capozzi et al., </w:t>
      </w:r>
      <w:r w:rsidR="0038710A">
        <w:rPr>
          <w:noProof/>
        </w:rPr>
        <w:t>(</w:t>
      </w:r>
      <w:r w:rsidR="0038710A" w:rsidRPr="0038710A">
        <w:rPr>
          <w:noProof/>
        </w:rPr>
        <w:t>2016)</w:t>
      </w:r>
      <w:r w:rsidR="0038710A">
        <w:fldChar w:fldCharType="end"/>
      </w:r>
      <w:r w:rsidR="0038710A">
        <w:t xml:space="preserve"> </w:t>
      </w:r>
      <w:r w:rsidRPr="00BD14B0">
        <w:t xml:space="preserve">measured both accuracy response as well as reaction time (RT). We focused on RT measurements in previous chapters of this thesis, but here we also measured the accuracy response to try to replicate </w:t>
      </w:r>
      <w:r w:rsidRPr="00BD14B0">
        <w:fldChar w:fldCharType="begin" w:fldLock="1"/>
      </w:r>
      <w:r w:rsidR="004D2901" w:rsidRPr="00BD14B0">
        <w:instrText>ADDIN CSL_CITATION {"citationItems":[{"id":"ITEM-1","itemData":{"DOI":"10.1037/xge0000167","ISSN":"0096-3445","abstract":"We asked whether previous observations of group interactions modulate subsequent social attention episodes. Participants first completed a learning phase with 2 conditions. In the “leader” condition 1 of 3 identities turned her gaze first, followed by the 2 other faces. In the “follower” condition, 1 of the identities turned her gaze after the 2 other faces had first shifted their gaze. Thus, participants observed that some individuals were consistently leaders and others followers of others’ attention. In the test phase, the faces of leaders and followers were presented in a gaze cueing paradigm. Remarkably, the followers did not elicit gaze cueing. Our data demonstrate that individuals who do not guide group attention in exploring the environment are ineffective social attention directors in later encounters. Thus, the role played in previous group social attention interactions modulates the relative weight assigned to others’ gaze: we ignore the gaze of group followers.","author":[{"dropping-particle":"","family":"Capozzi","given":"Francesca","non-dropping-particle":"","parse-names":false,"suffix":""},{"dropping-particle":"","family":"Becchio","given":"Cristina","non-dropping-particle":"","parse-names":false,"suffix":""},{"dropping-particle":"","family":"Willemse","given":"Cesco","non-dropping-particle":"","parse-names":false,"suffix":""},{"dropping-particle":"","family":"Bayliss","given":"Andrew P","non-dropping-particle":"","parse-names":false,"suffix":""}],"container-title":"Journal of Experimental Psychology: General","id":"ITEM-1","issued":{"date-parts":[["2016"]]},"title":"Followers Are Not Followed: Observed Group Interactions Modulate Subsequent Social Attention","type":"article-journal"},"uris":["http://www.mendeley.com/documents/?uuid=375d71b6-ee24-42b5-b1e8-b217d92f5738"]}],"mendeley":{"formattedCitation":"(Capozzi et al., 2016)","manualFormatting":"Capozzi et al. (2016)","plainTextFormattedCitation":"(Capozzi et al., 2016)","previouslyFormattedCitation":"(Capozzi et al., 2016)"},"properties":{"noteIndex":0},"schema":"https://github.com/citation-style-language/schema/raw/master/csl-citation.json"}</w:instrText>
      </w:r>
      <w:r w:rsidRPr="00BD14B0">
        <w:fldChar w:fldCharType="separate"/>
      </w:r>
      <w:r w:rsidRPr="00BD14B0">
        <w:rPr>
          <w:noProof/>
        </w:rPr>
        <w:t>Capozzi et al. (2016)</w:t>
      </w:r>
      <w:r w:rsidRPr="00BD14B0">
        <w:fldChar w:fldCharType="end"/>
      </w:r>
      <w:r w:rsidRPr="00BD14B0">
        <w:t xml:space="preserve"> as </w:t>
      </w:r>
      <w:r w:rsidRPr="00BD14B0">
        <w:lastRenderedPageBreak/>
        <w:t>closely as possible, to investigate the relationship between GCE and leadership manipulation, but also to test whether autistic traits might interfere with understanding social cues.</w:t>
      </w:r>
    </w:p>
    <w:p w14:paraId="14889DB0" w14:textId="77777777" w:rsidR="00192CD6" w:rsidRPr="00BD14B0" w:rsidRDefault="00192CD6" w:rsidP="00553E01"/>
    <w:p w14:paraId="58163164" w14:textId="77777777" w:rsidR="00192CD6" w:rsidRPr="00BD14B0" w:rsidRDefault="00192CD6" w:rsidP="00353148">
      <w:pPr>
        <w:pStyle w:val="Heading4"/>
        <w:numPr>
          <w:ilvl w:val="0"/>
          <w:numId w:val="0"/>
        </w:numPr>
        <w:ind w:left="851"/>
      </w:pPr>
      <w:r w:rsidRPr="00BD14B0">
        <w:t>The accuracy response</w:t>
      </w:r>
    </w:p>
    <w:p w14:paraId="6671BBF7" w14:textId="201D433E" w:rsidR="00192CD6" w:rsidRPr="00BD14B0" w:rsidRDefault="00AD78B4" w:rsidP="00553E01">
      <w:r w:rsidRPr="00BD14B0">
        <w:tab/>
      </w:r>
      <w:r w:rsidR="00192CD6" w:rsidRPr="00BD14B0">
        <w:t>The overall accuracy was 98.5%. The accuracy ANOVA showed that, there wer</w:t>
      </w:r>
      <w:r w:rsidR="00F57654" w:rsidRPr="00BD14B0">
        <w:t>e</w:t>
      </w:r>
      <w:r w:rsidR="00192CD6" w:rsidRPr="00BD14B0">
        <w:t xml:space="preserve"> no main effects of congruency, </w:t>
      </w:r>
      <w:proofErr w:type="gramStart"/>
      <w:r w:rsidR="00192CD6" w:rsidRPr="00BD14B0">
        <w:rPr>
          <w:i/>
          <w:iCs/>
        </w:rPr>
        <w:t>F</w:t>
      </w:r>
      <w:r w:rsidR="00192CD6" w:rsidRPr="00BD14B0">
        <w:t>(</w:t>
      </w:r>
      <w:proofErr w:type="gramEnd"/>
      <w:r w:rsidR="00192CD6" w:rsidRPr="00BD14B0">
        <w:t>1, 43) = 0.289 , </w:t>
      </w:r>
      <w:r w:rsidR="00192CD6" w:rsidRPr="00BD14B0">
        <w:rPr>
          <w:i/>
          <w:iCs/>
        </w:rPr>
        <w:t>p</w:t>
      </w:r>
      <w:r w:rsidR="00192CD6" w:rsidRPr="00BD14B0">
        <w:t xml:space="preserve"> = .593, </w:t>
      </w:r>
      <w:r w:rsidR="00192CD6" w:rsidRPr="00BD14B0">
        <w:rPr>
          <w:i/>
        </w:rPr>
        <w:t>ηp</w:t>
      </w:r>
      <w:r w:rsidR="00192CD6" w:rsidRPr="00BD14B0">
        <w:rPr>
          <w:vertAlign w:val="superscript"/>
        </w:rPr>
        <w:t xml:space="preserve">2 </w:t>
      </w:r>
      <w:r w:rsidR="00192CD6" w:rsidRPr="00BD14B0">
        <w:t xml:space="preserve">= .007, leadership, </w:t>
      </w:r>
      <w:r w:rsidR="00192CD6" w:rsidRPr="00BD14B0">
        <w:rPr>
          <w:i/>
          <w:iCs/>
        </w:rPr>
        <w:t>F</w:t>
      </w:r>
      <w:r w:rsidR="00192CD6" w:rsidRPr="00BD14B0">
        <w:t>(1, 43) = 2.468 , </w:t>
      </w:r>
      <w:r w:rsidR="00192CD6" w:rsidRPr="00BD14B0">
        <w:rPr>
          <w:i/>
          <w:iCs/>
        </w:rPr>
        <w:t>p</w:t>
      </w:r>
      <w:r w:rsidR="00192CD6" w:rsidRPr="00BD14B0">
        <w:t xml:space="preserve"> = .124, </w:t>
      </w:r>
      <w:proofErr w:type="spellStart"/>
      <w:r w:rsidR="00192CD6" w:rsidRPr="00BD14B0">
        <w:rPr>
          <w:i/>
        </w:rPr>
        <w:t>ηp</w:t>
      </w:r>
      <w:proofErr w:type="spellEnd"/>
      <w:r w:rsidR="00192CD6" w:rsidRPr="00BD14B0">
        <w:rPr>
          <w:vertAlign w:val="superscript"/>
        </w:rPr>
        <w:t xml:space="preserve"> 2</w:t>
      </w:r>
      <w:r w:rsidR="00192CD6" w:rsidRPr="00BD14B0">
        <w:t xml:space="preserve">=.54, or </w:t>
      </w:r>
      <w:r w:rsidR="00F57654" w:rsidRPr="00BD14B0">
        <w:t>gender of the gazer</w:t>
      </w:r>
      <w:r w:rsidR="00192CD6" w:rsidRPr="00BD14B0">
        <w:t xml:space="preserve">, </w:t>
      </w:r>
      <w:r w:rsidR="00192CD6" w:rsidRPr="00BD14B0">
        <w:rPr>
          <w:i/>
          <w:iCs/>
        </w:rPr>
        <w:t>F</w:t>
      </w:r>
      <w:r w:rsidR="00192CD6" w:rsidRPr="00BD14B0">
        <w:t>(1, 43) = 12.313, </w:t>
      </w:r>
      <w:r w:rsidR="00192CD6" w:rsidRPr="00BD14B0">
        <w:rPr>
          <w:i/>
          <w:iCs/>
        </w:rPr>
        <w:t>p</w:t>
      </w:r>
      <w:r w:rsidR="00192CD6" w:rsidRPr="00BD14B0">
        <w:t xml:space="preserve"> = .136, </w:t>
      </w:r>
      <w:proofErr w:type="spellStart"/>
      <w:r w:rsidR="00192CD6" w:rsidRPr="00BD14B0">
        <w:rPr>
          <w:i/>
        </w:rPr>
        <w:t>ηp</w:t>
      </w:r>
      <w:proofErr w:type="spellEnd"/>
      <w:r w:rsidR="00192CD6" w:rsidRPr="00BD14B0">
        <w:rPr>
          <w:vertAlign w:val="superscript"/>
        </w:rPr>
        <w:t xml:space="preserve"> 2</w:t>
      </w:r>
      <w:r w:rsidR="00192CD6" w:rsidRPr="00BD14B0">
        <w:t xml:space="preserve">=.51. The interaction between gender of the gazer and leadership was significant, </w:t>
      </w:r>
      <w:proofErr w:type="gramStart"/>
      <w:r w:rsidR="00192CD6" w:rsidRPr="00BD14B0">
        <w:rPr>
          <w:i/>
          <w:iCs/>
        </w:rPr>
        <w:t>F</w:t>
      </w:r>
      <w:r w:rsidR="00192CD6" w:rsidRPr="00BD14B0">
        <w:t>(</w:t>
      </w:r>
      <w:proofErr w:type="gramEnd"/>
      <w:r w:rsidR="00192CD6" w:rsidRPr="00BD14B0">
        <w:t>1, 43) = 1.776, </w:t>
      </w:r>
      <w:r w:rsidR="00192CD6" w:rsidRPr="00BD14B0">
        <w:rPr>
          <w:i/>
          <w:iCs/>
        </w:rPr>
        <w:t>p</w:t>
      </w:r>
      <w:r w:rsidR="00192CD6" w:rsidRPr="00BD14B0">
        <w:t xml:space="preserve"> = .024, </w:t>
      </w:r>
      <w:proofErr w:type="spellStart"/>
      <w:r w:rsidR="00192CD6" w:rsidRPr="00BD14B0">
        <w:rPr>
          <w:i/>
        </w:rPr>
        <w:t>ηp</w:t>
      </w:r>
      <w:proofErr w:type="spellEnd"/>
      <w:r w:rsidR="00192CD6" w:rsidRPr="00BD14B0">
        <w:rPr>
          <w:vertAlign w:val="superscript"/>
        </w:rPr>
        <w:t xml:space="preserve"> 2</w:t>
      </w:r>
      <w:r w:rsidR="00192CD6" w:rsidRPr="00BD14B0">
        <w:t xml:space="preserve">=.114 (see Figure 17). The error bars represent the mean’s standard error. This interaction was examined further with pairwise comparisons. </w:t>
      </w:r>
    </w:p>
    <w:p w14:paraId="1C06BBB5" w14:textId="77777777" w:rsidR="00F908DD" w:rsidRPr="00BD14B0" w:rsidRDefault="00F908DD" w:rsidP="00553E01"/>
    <w:p w14:paraId="7095D29F" w14:textId="5914796F" w:rsidR="00F908DD" w:rsidRPr="00BD14B0" w:rsidRDefault="008303ED" w:rsidP="008303ED">
      <w:pPr>
        <w:pStyle w:val="Title"/>
      </w:pPr>
      <w:bookmarkStart w:id="101" w:name="_Toc108322131"/>
      <w:r>
        <w:t xml:space="preserve">Figure </w:t>
      </w:r>
      <w:r w:rsidR="003B267D">
        <w:fldChar w:fldCharType="begin"/>
      </w:r>
      <w:r w:rsidR="003B267D">
        <w:instrText xml:space="preserve"> SEQ Figure \* ARABIC </w:instrText>
      </w:r>
      <w:r w:rsidR="003B267D">
        <w:fldChar w:fldCharType="separate"/>
      </w:r>
      <w:r w:rsidR="003B267D">
        <w:rPr>
          <w:noProof/>
        </w:rPr>
        <w:t>16</w:t>
      </w:r>
      <w:r w:rsidR="003B267D">
        <w:fldChar w:fldCharType="end"/>
      </w:r>
      <w:bookmarkEnd w:id="101"/>
    </w:p>
    <w:p w14:paraId="088EA634" w14:textId="4A24455E" w:rsidR="00F908DD" w:rsidRPr="00BD14B0" w:rsidRDefault="00F908DD" w:rsidP="00553E01">
      <w:pPr>
        <w:rPr>
          <w:i/>
          <w:iCs/>
        </w:rPr>
      </w:pPr>
      <w:r w:rsidRPr="00BD14B0">
        <w:rPr>
          <w:i/>
          <w:iCs/>
        </w:rPr>
        <w:t>Crossover interaction between leadership (leader X follower) and gender of gazer (male X female)</w:t>
      </w:r>
      <w:r w:rsidRPr="00BD14B0">
        <w:t xml:space="preserve"> </w:t>
      </w:r>
    </w:p>
    <w:p w14:paraId="61FBB68E" w14:textId="243334ED" w:rsidR="00192CD6" w:rsidRPr="00BD14B0" w:rsidRDefault="00192CD6" w:rsidP="00553E01">
      <w:r w:rsidRPr="00BD14B0">
        <w:rPr>
          <w:noProof/>
          <w:lang w:eastAsia="en-US"/>
        </w:rPr>
        <w:drawing>
          <wp:inline distT="0" distB="0" distL="0" distR="0" wp14:anchorId="446228D8" wp14:editId="04C5CAA7">
            <wp:extent cx="5527040" cy="2987832"/>
            <wp:effectExtent l="0" t="0" r="0" b="3175"/>
            <wp:docPr id="30737" name="Picture 1" descr="ove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veral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36869" cy="2993145"/>
                    </a:xfrm>
                    <a:prstGeom prst="rect">
                      <a:avLst/>
                    </a:prstGeom>
                    <a:noFill/>
                    <a:ln>
                      <a:noFill/>
                    </a:ln>
                  </pic:spPr>
                </pic:pic>
              </a:graphicData>
            </a:graphic>
          </wp:inline>
        </w:drawing>
      </w:r>
      <w:bookmarkStart w:id="102" w:name="_Hlk509969036"/>
    </w:p>
    <w:bookmarkEnd w:id="102"/>
    <w:p w14:paraId="2A8AFB04" w14:textId="09E96AD3" w:rsidR="00F908DD" w:rsidRPr="00BD14B0" w:rsidRDefault="00192CD6" w:rsidP="00553E01">
      <w:r w:rsidRPr="00BD14B0">
        <w:tab/>
        <w:t xml:space="preserve">The pairwise comparison indicated that, there was a significant difference between male and female gazer in “follower” condition, but this difference was not observed for </w:t>
      </w:r>
      <w:r w:rsidRPr="00BD14B0">
        <w:lastRenderedPageBreak/>
        <w:t xml:space="preserve">“leader” condition (see Figure 18). This means that participants responded with higher accuracy by.170 to male “follower” identity than female “follower” identity, </w:t>
      </w:r>
      <w:r w:rsidRPr="00BD14B0">
        <w:rPr>
          <w:i/>
          <w:iCs/>
        </w:rPr>
        <w:t>p</w:t>
      </w:r>
      <w:r w:rsidRPr="00BD14B0">
        <w:t xml:space="preserve"> = .034. This difference was not present for leader female and leader male identities. </w:t>
      </w:r>
    </w:p>
    <w:p w14:paraId="0DAE09FB" w14:textId="77777777" w:rsidR="00F908DD" w:rsidRPr="00BD14B0" w:rsidRDefault="00F908DD" w:rsidP="00553E01"/>
    <w:p w14:paraId="336BD447" w14:textId="6E00DEC3" w:rsidR="00F908DD" w:rsidRPr="00BD14B0" w:rsidRDefault="008303ED" w:rsidP="008303ED">
      <w:pPr>
        <w:pStyle w:val="Title"/>
      </w:pPr>
      <w:bookmarkStart w:id="103" w:name="_Toc108322132"/>
      <w:r>
        <w:t xml:space="preserve">Figure </w:t>
      </w:r>
      <w:r w:rsidR="003B267D">
        <w:fldChar w:fldCharType="begin"/>
      </w:r>
      <w:r w:rsidR="003B267D">
        <w:instrText xml:space="preserve"> SEQ Figure \* ARABIC </w:instrText>
      </w:r>
      <w:r w:rsidR="003B267D">
        <w:fldChar w:fldCharType="separate"/>
      </w:r>
      <w:r w:rsidR="003B267D">
        <w:rPr>
          <w:noProof/>
        </w:rPr>
        <w:t>17</w:t>
      </w:r>
      <w:r w:rsidR="003B267D">
        <w:fldChar w:fldCharType="end"/>
      </w:r>
      <w:bookmarkEnd w:id="103"/>
    </w:p>
    <w:p w14:paraId="213BDDA5" w14:textId="646973A5" w:rsidR="00F908DD" w:rsidRPr="00BD14B0" w:rsidRDefault="00F908DD" w:rsidP="00F908DD">
      <w:r w:rsidRPr="00BD14B0">
        <w:rPr>
          <w:i/>
          <w:iCs/>
        </w:rPr>
        <w:t>Learning phase: Mean total accuracy response of leader and follower conditions divided by gende</w:t>
      </w:r>
      <w:r w:rsidRPr="00BD14B0">
        <w:t>r. * p &lt; .05</w:t>
      </w:r>
    </w:p>
    <w:p w14:paraId="5B4DBF78" w14:textId="77777777" w:rsidR="00F908DD" w:rsidRPr="00BD14B0" w:rsidRDefault="00F908DD" w:rsidP="00553E01"/>
    <w:p w14:paraId="2C3EC98D" w14:textId="0ADF4A9D" w:rsidR="00192CD6" w:rsidRPr="00BD14B0" w:rsidRDefault="00192CD6" w:rsidP="00553E01">
      <w:r w:rsidRPr="00BD14B0">
        <w:rPr>
          <w:noProof/>
          <w:lang w:eastAsia="en-US"/>
        </w:rPr>
        <w:drawing>
          <wp:inline distT="0" distB="0" distL="0" distR="0" wp14:anchorId="32FC1686" wp14:editId="0BF8F2D1">
            <wp:extent cx="6299383" cy="3105338"/>
            <wp:effectExtent l="0" t="0" r="0" b="6350"/>
            <wp:docPr id="30738" name="Picture 30738" descr="C:\Users\ssd.DESKTOP-T4213S4\Desktop\learningaccuricy-LeaderFol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sd.DESKTOP-T4213S4\Desktop\learningaccuricy-LeaderFollower.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83399" cy="3146755"/>
                    </a:xfrm>
                    <a:prstGeom prst="rect">
                      <a:avLst/>
                    </a:prstGeom>
                    <a:noFill/>
                    <a:ln>
                      <a:noFill/>
                    </a:ln>
                  </pic:spPr>
                </pic:pic>
              </a:graphicData>
            </a:graphic>
          </wp:inline>
        </w:drawing>
      </w:r>
    </w:p>
    <w:p w14:paraId="7FC6EA07" w14:textId="77777777" w:rsidR="00192CD6" w:rsidRPr="00BD14B0" w:rsidRDefault="00192CD6" w:rsidP="00553E01">
      <w:r w:rsidRPr="00BD14B0">
        <w:tab/>
        <w:t xml:space="preserve">Furthermore, only female faces showed a significant difference between leader and follower conditions, but not male faces (see Figure 19). Participants responded more accurately to "leader" female identity by .239 when compared to "follower" female identity, </w:t>
      </w:r>
      <w:r w:rsidRPr="00BD14B0">
        <w:rPr>
          <w:i/>
          <w:iCs/>
        </w:rPr>
        <w:t>p &lt;</w:t>
      </w:r>
      <w:r w:rsidRPr="00BD14B0">
        <w:t xml:space="preserve"> .001. This difference was not observed for "leader" male and "follower" male identities. The mean percentages of overall accuracy for the leader and follower conditions were 98.67% and 98.35%, respectively. </w:t>
      </w:r>
    </w:p>
    <w:p w14:paraId="0D0D1D82" w14:textId="1FC710E9" w:rsidR="00192CD6" w:rsidRPr="00BD14B0" w:rsidRDefault="00192CD6" w:rsidP="00553E01"/>
    <w:p w14:paraId="0FA0804A" w14:textId="77777777" w:rsidR="00F908DD" w:rsidRPr="00BD14B0" w:rsidRDefault="00F908DD" w:rsidP="00553E01"/>
    <w:p w14:paraId="2C619682" w14:textId="3A5FABE8" w:rsidR="00F908DD" w:rsidRPr="00BD14B0" w:rsidRDefault="00274938" w:rsidP="00274938">
      <w:pPr>
        <w:pStyle w:val="Title"/>
      </w:pPr>
      <w:bookmarkStart w:id="104" w:name="_Toc108322133"/>
      <w:r>
        <w:lastRenderedPageBreak/>
        <w:t xml:space="preserve">Figure </w:t>
      </w:r>
      <w:r w:rsidR="003B267D">
        <w:fldChar w:fldCharType="begin"/>
      </w:r>
      <w:r w:rsidR="003B267D">
        <w:instrText xml:space="preserve"> SEQ Figure \* ARABIC </w:instrText>
      </w:r>
      <w:r w:rsidR="003B267D">
        <w:fldChar w:fldCharType="separate"/>
      </w:r>
      <w:r w:rsidR="003B267D">
        <w:rPr>
          <w:noProof/>
        </w:rPr>
        <w:t>18</w:t>
      </w:r>
      <w:r w:rsidR="003B267D">
        <w:fldChar w:fldCharType="end"/>
      </w:r>
      <w:bookmarkEnd w:id="104"/>
    </w:p>
    <w:p w14:paraId="5E5CE247" w14:textId="7BBA17E4" w:rsidR="00F908DD" w:rsidRPr="00BD14B0" w:rsidRDefault="00F908DD" w:rsidP="00553E01">
      <w:r w:rsidRPr="00BD14B0">
        <w:rPr>
          <w:i/>
          <w:iCs/>
        </w:rPr>
        <w:t>Learning phase- The accuracy rating of male and female gazers divided by leadership</w:t>
      </w:r>
      <w:r w:rsidRPr="00BD14B0">
        <w:t>.</w:t>
      </w:r>
    </w:p>
    <w:p w14:paraId="4B31CD95" w14:textId="77777777" w:rsidR="00192CD6" w:rsidRPr="00BD14B0" w:rsidRDefault="00192CD6" w:rsidP="00553E01">
      <w:r w:rsidRPr="00BD14B0">
        <w:rPr>
          <w:noProof/>
          <w:lang w:eastAsia="en-US"/>
        </w:rPr>
        <w:drawing>
          <wp:inline distT="0" distB="0" distL="0" distR="0" wp14:anchorId="6887F11F" wp14:editId="423A311E">
            <wp:extent cx="6319319" cy="3493010"/>
            <wp:effectExtent l="0" t="0" r="5715" b="0"/>
            <wp:docPr id="30739" name="Picture 30739" descr="C:\Users\ssd.DESKTOP-T4213S4\AppData\Local\Microsoft\Windows\INetCache\Content.Word\learningaccuricy-malefe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sd.DESKTOP-T4213S4\AppData\Local\Microsoft\Windows\INetCache\Content.Word\learningaccuricy-malefemal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42812" cy="3505996"/>
                    </a:xfrm>
                    <a:prstGeom prst="rect">
                      <a:avLst/>
                    </a:prstGeom>
                    <a:noFill/>
                    <a:ln>
                      <a:noFill/>
                    </a:ln>
                  </pic:spPr>
                </pic:pic>
              </a:graphicData>
            </a:graphic>
          </wp:inline>
        </w:drawing>
      </w:r>
    </w:p>
    <w:p w14:paraId="701A7546" w14:textId="16766E9C" w:rsidR="00192CD6" w:rsidRPr="00BD14B0" w:rsidRDefault="005A2E51" w:rsidP="00553E01">
      <w:r w:rsidRPr="00BD14B0">
        <w:t>Note. * p &lt; .05</w:t>
      </w:r>
    </w:p>
    <w:p w14:paraId="4211ED53" w14:textId="77777777" w:rsidR="00192CD6" w:rsidRPr="00BD14B0" w:rsidRDefault="00192CD6" w:rsidP="00353148">
      <w:pPr>
        <w:pStyle w:val="Heading4"/>
        <w:numPr>
          <w:ilvl w:val="0"/>
          <w:numId w:val="0"/>
        </w:numPr>
        <w:ind w:left="851"/>
      </w:pPr>
      <w:r w:rsidRPr="00BD14B0">
        <w:t>Reaction time responses</w:t>
      </w:r>
    </w:p>
    <w:p w14:paraId="44CA5C66" w14:textId="21E4AED6" w:rsidR="00192CD6" w:rsidRPr="00BD14B0" w:rsidRDefault="00192CD6" w:rsidP="00553E01">
      <w:r w:rsidRPr="00BD14B0">
        <w:tab/>
        <w:t xml:space="preserve">Only correct responses were used for calculating the mean reaction time measurement for each condition. A repeated measures ANOVA was conducted with the within-participants factors of leadership (leader / follower), gender of gazer (male / female) and congruency (congruent / incongruent) for RT measurement. The results showed that there was a significant main effect of gender of gazer, </w:t>
      </w:r>
      <w:proofErr w:type="gramStart"/>
      <w:r w:rsidRPr="00BD14B0">
        <w:rPr>
          <w:i/>
          <w:iCs/>
        </w:rPr>
        <w:t>F</w:t>
      </w:r>
      <w:r w:rsidRPr="00BD14B0">
        <w:t>(</w:t>
      </w:r>
      <w:proofErr w:type="gramEnd"/>
      <w:r w:rsidRPr="00BD14B0">
        <w:t>1, 42) = 9.350, </w:t>
      </w:r>
      <w:r w:rsidRPr="00BD14B0">
        <w:rPr>
          <w:i/>
          <w:iCs/>
        </w:rPr>
        <w:t>p &lt;</w:t>
      </w:r>
      <w:r w:rsidRPr="00BD14B0">
        <w:t xml:space="preserve"> .001, </w:t>
      </w:r>
      <w:r w:rsidRPr="00BD14B0">
        <w:rPr>
          <w:i/>
        </w:rPr>
        <w:t>η</w:t>
      </w:r>
      <w:r w:rsidRPr="00BD14B0">
        <w:rPr>
          <w:vertAlign w:val="superscript"/>
        </w:rPr>
        <w:t>2</w:t>
      </w:r>
      <w:r w:rsidRPr="00BD14B0">
        <w:rPr>
          <w:vertAlign w:val="subscript"/>
        </w:rPr>
        <w:t>p</w:t>
      </w:r>
      <w:r w:rsidRPr="00BD14B0">
        <w:t xml:space="preserve">=.182, such that participants were faster to response to a female gazer by .012 </w:t>
      </w:r>
      <w:proofErr w:type="spellStart"/>
      <w:r w:rsidR="00A35ECD" w:rsidRPr="00BD14B0">
        <w:t>m</w:t>
      </w:r>
      <w:r w:rsidRPr="00BD14B0">
        <w:t>s</w:t>
      </w:r>
      <w:proofErr w:type="spellEnd"/>
      <w:r w:rsidRPr="00BD14B0">
        <w:t xml:space="preserve"> compared to a male gazer. Additionally, there were significant main effects of congruency, </w:t>
      </w:r>
      <w:proofErr w:type="gramStart"/>
      <w:r w:rsidRPr="00BD14B0">
        <w:rPr>
          <w:i/>
          <w:iCs/>
        </w:rPr>
        <w:t>F</w:t>
      </w:r>
      <w:r w:rsidRPr="00BD14B0">
        <w:t>(</w:t>
      </w:r>
      <w:proofErr w:type="gramEnd"/>
      <w:r w:rsidRPr="00BD14B0">
        <w:t>1, 42) = 22.159,</w:t>
      </w:r>
      <w:r w:rsidRPr="00BD14B0">
        <w:rPr>
          <w:i/>
          <w:iCs/>
        </w:rPr>
        <w:t xml:space="preserve"> p &lt;</w:t>
      </w:r>
      <w:r w:rsidRPr="00BD14B0">
        <w:t xml:space="preserve"> .001, </w:t>
      </w:r>
      <w:r w:rsidRPr="00BD14B0">
        <w:rPr>
          <w:i/>
        </w:rPr>
        <w:t>η</w:t>
      </w:r>
      <w:r w:rsidRPr="00BD14B0">
        <w:rPr>
          <w:vertAlign w:val="superscript"/>
        </w:rPr>
        <w:t>2</w:t>
      </w:r>
      <w:r w:rsidRPr="00BD14B0">
        <w:rPr>
          <w:vertAlign w:val="subscript"/>
        </w:rPr>
        <w:t>p</w:t>
      </w:r>
      <w:r w:rsidRPr="00BD14B0">
        <w:t xml:space="preserve">=.345, such that participants showed faster reaction at congruent trials by 31 </w:t>
      </w:r>
      <w:proofErr w:type="spellStart"/>
      <w:r w:rsidR="00A35ECD" w:rsidRPr="00BD14B0">
        <w:t>m</w:t>
      </w:r>
      <w:r w:rsidRPr="00BD14B0">
        <w:t>s</w:t>
      </w:r>
      <w:proofErr w:type="spellEnd"/>
      <w:r w:rsidRPr="00BD14B0">
        <w:t xml:space="preserve"> compared to incongruent trials</w:t>
      </w:r>
      <w:r w:rsidRPr="00BD14B0">
        <w:rPr>
          <w:i/>
          <w:iCs/>
        </w:rPr>
        <w:t xml:space="preserve"> </w:t>
      </w:r>
      <w:r w:rsidRPr="00BD14B0">
        <w:t xml:space="preserve">(see Figure </w:t>
      </w:r>
      <w:r w:rsidR="00324F8E" w:rsidRPr="00BD14B0">
        <w:t>19</w:t>
      </w:r>
      <w:r w:rsidRPr="00BD14B0">
        <w:t xml:space="preserve">). This means when the target and the eye gaze are at the same side of the screen participants were faster to locate the target compared to when the target and the eye gaze locate opposite side of the screen. There was a non-significant main effect of leadership, </w:t>
      </w:r>
      <w:proofErr w:type="gramStart"/>
      <w:r w:rsidRPr="00BD14B0">
        <w:rPr>
          <w:i/>
          <w:iCs/>
        </w:rPr>
        <w:t>F</w:t>
      </w:r>
      <w:r w:rsidRPr="00BD14B0">
        <w:t>(</w:t>
      </w:r>
      <w:proofErr w:type="gramEnd"/>
      <w:r w:rsidRPr="00BD14B0">
        <w:t>1, 42) = .197, </w:t>
      </w:r>
      <w:r w:rsidRPr="00BD14B0">
        <w:rPr>
          <w:i/>
          <w:iCs/>
        </w:rPr>
        <w:t>p</w:t>
      </w:r>
      <w:r w:rsidRPr="00BD14B0">
        <w:t xml:space="preserve"> = .659,  </w:t>
      </w:r>
      <w:r w:rsidRPr="00BD14B0">
        <w:rPr>
          <w:i/>
        </w:rPr>
        <w:t>η</w:t>
      </w:r>
      <w:r w:rsidRPr="00BD14B0">
        <w:rPr>
          <w:vertAlign w:val="superscript"/>
        </w:rPr>
        <w:t>2</w:t>
      </w:r>
      <w:r w:rsidRPr="00BD14B0">
        <w:rPr>
          <w:vertAlign w:val="subscript"/>
        </w:rPr>
        <w:t>p</w:t>
      </w:r>
      <w:r w:rsidRPr="00BD14B0">
        <w:t>=.005, and non-</w:t>
      </w:r>
      <w:r w:rsidR="00575F06" w:rsidRPr="00BD14B0">
        <w:lastRenderedPageBreak/>
        <w:t>significant</w:t>
      </w:r>
      <w:r w:rsidRPr="00BD14B0">
        <w:t xml:space="preserve"> interactions between leadership and congruency, </w:t>
      </w:r>
      <w:r w:rsidRPr="00BD14B0">
        <w:rPr>
          <w:i/>
          <w:iCs/>
        </w:rPr>
        <w:t>F</w:t>
      </w:r>
      <w:r w:rsidRPr="00BD14B0">
        <w:t>(1, 42) = 0.428, </w:t>
      </w:r>
      <w:r w:rsidRPr="00BD14B0">
        <w:rPr>
          <w:i/>
          <w:iCs/>
        </w:rPr>
        <w:t>p</w:t>
      </w:r>
      <w:r w:rsidRPr="00BD14B0">
        <w:t xml:space="preserve"> = .516, </w:t>
      </w:r>
      <w:r w:rsidRPr="00BD14B0">
        <w:rPr>
          <w:i/>
        </w:rPr>
        <w:t>η</w:t>
      </w:r>
      <w:r w:rsidRPr="00BD14B0">
        <w:rPr>
          <w:vertAlign w:val="superscript"/>
        </w:rPr>
        <w:t>2</w:t>
      </w:r>
      <w:r w:rsidRPr="00BD14B0">
        <w:rPr>
          <w:vertAlign w:val="subscript"/>
        </w:rPr>
        <w:t>p</w:t>
      </w:r>
      <w:r w:rsidRPr="00BD14B0">
        <w:t xml:space="preserve">=.010, leadership and gender of gazer </w:t>
      </w:r>
      <w:r w:rsidRPr="00BD14B0">
        <w:rPr>
          <w:i/>
          <w:iCs/>
        </w:rPr>
        <w:t>F</w:t>
      </w:r>
      <w:r w:rsidRPr="00BD14B0">
        <w:t>(1, 42) = 1.717 , </w:t>
      </w:r>
      <w:r w:rsidRPr="00BD14B0">
        <w:rPr>
          <w:i/>
          <w:iCs/>
        </w:rPr>
        <w:t>p</w:t>
      </w:r>
      <w:r w:rsidRPr="00BD14B0">
        <w:t xml:space="preserve"> = .197, </w:t>
      </w:r>
      <w:r w:rsidRPr="00BD14B0">
        <w:rPr>
          <w:i/>
        </w:rPr>
        <w:t>η</w:t>
      </w:r>
      <w:r w:rsidRPr="00BD14B0">
        <w:rPr>
          <w:vertAlign w:val="superscript"/>
        </w:rPr>
        <w:t>2</w:t>
      </w:r>
      <w:r w:rsidRPr="00BD14B0">
        <w:rPr>
          <w:vertAlign w:val="subscript"/>
        </w:rPr>
        <w:t>p</w:t>
      </w:r>
      <w:r w:rsidRPr="00BD14B0">
        <w:t>=.039</w:t>
      </w:r>
      <w:r w:rsidR="00ED278B" w:rsidRPr="00BD14B0">
        <w:t>.</w:t>
      </w:r>
      <w:r w:rsidRPr="00BD14B0">
        <w:t xml:space="preserve"> </w:t>
      </w:r>
    </w:p>
    <w:p w14:paraId="5D080A54" w14:textId="77777777" w:rsidR="00F908DD" w:rsidRPr="00BD14B0" w:rsidRDefault="00F908DD" w:rsidP="00553E01"/>
    <w:p w14:paraId="78288017" w14:textId="45812B28" w:rsidR="00F908DD" w:rsidRPr="00BD14B0" w:rsidRDefault="00274938" w:rsidP="00274938">
      <w:pPr>
        <w:pStyle w:val="Title"/>
      </w:pPr>
      <w:bookmarkStart w:id="105" w:name="_Toc108322134"/>
      <w:r>
        <w:t xml:space="preserve">Figure </w:t>
      </w:r>
      <w:r w:rsidR="003B267D">
        <w:fldChar w:fldCharType="begin"/>
      </w:r>
      <w:r w:rsidR="003B267D">
        <w:instrText xml:space="preserve"> SEQ Figure \* ARABIC </w:instrText>
      </w:r>
      <w:r w:rsidR="003B267D">
        <w:fldChar w:fldCharType="separate"/>
      </w:r>
      <w:r w:rsidR="003B267D">
        <w:rPr>
          <w:noProof/>
        </w:rPr>
        <w:t>19</w:t>
      </w:r>
      <w:r w:rsidR="003B267D">
        <w:fldChar w:fldCharType="end"/>
      </w:r>
      <w:bookmarkEnd w:id="105"/>
    </w:p>
    <w:p w14:paraId="5FFFECB3" w14:textId="70E15745" w:rsidR="00F908DD" w:rsidRPr="00BD14B0" w:rsidRDefault="00F908DD" w:rsidP="00553E01">
      <w:r w:rsidRPr="00BD14B0">
        <w:rPr>
          <w:i/>
          <w:iCs/>
        </w:rPr>
        <w:t>Learning phase- The accuracy rating of male and female gazers divided by leadership</w:t>
      </w:r>
      <w:r w:rsidRPr="00BD14B0">
        <w:t>.</w:t>
      </w:r>
    </w:p>
    <w:p w14:paraId="22478754" w14:textId="77777777" w:rsidR="00192CD6" w:rsidRPr="00BD14B0" w:rsidRDefault="00192CD6" w:rsidP="00553E01">
      <w:r w:rsidRPr="00BD14B0">
        <w:rPr>
          <w:noProof/>
          <w:lang w:eastAsia="en-US"/>
        </w:rPr>
        <w:drawing>
          <wp:inline distT="0" distB="0" distL="0" distR="0" wp14:anchorId="4D7B133B" wp14:editId="059D9548">
            <wp:extent cx="5124450" cy="4352925"/>
            <wp:effectExtent l="0" t="0" r="0" b="9525"/>
            <wp:docPr id="30740" name="Picture 2" descr="learning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arningR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24450" cy="4352925"/>
                    </a:xfrm>
                    <a:prstGeom prst="rect">
                      <a:avLst/>
                    </a:prstGeom>
                    <a:noFill/>
                    <a:ln>
                      <a:noFill/>
                    </a:ln>
                  </pic:spPr>
                </pic:pic>
              </a:graphicData>
            </a:graphic>
          </wp:inline>
        </w:drawing>
      </w:r>
    </w:p>
    <w:p w14:paraId="4C1955A2" w14:textId="77777777" w:rsidR="005A2E51" w:rsidRPr="00BD14B0" w:rsidRDefault="005A2E51" w:rsidP="005A2E51">
      <w:r w:rsidRPr="00BD14B0">
        <w:t>Note. * p &lt; .05</w:t>
      </w:r>
    </w:p>
    <w:p w14:paraId="413857F5" w14:textId="3E83096B" w:rsidR="00192CD6" w:rsidRPr="00BD14B0" w:rsidRDefault="00192CD6" w:rsidP="00553E01">
      <w:pPr>
        <w:pStyle w:val="Heading3"/>
      </w:pPr>
      <w:bookmarkStart w:id="106" w:name="_Toc108310798"/>
      <w:r w:rsidRPr="00BD14B0">
        <w:t>Task 2: Face Ratings</w:t>
      </w:r>
      <w:bookmarkEnd w:id="106"/>
    </w:p>
    <w:p w14:paraId="5D0ACF4F" w14:textId="1F7636B9" w:rsidR="000C624B" w:rsidRPr="00BD14B0" w:rsidRDefault="00192CD6" w:rsidP="00553E01">
      <w:r w:rsidRPr="00BD14B0">
        <w:t xml:space="preserve">Two separate repeated measures ANOVAs conducted with gender of gazer (2: male / female), leadership (2: leader / follower) and adjective (4: dominant / attractive / trustworthy / likable) as within-participant factors for face rating score and reaction time measurement. </w:t>
      </w:r>
    </w:p>
    <w:p w14:paraId="151E2B6E" w14:textId="77777777" w:rsidR="00324F8E" w:rsidRPr="00BD14B0" w:rsidRDefault="00324F8E" w:rsidP="00553E01"/>
    <w:p w14:paraId="0EC6667B" w14:textId="77777777" w:rsidR="00192CD6" w:rsidRPr="00BD14B0" w:rsidRDefault="00192CD6" w:rsidP="00353148">
      <w:pPr>
        <w:pStyle w:val="Heading4"/>
        <w:numPr>
          <w:ilvl w:val="0"/>
          <w:numId w:val="0"/>
        </w:numPr>
        <w:ind w:left="851"/>
      </w:pPr>
      <w:r w:rsidRPr="00BD14B0">
        <w:lastRenderedPageBreak/>
        <w:t>Face rating score</w:t>
      </w:r>
    </w:p>
    <w:p w14:paraId="6C562824" w14:textId="4174D4BB" w:rsidR="00192CD6" w:rsidRPr="00BD14B0" w:rsidRDefault="00324F8E" w:rsidP="00553E01">
      <w:r w:rsidRPr="00BD14B0">
        <w:rPr>
          <w:i/>
          <w:u w:color="FF0000"/>
        </w:rPr>
        <w:tab/>
      </w:r>
      <w:r w:rsidR="00192CD6" w:rsidRPr="00BD14B0">
        <w:t xml:space="preserve">For the face rating scores, a repeated measures ANOVA was conducted. This first showed that Mauchly's Test of Sphericity had been violated for adjective </w:t>
      </w:r>
      <w:r w:rsidR="00192CD6" w:rsidRPr="00BD14B0">
        <w:rPr>
          <w:i/>
          <w:iCs/>
        </w:rPr>
        <w:t xml:space="preserve">p </w:t>
      </w:r>
      <w:r w:rsidR="00192CD6" w:rsidRPr="00BD14B0">
        <w:t xml:space="preserve">&lt; .001, gender of gazer-adjective interaction, </w:t>
      </w:r>
      <w:r w:rsidR="00192CD6" w:rsidRPr="00BD14B0">
        <w:rPr>
          <w:i/>
          <w:iCs/>
        </w:rPr>
        <w:t xml:space="preserve">p </w:t>
      </w:r>
      <w:r w:rsidR="00192CD6" w:rsidRPr="00BD14B0">
        <w:t xml:space="preserve">&lt; .001, leadership-adjective interaction </w:t>
      </w:r>
      <w:r w:rsidR="00192CD6" w:rsidRPr="00BD14B0">
        <w:rPr>
          <w:i/>
          <w:iCs/>
        </w:rPr>
        <w:t>p</w:t>
      </w:r>
      <w:r w:rsidR="00192CD6" w:rsidRPr="00BD14B0">
        <w:t xml:space="preserve">&lt; .001 and gender of gazer- leadership-adjective interaction, </w:t>
      </w:r>
      <w:r w:rsidR="00192CD6" w:rsidRPr="00BD14B0">
        <w:rPr>
          <w:i/>
          <w:iCs/>
        </w:rPr>
        <w:t xml:space="preserve">p </w:t>
      </w:r>
      <w:r w:rsidR="00192CD6" w:rsidRPr="00BD14B0">
        <w:t xml:space="preserve">&lt; .001. Analyses for </w:t>
      </w:r>
      <w:proofErr w:type="spellStart"/>
      <w:r w:rsidR="00192CD6" w:rsidRPr="00BD14B0">
        <w:t>th</w:t>
      </w:r>
      <w:proofErr w:type="spellEnd"/>
      <w:r w:rsidR="00192CD6" w:rsidRPr="00BD14B0">
        <w:t xml:space="preserve"> these factors are therefore reported with </w:t>
      </w:r>
      <w:proofErr w:type="spellStart"/>
      <w:r w:rsidR="00192CD6" w:rsidRPr="00BD14B0">
        <w:t>GreenHouse-Geisser</w:t>
      </w:r>
      <w:proofErr w:type="spellEnd"/>
      <w:r w:rsidR="00192CD6" w:rsidRPr="00BD14B0">
        <w:t xml:space="preserve"> corrections. The analysis revealed significant main effect of gender of gazer, </w:t>
      </w:r>
      <w:proofErr w:type="gramStart"/>
      <w:r w:rsidR="00192CD6" w:rsidRPr="00BD14B0">
        <w:rPr>
          <w:i/>
          <w:iCs/>
        </w:rPr>
        <w:t>F</w:t>
      </w:r>
      <w:r w:rsidR="00192CD6" w:rsidRPr="00BD14B0">
        <w:t>(</w:t>
      </w:r>
      <w:proofErr w:type="gramEnd"/>
      <w:r w:rsidR="00192CD6" w:rsidRPr="00BD14B0">
        <w:t>1, 43) = 7.337 , </w:t>
      </w:r>
      <w:r w:rsidR="00192CD6" w:rsidRPr="00BD14B0">
        <w:rPr>
          <w:i/>
          <w:iCs/>
        </w:rPr>
        <w:t xml:space="preserve">p </w:t>
      </w:r>
      <w:r w:rsidR="00192CD6" w:rsidRPr="00BD14B0">
        <w:t xml:space="preserve">&lt; .001, </w:t>
      </w:r>
      <w:r w:rsidR="00192CD6" w:rsidRPr="00BD14B0">
        <w:rPr>
          <w:i/>
        </w:rPr>
        <w:t>η</w:t>
      </w:r>
      <w:r w:rsidR="00192CD6" w:rsidRPr="00BD14B0">
        <w:rPr>
          <w:vertAlign w:val="superscript"/>
        </w:rPr>
        <w:t>2</w:t>
      </w:r>
      <w:r w:rsidR="00192CD6" w:rsidRPr="00BD14B0">
        <w:rPr>
          <w:vertAlign w:val="subscript"/>
        </w:rPr>
        <w:t>p</w:t>
      </w:r>
      <w:r w:rsidR="00192CD6" w:rsidRPr="00BD14B0">
        <w:t xml:space="preserve">=.146, such that female gazers had a significantly higher face rating score by .321 compared to males. The main effect of adjective was significant as well, </w:t>
      </w:r>
      <w:proofErr w:type="gramStart"/>
      <w:r w:rsidR="00192CD6" w:rsidRPr="00BD14B0">
        <w:rPr>
          <w:i/>
          <w:iCs/>
        </w:rPr>
        <w:t>F</w:t>
      </w:r>
      <w:r w:rsidR="00192CD6" w:rsidRPr="00BD14B0">
        <w:t>(</w:t>
      </w:r>
      <w:proofErr w:type="gramEnd"/>
      <w:r w:rsidR="00192CD6" w:rsidRPr="00BD14B0">
        <w:t>2.185, 93.972) = 11.469 , </w:t>
      </w:r>
      <w:r w:rsidR="00192CD6" w:rsidRPr="00BD14B0">
        <w:rPr>
          <w:i/>
          <w:iCs/>
        </w:rPr>
        <w:t xml:space="preserve">p </w:t>
      </w:r>
      <w:r w:rsidR="00192CD6" w:rsidRPr="00BD14B0">
        <w:t xml:space="preserve">&lt; .001, </w:t>
      </w:r>
      <w:r w:rsidR="00192CD6" w:rsidRPr="00BD14B0">
        <w:rPr>
          <w:i/>
        </w:rPr>
        <w:t>η</w:t>
      </w:r>
      <w:r w:rsidR="00192CD6" w:rsidRPr="00BD14B0">
        <w:rPr>
          <w:vertAlign w:val="superscript"/>
        </w:rPr>
        <w:t>2</w:t>
      </w:r>
      <w:r w:rsidR="00192CD6" w:rsidRPr="00BD14B0">
        <w:rPr>
          <w:vertAlign w:val="subscript"/>
        </w:rPr>
        <w:t>p</w:t>
      </w:r>
      <w:r w:rsidR="00192CD6" w:rsidRPr="00BD14B0">
        <w:t xml:space="preserve">=.211. Leadership had a non-significant main effect, </w:t>
      </w:r>
      <w:proofErr w:type="gramStart"/>
      <w:r w:rsidR="00192CD6" w:rsidRPr="00BD14B0">
        <w:rPr>
          <w:i/>
          <w:iCs/>
        </w:rPr>
        <w:t>F</w:t>
      </w:r>
      <w:r w:rsidR="00192CD6" w:rsidRPr="00BD14B0">
        <w:t>(</w:t>
      </w:r>
      <w:proofErr w:type="gramEnd"/>
      <w:r w:rsidR="00192CD6" w:rsidRPr="00BD14B0">
        <w:t>1, 43) = .888 , </w:t>
      </w:r>
      <w:r w:rsidR="00192CD6" w:rsidRPr="00BD14B0">
        <w:rPr>
          <w:i/>
          <w:iCs/>
        </w:rPr>
        <w:t>p</w:t>
      </w:r>
      <w:r w:rsidR="00192CD6" w:rsidRPr="00BD14B0">
        <w:t xml:space="preserve"> = .575, </w:t>
      </w:r>
      <w:r w:rsidR="00192CD6" w:rsidRPr="00BD14B0">
        <w:rPr>
          <w:i/>
        </w:rPr>
        <w:t>η</w:t>
      </w:r>
      <w:r w:rsidR="00192CD6" w:rsidRPr="00BD14B0">
        <w:rPr>
          <w:vertAlign w:val="superscript"/>
        </w:rPr>
        <w:t>2</w:t>
      </w:r>
      <w:r w:rsidR="00192CD6" w:rsidRPr="00BD14B0">
        <w:rPr>
          <w:vertAlign w:val="subscript"/>
        </w:rPr>
        <w:t>p</w:t>
      </w:r>
      <w:r w:rsidR="00192CD6" w:rsidRPr="00BD14B0">
        <w:t xml:space="preserve">=.007. Additionally, a significant interaction was found between gender of gazer and adjective, </w:t>
      </w:r>
      <w:proofErr w:type="gramStart"/>
      <w:r w:rsidR="00192CD6" w:rsidRPr="00BD14B0">
        <w:rPr>
          <w:i/>
          <w:iCs/>
        </w:rPr>
        <w:t>F</w:t>
      </w:r>
      <w:r w:rsidR="00192CD6" w:rsidRPr="00BD14B0">
        <w:t>(</w:t>
      </w:r>
      <w:proofErr w:type="gramEnd"/>
      <w:r w:rsidR="00192CD6" w:rsidRPr="00BD14B0">
        <w:t>2.000, 87.026) = 10.153 , </w:t>
      </w:r>
      <w:r w:rsidR="00192CD6" w:rsidRPr="00BD14B0">
        <w:rPr>
          <w:i/>
          <w:iCs/>
        </w:rPr>
        <w:t>p</w:t>
      </w:r>
      <w:r w:rsidR="00192CD6" w:rsidRPr="00BD14B0">
        <w:t xml:space="preserve">&lt;.000, </w:t>
      </w:r>
      <w:r w:rsidR="00192CD6" w:rsidRPr="00BD14B0">
        <w:rPr>
          <w:i/>
        </w:rPr>
        <w:t>η</w:t>
      </w:r>
      <w:r w:rsidR="00192CD6" w:rsidRPr="00BD14B0">
        <w:rPr>
          <w:vertAlign w:val="superscript"/>
        </w:rPr>
        <w:t>2</w:t>
      </w:r>
      <w:r w:rsidR="00192CD6" w:rsidRPr="00BD14B0">
        <w:rPr>
          <w:vertAlign w:val="subscript"/>
        </w:rPr>
        <w:t>p</w:t>
      </w:r>
      <w:r w:rsidR="00192CD6" w:rsidRPr="00BD14B0">
        <w:t>=.156. Additional pairwise comparison tests between gender of gazer and adjective showed that female faces were rated to be more “</w:t>
      </w:r>
      <w:bookmarkStart w:id="107" w:name="OLE_LINK12"/>
      <w:r w:rsidR="00192CD6" w:rsidRPr="00BD14B0">
        <w:t>Attractive</w:t>
      </w:r>
      <w:bookmarkEnd w:id="107"/>
      <w:r w:rsidR="00192CD6" w:rsidRPr="00BD14B0">
        <w:t xml:space="preserve">” by .591, </w:t>
      </w:r>
      <w:r w:rsidR="00192CD6" w:rsidRPr="00BD14B0">
        <w:rPr>
          <w:i/>
          <w:iCs/>
        </w:rPr>
        <w:t xml:space="preserve">p </w:t>
      </w:r>
      <w:r w:rsidR="00192CD6" w:rsidRPr="00BD14B0">
        <w:t>&lt; .001, “</w:t>
      </w:r>
      <w:bookmarkStart w:id="108" w:name="OLE_LINK13"/>
      <w:r w:rsidR="00192CD6" w:rsidRPr="00BD14B0">
        <w:t>Trustworthy</w:t>
      </w:r>
      <w:bookmarkEnd w:id="108"/>
      <w:r w:rsidR="00192CD6" w:rsidRPr="00BD14B0">
        <w:t xml:space="preserve">” by .648, </w:t>
      </w:r>
      <w:r w:rsidR="00192CD6" w:rsidRPr="00BD14B0">
        <w:rPr>
          <w:i/>
          <w:iCs/>
        </w:rPr>
        <w:t xml:space="preserve">p </w:t>
      </w:r>
      <w:r w:rsidR="00192CD6" w:rsidRPr="00BD14B0">
        <w:t>&lt; .001, and “</w:t>
      </w:r>
      <w:bookmarkStart w:id="109" w:name="OLE_LINK14"/>
      <w:r w:rsidR="00192CD6" w:rsidRPr="00BD14B0">
        <w:t>Likable</w:t>
      </w:r>
      <w:bookmarkEnd w:id="109"/>
      <w:r w:rsidR="00192CD6" w:rsidRPr="00BD14B0">
        <w:t xml:space="preserve">” by .412, </w:t>
      </w:r>
      <w:r w:rsidR="00192CD6" w:rsidRPr="00BD14B0">
        <w:rPr>
          <w:i/>
          <w:iCs/>
        </w:rPr>
        <w:t xml:space="preserve">p </w:t>
      </w:r>
      <w:r w:rsidR="00192CD6" w:rsidRPr="00BD14B0">
        <w:t>&lt; .001, compared to male faces. There was no significant difference for “</w:t>
      </w:r>
      <w:bookmarkStart w:id="110" w:name="OLE_LINK11"/>
      <w:r w:rsidR="00192CD6" w:rsidRPr="00BD14B0">
        <w:t>Dominant</w:t>
      </w:r>
      <w:bookmarkEnd w:id="110"/>
      <w:r w:rsidR="00192CD6" w:rsidRPr="00BD14B0">
        <w:t xml:space="preserve">” score between male and female faces (see Figure </w:t>
      </w:r>
      <w:r w:rsidR="00F908DD" w:rsidRPr="00BD14B0">
        <w:t>19)</w:t>
      </w:r>
      <w:r w:rsidR="00192CD6" w:rsidRPr="00BD14B0">
        <w:t xml:space="preserve">. </w:t>
      </w:r>
    </w:p>
    <w:p w14:paraId="24F6DECB" w14:textId="00A10BE9" w:rsidR="00F908DD" w:rsidRPr="00BD14B0" w:rsidRDefault="00F908DD" w:rsidP="00553E01"/>
    <w:p w14:paraId="3D528D03" w14:textId="22F87BBE" w:rsidR="005A2E51" w:rsidRPr="00BD14B0" w:rsidRDefault="005A2E51" w:rsidP="00553E01"/>
    <w:p w14:paraId="31AFEA30" w14:textId="44B7F5D3" w:rsidR="005A2E51" w:rsidRPr="00BD14B0" w:rsidRDefault="005A2E51" w:rsidP="00553E01"/>
    <w:p w14:paraId="605E76F1" w14:textId="2305ECD8" w:rsidR="005A2E51" w:rsidRPr="00BD14B0" w:rsidRDefault="005A2E51" w:rsidP="00553E01"/>
    <w:p w14:paraId="355BE686" w14:textId="21A7642B" w:rsidR="005A2E51" w:rsidRPr="00BD14B0" w:rsidRDefault="005A2E51" w:rsidP="00553E01"/>
    <w:p w14:paraId="2DBA9605" w14:textId="6A1A13D5" w:rsidR="005A2E51" w:rsidRPr="00BD14B0" w:rsidRDefault="005A2E51" w:rsidP="00553E01"/>
    <w:p w14:paraId="0577C04D" w14:textId="5E190F5B" w:rsidR="005A2E51" w:rsidRPr="00BD14B0" w:rsidRDefault="005A2E51" w:rsidP="00553E01"/>
    <w:p w14:paraId="026EF78B" w14:textId="761B4F08" w:rsidR="005A2E51" w:rsidRPr="00BD14B0" w:rsidRDefault="005A2E51" w:rsidP="00553E01"/>
    <w:p w14:paraId="10B3E750" w14:textId="60BDA6C7" w:rsidR="005A2E51" w:rsidRPr="00BD14B0" w:rsidRDefault="005A2E51" w:rsidP="00553E01"/>
    <w:p w14:paraId="66B3FB67" w14:textId="77777777" w:rsidR="005A2E51" w:rsidRPr="00BD14B0" w:rsidRDefault="005A2E51" w:rsidP="00553E01"/>
    <w:p w14:paraId="2C14152A" w14:textId="77777777" w:rsidR="00F908DD" w:rsidRPr="00BD14B0" w:rsidRDefault="00F908DD" w:rsidP="00553E01"/>
    <w:p w14:paraId="3666C772" w14:textId="567D6DC3" w:rsidR="00F908DD" w:rsidRPr="00BD14B0" w:rsidRDefault="00274938" w:rsidP="00274938">
      <w:pPr>
        <w:pStyle w:val="Title"/>
      </w:pPr>
      <w:bookmarkStart w:id="111" w:name="_Toc108322135"/>
      <w:r>
        <w:lastRenderedPageBreak/>
        <w:t xml:space="preserve">Figure </w:t>
      </w:r>
      <w:r w:rsidR="003B267D">
        <w:fldChar w:fldCharType="begin"/>
      </w:r>
      <w:r w:rsidR="003B267D">
        <w:instrText xml:space="preserve"> SEQ Figure \* ARABIC </w:instrText>
      </w:r>
      <w:r w:rsidR="003B267D">
        <w:fldChar w:fldCharType="separate"/>
      </w:r>
      <w:r w:rsidR="003B267D">
        <w:rPr>
          <w:noProof/>
        </w:rPr>
        <w:t>20</w:t>
      </w:r>
      <w:r w:rsidR="003B267D">
        <w:fldChar w:fldCharType="end"/>
      </w:r>
      <w:bookmarkEnd w:id="111"/>
    </w:p>
    <w:p w14:paraId="2F5D9639" w14:textId="77777777" w:rsidR="00F908DD" w:rsidRPr="00BD14B0" w:rsidRDefault="00F908DD" w:rsidP="00F908DD">
      <w:pPr>
        <w:rPr>
          <w:i/>
          <w:iCs/>
        </w:rPr>
      </w:pPr>
      <w:r w:rsidRPr="00BD14B0">
        <w:rPr>
          <w:i/>
          <w:iCs/>
        </w:rPr>
        <w:t xml:space="preserve">Learning phase- Overall average face rating scores divided by adjective and gender of gazer.  </w:t>
      </w:r>
    </w:p>
    <w:p w14:paraId="404ED468" w14:textId="77777777" w:rsidR="00192CD6" w:rsidRPr="00BD14B0" w:rsidRDefault="00192CD6" w:rsidP="00553E01">
      <w:r w:rsidRPr="00BD14B0">
        <w:rPr>
          <w:noProof/>
        </w:rPr>
        <w:drawing>
          <wp:inline distT="0" distB="0" distL="0" distR="0" wp14:anchorId="09748C47" wp14:editId="57363E35">
            <wp:extent cx="5560695" cy="3444875"/>
            <wp:effectExtent l="0" t="0" r="0" b="0"/>
            <wp:docPr id="5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60695" cy="3444875"/>
                    </a:xfrm>
                    <a:prstGeom prst="rect">
                      <a:avLst/>
                    </a:prstGeom>
                    <a:noFill/>
                    <a:ln>
                      <a:noFill/>
                    </a:ln>
                  </pic:spPr>
                </pic:pic>
              </a:graphicData>
            </a:graphic>
          </wp:inline>
        </w:drawing>
      </w:r>
    </w:p>
    <w:p w14:paraId="608066BF" w14:textId="4A1F0A64" w:rsidR="00192CD6" w:rsidRPr="00BD14B0" w:rsidRDefault="00192CD6" w:rsidP="00553E01">
      <w:r w:rsidRPr="00BD14B0">
        <w:tab/>
        <w:t>Non-significant interactions were found between leadership and gender of gazer</w:t>
      </w:r>
      <w:bookmarkStart w:id="112" w:name="OLE_LINK5"/>
      <w:r w:rsidRPr="00BD14B0">
        <w:t xml:space="preserve">, </w:t>
      </w:r>
      <w:proofErr w:type="gramStart"/>
      <w:r w:rsidRPr="00BD14B0">
        <w:rPr>
          <w:i/>
          <w:iCs/>
        </w:rPr>
        <w:t>F</w:t>
      </w:r>
      <w:r w:rsidRPr="00BD14B0">
        <w:t>(</w:t>
      </w:r>
      <w:proofErr w:type="gramEnd"/>
      <w:r w:rsidRPr="00BD14B0">
        <w:t>1, 43) = 3.695 , </w:t>
      </w:r>
      <w:r w:rsidRPr="00BD14B0">
        <w:rPr>
          <w:i/>
          <w:iCs/>
        </w:rPr>
        <w:t>p</w:t>
      </w:r>
      <w:r w:rsidRPr="00BD14B0">
        <w:t xml:space="preserve"> = .351, </w:t>
      </w:r>
      <w:r w:rsidRPr="00BD14B0">
        <w:rPr>
          <w:i/>
        </w:rPr>
        <w:t>η</w:t>
      </w:r>
      <w:r w:rsidRPr="00BD14B0">
        <w:rPr>
          <w:vertAlign w:val="superscript"/>
        </w:rPr>
        <w:t>2</w:t>
      </w:r>
      <w:r w:rsidRPr="00BD14B0">
        <w:rPr>
          <w:vertAlign w:val="subscript"/>
        </w:rPr>
        <w:t>p</w:t>
      </w:r>
      <w:r w:rsidRPr="00BD14B0">
        <w:t xml:space="preserve">=.020, </w:t>
      </w:r>
      <w:bookmarkEnd w:id="112"/>
      <w:r w:rsidRPr="00BD14B0">
        <w:t xml:space="preserve">and leadership and adjective, </w:t>
      </w:r>
      <w:r w:rsidRPr="00BD14B0">
        <w:rPr>
          <w:i/>
          <w:iCs/>
        </w:rPr>
        <w:t>F</w:t>
      </w:r>
      <w:r w:rsidRPr="00BD14B0">
        <w:t>(3, 129) = 1.100 , </w:t>
      </w:r>
      <w:r w:rsidRPr="00BD14B0">
        <w:rPr>
          <w:i/>
          <w:iCs/>
        </w:rPr>
        <w:t>p</w:t>
      </w:r>
      <w:r w:rsidRPr="00BD14B0">
        <w:t xml:space="preserve"> = .511, </w:t>
      </w:r>
      <w:r w:rsidRPr="00BD14B0">
        <w:rPr>
          <w:i/>
        </w:rPr>
        <w:t>η</w:t>
      </w:r>
      <w:r w:rsidRPr="00BD14B0">
        <w:rPr>
          <w:vertAlign w:val="superscript"/>
        </w:rPr>
        <w:t>2</w:t>
      </w:r>
      <w:r w:rsidRPr="00BD14B0">
        <w:rPr>
          <w:vertAlign w:val="subscript"/>
        </w:rPr>
        <w:t>p</w:t>
      </w:r>
      <w:r w:rsidRPr="00BD14B0">
        <w:t>=.156</w:t>
      </w:r>
      <w:r w:rsidR="003F32D0" w:rsidRPr="00BD14B0">
        <w:t xml:space="preserve">. </w:t>
      </w:r>
    </w:p>
    <w:p w14:paraId="23DE7060" w14:textId="77777777" w:rsidR="003F32D0" w:rsidRPr="00BD14B0" w:rsidRDefault="003F32D0" w:rsidP="00553E01"/>
    <w:p w14:paraId="38F2A8CB" w14:textId="77777777" w:rsidR="00192CD6" w:rsidRPr="00BD14B0" w:rsidRDefault="00192CD6" w:rsidP="00353148">
      <w:pPr>
        <w:pStyle w:val="Heading4"/>
        <w:numPr>
          <w:ilvl w:val="0"/>
          <w:numId w:val="0"/>
        </w:numPr>
        <w:ind w:left="851"/>
        <w:rPr>
          <w:u w:val="single"/>
        </w:rPr>
      </w:pPr>
      <w:r w:rsidRPr="00BD14B0">
        <w:t xml:space="preserve">Reaction time measurement </w:t>
      </w:r>
    </w:p>
    <w:p w14:paraId="504253CE" w14:textId="242911F8" w:rsidR="00192CD6" w:rsidRPr="00BD14B0" w:rsidRDefault="00192CD6" w:rsidP="00553E01">
      <w:r w:rsidRPr="00BD14B0">
        <w:tab/>
      </w:r>
      <w:r w:rsidR="003F32D0" w:rsidRPr="00BD14B0">
        <w:t xml:space="preserve">All responses contributed for the main RT measurement in each condition in order to investigate whether gaze cueing effect has different correlation with gender and reaction time. A repeated measure ANOVAs conducted for RT measurement. This showed that Mauchly's Test of Sphericity had been violated for adjective, </w:t>
      </w:r>
      <w:r w:rsidR="003F32D0" w:rsidRPr="00BD14B0">
        <w:rPr>
          <w:i/>
          <w:iCs/>
        </w:rPr>
        <w:t xml:space="preserve">p </w:t>
      </w:r>
      <w:r w:rsidR="003F32D0" w:rsidRPr="00BD14B0">
        <w:t xml:space="preserve">&lt; .001, gender of gazer-adjective interaction, </w:t>
      </w:r>
      <w:r w:rsidR="003F32D0" w:rsidRPr="00BD14B0">
        <w:rPr>
          <w:i/>
          <w:iCs/>
        </w:rPr>
        <w:t xml:space="preserve">p </w:t>
      </w:r>
      <w:r w:rsidR="003F32D0" w:rsidRPr="00BD14B0">
        <w:t xml:space="preserve">&lt; .001, leadership-adjective interaction, </w:t>
      </w:r>
      <w:r w:rsidR="003F32D0" w:rsidRPr="00BD14B0">
        <w:rPr>
          <w:i/>
          <w:iCs/>
        </w:rPr>
        <w:t xml:space="preserve">p </w:t>
      </w:r>
      <w:r w:rsidR="003F32D0" w:rsidRPr="00BD14B0">
        <w:t xml:space="preserve">&lt; .001, and gender of gazer-leadership-adjective interaction, </w:t>
      </w:r>
      <w:r w:rsidR="003F32D0" w:rsidRPr="00BD14B0">
        <w:rPr>
          <w:i/>
          <w:iCs/>
        </w:rPr>
        <w:t xml:space="preserve">p </w:t>
      </w:r>
      <w:r w:rsidR="003F32D0" w:rsidRPr="00BD14B0">
        <w:t xml:space="preserve">&lt; .001. These analyses for </w:t>
      </w:r>
      <w:r w:rsidR="00575F06" w:rsidRPr="00BD14B0">
        <w:t>this variable</w:t>
      </w:r>
      <w:r w:rsidR="003F32D0" w:rsidRPr="00BD14B0">
        <w:t xml:space="preserve"> </w:t>
      </w:r>
      <w:proofErr w:type="gramStart"/>
      <w:r w:rsidR="00575F06" w:rsidRPr="00BD14B0">
        <w:t>is</w:t>
      </w:r>
      <w:proofErr w:type="gramEnd"/>
      <w:r w:rsidR="003F32D0" w:rsidRPr="00BD14B0">
        <w:t xml:space="preserve"> reported with </w:t>
      </w:r>
      <w:proofErr w:type="spellStart"/>
      <w:r w:rsidR="003F32D0" w:rsidRPr="00BD14B0">
        <w:t>GreenHouse-Geisser</w:t>
      </w:r>
      <w:proofErr w:type="spellEnd"/>
      <w:r w:rsidR="003F32D0" w:rsidRPr="00BD14B0">
        <w:t xml:space="preserve"> corrections. The main effect of adjective was significant, </w:t>
      </w:r>
      <w:proofErr w:type="gramStart"/>
      <w:r w:rsidR="003F32D0" w:rsidRPr="00BD14B0">
        <w:rPr>
          <w:i/>
          <w:iCs/>
        </w:rPr>
        <w:t>F</w:t>
      </w:r>
      <w:r w:rsidR="003F32D0" w:rsidRPr="00BD14B0">
        <w:t>(</w:t>
      </w:r>
      <w:proofErr w:type="gramEnd"/>
      <w:r w:rsidR="003F32D0" w:rsidRPr="00BD14B0">
        <w:t>1.973, 84.819) = 5.908 , </w:t>
      </w:r>
      <w:r w:rsidR="003F32D0" w:rsidRPr="00BD14B0">
        <w:rPr>
          <w:i/>
          <w:iCs/>
        </w:rPr>
        <w:t xml:space="preserve">p </w:t>
      </w:r>
      <w:r w:rsidR="003F32D0" w:rsidRPr="00BD14B0">
        <w:t xml:space="preserve">&lt; .001, </w:t>
      </w:r>
      <w:r w:rsidR="003F32D0" w:rsidRPr="00BD14B0">
        <w:rPr>
          <w:i/>
        </w:rPr>
        <w:t>η</w:t>
      </w:r>
      <w:r w:rsidR="003F32D0" w:rsidRPr="00BD14B0">
        <w:rPr>
          <w:vertAlign w:val="superscript"/>
        </w:rPr>
        <w:t>2</w:t>
      </w:r>
      <w:r w:rsidR="003F32D0" w:rsidRPr="00BD14B0">
        <w:rPr>
          <w:vertAlign w:val="subscript"/>
        </w:rPr>
        <w:t>p</w:t>
      </w:r>
      <w:r w:rsidR="003F32D0" w:rsidRPr="00BD14B0">
        <w:t xml:space="preserve">=.121 (see Figure 23). Non-significant main effects </w:t>
      </w:r>
      <w:r w:rsidR="003F32D0" w:rsidRPr="00BD14B0">
        <w:lastRenderedPageBreak/>
        <w:t xml:space="preserve">were found for leadership, </w:t>
      </w:r>
      <w:proofErr w:type="gramStart"/>
      <w:r w:rsidR="003F32D0" w:rsidRPr="00BD14B0">
        <w:rPr>
          <w:i/>
          <w:iCs/>
        </w:rPr>
        <w:t>F</w:t>
      </w:r>
      <w:r w:rsidR="003F32D0" w:rsidRPr="00BD14B0">
        <w:t>(</w:t>
      </w:r>
      <w:proofErr w:type="gramEnd"/>
      <w:r w:rsidR="003F32D0" w:rsidRPr="00BD14B0">
        <w:t>1,43) = 0.221, </w:t>
      </w:r>
      <w:r w:rsidR="003F32D0" w:rsidRPr="00BD14B0">
        <w:rPr>
          <w:i/>
          <w:iCs/>
        </w:rPr>
        <w:t>p</w:t>
      </w:r>
      <w:r w:rsidR="003F32D0" w:rsidRPr="00BD14B0">
        <w:t xml:space="preserve"> = .640, </w:t>
      </w:r>
      <w:r w:rsidR="003F32D0" w:rsidRPr="00BD14B0">
        <w:rPr>
          <w:i/>
        </w:rPr>
        <w:t>η</w:t>
      </w:r>
      <w:r w:rsidR="003F32D0" w:rsidRPr="00BD14B0">
        <w:rPr>
          <w:vertAlign w:val="superscript"/>
        </w:rPr>
        <w:t>2</w:t>
      </w:r>
      <w:r w:rsidR="003F32D0" w:rsidRPr="00BD14B0">
        <w:rPr>
          <w:vertAlign w:val="subscript"/>
        </w:rPr>
        <w:t>p</w:t>
      </w:r>
      <w:r w:rsidR="003F32D0" w:rsidRPr="00BD14B0">
        <w:t xml:space="preserve">=.121, and gender of gazer, </w:t>
      </w:r>
      <w:r w:rsidR="003F32D0" w:rsidRPr="00BD14B0">
        <w:rPr>
          <w:i/>
          <w:iCs/>
        </w:rPr>
        <w:t>F</w:t>
      </w:r>
      <w:r w:rsidR="003F32D0" w:rsidRPr="00BD14B0">
        <w:t>(1,43) = 0.011, </w:t>
      </w:r>
      <w:r w:rsidR="003F32D0" w:rsidRPr="00BD14B0">
        <w:rPr>
          <w:i/>
          <w:iCs/>
        </w:rPr>
        <w:t>p</w:t>
      </w:r>
      <w:r w:rsidR="003F32D0" w:rsidRPr="00BD14B0">
        <w:t xml:space="preserve"> = .918, </w:t>
      </w:r>
      <w:r w:rsidR="003F32D0" w:rsidRPr="00BD14B0">
        <w:rPr>
          <w:i/>
        </w:rPr>
        <w:t>η</w:t>
      </w:r>
      <w:r w:rsidR="003F32D0" w:rsidRPr="00BD14B0">
        <w:rPr>
          <w:vertAlign w:val="superscript"/>
        </w:rPr>
        <w:t>2</w:t>
      </w:r>
      <w:r w:rsidR="003F32D0" w:rsidRPr="00BD14B0">
        <w:rPr>
          <w:vertAlign w:val="subscript"/>
        </w:rPr>
        <w:t>p</w:t>
      </w:r>
      <w:r w:rsidR="003F32D0" w:rsidRPr="00BD14B0">
        <w:t xml:space="preserve">=.000. Additionally, non-significant interactions were found between gender of gazer and leadership, </w:t>
      </w:r>
      <w:proofErr w:type="gramStart"/>
      <w:r w:rsidR="003F32D0" w:rsidRPr="00BD14B0">
        <w:rPr>
          <w:i/>
          <w:iCs/>
        </w:rPr>
        <w:t>F</w:t>
      </w:r>
      <w:r w:rsidR="003F32D0" w:rsidRPr="00BD14B0">
        <w:t>(</w:t>
      </w:r>
      <w:proofErr w:type="gramEnd"/>
      <w:r w:rsidR="003F32D0" w:rsidRPr="00BD14B0">
        <w:t>1,43) = 2.313, </w:t>
      </w:r>
      <w:r w:rsidR="003F32D0" w:rsidRPr="00BD14B0">
        <w:rPr>
          <w:i/>
          <w:iCs/>
        </w:rPr>
        <w:t>p</w:t>
      </w:r>
      <w:r w:rsidR="003F32D0" w:rsidRPr="00BD14B0">
        <w:t xml:space="preserve"> = .748, </w:t>
      </w:r>
      <w:r w:rsidR="003F32D0" w:rsidRPr="00BD14B0">
        <w:rPr>
          <w:i/>
        </w:rPr>
        <w:t>η</w:t>
      </w:r>
      <w:r w:rsidR="003F32D0" w:rsidRPr="00BD14B0">
        <w:rPr>
          <w:vertAlign w:val="superscript"/>
        </w:rPr>
        <w:t>2</w:t>
      </w:r>
      <w:r w:rsidR="003F32D0" w:rsidRPr="00BD14B0">
        <w:rPr>
          <w:vertAlign w:val="subscript"/>
        </w:rPr>
        <w:t>p</w:t>
      </w:r>
      <w:r w:rsidR="003F32D0" w:rsidRPr="00BD14B0">
        <w:t xml:space="preserve">=.002, gender of gazer and adjective, </w:t>
      </w:r>
      <w:r w:rsidR="003F32D0" w:rsidRPr="00BD14B0">
        <w:rPr>
          <w:i/>
          <w:iCs/>
        </w:rPr>
        <w:t>F</w:t>
      </w:r>
      <w:r w:rsidR="003F32D0" w:rsidRPr="00BD14B0">
        <w:t>(2.361,101.511) = 2.207, </w:t>
      </w:r>
      <w:r w:rsidR="003F32D0" w:rsidRPr="00BD14B0">
        <w:rPr>
          <w:i/>
          <w:iCs/>
        </w:rPr>
        <w:t>p</w:t>
      </w:r>
      <w:r w:rsidR="003F32D0" w:rsidRPr="00BD14B0">
        <w:t xml:space="preserve"> = .106, </w:t>
      </w:r>
      <w:r w:rsidR="003F32D0" w:rsidRPr="00BD14B0">
        <w:rPr>
          <w:i/>
        </w:rPr>
        <w:t>η</w:t>
      </w:r>
      <w:r w:rsidR="003F32D0" w:rsidRPr="00BD14B0">
        <w:rPr>
          <w:vertAlign w:val="superscript"/>
        </w:rPr>
        <w:t>2</w:t>
      </w:r>
      <w:r w:rsidR="003F32D0" w:rsidRPr="00BD14B0">
        <w:rPr>
          <w:vertAlign w:val="subscript"/>
        </w:rPr>
        <w:t>p</w:t>
      </w:r>
      <w:r w:rsidR="003F32D0" w:rsidRPr="00BD14B0">
        <w:t xml:space="preserve">=.049, and leadership and adjective, </w:t>
      </w:r>
      <w:r w:rsidR="003F32D0" w:rsidRPr="00BD14B0">
        <w:rPr>
          <w:i/>
          <w:iCs/>
        </w:rPr>
        <w:t>F</w:t>
      </w:r>
      <w:r w:rsidR="003F32D0" w:rsidRPr="00BD14B0">
        <w:t>(2.381,102.365) = 2.250, </w:t>
      </w:r>
      <w:r w:rsidR="003F32D0" w:rsidRPr="00BD14B0">
        <w:rPr>
          <w:i/>
          <w:iCs/>
        </w:rPr>
        <w:t>p</w:t>
      </w:r>
      <w:r w:rsidR="003F32D0" w:rsidRPr="00BD14B0">
        <w:t xml:space="preserve"> = .101, </w:t>
      </w:r>
      <w:r w:rsidR="003F32D0" w:rsidRPr="00BD14B0">
        <w:rPr>
          <w:i/>
        </w:rPr>
        <w:t>η</w:t>
      </w:r>
      <w:r w:rsidR="003F32D0" w:rsidRPr="00BD14B0">
        <w:rPr>
          <w:vertAlign w:val="superscript"/>
        </w:rPr>
        <w:t>2</w:t>
      </w:r>
      <w:r w:rsidR="003F32D0" w:rsidRPr="00BD14B0">
        <w:rPr>
          <w:vertAlign w:val="subscript"/>
        </w:rPr>
        <w:t>p</w:t>
      </w:r>
      <w:r w:rsidR="003F32D0" w:rsidRPr="00BD14B0">
        <w:t>=.050.</w:t>
      </w:r>
    </w:p>
    <w:p w14:paraId="113B6029" w14:textId="6BF7BC8F" w:rsidR="00F908DD" w:rsidRPr="00BD14B0" w:rsidRDefault="00F908DD" w:rsidP="00553E01"/>
    <w:p w14:paraId="4C7DA4BC" w14:textId="6289930C" w:rsidR="00F908DD" w:rsidRPr="00BD14B0" w:rsidRDefault="00274938" w:rsidP="00274938">
      <w:pPr>
        <w:pStyle w:val="Title"/>
      </w:pPr>
      <w:bookmarkStart w:id="113" w:name="_Toc108322136"/>
      <w:r>
        <w:t xml:space="preserve">Figure </w:t>
      </w:r>
      <w:r w:rsidR="003B267D">
        <w:fldChar w:fldCharType="begin"/>
      </w:r>
      <w:r w:rsidR="003B267D">
        <w:instrText xml:space="preserve"> SEQ Figure \* ARABIC </w:instrText>
      </w:r>
      <w:r w:rsidR="003B267D">
        <w:fldChar w:fldCharType="separate"/>
      </w:r>
      <w:r w:rsidR="003B267D">
        <w:rPr>
          <w:noProof/>
        </w:rPr>
        <w:t>21</w:t>
      </w:r>
      <w:r w:rsidR="003B267D">
        <w:fldChar w:fldCharType="end"/>
      </w:r>
      <w:bookmarkEnd w:id="113"/>
    </w:p>
    <w:p w14:paraId="3D564598" w14:textId="6F86A6DB" w:rsidR="00F908DD" w:rsidRPr="00BD14B0" w:rsidRDefault="00F908DD" w:rsidP="00553E01">
      <w:pPr>
        <w:rPr>
          <w:i/>
          <w:iCs/>
        </w:rPr>
      </w:pPr>
      <w:r w:rsidRPr="00BD14B0">
        <w:rPr>
          <w:i/>
          <w:iCs/>
        </w:rPr>
        <w:t>Overall mean reaction times and error bars divided by adjective</w:t>
      </w:r>
    </w:p>
    <w:p w14:paraId="61FA6224" w14:textId="768F8BB4" w:rsidR="00987784" w:rsidRPr="00BD14B0" w:rsidRDefault="00192CD6" w:rsidP="00987784">
      <w:bookmarkStart w:id="114" w:name="OLE_LINK10"/>
      <w:r w:rsidRPr="00BD14B0">
        <w:rPr>
          <w:noProof/>
        </w:rPr>
        <w:drawing>
          <wp:inline distT="0" distB="0" distL="0" distR="0" wp14:anchorId="41AEE18D" wp14:editId="6D0FC0E7">
            <wp:extent cx="4135755" cy="2530475"/>
            <wp:effectExtent l="0" t="0" r="0" b="0"/>
            <wp:docPr id="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35755" cy="2530475"/>
                    </a:xfrm>
                    <a:prstGeom prst="rect">
                      <a:avLst/>
                    </a:prstGeom>
                    <a:noFill/>
                    <a:ln>
                      <a:noFill/>
                    </a:ln>
                  </pic:spPr>
                </pic:pic>
              </a:graphicData>
            </a:graphic>
          </wp:inline>
        </w:drawing>
      </w:r>
      <w:r w:rsidRPr="00BD14B0">
        <w:tab/>
      </w:r>
      <w:bookmarkEnd w:id="114"/>
    </w:p>
    <w:p w14:paraId="5D93F1CB" w14:textId="56A32A6A" w:rsidR="00987784" w:rsidRPr="00BD14B0" w:rsidRDefault="00987784" w:rsidP="00987784">
      <w:r w:rsidRPr="00BD14B0">
        <w:tab/>
        <w:t xml:space="preserve">Additional pairwise comparison test conducted for the main differences in gender of gazer (mean RT difference between male and female gazer) and adjective. The analysis indicated that female gazers were rated faster by 1.069 </w:t>
      </w:r>
      <w:proofErr w:type="spellStart"/>
      <w:r w:rsidRPr="00BD14B0">
        <w:t>ms</w:t>
      </w:r>
      <w:proofErr w:type="spellEnd"/>
      <w:r w:rsidRPr="00BD14B0">
        <w:t xml:space="preserve"> than male gazers </w:t>
      </w:r>
      <w:r w:rsidRPr="00BD14B0">
        <w:rPr>
          <w:i/>
        </w:rPr>
        <w:t>p</w:t>
      </w:r>
      <w:r w:rsidRPr="00BD14B0">
        <w:t>=.045 at dominance rating but no other adjective ratings. (See, figure 2</w:t>
      </w:r>
      <w:r w:rsidR="00F908DD" w:rsidRPr="00BD14B0">
        <w:t>1</w:t>
      </w:r>
      <w:r w:rsidRPr="00BD14B0">
        <w:t>)</w:t>
      </w:r>
    </w:p>
    <w:p w14:paraId="61C5E9DE" w14:textId="0B5B64B8" w:rsidR="00F908DD" w:rsidRPr="00BD14B0" w:rsidRDefault="00F908DD" w:rsidP="00F908DD"/>
    <w:p w14:paraId="4C3394A0" w14:textId="71D9A5AA" w:rsidR="00F908DD" w:rsidRPr="00BD14B0" w:rsidRDefault="00F908DD" w:rsidP="00F908DD"/>
    <w:p w14:paraId="45B55CB9" w14:textId="21C099D4" w:rsidR="00F908DD" w:rsidRPr="00BD14B0" w:rsidRDefault="00F908DD" w:rsidP="00F908DD"/>
    <w:p w14:paraId="74DA13B5" w14:textId="77777777" w:rsidR="005A2E51" w:rsidRPr="00BD14B0" w:rsidRDefault="005A2E51" w:rsidP="00F908DD"/>
    <w:p w14:paraId="44876EAB" w14:textId="1AAD65C6" w:rsidR="00F908DD" w:rsidRPr="00BD14B0" w:rsidRDefault="00F908DD" w:rsidP="00F908DD"/>
    <w:p w14:paraId="0705B87A" w14:textId="77777777" w:rsidR="00F908DD" w:rsidRPr="00BD14B0" w:rsidRDefault="00F908DD" w:rsidP="00F908DD"/>
    <w:p w14:paraId="00A9DBEB" w14:textId="4E45A375" w:rsidR="00F908DD" w:rsidRPr="00BD14B0" w:rsidRDefault="00BD7BEF" w:rsidP="00BD7BEF">
      <w:pPr>
        <w:pStyle w:val="Title"/>
      </w:pPr>
      <w:bookmarkStart w:id="115" w:name="_Toc108322137"/>
      <w:r>
        <w:lastRenderedPageBreak/>
        <w:t xml:space="preserve">Figure </w:t>
      </w:r>
      <w:r w:rsidR="003B267D">
        <w:fldChar w:fldCharType="begin"/>
      </w:r>
      <w:r w:rsidR="003B267D">
        <w:instrText xml:space="preserve"> SEQ Figure \* ARABIC </w:instrText>
      </w:r>
      <w:r w:rsidR="003B267D">
        <w:fldChar w:fldCharType="separate"/>
      </w:r>
      <w:r w:rsidR="003B267D">
        <w:rPr>
          <w:noProof/>
        </w:rPr>
        <w:t>22</w:t>
      </w:r>
      <w:r w:rsidR="003B267D">
        <w:fldChar w:fldCharType="end"/>
      </w:r>
      <w:bookmarkEnd w:id="115"/>
    </w:p>
    <w:p w14:paraId="2F44E01C" w14:textId="6D3301B5" w:rsidR="00F908DD" w:rsidRPr="00BD14B0" w:rsidRDefault="00F908DD" w:rsidP="00F908DD">
      <w:pPr>
        <w:rPr>
          <w:i/>
          <w:iCs/>
        </w:rPr>
      </w:pPr>
      <w:r w:rsidRPr="00BD14B0">
        <w:rPr>
          <w:i/>
          <w:iCs/>
        </w:rPr>
        <w:t xml:space="preserve">Overall mean RT divided by gender and adjective.  </w:t>
      </w:r>
    </w:p>
    <w:p w14:paraId="0C66E555" w14:textId="4E3EF063" w:rsidR="00192CD6" w:rsidRPr="00BD14B0" w:rsidRDefault="00192CD6" w:rsidP="00553E01">
      <w:r w:rsidRPr="00BD14B0">
        <w:rPr>
          <w:noProof/>
        </w:rPr>
        <w:drawing>
          <wp:inline distT="0" distB="0" distL="0" distR="0" wp14:anchorId="1068403A" wp14:editId="0A74B08A">
            <wp:extent cx="4923155" cy="3094355"/>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23155" cy="3094355"/>
                    </a:xfrm>
                    <a:prstGeom prst="rect">
                      <a:avLst/>
                    </a:prstGeom>
                    <a:noFill/>
                    <a:ln>
                      <a:noFill/>
                    </a:ln>
                  </pic:spPr>
                </pic:pic>
              </a:graphicData>
            </a:graphic>
          </wp:inline>
        </w:drawing>
      </w:r>
    </w:p>
    <w:p w14:paraId="02F714F4" w14:textId="77777777" w:rsidR="005A2E51" w:rsidRPr="00BD14B0" w:rsidRDefault="005A2E51" w:rsidP="005A2E51">
      <w:r w:rsidRPr="00BD14B0">
        <w:t>Note. * p &lt; .05</w:t>
      </w:r>
    </w:p>
    <w:p w14:paraId="6278A0FA" w14:textId="7275FEEF" w:rsidR="00192CD6" w:rsidRPr="00BD14B0" w:rsidRDefault="00192CD6" w:rsidP="00553E01">
      <w:pPr>
        <w:pStyle w:val="Heading3"/>
      </w:pPr>
      <w:bookmarkStart w:id="116" w:name="_Toc108310799"/>
      <w:r w:rsidRPr="00BD14B0">
        <w:t>Task 3: Testing Phase</w:t>
      </w:r>
      <w:bookmarkEnd w:id="116"/>
    </w:p>
    <w:p w14:paraId="48C49260" w14:textId="6FA5A6A0" w:rsidR="00192CD6" w:rsidRPr="00BD14B0" w:rsidRDefault="00AD78B4" w:rsidP="00553E01">
      <w:r w:rsidRPr="00BD14B0">
        <w:tab/>
      </w:r>
      <w:r w:rsidR="00192CD6" w:rsidRPr="00BD14B0">
        <w:t xml:space="preserve">Accuracy and RT data were collected. Two participants (number 4, number 5) were excluded from the RT data due to being extreme outliers in multiple conditions. But both </w:t>
      </w:r>
      <w:r w:rsidR="00575F06" w:rsidRPr="00BD14B0">
        <w:t>participants</w:t>
      </w:r>
      <w:r w:rsidR="00192CD6" w:rsidRPr="00BD14B0">
        <w:t>’ data were used in accuracy measurements. Two separate repeated measures ANOVAs were conducted on accuracy (number of accurate response) and reaction times (</w:t>
      </w:r>
      <w:proofErr w:type="spellStart"/>
      <w:r w:rsidR="00192CD6" w:rsidRPr="00BD14B0">
        <w:t>ms</w:t>
      </w:r>
      <w:proofErr w:type="spellEnd"/>
      <w:r w:rsidR="00192CD6" w:rsidRPr="00BD14B0">
        <w:t xml:space="preserve">).  The within-participants factors were leadership (leader X follower), gender of gazer (male X female) and congruency (congruent X incongruent). </w:t>
      </w:r>
    </w:p>
    <w:p w14:paraId="38305ADF" w14:textId="77777777" w:rsidR="00192CD6" w:rsidRPr="00BD14B0" w:rsidRDefault="00192CD6" w:rsidP="00553E01"/>
    <w:p w14:paraId="321AE95D" w14:textId="77777777" w:rsidR="00192CD6" w:rsidRPr="00BD14B0" w:rsidRDefault="00192CD6" w:rsidP="00353148">
      <w:pPr>
        <w:pStyle w:val="Heading4"/>
        <w:numPr>
          <w:ilvl w:val="0"/>
          <w:numId w:val="0"/>
        </w:numPr>
        <w:ind w:left="851"/>
      </w:pPr>
      <w:r w:rsidRPr="00BD14B0">
        <w:t>Accuracy response</w:t>
      </w:r>
    </w:p>
    <w:p w14:paraId="748E174E" w14:textId="766167ED" w:rsidR="001F28C7" w:rsidRPr="00BD14B0" w:rsidRDefault="00192CD6" w:rsidP="00553E01">
      <w:r w:rsidRPr="00BD14B0">
        <w:tab/>
        <w:t xml:space="preserve">The overall accuracy was 96.5 %. The accuracy ANOVA showed a significant main effect of congruency, </w:t>
      </w:r>
      <w:proofErr w:type="gramStart"/>
      <w:r w:rsidRPr="00BD14B0">
        <w:rPr>
          <w:i/>
          <w:iCs/>
        </w:rPr>
        <w:t>F</w:t>
      </w:r>
      <w:r w:rsidRPr="00BD14B0">
        <w:t>(</w:t>
      </w:r>
      <w:proofErr w:type="gramEnd"/>
      <w:r w:rsidRPr="00BD14B0">
        <w:t>1,43) = 26.199, </w:t>
      </w:r>
      <w:r w:rsidRPr="00BD14B0">
        <w:rPr>
          <w:i/>
          <w:iCs/>
        </w:rPr>
        <w:t>p</w:t>
      </w:r>
      <w:r w:rsidRPr="00BD14B0">
        <w:t xml:space="preserve"> &lt; .001, </w:t>
      </w:r>
      <w:r w:rsidRPr="00BD14B0">
        <w:rPr>
          <w:i/>
        </w:rPr>
        <w:t>η</w:t>
      </w:r>
      <w:r w:rsidRPr="00BD14B0">
        <w:rPr>
          <w:vertAlign w:val="superscript"/>
        </w:rPr>
        <w:t>2</w:t>
      </w:r>
      <w:r w:rsidRPr="00BD14B0">
        <w:rPr>
          <w:vertAlign w:val="subscript"/>
        </w:rPr>
        <w:t>p</w:t>
      </w:r>
      <w:r w:rsidRPr="00BD14B0">
        <w:t xml:space="preserve">=.379, such that participants were found to respond more accurately to congruent trials (where eye gaze and the target is at the same side of the screen) compared to incongruent trials (where the location of the target is opposite side of the screen from eye gaze) (see Table 9). </w:t>
      </w:r>
    </w:p>
    <w:p w14:paraId="3D93F95C" w14:textId="77F9F6B1" w:rsidR="00192CD6" w:rsidRPr="00BD14B0" w:rsidRDefault="00FE0D89" w:rsidP="00224DA0">
      <w:pPr>
        <w:pStyle w:val="Title"/>
      </w:pPr>
      <w:bookmarkStart w:id="117" w:name="_Toc108321857"/>
      <w:bookmarkStart w:id="118" w:name="_Hlk509971434"/>
      <w:r>
        <w:lastRenderedPageBreak/>
        <w:t xml:space="preserve">Table </w:t>
      </w:r>
      <w:bookmarkEnd w:id="117"/>
      <w:r w:rsidR="00656710">
        <w:t>9</w:t>
      </w:r>
    </w:p>
    <w:p w14:paraId="47DF89AA" w14:textId="39B93314" w:rsidR="00192CD6" w:rsidRPr="00BD14B0" w:rsidRDefault="00192CD6" w:rsidP="00553E01">
      <w:r w:rsidRPr="00BD14B0">
        <w:rPr>
          <w:i/>
          <w:iCs/>
        </w:rPr>
        <w:t>Mean and standard deviation of accuracy rating response</w:t>
      </w:r>
      <w:bookmarkEnd w:id="118"/>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6"/>
        <w:gridCol w:w="976"/>
        <w:gridCol w:w="988"/>
        <w:gridCol w:w="978"/>
        <w:gridCol w:w="988"/>
        <w:gridCol w:w="978"/>
        <w:gridCol w:w="988"/>
        <w:gridCol w:w="978"/>
        <w:gridCol w:w="988"/>
      </w:tblGrid>
      <w:tr w:rsidR="00695B36" w:rsidRPr="00BD14B0" w14:paraId="40C527F4" w14:textId="77777777" w:rsidTr="004A06B6">
        <w:trPr>
          <w:cnfStyle w:val="100000000000" w:firstRow="1" w:lastRow="0" w:firstColumn="0" w:lastColumn="0" w:oddVBand="0" w:evenVBand="0" w:oddHBand="0" w:evenHBand="0" w:firstRowFirstColumn="0" w:firstRowLastColumn="0" w:lastRowFirstColumn="0" w:lastRowLastColumn="0"/>
        </w:trPr>
        <w:tc>
          <w:tcPr>
            <w:tcW w:w="1001" w:type="dxa"/>
            <w:tcBorders>
              <w:bottom w:val="single" w:sz="12" w:space="0" w:color="auto"/>
            </w:tcBorders>
          </w:tcPr>
          <w:p w14:paraId="65B127E1" w14:textId="77777777" w:rsidR="00192CD6" w:rsidRPr="00BD14B0" w:rsidRDefault="00192CD6" w:rsidP="00553E01"/>
        </w:tc>
        <w:tc>
          <w:tcPr>
            <w:tcW w:w="4007" w:type="dxa"/>
            <w:gridSpan w:val="4"/>
          </w:tcPr>
          <w:p w14:paraId="5853DCDF" w14:textId="77777777" w:rsidR="00192CD6" w:rsidRPr="00BD14B0" w:rsidRDefault="00192CD6" w:rsidP="00553E01">
            <w:r w:rsidRPr="00BD14B0">
              <w:t>Congruent</w:t>
            </w:r>
          </w:p>
        </w:tc>
        <w:tc>
          <w:tcPr>
            <w:tcW w:w="4008" w:type="dxa"/>
            <w:gridSpan w:val="4"/>
            <w:tcBorders>
              <w:bottom w:val="single" w:sz="12" w:space="0" w:color="auto"/>
            </w:tcBorders>
          </w:tcPr>
          <w:p w14:paraId="244D33B3" w14:textId="77777777" w:rsidR="00192CD6" w:rsidRPr="00BD14B0" w:rsidRDefault="00192CD6" w:rsidP="00553E01">
            <w:r w:rsidRPr="00BD14B0">
              <w:t>Incongruent</w:t>
            </w:r>
          </w:p>
        </w:tc>
      </w:tr>
      <w:tr w:rsidR="00695B36" w:rsidRPr="00BD14B0" w14:paraId="21AC2072" w14:textId="77777777" w:rsidTr="004A06B6">
        <w:tc>
          <w:tcPr>
            <w:tcW w:w="1001" w:type="dxa"/>
            <w:tcBorders>
              <w:top w:val="single" w:sz="12" w:space="0" w:color="auto"/>
              <w:bottom w:val="single" w:sz="12" w:space="0" w:color="auto"/>
            </w:tcBorders>
          </w:tcPr>
          <w:p w14:paraId="669A91E2" w14:textId="77777777" w:rsidR="00192CD6" w:rsidRPr="00BD14B0" w:rsidRDefault="00192CD6" w:rsidP="00553E01"/>
        </w:tc>
        <w:tc>
          <w:tcPr>
            <w:tcW w:w="2003" w:type="dxa"/>
            <w:gridSpan w:val="2"/>
            <w:tcBorders>
              <w:top w:val="single" w:sz="12" w:space="0" w:color="auto"/>
            </w:tcBorders>
          </w:tcPr>
          <w:p w14:paraId="52DB6790" w14:textId="77777777" w:rsidR="00192CD6" w:rsidRPr="00BD14B0" w:rsidRDefault="00192CD6" w:rsidP="00553E01">
            <w:r w:rsidRPr="00BD14B0">
              <w:t>Leader</w:t>
            </w:r>
          </w:p>
        </w:tc>
        <w:tc>
          <w:tcPr>
            <w:tcW w:w="2004" w:type="dxa"/>
            <w:gridSpan w:val="2"/>
            <w:tcBorders>
              <w:top w:val="single" w:sz="12" w:space="0" w:color="auto"/>
              <w:bottom w:val="single" w:sz="12" w:space="0" w:color="auto"/>
            </w:tcBorders>
          </w:tcPr>
          <w:p w14:paraId="4620DEB2" w14:textId="77777777" w:rsidR="00192CD6" w:rsidRPr="00BD14B0" w:rsidRDefault="00192CD6" w:rsidP="00553E01">
            <w:r w:rsidRPr="00BD14B0">
              <w:t>Follower</w:t>
            </w:r>
          </w:p>
        </w:tc>
        <w:tc>
          <w:tcPr>
            <w:tcW w:w="2004" w:type="dxa"/>
            <w:gridSpan w:val="2"/>
            <w:tcBorders>
              <w:top w:val="single" w:sz="12" w:space="0" w:color="auto"/>
              <w:bottom w:val="single" w:sz="12" w:space="0" w:color="auto"/>
            </w:tcBorders>
          </w:tcPr>
          <w:p w14:paraId="760C3544" w14:textId="77777777" w:rsidR="00192CD6" w:rsidRPr="00BD14B0" w:rsidRDefault="00192CD6" w:rsidP="00553E01">
            <w:r w:rsidRPr="00BD14B0">
              <w:t>Leader</w:t>
            </w:r>
          </w:p>
        </w:tc>
        <w:tc>
          <w:tcPr>
            <w:tcW w:w="2004" w:type="dxa"/>
            <w:gridSpan w:val="2"/>
            <w:tcBorders>
              <w:top w:val="single" w:sz="12" w:space="0" w:color="auto"/>
            </w:tcBorders>
          </w:tcPr>
          <w:p w14:paraId="4D647367" w14:textId="77777777" w:rsidR="00192CD6" w:rsidRPr="00BD14B0" w:rsidRDefault="00192CD6" w:rsidP="00553E01">
            <w:r w:rsidRPr="00BD14B0">
              <w:t>Follower</w:t>
            </w:r>
          </w:p>
        </w:tc>
      </w:tr>
      <w:tr w:rsidR="00695B36" w:rsidRPr="00BD14B0" w14:paraId="6827B562" w14:textId="77777777" w:rsidTr="004A06B6">
        <w:tc>
          <w:tcPr>
            <w:tcW w:w="1001" w:type="dxa"/>
            <w:tcBorders>
              <w:top w:val="single" w:sz="12" w:space="0" w:color="auto"/>
              <w:bottom w:val="single" w:sz="12" w:space="0" w:color="auto"/>
            </w:tcBorders>
          </w:tcPr>
          <w:p w14:paraId="636569B6" w14:textId="77777777" w:rsidR="00192CD6" w:rsidRPr="00BD14B0" w:rsidRDefault="00192CD6" w:rsidP="00553E01"/>
        </w:tc>
        <w:tc>
          <w:tcPr>
            <w:tcW w:w="1001" w:type="dxa"/>
            <w:tcBorders>
              <w:top w:val="single" w:sz="12" w:space="0" w:color="auto"/>
              <w:bottom w:val="single" w:sz="12" w:space="0" w:color="auto"/>
            </w:tcBorders>
          </w:tcPr>
          <w:p w14:paraId="44956314" w14:textId="77777777" w:rsidR="00192CD6" w:rsidRPr="00BD14B0" w:rsidRDefault="00192CD6" w:rsidP="00553E01">
            <w:r w:rsidRPr="00BD14B0">
              <w:t>Male</w:t>
            </w:r>
          </w:p>
        </w:tc>
        <w:tc>
          <w:tcPr>
            <w:tcW w:w="1002" w:type="dxa"/>
            <w:tcBorders>
              <w:top w:val="single" w:sz="12" w:space="0" w:color="auto"/>
              <w:bottom w:val="single" w:sz="12" w:space="0" w:color="auto"/>
            </w:tcBorders>
          </w:tcPr>
          <w:p w14:paraId="3206C8B0" w14:textId="77777777" w:rsidR="00192CD6" w:rsidRPr="00BD14B0" w:rsidRDefault="00192CD6" w:rsidP="00553E01">
            <w:r w:rsidRPr="00BD14B0">
              <w:t>Female</w:t>
            </w:r>
          </w:p>
        </w:tc>
        <w:tc>
          <w:tcPr>
            <w:tcW w:w="1002" w:type="dxa"/>
            <w:tcBorders>
              <w:top w:val="single" w:sz="12" w:space="0" w:color="auto"/>
              <w:bottom w:val="single" w:sz="12" w:space="0" w:color="auto"/>
            </w:tcBorders>
          </w:tcPr>
          <w:p w14:paraId="494DDA49" w14:textId="77777777" w:rsidR="00192CD6" w:rsidRPr="00BD14B0" w:rsidRDefault="00192CD6" w:rsidP="00553E01">
            <w:r w:rsidRPr="00BD14B0">
              <w:t>Male</w:t>
            </w:r>
          </w:p>
        </w:tc>
        <w:tc>
          <w:tcPr>
            <w:tcW w:w="1002" w:type="dxa"/>
            <w:tcBorders>
              <w:top w:val="single" w:sz="12" w:space="0" w:color="auto"/>
              <w:bottom w:val="single" w:sz="12" w:space="0" w:color="auto"/>
            </w:tcBorders>
          </w:tcPr>
          <w:p w14:paraId="4ABBEDE6" w14:textId="77777777" w:rsidR="00192CD6" w:rsidRPr="00BD14B0" w:rsidRDefault="00192CD6" w:rsidP="00553E01">
            <w:r w:rsidRPr="00BD14B0">
              <w:t>Female</w:t>
            </w:r>
          </w:p>
        </w:tc>
        <w:tc>
          <w:tcPr>
            <w:tcW w:w="1002" w:type="dxa"/>
            <w:tcBorders>
              <w:top w:val="single" w:sz="12" w:space="0" w:color="auto"/>
              <w:bottom w:val="single" w:sz="12" w:space="0" w:color="auto"/>
            </w:tcBorders>
          </w:tcPr>
          <w:p w14:paraId="26A2600E" w14:textId="77777777" w:rsidR="00192CD6" w:rsidRPr="00BD14B0" w:rsidRDefault="00192CD6" w:rsidP="00553E01">
            <w:r w:rsidRPr="00BD14B0">
              <w:t>Male</w:t>
            </w:r>
          </w:p>
        </w:tc>
        <w:tc>
          <w:tcPr>
            <w:tcW w:w="1002" w:type="dxa"/>
            <w:tcBorders>
              <w:top w:val="single" w:sz="12" w:space="0" w:color="auto"/>
              <w:bottom w:val="single" w:sz="12" w:space="0" w:color="auto"/>
            </w:tcBorders>
          </w:tcPr>
          <w:p w14:paraId="3E4BC836" w14:textId="77777777" w:rsidR="00192CD6" w:rsidRPr="00BD14B0" w:rsidRDefault="00192CD6" w:rsidP="00553E01">
            <w:r w:rsidRPr="00BD14B0">
              <w:t>Female</w:t>
            </w:r>
          </w:p>
        </w:tc>
        <w:tc>
          <w:tcPr>
            <w:tcW w:w="1002" w:type="dxa"/>
            <w:tcBorders>
              <w:top w:val="single" w:sz="12" w:space="0" w:color="auto"/>
              <w:bottom w:val="single" w:sz="12" w:space="0" w:color="auto"/>
            </w:tcBorders>
          </w:tcPr>
          <w:p w14:paraId="7C4C9242" w14:textId="77777777" w:rsidR="00192CD6" w:rsidRPr="00BD14B0" w:rsidRDefault="00192CD6" w:rsidP="00553E01">
            <w:r w:rsidRPr="00BD14B0">
              <w:t>Male</w:t>
            </w:r>
          </w:p>
        </w:tc>
        <w:tc>
          <w:tcPr>
            <w:tcW w:w="1002" w:type="dxa"/>
            <w:tcBorders>
              <w:top w:val="single" w:sz="12" w:space="0" w:color="auto"/>
              <w:bottom w:val="single" w:sz="12" w:space="0" w:color="auto"/>
            </w:tcBorders>
          </w:tcPr>
          <w:p w14:paraId="2093FB98" w14:textId="77777777" w:rsidR="00192CD6" w:rsidRPr="00BD14B0" w:rsidRDefault="00192CD6" w:rsidP="00553E01">
            <w:r w:rsidRPr="00BD14B0">
              <w:t>Female</w:t>
            </w:r>
          </w:p>
        </w:tc>
      </w:tr>
      <w:tr w:rsidR="00695B36" w:rsidRPr="00BD14B0" w14:paraId="1DF617CE" w14:textId="77777777" w:rsidTr="004A06B6">
        <w:tc>
          <w:tcPr>
            <w:tcW w:w="1001" w:type="dxa"/>
            <w:tcBorders>
              <w:top w:val="single" w:sz="12" w:space="0" w:color="auto"/>
            </w:tcBorders>
          </w:tcPr>
          <w:p w14:paraId="56664F29" w14:textId="3F359555" w:rsidR="00192CD6" w:rsidRPr="00BD14B0" w:rsidRDefault="00192CD6" w:rsidP="005A2E51">
            <w:pPr>
              <w:jc w:val="left"/>
            </w:pPr>
            <w:r w:rsidRPr="00BD14B0">
              <w:t>Mean</w:t>
            </w:r>
          </w:p>
        </w:tc>
        <w:tc>
          <w:tcPr>
            <w:tcW w:w="1001" w:type="dxa"/>
            <w:tcBorders>
              <w:top w:val="single" w:sz="12" w:space="0" w:color="auto"/>
            </w:tcBorders>
          </w:tcPr>
          <w:p w14:paraId="2DF7BA94" w14:textId="77777777" w:rsidR="00192CD6" w:rsidRPr="00BD14B0" w:rsidRDefault="00192CD6" w:rsidP="00553E01">
            <w:r w:rsidRPr="00BD14B0">
              <w:t>39.25</w:t>
            </w:r>
          </w:p>
        </w:tc>
        <w:tc>
          <w:tcPr>
            <w:tcW w:w="1002" w:type="dxa"/>
            <w:tcBorders>
              <w:top w:val="single" w:sz="12" w:space="0" w:color="auto"/>
            </w:tcBorders>
          </w:tcPr>
          <w:p w14:paraId="13BD7BB6" w14:textId="77777777" w:rsidR="00192CD6" w:rsidRPr="00BD14B0" w:rsidRDefault="00192CD6" w:rsidP="00553E01">
            <w:r w:rsidRPr="00BD14B0">
              <w:t>39.25</w:t>
            </w:r>
          </w:p>
        </w:tc>
        <w:tc>
          <w:tcPr>
            <w:tcW w:w="1002" w:type="dxa"/>
            <w:tcBorders>
              <w:top w:val="single" w:sz="12" w:space="0" w:color="auto"/>
            </w:tcBorders>
          </w:tcPr>
          <w:p w14:paraId="673FB494" w14:textId="77777777" w:rsidR="00192CD6" w:rsidRPr="00BD14B0" w:rsidRDefault="00192CD6" w:rsidP="00553E01">
            <w:r w:rsidRPr="00BD14B0">
              <w:t>39.25</w:t>
            </w:r>
          </w:p>
        </w:tc>
        <w:tc>
          <w:tcPr>
            <w:tcW w:w="1002" w:type="dxa"/>
            <w:tcBorders>
              <w:top w:val="single" w:sz="12" w:space="0" w:color="auto"/>
            </w:tcBorders>
          </w:tcPr>
          <w:p w14:paraId="11FF8C34" w14:textId="77777777" w:rsidR="00192CD6" w:rsidRPr="00BD14B0" w:rsidRDefault="00192CD6" w:rsidP="00553E01">
            <w:r w:rsidRPr="00BD14B0">
              <w:t>39.27</w:t>
            </w:r>
          </w:p>
        </w:tc>
        <w:tc>
          <w:tcPr>
            <w:tcW w:w="1002" w:type="dxa"/>
            <w:tcBorders>
              <w:top w:val="single" w:sz="12" w:space="0" w:color="auto"/>
            </w:tcBorders>
          </w:tcPr>
          <w:p w14:paraId="13B252BA" w14:textId="77777777" w:rsidR="00192CD6" w:rsidRPr="00BD14B0" w:rsidRDefault="00192CD6" w:rsidP="00553E01">
            <w:r w:rsidRPr="00BD14B0">
              <w:t>37.68</w:t>
            </w:r>
          </w:p>
        </w:tc>
        <w:tc>
          <w:tcPr>
            <w:tcW w:w="1002" w:type="dxa"/>
            <w:tcBorders>
              <w:top w:val="single" w:sz="12" w:space="0" w:color="auto"/>
            </w:tcBorders>
          </w:tcPr>
          <w:p w14:paraId="3B1C6703" w14:textId="77777777" w:rsidR="00192CD6" w:rsidRPr="00BD14B0" w:rsidRDefault="00192CD6" w:rsidP="00553E01">
            <w:r w:rsidRPr="00BD14B0">
              <w:t>37.98</w:t>
            </w:r>
          </w:p>
        </w:tc>
        <w:tc>
          <w:tcPr>
            <w:tcW w:w="1002" w:type="dxa"/>
            <w:tcBorders>
              <w:top w:val="single" w:sz="12" w:space="0" w:color="auto"/>
            </w:tcBorders>
          </w:tcPr>
          <w:p w14:paraId="4BA8B5D5" w14:textId="77777777" w:rsidR="00192CD6" w:rsidRPr="00BD14B0" w:rsidRDefault="00192CD6" w:rsidP="00553E01">
            <w:r w:rsidRPr="00BD14B0">
              <w:t>38.25</w:t>
            </w:r>
          </w:p>
        </w:tc>
        <w:tc>
          <w:tcPr>
            <w:tcW w:w="1002" w:type="dxa"/>
            <w:tcBorders>
              <w:top w:val="single" w:sz="12" w:space="0" w:color="auto"/>
            </w:tcBorders>
          </w:tcPr>
          <w:p w14:paraId="22547AC2" w14:textId="77777777" w:rsidR="00192CD6" w:rsidRPr="00BD14B0" w:rsidRDefault="00192CD6" w:rsidP="00553E01">
            <w:r w:rsidRPr="00BD14B0">
              <w:t>38.00</w:t>
            </w:r>
          </w:p>
        </w:tc>
      </w:tr>
      <w:tr w:rsidR="00695B36" w:rsidRPr="00BD14B0" w14:paraId="075BC200" w14:textId="77777777" w:rsidTr="004A06B6">
        <w:tc>
          <w:tcPr>
            <w:tcW w:w="1001" w:type="dxa"/>
          </w:tcPr>
          <w:p w14:paraId="04FBFD93" w14:textId="72C3DBBF" w:rsidR="00192CD6" w:rsidRPr="00BD14B0" w:rsidRDefault="00192CD6" w:rsidP="005A2E51">
            <w:pPr>
              <w:jc w:val="left"/>
            </w:pPr>
            <w:r w:rsidRPr="00BD14B0">
              <w:t>SD</w:t>
            </w:r>
          </w:p>
        </w:tc>
        <w:tc>
          <w:tcPr>
            <w:tcW w:w="1001" w:type="dxa"/>
          </w:tcPr>
          <w:p w14:paraId="523BABAB" w14:textId="77777777" w:rsidR="00192CD6" w:rsidRPr="00BD14B0" w:rsidRDefault="00192CD6" w:rsidP="00553E01">
            <w:r w:rsidRPr="00BD14B0">
              <w:t>.84</w:t>
            </w:r>
          </w:p>
        </w:tc>
        <w:tc>
          <w:tcPr>
            <w:tcW w:w="1002" w:type="dxa"/>
          </w:tcPr>
          <w:p w14:paraId="5635B2F6" w14:textId="77777777" w:rsidR="00192CD6" w:rsidRPr="00BD14B0" w:rsidRDefault="00192CD6" w:rsidP="00553E01">
            <w:r w:rsidRPr="00BD14B0">
              <w:t>1.01</w:t>
            </w:r>
          </w:p>
        </w:tc>
        <w:tc>
          <w:tcPr>
            <w:tcW w:w="1002" w:type="dxa"/>
          </w:tcPr>
          <w:p w14:paraId="651F5A29" w14:textId="77777777" w:rsidR="00192CD6" w:rsidRPr="00BD14B0" w:rsidRDefault="00192CD6" w:rsidP="00553E01">
            <w:r w:rsidRPr="00BD14B0">
              <w:t>1.14</w:t>
            </w:r>
          </w:p>
        </w:tc>
        <w:tc>
          <w:tcPr>
            <w:tcW w:w="1002" w:type="dxa"/>
          </w:tcPr>
          <w:p w14:paraId="7ED2CC14" w14:textId="77777777" w:rsidR="00192CD6" w:rsidRPr="00BD14B0" w:rsidRDefault="00192CD6" w:rsidP="00553E01">
            <w:r w:rsidRPr="00BD14B0">
              <w:t>.90</w:t>
            </w:r>
          </w:p>
        </w:tc>
        <w:tc>
          <w:tcPr>
            <w:tcW w:w="1002" w:type="dxa"/>
          </w:tcPr>
          <w:p w14:paraId="77EC1EC3" w14:textId="77777777" w:rsidR="00192CD6" w:rsidRPr="00BD14B0" w:rsidRDefault="00192CD6" w:rsidP="00553E01">
            <w:r w:rsidRPr="00BD14B0">
              <w:t>2.53</w:t>
            </w:r>
          </w:p>
        </w:tc>
        <w:tc>
          <w:tcPr>
            <w:tcW w:w="1002" w:type="dxa"/>
          </w:tcPr>
          <w:p w14:paraId="386516A7" w14:textId="77777777" w:rsidR="00192CD6" w:rsidRPr="00BD14B0" w:rsidRDefault="00192CD6" w:rsidP="00553E01">
            <w:r w:rsidRPr="00BD14B0">
              <w:t>2.33</w:t>
            </w:r>
          </w:p>
        </w:tc>
        <w:tc>
          <w:tcPr>
            <w:tcW w:w="1002" w:type="dxa"/>
          </w:tcPr>
          <w:p w14:paraId="1922C93B" w14:textId="77777777" w:rsidR="00192CD6" w:rsidRPr="00BD14B0" w:rsidRDefault="00192CD6" w:rsidP="00553E01">
            <w:r w:rsidRPr="00BD14B0">
              <w:t>2.22</w:t>
            </w:r>
          </w:p>
        </w:tc>
        <w:tc>
          <w:tcPr>
            <w:tcW w:w="1002" w:type="dxa"/>
          </w:tcPr>
          <w:p w14:paraId="668E97A0" w14:textId="77777777" w:rsidR="00192CD6" w:rsidRPr="00BD14B0" w:rsidRDefault="00192CD6" w:rsidP="00553E01">
            <w:r w:rsidRPr="00BD14B0">
              <w:t>2.25</w:t>
            </w:r>
          </w:p>
        </w:tc>
      </w:tr>
    </w:tbl>
    <w:p w14:paraId="662E2A8D" w14:textId="77777777" w:rsidR="00192CD6" w:rsidRPr="00BD14B0" w:rsidRDefault="00192CD6" w:rsidP="00553E01"/>
    <w:p w14:paraId="1423580A" w14:textId="45EE86C1" w:rsidR="00192CD6" w:rsidRPr="00BD14B0" w:rsidRDefault="00192CD6" w:rsidP="00553E01">
      <w:r w:rsidRPr="00BD14B0">
        <w:tab/>
        <w:t xml:space="preserve">Non-significant main effects were found for leadership, </w:t>
      </w:r>
      <w:proofErr w:type="gramStart"/>
      <w:r w:rsidRPr="00BD14B0">
        <w:rPr>
          <w:i/>
          <w:iCs/>
        </w:rPr>
        <w:t>F</w:t>
      </w:r>
      <w:r w:rsidRPr="00BD14B0">
        <w:t>(</w:t>
      </w:r>
      <w:proofErr w:type="gramEnd"/>
      <w:r w:rsidRPr="00BD14B0">
        <w:t>1,43) = 1.655, </w:t>
      </w:r>
      <w:r w:rsidRPr="00BD14B0">
        <w:rPr>
          <w:i/>
          <w:iCs/>
        </w:rPr>
        <w:t>p</w:t>
      </w:r>
      <w:r w:rsidRPr="00BD14B0">
        <w:t xml:space="preserve"> = .205, </w:t>
      </w:r>
      <w:r w:rsidRPr="00BD14B0">
        <w:rPr>
          <w:i/>
        </w:rPr>
        <w:t>η</w:t>
      </w:r>
      <w:r w:rsidRPr="00BD14B0">
        <w:rPr>
          <w:vertAlign w:val="superscript"/>
        </w:rPr>
        <w:t>2</w:t>
      </w:r>
      <w:r w:rsidRPr="00BD14B0">
        <w:rPr>
          <w:vertAlign w:val="subscript"/>
        </w:rPr>
        <w:t>p</w:t>
      </w:r>
      <w:r w:rsidRPr="00BD14B0">
        <w:t xml:space="preserve">=.037, and gender of gazer, </w:t>
      </w:r>
      <w:r w:rsidRPr="00BD14B0">
        <w:rPr>
          <w:i/>
          <w:iCs/>
        </w:rPr>
        <w:t>F</w:t>
      </w:r>
      <w:r w:rsidRPr="00BD14B0">
        <w:t>(1,43) = 0.023, </w:t>
      </w:r>
      <w:r w:rsidRPr="00BD14B0">
        <w:rPr>
          <w:i/>
          <w:iCs/>
        </w:rPr>
        <w:t>p</w:t>
      </w:r>
      <w:r w:rsidRPr="00BD14B0">
        <w:t xml:space="preserve"> = .879, </w:t>
      </w:r>
      <w:r w:rsidRPr="00BD14B0">
        <w:rPr>
          <w:i/>
        </w:rPr>
        <w:t>η</w:t>
      </w:r>
      <w:r w:rsidRPr="00BD14B0">
        <w:rPr>
          <w:vertAlign w:val="superscript"/>
        </w:rPr>
        <w:t>2</w:t>
      </w:r>
      <w:r w:rsidRPr="00BD14B0">
        <w:rPr>
          <w:vertAlign w:val="subscript"/>
        </w:rPr>
        <w:t>p</w:t>
      </w:r>
      <w:r w:rsidRPr="00BD14B0">
        <w:t xml:space="preserve">=.001. Additionally, non-significant interactions were found between congruency and gender of gazer, </w:t>
      </w:r>
      <w:proofErr w:type="gramStart"/>
      <w:r w:rsidRPr="00BD14B0">
        <w:rPr>
          <w:i/>
          <w:iCs/>
        </w:rPr>
        <w:t>F</w:t>
      </w:r>
      <w:r w:rsidRPr="00BD14B0">
        <w:t>(</w:t>
      </w:r>
      <w:proofErr w:type="gramEnd"/>
      <w:r w:rsidRPr="00BD14B0">
        <w:t>1,43) = 0.002, </w:t>
      </w:r>
      <w:r w:rsidRPr="00BD14B0">
        <w:rPr>
          <w:i/>
          <w:iCs/>
        </w:rPr>
        <w:t>p</w:t>
      </w:r>
      <w:r w:rsidRPr="00BD14B0">
        <w:t xml:space="preserve"> = .964, </w:t>
      </w:r>
      <w:r w:rsidRPr="00BD14B0">
        <w:rPr>
          <w:i/>
        </w:rPr>
        <w:t>η</w:t>
      </w:r>
      <w:r w:rsidRPr="00BD14B0">
        <w:rPr>
          <w:vertAlign w:val="superscript"/>
        </w:rPr>
        <w:t>2</w:t>
      </w:r>
      <w:r w:rsidRPr="00BD14B0">
        <w:rPr>
          <w:vertAlign w:val="subscript"/>
        </w:rPr>
        <w:t>p</w:t>
      </w:r>
      <w:r w:rsidRPr="00BD14B0">
        <w:t xml:space="preserve">=.000, and congruency and leadership, </w:t>
      </w:r>
      <w:r w:rsidRPr="00BD14B0">
        <w:rPr>
          <w:i/>
          <w:iCs/>
        </w:rPr>
        <w:t>F</w:t>
      </w:r>
      <w:r w:rsidRPr="00BD14B0">
        <w:t>(1,43) = 1.438, </w:t>
      </w:r>
      <w:r w:rsidRPr="00BD14B0">
        <w:rPr>
          <w:i/>
          <w:iCs/>
        </w:rPr>
        <w:t>p</w:t>
      </w:r>
      <w:r w:rsidRPr="00BD14B0">
        <w:t xml:space="preserve"> = .237, </w:t>
      </w:r>
      <w:r w:rsidRPr="00BD14B0">
        <w:rPr>
          <w:i/>
        </w:rPr>
        <w:t>η</w:t>
      </w:r>
      <w:r w:rsidRPr="00BD14B0">
        <w:rPr>
          <w:vertAlign w:val="superscript"/>
        </w:rPr>
        <w:t>2</w:t>
      </w:r>
      <w:r w:rsidRPr="00BD14B0">
        <w:rPr>
          <w:vertAlign w:val="subscript"/>
        </w:rPr>
        <w:t>p</w:t>
      </w:r>
      <w:r w:rsidRPr="00BD14B0">
        <w:t xml:space="preserve">=.032. </w:t>
      </w:r>
      <w:r w:rsidR="00A92D9D" w:rsidRPr="00BD14B0">
        <w:t xml:space="preserve"> </w:t>
      </w:r>
    </w:p>
    <w:p w14:paraId="14D97B71" w14:textId="132AAF95" w:rsidR="00324F8E" w:rsidRDefault="00324F8E" w:rsidP="00553E01"/>
    <w:p w14:paraId="679E94D5" w14:textId="49C0A7F0" w:rsidR="00C00494" w:rsidRDefault="00C00494" w:rsidP="00553E01"/>
    <w:p w14:paraId="7EF785FD" w14:textId="78DC3903" w:rsidR="00C00494" w:rsidRDefault="00C00494" w:rsidP="00553E01"/>
    <w:p w14:paraId="33841CE7" w14:textId="6E55AAA6" w:rsidR="00C00494" w:rsidRDefault="00C00494" w:rsidP="00553E01"/>
    <w:p w14:paraId="67808F40" w14:textId="4A046849" w:rsidR="00C00494" w:rsidRDefault="00C00494" w:rsidP="00553E01"/>
    <w:p w14:paraId="262190C9" w14:textId="70BC47CF" w:rsidR="00C00494" w:rsidRDefault="00C00494" w:rsidP="00553E01"/>
    <w:p w14:paraId="021BB369" w14:textId="7BBE6323" w:rsidR="00C00494" w:rsidRDefault="00C00494" w:rsidP="00553E01"/>
    <w:p w14:paraId="51EE250F" w14:textId="38109E38" w:rsidR="00C00494" w:rsidRDefault="00C00494" w:rsidP="00553E01"/>
    <w:p w14:paraId="7092A827" w14:textId="4549C9E4" w:rsidR="00C00494" w:rsidRDefault="00C00494" w:rsidP="00553E01"/>
    <w:p w14:paraId="3AD3150F" w14:textId="77777777" w:rsidR="00C00494" w:rsidRPr="00BD14B0" w:rsidRDefault="00C00494" w:rsidP="00553E01"/>
    <w:p w14:paraId="77C35914" w14:textId="77777777" w:rsidR="00675F8B" w:rsidRPr="00BD14B0" w:rsidRDefault="00675F8B" w:rsidP="00553E01"/>
    <w:p w14:paraId="02110735" w14:textId="1AFE6223" w:rsidR="00675F8B" w:rsidRPr="00BD14B0" w:rsidRDefault="00224DA0" w:rsidP="00224DA0">
      <w:pPr>
        <w:pStyle w:val="Title"/>
      </w:pPr>
      <w:bookmarkStart w:id="119" w:name="_Toc108322138"/>
      <w:r>
        <w:lastRenderedPageBreak/>
        <w:t xml:space="preserve">Figure </w:t>
      </w:r>
      <w:r w:rsidR="003B267D">
        <w:fldChar w:fldCharType="begin"/>
      </w:r>
      <w:r w:rsidR="003B267D">
        <w:instrText xml:space="preserve"> SEQ Figure \* ARABIC </w:instrText>
      </w:r>
      <w:r w:rsidR="003B267D">
        <w:fldChar w:fldCharType="separate"/>
      </w:r>
      <w:r w:rsidR="003B267D">
        <w:rPr>
          <w:noProof/>
        </w:rPr>
        <w:t>23</w:t>
      </w:r>
      <w:r w:rsidR="003B267D">
        <w:fldChar w:fldCharType="end"/>
      </w:r>
      <w:bookmarkEnd w:id="119"/>
    </w:p>
    <w:p w14:paraId="407C77E9" w14:textId="50D7CF72" w:rsidR="00675F8B" w:rsidRPr="00BD14B0" w:rsidRDefault="00675F8B" w:rsidP="00553E01">
      <w:pPr>
        <w:rPr>
          <w:i/>
          <w:iCs/>
        </w:rPr>
      </w:pPr>
      <w:r w:rsidRPr="00BD14B0">
        <w:rPr>
          <w:i/>
          <w:iCs/>
        </w:rPr>
        <w:t xml:space="preserve">Overall mean accuracy ratings divided by gender congruency and leadership. </w:t>
      </w:r>
    </w:p>
    <w:p w14:paraId="2AF531EE" w14:textId="77777777" w:rsidR="00192CD6" w:rsidRPr="00BD14B0" w:rsidRDefault="00192CD6" w:rsidP="00553E01">
      <w:r w:rsidRPr="00BD14B0">
        <w:rPr>
          <w:noProof/>
        </w:rPr>
        <w:drawing>
          <wp:inline distT="0" distB="0" distL="0" distR="0" wp14:anchorId="39A54BD7" wp14:editId="155B494E">
            <wp:extent cx="5390515" cy="3944620"/>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0515" cy="3944620"/>
                    </a:xfrm>
                    <a:prstGeom prst="rect">
                      <a:avLst/>
                    </a:prstGeom>
                    <a:noFill/>
                    <a:ln>
                      <a:noFill/>
                    </a:ln>
                  </pic:spPr>
                </pic:pic>
              </a:graphicData>
            </a:graphic>
          </wp:inline>
        </w:drawing>
      </w:r>
    </w:p>
    <w:p w14:paraId="05AEA943" w14:textId="77777777" w:rsidR="005A2E51" w:rsidRPr="00BD14B0" w:rsidRDefault="005A2E51" w:rsidP="005A2E51">
      <w:r w:rsidRPr="00BD14B0">
        <w:t>Note. * p &lt; .05</w:t>
      </w:r>
    </w:p>
    <w:p w14:paraId="3AD97599" w14:textId="77777777" w:rsidR="00192CD6" w:rsidRPr="00BD14B0" w:rsidRDefault="00192CD6" w:rsidP="00553E01"/>
    <w:p w14:paraId="43815336" w14:textId="77777777" w:rsidR="00192CD6" w:rsidRPr="00BD14B0" w:rsidRDefault="00192CD6" w:rsidP="00EE1C65">
      <w:pPr>
        <w:pStyle w:val="Heading4"/>
        <w:numPr>
          <w:ilvl w:val="0"/>
          <w:numId w:val="0"/>
        </w:numPr>
        <w:ind w:left="851"/>
        <w:rPr>
          <w:sz w:val="20"/>
          <w:szCs w:val="20"/>
        </w:rPr>
      </w:pPr>
      <w:r w:rsidRPr="00BD14B0">
        <w:t xml:space="preserve">Reaction time measurement </w:t>
      </w:r>
    </w:p>
    <w:p w14:paraId="056A942C" w14:textId="35ADA404" w:rsidR="00192CD6" w:rsidRPr="00BD14B0" w:rsidRDefault="00AD78B4" w:rsidP="00553E01">
      <w:r w:rsidRPr="00BD14B0">
        <w:tab/>
      </w:r>
      <w:r w:rsidR="00192CD6" w:rsidRPr="00BD14B0">
        <w:t xml:space="preserve">Only accurate corrected responses were used to calculate reaction time for each condition. Two participants were removed from the data because they were extreme outliers. A repeated-measures ANOVA was conducted with leadership (2: leader X follower), gender of gazer (2: male X female) and congruency (2: congruent X incongruent) as within-participants factors on RT. The main effect of congruency was significant, </w:t>
      </w:r>
      <w:proofErr w:type="gramStart"/>
      <w:r w:rsidR="00192CD6" w:rsidRPr="00BD14B0">
        <w:rPr>
          <w:i/>
          <w:iCs/>
        </w:rPr>
        <w:t>F</w:t>
      </w:r>
      <w:r w:rsidR="00192CD6" w:rsidRPr="00BD14B0">
        <w:t>(</w:t>
      </w:r>
      <w:proofErr w:type="gramEnd"/>
      <w:r w:rsidR="00192CD6" w:rsidRPr="00BD14B0">
        <w:t>1,41) = 120.599, </w:t>
      </w:r>
      <w:r w:rsidR="00192CD6" w:rsidRPr="00BD14B0">
        <w:rPr>
          <w:i/>
          <w:iCs/>
        </w:rPr>
        <w:t>p</w:t>
      </w:r>
      <w:r w:rsidR="00192CD6" w:rsidRPr="00BD14B0">
        <w:t xml:space="preserve"> &lt; .001, </w:t>
      </w:r>
      <w:r w:rsidR="00192CD6" w:rsidRPr="00BD14B0">
        <w:rPr>
          <w:i/>
        </w:rPr>
        <w:t>η</w:t>
      </w:r>
      <w:r w:rsidR="00192CD6" w:rsidRPr="00BD14B0">
        <w:rPr>
          <w:vertAlign w:val="superscript"/>
        </w:rPr>
        <w:t>2</w:t>
      </w:r>
      <w:r w:rsidR="00192CD6" w:rsidRPr="00BD14B0">
        <w:rPr>
          <w:vertAlign w:val="subscript"/>
        </w:rPr>
        <w:t>p</w:t>
      </w:r>
      <w:r w:rsidR="00192CD6" w:rsidRPr="00BD14B0">
        <w:t xml:space="preserve">=.746, meaning participants were faster to response to congruent (where eye gaze and the target is at the same side of the screen) trials by .034 </w:t>
      </w:r>
      <w:proofErr w:type="spellStart"/>
      <w:r w:rsidR="00192CD6" w:rsidRPr="00BD14B0">
        <w:t>ms</w:t>
      </w:r>
      <w:proofErr w:type="spellEnd"/>
      <w:r w:rsidR="00192CD6" w:rsidRPr="00BD14B0">
        <w:t xml:space="preserve"> than incongruent (where eye gaze and the target is at the opposite side of the screen) trials (see Figure 26). The main effects of leadership, </w:t>
      </w:r>
      <w:proofErr w:type="gramStart"/>
      <w:r w:rsidR="00192CD6" w:rsidRPr="00BD14B0">
        <w:rPr>
          <w:i/>
          <w:iCs/>
        </w:rPr>
        <w:t>F</w:t>
      </w:r>
      <w:r w:rsidR="00192CD6" w:rsidRPr="00BD14B0">
        <w:t>(</w:t>
      </w:r>
      <w:proofErr w:type="gramEnd"/>
      <w:r w:rsidR="00192CD6" w:rsidRPr="00BD14B0">
        <w:t>1,41) = 0.05, </w:t>
      </w:r>
      <w:r w:rsidR="00192CD6" w:rsidRPr="00BD14B0">
        <w:rPr>
          <w:i/>
          <w:iCs/>
        </w:rPr>
        <w:t>p</w:t>
      </w:r>
      <w:r w:rsidR="00192CD6" w:rsidRPr="00BD14B0">
        <w:t xml:space="preserve"> = .659, </w:t>
      </w:r>
      <w:r w:rsidR="00192CD6" w:rsidRPr="00BD14B0">
        <w:rPr>
          <w:i/>
        </w:rPr>
        <w:t>η</w:t>
      </w:r>
      <w:r w:rsidR="00192CD6" w:rsidRPr="00BD14B0">
        <w:rPr>
          <w:vertAlign w:val="superscript"/>
        </w:rPr>
        <w:t>2</w:t>
      </w:r>
      <w:r w:rsidR="00192CD6" w:rsidRPr="00BD14B0">
        <w:rPr>
          <w:vertAlign w:val="subscript"/>
        </w:rPr>
        <w:t>p</w:t>
      </w:r>
      <w:r w:rsidR="00192CD6" w:rsidRPr="00BD14B0">
        <w:t xml:space="preserve">=.005, and </w:t>
      </w:r>
      <w:r w:rsidR="00192CD6" w:rsidRPr="00BD14B0">
        <w:lastRenderedPageBreak/>
        <w:t xml:space="preserve">gender of gazer, </w:t>
      </w:r>
      <w:r w:rsidR="00192CD6" w:rsidRPr="00BD14B0">
        <w:rPr>
          <w:i/>
          <w:iCs/>
        </w:rPr>
        <w:t>F</w:t>
      </w:r>
      <w:r w:rsidR="00192CD6" w:rsidRPr="00BD14B0">
        <w:t>(1,41) = .198, </w:t>
      </w:r>
      <w:r w:rsidR="00192CD6" w:rsidRPr="00BD14B0">
        <w:rPr>
          <w:i/>
          <w:iCs/>
        </w:rPr>
        <w:t>p</w:t>
      </w:r>
      <w:r w:rsidR="00192CD6" w:rsidRPr="00BD14B0">
        <w:t xml:space="preserve"> = .659, </w:t>
      </w:r>
      <w:r w:rsidR="00192CD6" w:rsidRPr="00BD14B0">
        <w:rPr>
          <w:i/>
        </w:rPr>
        <w:t>η</w:t>
      </w:r>
      <w:r w:rsidR="00192CD6" w:rsidRPr="00BD14B0">
        <w:rPr>
          <w:vertAlign w:val="superscript"/>
        </w:rPr>
        <w:t>2</w:t>
      </w:r>
      <w:r w:rsidR="00192CD6" w:rsidRPr="00BD14B0">
        <w:rPr>
          <w:vertAlign w:val="subscript"/>
        </w:rPr>
        <w:t>p</w:t>
      </w:r>
      <w:r w:rsidR="00192CD6" w:rsidRPr="00BD14B0">
        <w:t>=.005, were both non-</w:t>
      </w:r>
      <w:r w:rsidR="00575F06" w:rsidRPr="00BD14B0">
        <w:t>significant</w:t>
      </w:r>
      <w:r w:rsidR="00192CD6" w:rsidRPr="00BD14B0">
        <w:t>. Additionally, non-</w:t>
      </w:r>
      <w:r w:rsidR="00575F06" w:rsidRPr="00BD14B0">
        <w:t>significant</w:t>
      </w:r>
      <w:r w:rsidR="00192CD6" w:rsidRPr="00BD14B0">
        <w:t xml:space="preserve"> interactions were found between leadership and congruency, </w:t>
      </w:r>
      <w:proofErr w:type="gramStart"/>
      <w:r w:rsidR="00192CD6" w:rsidRPr="00BD14B0">
        <w:rPr>
          <w:i/>
          <w:iCs/>
        </w:rPr>
        <w:t>F</w:t>
      </w:r>
      <w:r w:rsidR="00192CD6" w:rsidRPr="00BD14B0">
        <w:t>(</w:t>
      </w:r>
      <w:proofErr w:type="gramEnd"/>
      <w:r w:rsidR="00192CD6" w:rsidRPr="00BD14B0">
        <w:t>1,41) = .206, </w:t>
      </w:r>
      <w:r w:rsidR="00192CD6" w:rsidRPr="00BD14B0">
        <w:rPr>
          <w:i/>
          <w:iCs/>
        </w:rPr>
        <w:t>p</w:t>
      </w:r>
      <w:r w:rsidR="00192CD6" w:rsidRPr="00BD14B0">
        <w:t xml:space="preserve"> = .652, </w:t>
      </w:r>
      <w:r w:rsidR="00192CD6" w:rsidRPr="00BD14B0">
        <w:rPr>
          <w:i/>
        </w:rPr>
        <w:t>η</w:t>
      </w:r>
      <w:r w:rsidR="00192CD6" w:rsidRPr="00BD14B0">
        <w:rPr>
          <w:vertAlign w:val="superscript"/>
        </w:rPr>
        <w:t>2</w:t>
      </w:r>
      <w:r w:rsidR="00192CD6" w:rsidRPr="00BD14B0">
        <w:rPr>
          <w:vertAlign w:val="subscript"/>
        </w:rPr>
        <w:t>p</w:t>
      </w:r>
      <w:r w:rsidR="00192CD6" w:rsidRPr="00BD14B0">
        <w:t xml:space="preserve">=.005, gender of gazer and congruency </w:t>
      </w:r>
      <w:r w:rsidR="00192CD6" w:rsidRPr="00BD14B0">
        <w:rPr>
          <w:i/>
          <w:iCs/>
        </w:rPr>
        <w:t>F</w:t>
      </w:r>
      <w:r w:rsidR="00192CD6" w:rsidRPr="00BD14B0">
        <w:t>(1,41) = 1.268, </w:t>
      </w:r>
      <w:r w:rsidR="00192CD6" w:rsidRPr="00BD14B0">
        <w:rPr>
          <w:i/>
          <w:iCs/>
        </w:rPr>
        <w:t>p</w:t>
      </w:r>
      <w:r w:rsidR="00192CD6" w:rsidRPr="00BD14B0">
        <w:t xml:space="preserve"> = .267, </w:t>
      </w:r>
      <w:r w:rsidR="00192CD6" w:rsidRPr="00BD14B0">
        <w:rPr>
          <w:i/>
        </w:rPr>
        <w:t>η</w:t>
      </w:r>
      <w:r w:rsidR="00192CD6" w:rsidRPr="00BD14B0">
        <w:rPr>
          <w:vertAlign w:val="superscript"/>
        </w:rPr>
        <w:t>2</w:t>
      </w:r>
      <w:r w:rsidR="00192CD6" w:rsidRPr="00BD14B0">
        <w:rPr>
          <w:vertAlign w:val="subscript"/>
        </w:rPr>
        <w:t>p</w:t>
      </w:r>
      <w:r w:rsidR="00192CD6" w:rsidRPr="00BD14B0">
        <w:t>=.030</w:t>
      </w:r>
      <w:r w:rsidR="00EC0CA7" w:rsidRPr="00BD14B0">
        <w:t>. T</w:t>
      </w:r>
      <w:r w:rsidR="00192CD6" w:rsidRPr="00BD14B0">
        <w:t xml:space="preserve">hat is, the primary effect of congruency was unaffected by group status (leader/follower) or gazer gender (male/female). </w:t>
      </w:r>
    </w:p>
    <w:p w14:paraId="60F05E43" w14:textId="77777777" w:rsidR="00675F8B" w:rsidRPr="00BD14B0" w:rsidRDefault="00675F8B" w:rsidP="00553E01">
      <w:pPr>
        <w:rPr>
          <w:sz w:val="18"/>
          <w:szCs w:val="18"/>
        </w:rPr>
      </w:pPr>
    </w:p>
    <w:p w14:paraId="64C30C63" w14:textId="3BCA7501" w:rsidR="00192CD6" w:rsidRPr="00BD14B0" w:rsidRDefault="00192CD6" w:rsidP="00553E01">
      <w:pPr>
        <w:pStyle w:val="Heading3"/>
      </w:pPr>
      <w:bookmarkStart w:id="120" w:name="_Toc108310800"/>
      <w:r w:rsidRPr="00BD14B0">
        <w:t>Task</w:t>
      </w:r>
      <w:r w:rsidRPr="00BD14B0">
        <w:rPr>
          <w:i/>
        </w:rPr>
        <w:t xml:space="preserve"> </w:t>
      </w:r>
      <w:r w:rsidRPr="00BD14B0">
        <w:t>4:</w:t>
      </w:r>
      <w:r w:rsidRPr="00BD14B0">
        <w:rPr>
          <w:i/>
        </w:rPr>
        <w:t xml:space="preserve"> </w:t>
      </w:r>
      <w:r w:rsidRPr="00BD14B0">
        <w:t>Questionnaires</w:t>
      </w:r>
      <w:bookmarkEnd w:id="120"/>
    </w:p>
    <w:p w14:paraId="29BF18D8" w14:textId="77777777" w:rsidR="00192CD6" w:rsidRPr="00BD14B0" w:rsidRDefault="00192CD6" w:rsidP="00553E01"/>
    <w:p w14:paraId="65059419" w14:textId="543E209B" w:rsidR="00675F8B" w:rsidRPr="00BD14B0" w:rsidRDefault="00192CD6" w:rsidP="00EE1C65">
      <w:pPr>
        <w:pStyle w:val="Heading4"/>
        <w:numPr>
          <w:ilvl w:val="0"/>
          <w:numId w:val="0"/>
        </w:numPr>
        <w:ind w:left="851"/>
      </w:pPr>
      <w:r w:rsidRPr="00BD14B0">
        <w:t>AQ Score</w:t>
      </w:r>
    </w:p>
    <w:p w14:paraId="459CF6AD" w14:textId="77777777" w:rsidR="00675F8B" w:rsidRPr="00BD14B0" w:rsidRDefault="00675F8B" w:rsidP="00553E01"/>
    <w:p w14:paraId="1B505E2D" w14:textId="15D5692F" w:rsidR="00987784" w:rsidRPr="00BD14B0" w:rsidRDefault="00224DA0" w:rsidP="00224DA0">
      <w:pPr>
        <w:pStyle w:val="Title"/>
      </w:pPr>
      <w:bookmarkStart w:id="121" w:name="_Toc108321858"/>
      <w:r>
        <w:t xml:space="preserve">Table </w:t>
      </w:r>
      <w:bookmarkEnd w:id="121"/>
      <w:r w:rsidR="00656710">
        <w:t>10</w:t>
      </w:r>
    </w:p>
    <w:p w14:paraId="39F13AA1" w14:textId="0412E712" w:rsidR="00987784" w:rsidRPr="00BD14B0" w:rsidRDefault="009F745C" w:rsidP="00987784">
      <w:pPr>
        <w:rPr>
          <w:i/>
          <w:iCs/>
        </w:rPr>
      </w:pPr>
      <w:r w:rsidRPr="00BD14B0">
        <w:rPr>
          <w:i/>
          <w:iCs/>
        </w:rPr>
        <w:t>Descriptive</w:t>
      </w:r>
      <w:r w:rsidR="00987784" w:rsidRPr="00BD14B0">
        <w:rPr>
          <w:i/>
          <w:iCs/>
        </w:rPr>
        <w:t xml:space="preserve"> of AQ score</w:t>
      </w:r>
      <w:r w:rsidR="00675F8B" w:rsidRPr="00BD14B0">
        <w:rPr>
          <w:i/>
          <w:iCs/>
        </w:rPr>
        <w:t xml:space="preserve">s </w:t>
      </w:r>
    </w:p>
    <w:tbl>
      <w:tblPr>
        <w:tblW w:w="3969" w:type="dxa"/>
        <w:tblLook w:val="04A0" w:firstRow="1" w:lastRow="0" w:firstColumn="1" w:lastColumn="0" w:noHBand="0" w:noVBand="1"/>
      </w:tblPr>
      <w:tblGrid>
        <w:gridCol w:w="2268"/>
        <w:gridCol w:w="1701"/>
      </w:tblGrid>
      <w:tr w:rsidR="00695B36" w:rsidRPr="00BD14B0" w14:paraId="0B70B6CB" w14:textId="77777777" w:rsidTr="00BD7278">
        <w:trPr>
          <w:trHeight w:val="416"/>
        </w:trPr>
        <w:tc>
          <w:tcPr>
            <w:tcW w:w="2268" w:type="dxa"/>
            <w:tcBorders>
              <w:top w:val="single" w:sz="4" w:space="0" w:color="auto"/>
              <w:bottom w:val="single" w:sz="4" w:space="0" w:color="auto"/>
            </w:tcBorders>
          </w:tcPr>
          <w:p w14:paraId="766302CF" w14:textId="77777777" w:rsidR="00987784" w:rsidRPr="00BD14B0" w:rsidRDefault="00987784" w:rsidP="00BD7278">
            <w:r w:rsidRPr="00BD14B0">
              <w:t>AQ</w:t>
            </w:r>
          </w:p>
        </w:tc>
        <w:tc>
          <w:tcPr>
            <w:tcW w:w="1701" w:type="dxa"/>
            <w:tcBorders>
              <w:top w:val="single" w:sz="4" w:space="0" w:color="auto"/>
              <w:bottom w:val="single" w:sz="4" w:space="0" w:color="auto"/>
            </w:tcBorders>
          </w:tcPr>
          <w:p w14:paraId="4F6FB49C" w14:textId="77777777" w:rsidR="00987784" w:rsidRPr="00BD14B0" w:rsidRDefault="00987784" w:rsidP="00BD7278"/>
        </w:tc>
      </w:tr>
      <w:tr w:rsidR="00695B36" w:rsidRPr="00BD14B0" w14:paraId="01C52DEF" w14:textId="77777777" w:rsidTr="00BD7278">
        <w:tc>
          <w:tcPr>
            <w:tcW w:w="2268" w:type="dxa"/>
          </w:tcPr>
          <w:p w14:paraId="7E212F5B" w14:textId="77777777" w:rsidR="00987784" w:rsidRPr="00BD14B0" w:rsidRDefault="00987784" w:rsidP="00BD7278">
            <w:r w:rsidRPr="00BD14B0">
              <w:t>Mean (n=43)</w:t>
            </w:r>
          </w:p>
        </w:tc>
        <w:tc>
          <w:tcPr>
            <w:tcW w:w="1701" w:type="dxa"/>
          </w:tcPr>
          <w:p w14:paraId="5A22BD4E" w14:textId="77777777" w:rsidR="00987784" w:rsidRPr="00BD14B0" w:rsidRDefault="00987784" w:rsidP="00BD7278">
            <w:r w:rsidRPr="00BD14B0">
              <w:t>17.09</w:t>
            </w:r>
          </w:p>
        </w:tc>
      </w:tr>
      <w:tr w:rsidR="00695B36" w:rsidRPr="00BD14B0" w14:paraId="523B8C47" w14:textId="77777777" w:rsidTr="00BD7278">
        <w:tc>
          <w:tcPr>
            <w:tcW w:w="2268" w:type="dxa"/>
          </w:tcPr>
          <w:p w14:paraId="047FE014" w14:textId="77777777" w:rsidR="00987784" w:rsidRPr="00BD14B0" w:rsidRDefault="00987784" w:rsidP="00BD7278">
            <w:r w:rsidRPr="00BD14B0">
              <w:t xml:space="preserve">Standard deviation  </w:t>
            </w:r>
          </w:p>
        </w:tc>
        <w:tc>
          <w:tcPr>
            <w:tcW w:w="1701" w:type="dxa"/>
          </w:tcPr>
          <w:p w14:paraId="38C3FFDD" w14:textId="77777777" w:rsidR="00987784" w:rsidRPr="00BD14B0" w:rsidRDefault="00987784" w:rsidP="00BD7278">
            <w:r w:rsidRPr="00BD14B0">
              <w:t>0.93</w:t>
            </w:r>
          </w:p>
        </w:tc>
      </w:tr>
      <w:tr w:rsidR="00695B36" w:rsidRPr="00BD14B0" w14:paraId="571E4958" w14:textId="77777777" w:rsidTr="00BD7278">
        <w:tc>
          <w:tcPr>
            <w:tcW w:w="2268" w:type="dxa"/>
          </w:tcPr>
          <w:p w14:paraId="518169E4" w14:textId="77777777" w:rsidR="00987784" w:rsidRPr="00BD14B0" w:rsidRDefault="00987784" w:rsidP="00BD7278">
            <w:r w:rsidRPr="00BD14B0">
              <w:t xml:space="preserve">Median </w:t>
            </w:r>
          </w:p>
        </w:tc>
        <w:tc>
          <w:tcPr>
            <w:tcW w:w="1701" w:type="dxa"/>
          </w:tcPr>
          <w:p w14:paraId="6CC83175" w14:textId="77777777" w:rsidR="00987784" w:rsidRPr="00BD14B0" w:rsidRDefault="00987784" w:rsidP="00BD7278">
            <w:r w:rsidRPr="00BD14B0">
              <w:t>17</w:t>
            </w:r>
          </w:p>
        </w:tc>
      </w:tr>
      <w:tr w:rsidR="00695B36" w:rsidRPr="00BD14B0" w14:paraId="19467276" w14:textId="77777777" w:rsidTr="00BD7278">
        <w:tc>
          <w:tcPr>
            <w:tcW w:w="2268" w:type="dxa"/>
          </w:tcPr>
          <w:p w14:paraId="3FF087EA" w14:textId="77777777" w:rsidR="00987784" w:rsidRPr="00BD14B0" w:rsidRDefault="00987784" w:rsidP="00BD7278">
            <w:r w:rsidRPr="00BD14B0">
              <w:t>Maximum score</w:t>
            </w:r>
          </w:p>
        </w:tc>
        <w:tc>
          <w:tcPr>
            <w:tcW w:w="1701" w:type="dxa"/>
          </w:tcPr>
          <w:p w14:paraId="099AF8C6" w14:textId="77777777" w:rsidR="00987784" w:rsidRPr="00BD14B0" w:rsidRDefault="00987784" w:rsidP="00BD7278">
            <w:r w:rsidRPr="00BD14B0">
              <w:t>32</w:t>
            </w:r>
          </w:p>
        </w:tc>
      </w:tr>
      <w:tr w:rsidR="00987784" w:rsidRPr="00BD14B0" w14:paraId="52E2233F" w14:textId="77777777" w:rsidTr="00BD7278">
        <w:tc>
          <w:tcPr>
            <w:tcW w:w="2268" w:type="dxa"/>
            <w:tcBorders>
              <w:bottom w:val="single" w:sz="4" w:space="0" w:color="auto"/>
            </w:tcBorders>
          </w:tcPr>
          <w:p w14:paraId="3EA1EAFD" w14:textId="77777777" w:rsidR="00987784" w:rsidRPr="00BD14B0" w:rsidRDefault="00987784" w:rsidP="00BD7278">
            <w:r w:rsidRPr="00BD14B0">
              <w:t>Minimum score</w:t>
            </w:r>
          </w:p>
        </w:tc>
        <w:tc>
          <w:tcPr>
            <w:tcW w:w="1701" w:type="dxa"/>
            <w:tcBorders>
              <w:bottom w:val="single" w:sz="4" w:space="0" w:color="auto"/>
            </w:tcBorders>
          </w:tcPr>
          <w:p w14:paraId="64C0C8BF" w14:textId="77777777" w:rsidR="00987784" w:rsidRPr="00BD14B0" w:rsidRDefault="00987784" w:rsidP="00BD7278">
            <w:r w:rsidRPr="00BD14B0">
              <w:t>4</w:t>
            </w:r>
          </w:p>
        </w:tc>
      </w:tr>
    </w:tbl>
    <w:p w14:paraId="4EB61284" w14:textId="77777777" w:rsidR="00987784" w:rsidRPr="00BD14B0" w:rsidRDefault="00987784" w:rsidP="00553E01"/>
    <w:p w14:paraId="1E580452" w14:textId="6DC0BB51" w:rsidR="00192CD6" w:rsidRPr="00BD14B0" w:rsidRDefault="00AD78B4" w:rsidP="00553E01">
      <w:r w:rsidRPr="00BD14B0">
        <w:tab/>
      </w:r>
      <w:r w:rsidR="00192CD6" w:rsidRPr="00BD14B0">
        <w:t xml:space="preserve">One participant was excluded from analysis for being an extreme outlier in multiple conditions (number 4). The mean AQ score for the </w:t>
      </w:r>
      <w:r w:rsidR="00575F06" w:rsidRPr="00BD14B0">
        <w:t>remaining</w:t>
      </w:r>
      <w:r w:rsidR="00192CD6" w:rsidRPr="00BD14B0">
        <w:t xml:space="preserve"> sample was 17.09 (SD = 6.11). A Kolmogorov-Smirnov test was used to test for normality on the total AQ score which indicated that the data </w:t>
      </w:r>
      <w:r w:rsidR="00575F06" w:rsidRPr="00BD14B0">
        <w:t>were</w:t>
      </w:r>
      <w:r w:rsidR="00192CD6" w:rsidRPr="00BD14B0">
        <w:t xml:space="preserve"> normally distributed, </w:t>
      </w:r>
      <w:proofErr w:type="gramStart"/>
      <w:r w:rsidR="00192CD6" w:rsidRPr="00BD14B0">
        <w:t>D(</w:t>
      </w:r>
      <w:proofErr w:type="gramEnd"/>
      <w:r w:rsidR="00192CD6" w:rsidRPr="00BD14B0">
        <w:t xml:space="preserve">44) = .108, </w:t>
      </w:r>
      <w:r w:rsidR="00192CD6" w:rsidRPr="00BD14B0">
        <w:rPr>
          <w:i/>
          <w:iCs/>
        </w:rPr>
        <w:t>p</w:t>
      </w:r>
      <w:r w:rsidR="00192CD6" w:rsidRPr="00BD14B0">
        <w:t xml:space="preserve"> &lt; .001. Cronbach's alpha was used to test </w:t>
      </w:r>
      <w:r w:rsidR="00575F06" w:rsidRPr="00BD14B0">
        <w:t>the</w:t>
      </w:r>
      <w:r w:rsidR="00192CD6" w:rsidRPr="00BD14B0">
        <w:t xml:space="preserve"> reliability of the total AQ measure. It was found to be highly reliable (50 items, α = .77).</w:t>
      </w:r>
    </w:p>
    <w:p w14:paraId="74F89627" w14:textId="7000F49D" w:rsidR="00192CD6" w:rsidRPr="00BD14B0" w:rsidRDefault="00192CD6" w:rsidP="00EE1C65">
      <w:pPr>
        <w:pStyle w:val="Heading4"/>
        <w:numPr>
          <w:ilvl w:val="0"/>
          <w:numId w:val="0"/>
        </w:numPr>
        <w:ind w:left="851"/>
      </w:pPr>
      <w:r w:rsidRPr="00BD14B0">
        <w:lastRenderedPageBreak/>
        <w:t>ICQ_EV</w:t>
      </w:r>
    </w:p>
    <w:p w14:paraId="7FA557F1" w14:textId="026470AA" w:rsidR="00192CD6" w:rsidRPr="00BD14B0" w:rsidRDefault="00192CD6" w:rsidP="00553E01">
      <w:r w:rsidRPr="00BD14B0">
        <w:tab/>
        <w:t xml:space="preserve">One </w:t>
      </w:r>
      <w:r w:rsidR="00575F06" w:rsidRPr="00BD14B0">
        <w:t>participant was</w:t>
      </w:r>
      <w:r w:rsidRPr="00BD14B0">
        <w:t xml:space="preserve"> excluded from analysis for being an extreme outlier in multiple conditions (number 4). The mean score on the ICQ-EV was 96.81 (SD = 24.13). A Kolmogorov-Smirnov test was used to test for normality on the total ICQ-EV score, which indicated that the data was normally distributed, </w:t>
      </w:r>
      <w:proofErr w:type="gramStart"/>
      <w:r w:rsidRPr="00BD14B0">
        <w:t>D(</w:t>
      </w:r>
      <w:proofErr w:type="gramEnd"/>
      <w:r w:rsidRPr="00BD14B0">
        <w:t xml:space="preserve">44) = .091, </w:t>
      </w:r>
      <w:r w:rsidRPr="00BD14B0">
        <w:rPr>
          <w:i/>
        </w:rPr>
        <w:t xml:space="preserve">p </w:t>
      </w:r>
      <w:r w:rsidRPr="00BD14B0">
        <w:t xml:space="preserve">&gt; .05. Cronbach's alpha was test was used to test the reliability of the ICQ-EV measure, which was found to be highly reliable (30 </w:t>
      </w:r>
      <w:proofErr w:type="gramStart"/>
      <w:r w:rsidRPr="00BD14B0">
        <w:t>items;</w:t>
      </w:r>
      <w:proofErr w:type="gramEnd"/>
      <w:r w:rsidRPr="00BD14B0">
        <w:t xml:space="preserve"> α = .95).</w:t>
      </w:r>
    </w:p>
    <w:p w14:paraId="052BA979" w14:textId="77777777" w:rsidR="00192CD6" w:rsidRPr="00BD14B0" w:rsidRDefault="00192CD6" w:rsidP="00553E01"/>
    <w:p w14:paraId="7711303D" w14:textId="77777777" w:rsidR="00192CD6" w:rsidRPr="00BD14B0" w:rsidRDefault="00192CD6" w:rsidP="00EE1C65">
      <w:pPr>
        <w:pStyle w:val="Heading4"/>
        <w:numPr>
          <w:ilvl w:val="0"/>
          <w:numId w:val="0"/>
        </w:numPr>
        <w:ind w:left="851"/>
      </w:pPr>
      <w:r w:rsidRPr="00BD14B0">
        <w:t>AQ ICQ-EV relationship.</w:t>
      </w:r>
    </w:p>
    <w:p w14:paraId="4A077A63" w14:textId="466D91CD" w:rsidR="00192CD6" w:rsidRPr="00BD14B0" w:rsidRDefault="00192CD6" w:rsidP="00553E01">
      <w:r w:rsidRPr="00BD14B0">
        <w:tab/>
        <w:t>Pearson’s correlation showed that there was a significant positive correlation between total score of AQ and total score of ICQ-EV, r = .3</w:t>
      </w:r>
      <w:r w:rsidR="00501344" w:rsidRPr="00BD14B0">
        <w:t>7</w:t>
      </w:r>
      <w:r w:rsidRPr="00BD14B0">
        <w:t xml:space="preserve">, </w:t>
      </w:r>
      <w:r w:rsidRPr="00BD14B0">
        <w:rPr>
          <w:i/>
          <w:iCs/>
        </w:rPr>
        <w:t>p</w:t>
      </w:r>
      <w:r w:rsidRPr="00BD14B0">
        <w:t xml:space="preserve"> &lt; .001; a medium effect size according to Cohen (1988). The </w:t>
      </w:r>
      <w:r w:rsidR="00575F06" w:rsidRPr="00BD14B0">
        <w:t>correlation</w:t>
      </w:r>
      <w:r w:rsidRPr="00BD14B0">
        <w:t xml:space="preserve"> indicates that 13.5% of the variance in AQ is accounted for by ICQ-EV (and vice-versa).</w:t>
      </w:r>
      <w:r w:rsidRPr="00BD14B0">
        <w:tab/>
      </w:r>
    </w:p>
    <w:p w14:paraId="228823EB" w14:textId="77777777" w:rsidR="00192CD6" w:rsidRPr="00BD14B0" w:rsidRDefault="00192CD6" w:rsidP="00553E01"/>
    <w:p w14:paraId="5BD6AC56" w14:textId="1F799AC2" w:rsidR="00192CD6" w:rsidRPr="00BD14B0" w:rsidRDefault="00192CD6" w:rsidP="00553E01">
      <w:pPr>
        <w:pStyle w:val="Heading2"/>
      </w:pPr>
      <w:bookmarkStart w:id="122" w:name="_Toc108310801"/>
      <w:r w:rsidRPr="00BD14B0">
        <w:t>Discussion</w:t>
      </w:r>
      <w:bookmarkEnd w:id="122"/>
    </w:p>
    <w:p w14:paraId="2273855F" w14:textId="77777777" w:rsidR="009E1C4C" w:rsidRDefault="00AD78B4" w:rsidP="00553E01">
      <w:r w:rsidRPr="00BD14B0">
        <w:tab/>
      </w:r>
    </w:p>
    <w:p w14:paraId="2FE96376" w14:textId="77777777" w:rsidR="009E1C4C" w:rsidRPr="00896FC8" w:rsidRDefault="009E1C4C" w:rsidP="009E1C4C">
      <w:pPr>
        <w:pStyle w:val="Heading3"/>
      </w:pPr>
      <w:r w:rsidRPr="00896FC8">
        <w:t>Summary of Findings</w:t>
      </w:r>
    </w:p>
    <w:p w14:paraId="27997704" w14:textId="77777777" w:rsidR="009E1C4C" w:rsidRPr="00C8229F" w:rsidRDefault="009E1C4C" w:rsidP="009E1C4C">
      <w:r w:rsidRPr="00C8229F">
        <w:tab/>
        <w:t xml:space="preserve">When the gazer was in a group setting, meaning there was more than one photo on the screen, there was a relationship between gazer gender and leadership. In the group setting version of the experiment (learning phase) participants responded more accurately to male followers than to female followers, as well as to female leaders than to female followers. This means that participants were more likely to follow people in high social positions within the group. The reaction time measurements from the experiment's learning phase revealed a significant main effect of congruency as well as the gazer's gender. In the group setting version of the experiment (learning phase), the gender of the gazer and the congruency of the gaze both had affected the reaction time of the participants. This finding was in line with our predictions and previous studies from the literature. Female gazer faces were found to be more attractive, trustworthy, and likeable than male gazer faces, according </w:t>
      </w:r>
      <w:r w:rsidRPr="00C8229F">
        <w:lastRenderedPageBreak/>
        <w:t xml:space="preserve">to the face rating scores. The reaction time measurement during the face rating phase revealed that adjectives had a significant effect. Female gazers rated faster compared to male gazers at dominance adjective but not on the other adjectives. At the testing phase of the experiment which there was only one face picture as gazer the gaze cueing effect was present but social variables was not affecting the results. </w:t>
      </w:r>
    </w:p>
    <w:p w14:paraId="4577A36D" w14:textId="77777777" w:rsidR="009E1C4C" w:rsidRDefault="009E1C4C" w:rsidP="009E1C4C">
      <w:r w:rsidRPr="00C8229F">
        <w:tab/>
        <w:t xml:space="preserve">In the group setting version of the experiment (learning phase) the leadership manipulation was effective, but it was not effective later at the one face picture as gazer condition (testing phase). The leadership manipulation did not have an effect either the reaction time or the accuracy ratings during </w:t>
      </w:r>
      <w:r w:rsidRPr="00896FC8">
        <w:t>the testing phase. However, it had a significant effect during the learning phase. This difference between the learning phase of the experiment and the test phase of the experiment many be due to a couple of reasons. First, in the learning phase there were three faces presented on the screen. Participants observed three faces with one of them either constantly leading others’ gaze cues or one constantly following others’ gaze cues. However, in the testing phase there was only one face present on the screen during the gaze cueing task. It might be that in the learning phase participants were not only observing three faces but also how they are interacting with each other. In the testing phase, we examined whether this previous observation would have any effect on later encounters. Hence, there was only one face present in the testing phase. Participants were not comparing any other behaviour from the gazer. The effect of leadership might only be relevant in learning phase’s group context. Thus, it is possible that it only has an effect when there are other social beings present to compare with the gazer.</w:t>
      </w:r>
    </w:p>
    <w:p w14:paraId="6BD02EDD" w14:textId="2CA2C26E" w:rsidR="009E1C4C" w:rsidRDefault="009E1C4C" w:rsidP="00553E01"/>
    <w:p w14:paraId="2C195D1C" w14:textId="64ABEB35" w:rsidR="009E1C4C" w:rsidRDefault="008A477F" w:rsidP="00553E01">
      <w:pPr>
        <w:pStyle w:val="Heading3"/>
      </w:pPr>
      <w:r>
        <w:t xml:space="preserve">Overall discussion </w:t>
      </w:r>
    </w:p>
    <w:p w14:paraId="3A9CC419" w14:textId="77777777" w:rsidR="00C705D1" w:rsidRPr="00896FC8" w:rsidRDefault="00192CD6" w:rsidP="00C705D1">
      <w:r w:rsidRPr="00BD14B0">
        <w:tab/>
      </w:r>
      <w:r w:rsidR="00C705D1" w:rsidRPr="00896FC8">
        <w:t xml:space="preserve">A significant difference was found to male and female gazers during the learning phase but not during the testing phase in RT measurements. This result can be interpreted as follows: categorization happens after a certain amount of time, or categorization happens when there is something else in the environment to compare with </w:t>
      </w:r>
      <w:r w:rsidR="00C705D1" w:rsidRPr="00896FC8">
        <w:fldChar w:fldCharType="begin" w:fldLock="1"/>
      </w:r>
      <w:r w:rsidR="00C705D1" w:rsidRPr="00896FC8">
        <w:instrText>ADDIN CSL_CITATION {"citationItems":[{"id":"ITEM-1","itemData":{"ISSN":"00664308","author":[{"dropping-particle":"","family":"Macrae","given":"C Neil","non-dropping-particle":"","parse-names":false,"suffix":""},{"dropping-particle":"V","family":"Bodenhausen","given":"Galen","non-dropping-particle":"","parse-names":false,"suffix":""}],"container-title":"Annual Review of Psychology","id":"ITEM-1","issued":{"date-parts":[["2000"]]},"page":"93-120","title":"Social cognition: Thinking categorically about others","type":"article-journal","volume":"51"},"uris":["http://www.mendeley.com/documents/?uuid=84be848c-027d-4964-ab34-b669b10b4493"]},{"id":"ITEM-2","itemData":{"DOI":"10.1037/0022-3514.66.1.37","author":[{"dropping-particle":"","family":"Neil Macrae","given":"C","non-dropping-particle":"","parse-names":false,"suffix":""},{"dropping-particle":"","family":"B. Milne","given":"Alan","non-dropping-particle":"","parse-names":false,"suffix":""},{"dropping-particle":"","family":"Bodenhausen","given":"Galen","non-dropping-particle":"","parse-names":false,"suffix":""}],"container-title":"Journal of Personality and Social Psychology","id":"ITEM-2","issued":{"date-parts":[["1994","1"]]},"number-of-pages":"37-47","title":"Stereotypes as Energy-Saving Devices: A Peek Inside the Cognitive Toolbox","type":"book","volume":"66"},"uris":["http://www.mendeley.com/documents/?uuid=e8a15ab1-4995-4823-a76a-0f1503ca378d","http://www.mendeley.com/documents/?uuid=a007c047-e569-47bb-bc46-473f7a36bc32"]}],"mendeley":{"formattedCitation":"(Macrae &amp; Bodenhausen, 2000; Neil Macrae et al., 1994)","manualFormatting":"(Macrae &amp; Bodenhausen, 2000; Macrae, Milne, &amp; Bodenhausen, 1994)","plainTextFormattedCitation":"(Macrae &amp; Bodenhausen, 2000; Neil Macrae et al., 1994)","previouslyFormattedCitation":"(Macrae &amp; Bodenhausen, 2000; Neil Macrae et al., 1994)"},"properties":{"noteIndex":0},"schema":"https://github.com/citation-style-language/schema/raw/master/csl-citation.json"}</w:instrText>
      </w:r>
      <w:r w:rsidR="00C705D1" w:rsidRPr="00896FC8">
        <w:fldChar w:fldCharType="separate"/>
      </w:r>
      <w:r w:rsidR="00C705D1" w:rsidRPr="00896FC8">
        <w:rPr>
          <w:noProof/>
        </w:rPr>
        <w:t>(Macrae &amp; Bodenhausen, 2000; Macrae, Milne, &amp; Bodenhausen, 1994)</w:t>
      </w:r>
      <w:r w:rsidR="00C705D1" w:rsidRPr="00896FC8">
        <w:fldChar w:fldCharType="end"/>
      </w:r>
      <w:r w:rsidR="00C705D1" w:rsidRPr="00896FC8">
        <w:t xml:space="preserve">. There were many faces in the learning phase data meaning that more than one social agent was present. Inherent categorization used characteristics such as sex and reaction time to easily identify the participant’s cueing. On </w:t>
      </w:r>
      <w:r w:rsidR="00C705D1" w:rsidRPr="00896FC8">
        <w:lastRenderedPageBreak/>
        <w:t xml:space="preserve">both accuracy ratings and RT analysis, there was a significant congruency effect in the experimental phases, which included both the learning and testing phases. </w:t>
      </w:r>
      <w:r w:rsidR="00C705D1">
        <w:t xml:space="preserve">The gaze cueing effect was consistent both in </w:t>
      </w:r>
      <w:r w:rsidR="00C705D1" w:rsidRPr="00896FC8">
        <w:t>the learning and testing phases</w:t>
      </w:r>
      <w:r w:rsidR="00C705D1">
        <w:t xml:space="preserve">. </w:t>
      </w:r>
      <w:r w:rsidR="00C705D1" w:rsidRPr="00896FC8">
        <w:t xml:space="preserve">The reaction time of the congruency effect was observed to be at 300 </w:t>
      </w:r>
      <w:proofErr w:type="spellStart"/>
      <w:r w:rsidR="00C705D1" w:rsidRPr="00896FC8">
        <w:t>ms</w:t>
      </w:r>
      <w:proofErr w:type="spellEnd"/>
      <w:r w:rsidR="00C705D1" w:rsidRPr="00896FC8">
        <w:t xml:space="preserve">, which is quite short and reflective. </w:t>
      </w:r>
    </w:p>
    <w:p w14:paraId="2B1BB3BF" w14:textId="77777777" w:rsidR="00C705D1" w:rsidRPr="00896FC8" w:rsidRDefault="00C705D1" w:rsidP="00C705D1">
      <w:r w:rsidRPr="00896FC8">
        <w:tab/>
        <w:t>Surprisingly, females were rated as more attractive, trustworthy, and likable than males only in the follower condition. Female faces were rated as more trustworthy than male faces in the leader condition, but not as attractive or likable. There was no difference in scores for dominance</w:t>
      </w:r>
      <w:r>
        <w:t xml:space="preserve"> between male and female gazers</w:t>
      </w:r>
      <w:r w:rsidRPr="00896FC8">
        <w:t>. Despite the fact that the dominance score did not differ by gazers gender, female gazers rated faster than male gazers only at dominance rating.</w:t>
      </w:r>
    </w:p>
    <w:p w14:paraId="60CB76DC" w14:textId="77777777" w:rsidR="00C705D1" w:rsidRPr="00896FC8" w:rsidRDefault="00C705D1" w:rsidP="00C705D1">
      <w:r w:rsidRPr="00896FC8">
        <w:tab/>
        <w:t xml:space="preserve"> </w:t>
      </w:r>
      <w:r>
        <w:t>T</w:t>
      </w:r>
      <w:r w:rsidRPr="00DE043B">
        <w:t>he AQ and ICQ-EV score measurements was correlated, as if they are measuring the same mechanisms. This demonstrates</w:t>
      </w:r>
      <w:r w:rsidRPr="00896FC8">
        <w:t xml:space="preserve"> that there may be a common mechanism between the behavioural outcomes of those two mechanisms. </w:t>
      </w:r>
      <w:r>
        <w:t>However</w:t>
      </w:r>
      <w:r w:rsidRPr="00896FC8">
        <w:t xml:space="preserve">, females may have a different prognosis in terms of autistic traits and how they are diagnosed with ASD </w:t>
      </w:r>
      <w:r w:rsidRPr="00896FC8">
        <w:fldChar w:fldCharType="begin" w:fldLock="1"/>
      </w:r>
      <w:r w:rsidRPr="00896FC8">
        <w:instrText>ADDIN CSL_CITATION {"citationItems":[{"id":"ITEM-1","itemData":{"ISSN":"1098-4275 (Electronic)","PMID":"15121991","abstract":"Autism is a complex, behaviorally defined, static disorder of the immature brain  that is of great concern to the practicing pediatrician because of an astonishing 556% reported increase in pediatric prevalence between 1991 and 1997, to a prevalence higher than that of spina bifida, cancer, or Down syndrome. This jump is probably attributable to heightened awareness and changing diagnostic criteria rather than to new environmental influences. Autism is not a disease but a syndrome with multiple nongenetic and genetic causes. By autism (the autistic spectrum disorders [ASDs]), we mean the wide spectrum of developmental disorders characterized by impairments in 3 behavioral domains: 1) social interaction; 2) language, communication, and imaginative play; and 3) range of interests and activities. Autism corresponds in this article to pervasive developmental disorder (PDD) of the Diagnostic and Statistical Manual of Mental Disorders, Fourth Edition and International Classification of Diseases, Tenth Revision. Except for Rett syndrome--attributable in most affected individuals to mutations of the methyl-CpG-binding protein 2 (MeCP2) gene--the other PDD subtypes (autistic disorder, Asperger disorder, disintegrative disorder, and PDD Not Otherwise Specified [PDD-NOS]) are not linked to any particular genetic or nongenetic cause. Review of 2 major textbooks on autism and of papers published between 1961 and 2003 yields convincing evidence for multiple interacting genetic factors as the main causative determinants of autism. Epidemiologic studies indicate that environmental factors such as toxic exposures, teratogens, perinatal insults, and prenatal infections such as rubella and cytomegalovirus account for few cases. These studies fail to confirm that immunizations with the measles-mumps-rubella vaccine are responsible for the surge in autism. Epilepsy, the medical condition most highly associated with autism, has equally complex genetic/nongenetic (but mostly unknown) causes. Autism is frequent in tuberous sclerosis complex and fragile X syndrome, but these 2 disorders account for but a small minority of cases. Currently, diagnosable medical conditions, cytogenetic abnormalities, and single-gene defects (eg, tuberous sclerosis complex, fragile X syndrome, and other rare diseases) together account for &lt;10% of cases. There is convincing evidence that \"idiopathic\" autism is a heritable disorder. Epidemiologic studies report an ASD prevalence of approximately 3 to…","author":[{"dropping-particle":"","family":"Muhle","given":"Rebecca","non-dropping-particle":"","parse-names":false,"suffix":""},{"dropping-particle":"V","family":"Trentacoste","given":"Stephanie","non-dropping-particle":"","parse-names":false,"suffix":""},{"dropping-particle":"","family":"Rapin","given":"Isabelle","non-dropping-particle":"","parse-names":false,"suffix":""}],"container-title":"Pediatrics","id":"ITEM-1","issue":"5","issued":{"date-parts":[["2004","5"]]},"language":"eng","page":"e472-86","publisher-place":"United States","title":"The genetics of autism.","type":"article-journal","volume":"113"},"uris":["http://www.mendeley.com/documents/?uuid=ff827e0b-f12f-4f92-8fee-4c0797822f53"]}],"mendeley":{"formattedCitation":"(Muhle et al., 2004)","plainTextFormattedCitation":"(Muhle et al., 2004)","previouslyFormattedCitation":"(Muhle et al., 2004)"},"properties":{"noteIndex":0},"schema":"https://github.com/citation-style-language/schema/raw/master/csl-citation.json"}</w:instrText>
      </w:r>
      <w:r w:rsidRPr="00896FC8">
        <w:fldChar w:fldCharType="separate"/>
      </w:r>
      <w:r w:rsidRPr="00896FC8">
        <w:rPr>
          <w:noProof/>
        </w:rPr>
        <w:t>(Muhle et al., 2004)</w:t>
      </w:r>
      <w:r w:rsidRPr="00896FC8">
        <w:fldChar w:fldCharType="end"/>
      </w:r>
      <w:r w:rsidRPr="00896FC8">
        <w:t xml:space="preserve">. These findings are only correlational, and thus do not establish a causal relationship between those two traits, but it is intriguing to see that certain social and communicative subscales are associated with inferential confusion in females </w:t>
      </w:r>
      <w:r w:rsidRPr="00896FC8">
        <w:fldChar w:fldCharType="begin" w:fldLock="1"/>
      </w:r>
      <w:r w:rsidRPr="00896FC8">
        <w:instrText>ADDIN CSL_CITATION {"citationItems":[{"id":"ITEM-1","itemData":{"DOI":"10.1016/j.cub.2007.05.068","ISSN":"0960-9822","abstract":"We review a diversity of studies of human social interaction and highlight the importance of social signals. We also discuss recent findings from social cognitive neuroscience that explore the brain basis of the capacity for processing social signals. These signals enable us to learn about the world from others, to learn about other people, and to create a shared social world. Social signals can be processed automatically by the receiver and may be unconsciously emitted by the sender. These signals are non-verbal and are responsible for social learning in the first year of life. Social signals can also be processed consciously and this allows automatic processing to be modulated and overruled. Evidence for this higher-level social processing is abundant from about 18 months of age in humans, while evidence is sparse for non-human animals. We suggest that deliberate social signalling requires reflective awareness of ourselves and awareness of the effect of the signals on others. Similarly, the appropriate reception of such signals depends on the ability to take another person&amp;#039;s point of view. This ability is critical to reputation management, as this depends on monitoring how our own actions are perceived by others. We speculate that the development of these high level social signalling systems goes hand in hand with the development of consciousness.","author":[{"dropping-particle":"","family":"Frith","given":"Chris D","non-dropping-particle":"","parse-names":false,"suffix":""},{"dropping-particle":"","family":"Frith","given":"Uta","non-dropping-particle":"","parse-names":false,"suffix":""}],"container-title":"Current Biology","id":"ITEM-1","issue":"16","issued":{"date-parts":[["2007"]]},"page":"R724-R732","title":"Social Cognition in Humans","type":"article-journal","volume":"17"},"uris":["http://www.mendeley.com/documents/?uuid=ae09a271-ac46-45ce-aa0e-278b84b0acb8"]}],"mendeley":{"formattedCitation":"(Frith &amp; Frith, 2007)","plainTextFormattedCitation":"(Frith &amp; Frith, 2007)","previouslyFormattedCitation":"(Frith &amp; Frith, 2007)"},"properties":{"noteIndex":0},"schema":"https://github.com/citation-style-language/schema/raw/master/csl-citation.json"}</w:instrText>
      </w:r>
      <w:r w:rsidRPr="00896FC8">
        <w:fldChar w:fldCharType="separate"/>
      </w:r>
      <w:r w:rsidRPr="00896FC8">
        <w:rPr>
          <w:noProof/>
        </w:rPr>
        <w:t>(Frith &amp; Frith, 2007)</w:t>
      </w:r>
      <w:r w:rsidRPr="00896FC8">
        <w:fldChar w:fldCharType="end"/>
      </w:r>
      <w:r w:rsidRPr="00896FC8">
        <w:t xml:space="preserve">. </w:t>
      </w:r>
    </w:p>
    <w:p w14:paraId="789BB2E8" w14:textId="77777777" w:rsidR="00C705D1" w:rsidRDefault="00C705D1" w:rsidP="00C705D1">
      <w:r w:rsidRPr="00896FC8">
        <w:tab/>
        <w:t xml:space="preserve">Specialized mechanisms for gaze cueing effects determine how a person looks and the socio-emotional consequences of leadership traits such as detecting any risk or threat. Such threats can be identified even when they are presented by the gazer, such as a direct gaze from an aggressive gazer. According to </w:t>
      </w:r>
      <w:r w:rsidRPr="00896FC8">
        <w:fldChar w:fldCharType="begin" w:fldLock="1"/>
      </w:r>
      <w:r w:rsidRPr="00896FC8">
        <w:instrText>ADDIN CSL_CITATION {"citationItems":[{"id":"ITEM-1","itemData":{"DOI":"10.1016/j.neuroimage.2008.12.052","ISSN":"10538119","PMID":"19167506","abstract":"Eye gaze, hand-pointing gestures, and arrows automatically trigger attentional shifts. Although it has been suggested that common neural mechanisms underlie these three types of attentional shifts, this issue remains unsettled. We measured brain activity using fMRI while participants observed directional and non-directional stimuli, including eyes, hands, and arrows, to investigate this issue. Conjunction analyses revealed that the posterior superior temporal sulcus (STS), the inferior parietal lobule, the inferior frontal gyrus, and the occipital cortices in the right hemisphere were more active in common in response to directional versus non-directional stimuli. These results suggest commonalities in the neurocognitive mechanisms underlying the automatic attentional shifts triggered by gaze, gestures, and symbols. © 2009 Elsevier Inc. All rights reserved.","author":[{"dropping-particle":"","family":"Sato","given":"Wataru","non-dropping-particle":"","parse-names":false,"suffix":""},{"dropping-particle":"","family":"Kochiyama","given":"Takanori","non-dropping-particle":"","parse-names":false,"suffix":""},{"dropping-particle":"","family":"Uono","given":"Shota","non-dropping-particle":"","parse-names":false,"suffix":""},{"dropping-particle":"","family":"Yoshikawa","given":"Sakiko","non-dropping-particle":"","parse-names":false,"suffix":""}],"container-title":"NeuroImage","id":"ITEM-1","issue":"3","issued":{"date-parts":[["2009","4"]]},"page":"984-992","publisher":"Elsevier Inc.","title":"Commonalities in the neural mechanisms underlying automatic attentional shifts by gaze, gestures, and symbols","type":"article-journal","volume":"45"},"uris":["http://www.mendeley.com/documents/?uuid=36c0b8e3-910b-4796-9e7d-b1199682d2b9"]}],"mendeley":{"formattedCitation":"(Sato et al., 2009)","plainTextFormattedCitation":"(Sato et al., 2009)","previouslyFormattedCitation":"(Sato et al., 2009)"},"properties":{"noteIndex":0},"schema":"https://github.com/citation-style-language/schema/raw/master/csl-citation.json"}</w:instrText>
      </w:r>
      <w:r w:rsidRPr="00896FC8">
        <w:fldChar w:fldCharType="separate"/>
      </w:r>
      <w:r w:rsidRPr="00896FC8">
        <w:rPr>
          <w:noProof/>
        </w:rPr>
        <w:t>(Sato et al., 2009)</w:t>
      </w:r>
      <w:r w:rsidRPr="00896FC8">
        <w:fldChar w:fldCharType="end"/>
      </w:r>
      <w:r w:rsidRPr="00896FC8">
        <w:t xml:space="preserve">, the gaze cues and direction of observation can activate a broad overlapping cognitive system. Being attractive and likable for women, as identified in this study show that establishing eye contact can also act as a signal of attraction between people. As noted by </w:t>
      </w:r>
      <w:r w:rsidRPr="00896FC8">
        <w:fldChar w:fldCharType="begin" w:fldLock="1"/>
      </w:r>
      <w:r w:rsidRPr="00896FC8">
        <w:instrText>ADDIN CSL_CITATION {"citationItems":[{"id":"ITEM-1","itemData":{"DOI":"10.1016/j.neuroimage.2008.12.052","ISSN":"10538119","PMID":"19167506","abstract":"Eye gaze, hand-pointing gestures, and arrows automatically trigger attentional shifts. Although it has been suggested that common neural mechanisms underlie these three types of attentional shifts, this issue remains unsettled. We measured brain activity using fMRI while participants observed directional and non-directional stimuli, including eyes, hands, and arrows, to investigate this issue. Conjunction analyses revealed that the posterior superior temporal sulcus (STS), the inferior parietal lobule, the inferior frontal gyrus, and the occipital cortices in the right hemisphere were more active in common in response to directional versus non-directional stimuli. These results suggest commonalities in the neurocognitive mechanisms underlying the automatic attentional shifts triggered by gaze, gestures, and symbols. © 2009 Elsevier Inc. All rights reserved.","author":[{"dropping-particle":"","family":"Sato","given":"Wataru","non-dropping-particle":"","parse-names":false,"suffix":""},{"dropping-particle":"","family":"Kochiyama","given":"Takanori","non-dropping-particle":"","parse-names":false,"suffix":""},{"dropping-particle":"","family":"Uono","given":"Shota","non-dropping-particle":"","parse-names":false,"suffix":""},{"dropping-particle":"","family":"Yoshikawa","given":"Sakiko","non-dropping-particle":"","parse-names":false,"suffix":""}],"container-title":"NeuroImage","id":"ITEM-1","issue":"3","issued":{"date-parts":[["2009","4"]]},"page":"984-992","publisher":"Elsevier Inc.","title":"Commonalities in the neural mechanisms underlying automatic attentional shifts by gaze, gestures, and symbols","type":"article-journal","volume":"45"},"uris":["http://www.mendeley.com/documents/?uuid=36c0b8e3-910b-4796-9e7d-b1199682d2b9"]}],"mendeley":{"formattedCitation":"(Sato et al., 2009)","manualFormatting":"Sato et al., (2009)","plainTextFormattedCitation":"(Sato et al., 2009)","previouslyFormattedCitation":"(Sato et al., 2009)"},"properties":{"noteIndex":0},"schema":"https://github.com/citation-style-language/schema/raw/master/csl-citation.json"}</w:instrText>
      </w:r>
      <w:r w:rsidRPr="00896FC8">
        <w:fldChar w:fldCharType="separate"/>
      </w:r>
      <w:r w:rsidRPr="00896FC8">
        <w:rPr>
          <w:noProof/>
        </w:rPr>
        <w:t>Sato et al., (2009)</w:t>
      </w:r>
      <w:r w:rsidRPr="00896FC8">
        <w:fldChar w:fldCharType="end"/>
      </w:r>
      <w:r w:rsidRPr="00896FC8">
        <w:t xml:space="preserve">, when a person is seen to move their eyes to engage in eye contact, they are perceived to be more likable and attractive than if they are seen to disengage eye contact. </w:t>
      </w:r>
    </w:p>
    <w:p w14:paraId="5F416EEE" w14:textId="082B5815" w:rsidR="00477691" w:rsidRDefault="00477691" w:rsidP="00C705D1"/>
    <w:p w14:paraId="4C887E67" w14:textId="6EFFBBB4" w:rsidR="00477691" w:rsidRPr="00BD14B0" w:rsidRDefault="00477691" w:rsidP="00477691">
      <w:pPr>
        <w:pStyle w:val="Heading3"/>
      </w:pPr>
      <w:r>
        <w:lastRenderedPageBreak/>
        <w:t>Conclusion</w:t>
      </w:r>
    </w:p>
    <w:p w14:paraId="1204E8A8" w14:textId="4FA7058A" w:rsidR="00944DF1" w:rsidRPr="00BD14B0" w:rsidRDefault="00944DF1" w:rsidP="00944DF1">
      <w:r w:rsidRPr="00BD14B0">
        <w:tab/>
        <w:t>There are contradicting opinions and theories about the cognitive mechanisms of what triggers the gaze cueing effect. Most studies agree with this study’s notions that the neural map that is activated by the direction of gaze cuing resembles more exogenous orienting that endogenous orienting. The orienting behaviours are consistent with developmental and evolutionally theories of social cognition as they perceive that one must orient in the opposite direction of the gaze to achieve any state of shared attention. As opposed to the responses given to the social gaze, such ideas support the notion that neural mechanisms and distinct cognition are directly engaged when establishing joint attention</w:t>
      </w:r>
      <w:r w:rsidR="00BF78E3">
        <w:t>.</w:t>
      </w:r>
    </w:p>
    <w:p w14:paraId="615E31F2" w14:textId="2B86B6AA" w:rsidR="00944DF1" w:rsidRPr="00BD14B0" w:rsidRDefault="00944DF1" w:rsidP="00944DF1">
      <w:r w:rsidRPr="00BD14B0">
        <w:tab/>
      </w:r>
      <w:r w:rsidR="00C85789" w:rsidRPr="00BD14B0">
        <w:t xml:space="preserve">The results did not replicate the of </w:t>
      </w:r>
      <w:r w:rsidRPr="00BD14B0">
        <w:fldChar w:fldCharType="begin" w:fldLock="1"/>
      </w:r>
      <w:r w:rsidR="004D2901" w:rsidRPr="00BD14B0">
        <w:instrText>ADDIN CSL_CITATION {"citationItems":[{"id":"ITEM-1","itemData":{"DOI":"10.1037/xge0000167","ISSN":"0096-3445","abstract":"We asked whether previous observations of group interactions modulate subsequent social attention episodes. Participants first completed a learning phase with 2 conditions. In the “leader” condition 1 of 3 identities turned her gaze first, followed by the 2 other faces. In the “follower” condition, 1 of the identities turned her gaze after the 2 other faces had first shifted their gaze. Thus, participants observed that some individuals were consistently leaders and others followers of others’ attention. In the test phase, the faces of leaders and followers were presented in a gaze cueing paradigm. Remarkably, the followers did not elicit gaze cueing. Our data demonstrate that individuals who do not guide group attention in exploring the environment are ineffective social attention directors in later encounters. Thus, the role played in previous group social attention interactions modulates the relative weight assigned to others’ gaze: we ignore the gaze of group followers.","author":[{"dropping-particle":"","family":"Capozzi","given":"Francesca","non-dropping-particle":"","parse-names":false,"suffix":""},{"dropping-particle":"","family":"Becchio","given":"Cristina","non-dropping-particle":"","parse-names":false,"suffix":""},{"dropping-particle":"","family":"Willemse","given":"Cesco","non-dropping-particle":"","parse-names":false,"suffix":""},{"dropping-particle":"","family":"Bayliss","given":"Andrew P","non-dropping-particle":"","parse-names":false,"suffix":""}],"container-title":"Journal of Experimental Psychology: General","id":"ITEM-1","issued":{"date-parts":[["2016"]]},"title":"Followers Are Not Followed: Observed Group Interactions Modulate Subsequent Social Attention","type":"article-journal"},"uris":["http://www.mendeley.com/documents/?uuid=375d71b6-ee24-42b5-b1e8-b217d92f5738"]}],"mendeley":{"formattedCitation":"(Capozzi et al., 2016)","manualFormatting":"Capozzi et al. (2016)","plainTextFormattedCitation":"(Capozzi et al., 2016)","previouslyFormattedCitation":"(Capozzi et al., 2016)"},"properties":{"noteIndex":0},"schema":"https://github.com/citation-style-language/schema/raw/master/csl-citation.json"}</w:instrText>
      </w:r>
      <w:r w:rsidRPr="00BD14B0">
        <w:fldChar w:fldCharType="separate"/>
      </w:r>
      <w:r w:rsidRPr="00BD14B0">
        <w:rPr>
          <w:noProof/>
        </w:rPr>
        <w:t>Capozzi et al. (2016)</w:t>
      </w:r>
      <w:r w:rsidRPr="00BD14B0">
        <w:fldChar w:fldCharType="end"/>
      </w:r>
      <w:r w:rsidRPr="00BD14B0">
        <w:t xml:space="preserve"> findings.</w:t>
      </w:r>
      <w:r w:rsidR="003D2BF1" w:rsidRPr="00BD14B0">
        <w:t xml:space="preserve"> </w:t>
      </w:r>
      <w:r w:rsidRPr="00BD14B0">
        <w:fldChar w:fldCharType="begin" w:fldLock="1"/>
      </w:r>
      <w:r w:rsidR="0028287E" w:rsidRPr="00BD14B0">
        <w:instrText>ADDIN CSL_CITATION {"citationItems":[{"id":"ITEM-1","itemData":{"DOI":"10.1037/xlm0000159","ISSN":"1939-1285","PMID":"26237618","abstract":"We assessed the extent to which previous experience of joint gaze with people (i.e., looking toward the same object) modulates later gaze cueing of attention elicited by those individuals. Participants in Experiments 1 and 2a/b first completed a saccade/antisaccade task while a to-be-ignored face either looked at, or away from, the participants&amp;#039; eye movement target. Two faces always engaged in joint gaze with the participant, whereas 2 other faces never engaged in joint gaze. Then, we assessed standard gaze cueing in response to these faces to ascertain the effect of these prior interactions on subsequent social attention episodes. In Experiment 1, the face&amp;#039;s eyes moved before the participant&amp;#039;s target appeared, meaning that the participant always gaze-followed 2 faces and never gaze-followed 2 other faces. We found that this prior experience modulated the timecourse of subsequent gaze cueing. In Experiments 2a/b, the participant looked at the target first, then was either followed (i.e., the participant initiated joint gaze), or was not followed. These participants then showed an overall decrement of gaze cueing with individuals who had previously followed participants&amp;#039; eyes (Experiment 2a), an effect that was associated with autism spectrum quotient scores and modulated perceived trustworthiness of the faces (Experiment 2b). Experiment 3 demonstrated that these modulations are unlikely to be because of the association of different levels of task difficulty with particular faces. These findings suggest that establishing joint gaze with others influences subsequent social attention processes that are generally thought to be relatively insensitive to learning from prior episodes.","author":[{"dropping-particle":"","family":"Dalmaso","given":"Mario","non-dropping-particle":"","parse-names":false,"suffix":""},{"dropping-particle":"","family":"Edwards","given":"S. Gareth","non-dropping-particle":"","parse-names":false,"suffix":""},{"dropping-particle":"","family":"Bayliss","given":"Andrew P.","non-dropping-particle":"","parse-names":false,"suffix":""}],"container-title":"Journal of Experimental Psychology: Learning, Memory, and Cognition","id":"ITEM-1","issue":"2","issued":{"date-parts":[["2016"]]},"page":"271-284","title":"Re-encountering individuals who previously engaged in joint gaze modulates subsequent gaze cueing.","type":"article-journal","volume":"42"},"uris":["http://www.mendeley.com/documents/?uuid=a7f36e5d-a347-40e8-9ba4-63ed8145ceab"]}],"mendeley":{"formattedCitation":"(Dalmaso et al., 2016)","manualFormatting":"Dalmaso, Edwards, &amp; Bayliss, (2016)","plainTextFormattedCitation":"(Dalmaso et al., 2016)","previouslyFormattedCitation":"(Dalmaso et al., 2016)"},"properties":{"noteIndex":0},"schema":"https://github.com/citation-style-language/schema/raw/master/csl-citation.json"}</w:instrText>
      </w:r>
      <w:r w:rsidRPr="00BD14B0">
        <w:fldChar w:fldCharType="separate"/>
      </w:r>
      <w:r w:rsidRPr="00BD14B0">
        <w:rPr>
          <w:noProof/>
        </w:rPr>
        <w:t xml:space="preserve">Dalmaso, Edwards, </w:t>
      </w:r>
      <w:r w:rsidR="00784FA6" w:rsidRPr="00BD14B0">
        <w:rPr>
          <w:noProof/>
        </w:rPr>
        <w:t xml:space="preserve">&amp; </w:t>
      </w:r>
      <w:r w:rsidRPr="00BD14B0">
        <w:rPr>
          <w:noProof/>
        </w:rPr>
        <w:t>Bayliss, (2016)</w:t>
      </w:r>
      <w:r w:rsidRPr="00BD14B0">
        <w:fldChar w:fldCharType="end"/>
      </w:r>
      <w:r w:rsidRPr="00BD14B0">
        <w:t xml:space="preserve"> used a mixed gender student </w:t>
      </w:r>
      <w:r w:rsidR="003E3801" w:rsidRPr="00BD14B0">
        <w:t>groups</w:t>
      </w:r>
      <w:r w:rsidR="003D2BF1" w:rsidRPr="00BD14B0">
        <w:t xml:space="preserve"> their sample</w:t>
      </w:r>
      <w:r w:rsidR="00784FA6" w:rsidRPr="00BD14B0">
        <w:t>.</w:t>
      </w:r>
      <w:r w:rsidR="00700ECB" w:rsidRPr="00BD14B0">
        <w:t xml:space="preserve"> </w:t>
      </w:r>
      <w:r w:rsidRPr="00BD14B0">
        <w:t xml:space="preserve">Our sample comprised </w:t>
      </w:r>
      <w:r w:rsidR="003D2BF1" w:rsidRPr="00BD14B0">
        <w:t xml:space="preserve">only of </w:t>
      </w:r>
      <w:r w:rsidRPr="00BD14B0">
        <w:t>female university students.</w:t>
      </w:r>
      <w:r w:rsidR="003E3801" w:rsidRPr="00BD14B0">
        <w:t xml:space="preserve"> Additionally, in the current study only had one SOA which is 300 </w:t>
      </w:r>
      <w:proofErr w:type="spellStart"/>
      <w:r w:rsidR="00A35ECD" w:rsidRPr="00BD14B0">
        <w:t>m</w:t>
      </w:r>
      <w:r w:rsidR="003E3801" w:rsidRPr="00BD14B0">
        <w:t>s</w:t>
      </w:r>
      <w:proofErr w:type="spellEnd"/>
      <w:r w:rsidR="003E3801" w:rsidRPr="00BD14B0">
        <w:t xml:space="preserve">. </w:t>
      </w:r>
      <w:r w:rsidRPr="00BD14B0">
        <w:t>Maybe recognising facial features happens after 300</w:t>
      </w:r>
      <w:r w:rsidR="00A35ECD" w:rsidRPr="00BD14B0">
        <w:t xml:space="preserve"> </w:t>
      </w:r>
      <w:proofErr w:type="spellStart"/>
      <w:r w:rsidR="00A35ECD" w:rsidRPr="00BD14B0">
        <w:t>m</w:t>
      </w:r>
      <w:r w:rsidRPr="00BD14B0">
        <w:t>s</w:t>
      </w:r>
      <w:proofErr w:type="spellEnd"/>
      <w:r w:rsidRPr="00BD14B0">
        <w:t xml:space="preserve"> as noted by </w:t>
      </w:r>
      <w:r w:rsidRPr="00BD14B0">
        <w:fldChar w:fldCharType="begin" w:fldLock="1"/>
      </w:r>
      <w:r w:rsidRPr="00BD14B0">
        <w:instrText>ADDIN CSL_CITATION {"citationItems":[{"id":"ITEM-1","itemData":{"DOI":"10.1016/j.neuropsychologia.2016.02.024","ISBN":"0028-3932","ISSN":"18733514","PMID":"26944872","abstract":"Does visual awareness correlate with early activity in visual cortex or with later wide-spread neural activation? This question was studied by presenting liminal targets in one of the four quadrants of the screen and asking the participants to make forced-choice localization responses and to rate their subjective visual awareness of each target, while electroencephalography was measured. In the analyses of event-related potential (ERP) correlates of awareness, response accuracy was kept constant so that only the subjectively rated awareness varied between high-awareness ('seen' rating) and low-awareness ('unseen' rating) targets. High-awareness-correct trials were associated with enhanced contralateral N200 at 180-280 ms as compared with low-awareness-correct trials. This effect (visual awareness negativity, VAN) also correlated with aware sensitivity to the presence vs. absence of the stimulus (d'). In addition, high-awareness-correct trials were associated with later enhanced P3 amplitudes (after 350 ms), but this effect correlated only with the response bias (c). ERPs to low-awareness-correct trials elicited larger contralateral N200 than ERPs to low-awareness-incorrect trials, and this effect correlated with conservative response bias, suggesting that it reflected weak awareness rather than unconscious processing. The results suggest that the enhanced N200 correlates with graded awareness. The results support theories of visual awareness in which early activity in visual cortex gives rise to subjective visual experiences.","author":[{"dropping-particle":"","family":"Koivisto","given":"Mika","non-dropping-particle":"","parse-names":false,"suffix":""},{"dropping-particle":"","family":"Grassini","given":"Simone","non-dropping-particle":"","parse-names":false,"suffix":""}],"container-title":"Neuropsychologia","id":"ITEM-1","issued":{"date-parts":[["2016"]]},"page":"235-243","publisher":"Elsevier","title":"Neural processing around 200 ms after stimulus-onset correlates with subjective visual awareness","type":"article-journal","volume":"84"},"uris":["http://www.mendeley.com/documents/?uuid=756d3dbc-2095-45d8-8509-4e1078fa51ed","http://www.mendeley.com/documents/?uuid=c082b03a-11cb-4f98-bd2b-8420dc42f674"]}],"mendeley":{"formattedCitation":"(Koivisto &amp; Grassini, 2016)","plainTextFormattedCitation":"(Koivisto &amp; Grassini, 2016)","previouslyFormattedCitation":"(Koivisto &amp; Grassini, 2016)"},"properties":{"noteIndex":0},"schema":"https://github.com/citation-style-language/schema/raw/master/csl-citation.json"}</w:instrText>
      </w:r>
      <w:r w:rsidRPr="00BD14B0">
        <w:fldChar w:fldCharType="separate"/>
      </w:r>
      <w:r w:rsidRPr="00BD14B0">
        <w:rPr>
          <w:noProof/>
        </w:rPr>
        <w:t>(Koivisto &amp; Grassini, 2016)</w:t>
      </w:r>
      <w:r w:rsidRPr="00BD14B0">
        <w:fldChar w:fldCharType="end"/>
      </w:r>
      <w:r w:rsidRPr="00BD14B0">
        <w:t>. As a result, we would need more than 300</w:t>
      </w:r>
      <w:r w:rsidR="00A35ECD" w:rsidRPr="00BD14B0">
        <w:t xml:space="preserve"> </w:t>
      </w:r>
      <w:proofErr w:type="spellStart"/>
      <w:r w:rsidR="00A35ECD" w:rsidRPr="00BD14B0">
        <w:t>m</w:t>
      </w:r>
      <w:r w:rsidRPr="00BD14B0">
        <w:t>s</w:t>
      </w:r>
      <w:proofErr w:type="spellEnd"/>
      <w:r w:rsidRPr="00BD14B0">
        <w:t xml:space="preserve"> to see the effect of person perception.</w:t>
      </w:r>
    </w:p>
    <w:p w14:paraId="01A28A17" w14:textId="44EC8F32" w:rsidR="00192CD6" w:rsidRPr="00BD14B0" w:rsidRDefault="00192CD6" w:rsidP="00944DF1"/>
    <w:p w14:paraId="53984223" w14:textId="705995D3" w:rsidR="00192CD6" w:rsidRPr="00BD14B0" w:rsidRDefault="00192CD6" w:rsidP="00553E01">
      <w:pPr>
        <w:pStyle w:val="Heading2"/>
      </w:pPr>
      <w:bookmarkStart w:id="123" w:name="_Toc108310802"/>
      <w:r w:rsidRPr="00BD14B0">
        <w:t>Limitations and Future Directions</w:t>
      </w:r>
      <w:bookmarkEnd w:id="123"/>
    </w:p>
    <w:p w14:paraId="132E11E2" w14:textId="0D6520F2" w:rsidR="00192CD6" w:rsidRPr="00BD14B0" w:rsidRDefault="00192CD6" w:rsidP="00553E01">
      <w:r w:rsidRPr="00BD14B0">
        <w:tab/>
      </w:r>
      <w:r w:rsidR="00484E46" w:rsidRPr="00BD14B0">
        <w:t>There was not a broad range of AQ scores and that could have affected results. We do not have high/low AQ groups to compare the difference between those who scored high on AQ and those who scored low on AQ. Therefore, it is not possible to make a direct comparison between two groups of participants. Future research should repeat the findings using a larger sample of participants and compare the two groups as categorical variables rather than as continuous variables. Including male participants, would be interesting to see since it may produce different results. We do not have high/ low AQ groups, to compare the difference between high AQ scorers and low AQ scorers. Therefore, it is not possible to make direct comparison between 2 groups. Future research should replicate this with larger sample and compare the two groups as a categorical variable rather than continuum.</w:t>
      </w:r>
    </w:p>
    <w:p w14:paraId="5E22A35B" w14:textId="20A9FB82" w:rsidR="00192CD6" w:rsidRPr="00BD14B0" w:rsidRDefault="00192CD6" w:rsidP="00553E01">
      <w:r w:rsidRPr="00BD14B0">
        <w:tab/>
      </w:r>
    </w:p>
    <w:p w14:paraId="31362D7F" w14:textId="77777777" w:rsidR="00451D33" w:rsidRPr="00BD14B0" w:rsidRDefault="00451D33" w:rsidP="00553E01"/>
    <w:p w14:paraId="7A950BF4" w14:textId="1FFDDB5F" w:rsidR="000A1220" w:rsidRPr="00BD14B0" w:rsidRDefault="00241228" w:rsidP="00553E01">
      <w:pPr>
        <w:pStyle w:val="Heading1"/>
      </w:pPr>
      <w:bookmarkStart w:id="124" w:name="_Toc108310803"/>
      <w:r w:rsidRPr="00BD14B0">
        <w:lastRenderedPageBreak/>
        <w:t>General Discussion</w:t>
      </w:r>
      <w:bookmarkEnd w:id="124"/>
      <w:r w:rsidRPr="00BD14B0">
        <w:t xml:space="preserve"> </w:t>
      </w:r>
    </w:p>
    <w:p w14:paraId="1C58548B" w14:textId="67F9020B" w:rsidR="006D2EE6" w:rsidRPr="00BD14B0" w:rsidRDefault="000D1192" w:rsidP="00553E01">
      <w:r w:rsidRPr="00BD14B0">
        <w:rPr>
          <w:noProof/>
          <w:lang w:eastAsia="en-US"/>
        </w:rPr>
        <mc:AlternateContent>
          <mc:Choice Requires="wps">
            <w:drawing>
              <wp:anchor distT="0" distB="0" distL="114300" distR="114300" simplePos="0" relativeHeight="251659264" behindDoc="0" locked="0" layoutInCell="1" allowOverlap="1" wp14:anchorId="275EBA33" wp14:editId="5B6786F6">
                <wp:simplePos x="0" y="0"/>
                <wp:positionH relativeFrom="column">
                  <wp:posOffset>34822</wp:posOffset>
                </wp:positionH>
                <wp:positionV relativeFrom="paragraph">
                  <wp:posOffset>164716</wp:posOffset>
                </wp:positionV>
                <wp:extent cx="5762846" cy="0"/>
                <wp:effectExtent l="0" t="12700" r="15875" b="12700"/>
                <wp:wrapNone/>
                <wp:docPr id="11" name="Straight Connector 11"/>
                <wp:cNvGraphicFramePr/>
                <a:graphic xmlns:a="http://schemas.openxmlformats.org/drawingml/2006/main">
                  <a:graphicData uri="http://schemas.microsoft.com/office/word/2010/wordprocessingShape">
                    <wps:wsp>
                      <wps:cNvCnPr/>
                      <wps:spPr>
                        <a:xfrm>
                          <a:off x="0" y="0"/>
                          <a:ext cx="576284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3735579" id="Straight Connector 1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75pt,12.95pt" to="456.5pt,12.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" strokecolor="black [3200]" strokeweight="1.5pt">
                <v:stroke joinstyle="miter"/>
              </v:line>
            </w:pict>
          </mc:Fallback>
        </mc:AlternateContent>
      </w:r>
    </w:p>
    <w:p w14:paraId="03B022D4" w14:textId="031D531A" w:rsidR="006D2EE6" w:rsidRPr="00BD14B0" w:rsidRDefault="006D2EE6" w:rsidP="00553E01">
      <w:pPr>
        <w:pStyle w:val="Heading2"/>
      </w:pPr>
      <w:bookmarkStart w:id="125" w:name="_Toc108310804"/>
      <w:r w:rsidRPr="00BD14B0">
        <w:t>Summary of main findings</w:t>
      </w:r>
      <w:bookmarkEnd w:id="125"/>
    </w:p>
    <w:p w14:paraId="1734D9B0" w14:textId="3132DA60" w:rsidR="006D2EE6" w:rsidRPr="00BD14B0" w:rsidRDefault="00AD78B4" w:rsidP="00553E01">
      <w:r w:rsidRPr="00BD14B0">
        <w:tab/>
      </w:r>
      <w:r w:rsidR="006D2EE6" w:rsidRPr="00BD14B0">
        <w:t>In this chapter, the major findings of the three studies will be summarized, followed by a discussion that integrates the findings with the literature. The implications of the findings will also be discussed. Finally, the study's strengths and limitations will be discussed, as will future research suggestions. The overarching purpose of this thesis was to determine the role of personal traits and social-cognitive variables on the gaze</w:t>
      </w:r>
      <w:r w:rsidR="001D12AF" w:rsidRPr="00BD14B0">
        <w:t>-following</w:t>
      </w:r>
      <w:r w:rsidR="006D2EE6" w:rsidRPr="00BD14B0">
        <w:t xml:space="preserve">. Thus, it investigated how attention to social information is influenced by being within a social group environment with the traits of the observer as well as the gazer. </w:t>
      </w:r>
    </w:p>
    <w:p w14:paraId="618FF107" w14:textId="77777777" w:rsidR="006D2EE6" w:rsidRPr="00BD14B0" w:rsidRDefault="006D2EE6" w:rsidP="00553E01"/>
    <w:p w14:paraId="6A1E8D4E" w14:textId="5A1CFF81" w:rsidR="006D2EE6" w:rsidRPr="00BD14B0" w:rsidRDefault="006D2EE6" w:rsidP="00553E01">
      <w:pPr>
        <w:pStyle w:val="Heading3"/>
      </w:pPr>
      <w:bookmarkStart w:id="126" w:name="_Toc108310805"/>
      <w:r w:rsidRPr="00BD14B0">
        <w:t>1. Theoretical explanation:</w:t>
      </w:r>
      <w:bookmarkEnd w:id="126"/>
    </w:p>
    <w:p w14:paraId="175EF433" w14:textId="77777777" w:rsidR="009A1963" w:rsidRPr="00BD14B0" w:rsidRDefault="00AD78B4" w:rsidP="009A1963">
      <w:r w:rsidRPr="00BD14B0">
        <w:tab/>
      </w:r>
      <w:r w:rsidR="009A1963" w:rsidRPr="00BD14B0">
        <w:t xml:space="preserve">As discussed in Chapter 1 (which is the review of the literature), socio-cognitive variables such as social power and visual cues such as dominance, as well as personal traits such as autistic-like traits, influence the automaticity of gaze-following behaviour. Although the visual features of the face are effective in manipulating the strength of gaze following, social environments for humans are much more complex, and social interactions in a social environment cannot simply be explained by visual information. That is, outside of the laboratory, the original behaviour is based on perceptual information rather than visual information like on the screen. To clarify what that percept is, an extensive literature search was conducted. It was found that the majority of studies in the literature focused on the gazer’s visual features to manipulate the social variables. However, to a gain more accurate understanding of human social interaction in a real-world social environment, Chapter 1 focused on socio-cognitive variables manipulated by </w:t>
      </w:r>
      <w:r w:rsidR="009A1963" w:rsidRPr="00BD14B0">
        <w:rPr>
          <w:i/>
          <w:iCs/>
        </w:rPr>
        <w:t xml:space="preserve">episodically learned social knowledge about the behaviours performed by the individual </w:t>
      </w:r>
      <w:r w:rsidR="009A1963" w:rsidRPr="00BD14B0">
        <w:t xml:space="preserve">and </w:t>
      </w:r>
      <w:r w:rsidR="009A1963" w:rsidRPr="00BD14B0">
        <w:rPr>
          <w:i/>
          <w:iCs/>
        </w:rPr>
        <w:t>visual observation of the individual</w:t>
      </w:r>
      <w:r w:rsidR="009A1963" w:rsidRPr="00BD14B0">
        <w:t xml:space="preserve">. The purpose of this literature review was to determine which variable was discovered to effectively manipulate the gaze-cueing effect. According to Chapter 1, visual cues, social factors, or personal differences can manipulate the automaticity of gaze following. The chapter achieved this in several steps. </w:t>
      </w:r>
    </w:p>
    <w:p w14:paraId="30CB06B8" w14:textId="77777777" w:rsidR="009A1963" w:rsidRPr="00BD14B0" w:rsidRDefault="009A1963" w:rsidP="009A1963">
      <w:r w:rsidRPr="00BD14B0">
        <w:lastRenderedPageBreak/>
        <w:tab/>
        <w:t>First, the review of the literature revealed that 'Faces,' 'Race and Physical Similarity,' 'Dominance,' and 'Age' are visual stimuli that influence the magnitude of gaze following. The first experimental study (Chapter 2) was carried out to investigate the effect of social group membership on gaze cueing with visually similar gazer stimuli. Here, results showed that participants were aware which gazer face was ingroup and which gazer was outgroup. They showed significant difference in their attitudes, but this difference did not influence the gaze cueing effect.</w:t>
      </w:r>
    </w:p>
    <w:p w14:paraId="77CD918A" w14:textId="77777777" w:rsidR="009A1963" w:rsidRPr="00BD14B0" w:rsidRDefault="009A1963" w:rsidP="009A1963">
      <w:r w:rsidRPr="00BD14B0">
        <w:tab/>
        <w:t xml:space="preserve">Second, the outcome of a detailed literature search reveals that some social factors, such as "social group belonging”, “social similarity", "political/social status," and "social power" have been found to influence the magnitude of the gaze cueing effect. A second study was conducted (Chapter 3) to investigate the effect of social status on the strength of gaze cueing. In Chapter 3, we eliminated the combined effect of visual stimuli by using similar young Caucasian faces (counter-balanced between conditions) with no visual cue of the social power difference between them. Additionally, we only focused on episodic learning of social stimuli by telling them who is their group leader or group member. Here, results showed in line with the previous literature, female male difference was present.  </w:t>
      </w:r>
    </w:p>
    <w:p w14:paraId="24554D07" w14:textId="50B20B43" w:rsidR="009A1963" w:rsidRPr="00BD14B0" w:rsidRDefault="009A1963" w:rsidP="009A1963">
      <w:r w:rsidRPr="00BD14B0">
        <w:tab/>
        <w:t xml:space="preserve">Finally, individual differences such as personal traits (level of anxiety, introvert/extravert dimension), gender, and autistic traits were found to have a significant influence on the observant's gaze-following behaviour. The previous study in Chapter 3 as well as the other studies in the literature, females are overall more sensitive to social cues gathered by eye gaze following. In chapter 4, we examined only female participants and asked them to fill out a questionnaire to measure autism traits (Please refer to Chapter 4 for details). </w:t>
      </w:r>
      <w:r w:rsidR="00BE3A18" w:rsidRPr="00BE3A18">
        <w:t>The</w:t>
      </w:r>
      <w:r w:rsidRPr="00BE3A18">
        <w:t xml:space="preserve"> results showed that </w:t>
      </w:r>
      <w:r w:rsidR="00BE3A18" w:rsidRPr="00BE3A18">
        <w:t>p</w:t>
      </w:r>
      <w:r w:rsidRPr="00BE3A18">
        <w:t xml:space="preserve">articipants showed faster response to female faces compared to male faces. Participants showed higher accuracy for male than female faces in follower condition but not in leader condition. </w:t>
      </w:r>
      <w:r w:rsidR="00BE3A18">
        <w:t>In learning phase, we showed participants differentiate in line with social variables however this differentiation was not present for testing phase.</w:t>
      </w:r>
      <w:r w:rsidRPr="00BD14B0">
        <w:t xml:space="preserve"> Overall, this thesis investigated the socio-cognitive variables found in the literature, and each chapter answered one of the different effects that were found to be significant by other studies.</w:t>
      </w:r>
    </w:p>
    <w:p w14:paraId="211B2C5D" w14:textId="7778BC9D" w:rsidR="006D2EE6" w:rsidRPr="00BD14B0" w:rsidRDefault="006D2EE6" w:rsidP="009A1963"/>
    <w:p w14:paraId="2A81A242" w14:textId="0769EFFA" w:rsidR="006D2EE6" w:rsidRPr="00BD14B0" w:rsidRDefault="006D2EE6" w:rsidP="00553E01">
      <w:pPr>
        <w:pStyle w:val="Heading3"/>
      </w:pPr>
      <w:bookmarkStart w:id="127" w:name="_Toc108310806"/>
      <w:r w:rsidRPr="00BD14B0">
        <w:lastRenderedPageBreak/>
        <w:t xml:space="preserve">2. </w:t>
      </w:r>
      <w:r w:rsidR="00B34EA9" w:rsidRPr="00BD14B0">
        <w:t>Experimental</w:t>
      </w:r>
      <w:r w:rsidRPr="00BD14B0">
        <w:t xml:space="preserve"> explanation:</w:t>
      </w:r>
      <w:bookmarkEnd w:id="127"/>
    </w:p>
    <w:p w14:paraId="4A3A99D7" w14:textId="750743CC" w:rsidR="006D2EE6" w:rsidRPr="00BD14B0" w:rsidRDefault="00AD78B4" w:rsidP="00553E01">
      <w:r w:rsidRPr="00BD14B0">
        <w:tab/>
      </w:r>
      <w:r w:rsidR="006D2EE6" w:rsidRPr="00BD14B0">
        <w:t>The first experiment (Please refer to Chapter 2) was conducted to understand the effect of social group belonging in gaze-following behaviour. It was hypothesized that following in-group faces would produce more valuable information about the environment; what to attend and what to avoid than following out-group faces. The use of episodic learning produced the in-group, out-group effect; importantly, the participants had no visual cue of group belonging. Episodic learning means that participants were told which face pictures were in-group and which were out-group, but they had no experience being them in the group. Although the "</w:t>
      </w:r>
      <w:r w:rsidR="006D2EE6" w:rsidRPr="00BD14B0">
        <w:rPr>
          <w:i/>
          <w:iCs/>
        </w:rPr>
        <w:t>minimal group effect</w:t>
      </w:r>
      <w:r w:rsidR="006D2EE6" w:rsidRPr="00BD14B0">
        <w:t xml:space="preserve">" was present, which means that participants learned the in-group and out-group faces and rated themselves as similar to in-group members rather than out-group members, the results indicated that this did not affect the strength of gaze cueing. The social group belonging derived from episodic knowledge rather than visual cues, this knowledge did not affect the strength of gaze cues. </w:t>
      </w:r>
    </w:p>
    <w:p w14:paraId="452C9B1B" w14:textId="6E91119C" w:rsidR="006D2EE6" w:rsidRPr="00BD14B0" w:rsidRDefault="00AD78B4" w:rsidP="00553E01">
      <w:r w:rsidRPr="00BD14B0">
        <w:tab/>
      </w:r>
      <w:r w:rsidR="006D2EE6" w:rsidRPr="00BD14B0">
        <w:t xml:space="preserve">There may be several reasons for these results: first, there was no competition between the two groups for limited environmental resources; therefore, alerted sensitivity to group differences might not have occurred. Indeed, limited resources in the environment could lead to competition between groups </w:t>
      </w:r>
      <w:r w:rsidR="006D2EE6" w:rsidRPr="00BD14B0">
        <w:fldChar w:fldCharType="begin" w:fldLock="1"/>
      </w:r>
      <w:r w:rsidR="004D2901" w:rsidRPr="00BD14B0">
        <w:instrText>ADDIN CSL_CITATION {"citationItems":[{"id":"ITEM-1","itemData":{"DOI":"10.1098/rspb.2008.1060","ISBN":"0962-8452","ISSN":"0962-8452","PMID":"18826935","abstract":"A distinctive feature of human behaviour is the widespread occurrence of cooperation among unrelated individuals. Explaining the maintenance of costly within-group cooperation is a challenge because the incentive to free ride on the efforts of other group members is expected to lead to decay of cooperation. However, the costs of cooperation can be diminished or overcome when there is competition at a higher level of organizational hierarchy. Here we show that competition between groups resolves the paradigmatic 'public goods' social dilemma and increases within-group cooperation and overall productivity. Further, group competition intensifies the moral emotions of anger and guilt associated with violations of the cooperative norm. The results suggest an important role for group conflict in the evolution of human cooperation and moral emotions.","author":[{"dropping-particle":"","family":"Puurtinen","given":"M.","non-dropping-particle":"","parse-names":false,"suffix":""},{"dropping-particle":"","family":"Mappes","given":"T.","non-dropping-particle":"","parse-names":false,"suffix":""}],"container-title":"Proceedings of the Royal Society B: Biological Sciences","id":"ITEM-1","issue":"1655","issued":{"date-parts":[["2009"]]},"page":"355-360","title":"Between-group competition and human cooperation","type":"article-journal","volume":"276"},"uris":["http://www.mendeley.com/documents/?uuid=d731d3c8-abb6-4c20-ab55-0027e93e6f8f"]}],"mendeley":{"formattedCitation":"(Puurtinen &amp; Mappes, 2009)","plainTextFormattedCitation":"(Puurtinen &amp; Mappes, 2009)","previouslyFormattedCitation":"(Puurtinen &amp; Mappes, 2009)"},"properties":{"noteIndex":0},"schema":"https://github.com/citation-style-language/schema/raw/master/csl-citation.json"}</w:instrText>
      </w:r>
      <w:r w:rsidR="006D2EE6" w:rsidRPr="00BD14B0">
        <w:fldChar w:fldCharType="separate"/>
      </w:r>
      <w:r w:rsidR="006D2EE6" w:rsidRPr="00BD14B0">
        <w:rPr>
          <w:noProof/>
        </w:rPr>
        <w:t>(Puurtinen &amp; Mappes, 2009)</w:t>
      </w:r>
      <w:r w:rsidR="006D2EE6" w:rsidRPr="00BD14B0">
        <w:fldChar w:fldCharType="end"/>
      </w:r>
      <w:r w:rsidR="006D2EE6" w:rsidRPr="00BD14B0">
        <w:t xml:space="preserve">. Second, in our study, there was no danger present in the environment that would trigger the participants and activate heightened alertness in their attention. When there is a danger in the environment, in-group faces may be the first to direct attention, because gaze following is important for both avoiding danger and attending to sources in the environment. Lastly, there were no social power differences between gazer faces. Whether the faces belonged to an in-group or an out-group, they all had comparable levels of social power. We did not provide any information about the social power level of the faces that were shown to participants. Some faces may be followed more than others due to differences in social power; indeed, it has been shown that higher social-powered faces cause greater gaze hits </w:t>
      </w:r>
      <w:r w:rsidR="006D2EE6" w:rsidRPr="00BD14B0">
        <w:fldChar w:fldCharType="begin" w:fldLock="1"/>
      </w:r>
      <w:r w:rsidR="004D2901" w:rsidRPr="00BD14B0">
        <w:instrText>ADDIN CSL_CITATION {"citationItems":[{"id":"ITEM-1","itemData":{"DOI":"10.1016/j.cub.2007.05.068","ISSN":"0960-9822","abstract":"We review a diversity of studies of human social interaction and highlight the importance of social signals. We also discuss recent findings from social cognitive neuroscience that explore the brain basis of the capacity for processing social signals. These signals enable us to learn about the world from others, to learn about other people, and to create a shared social world. Social signals can be processed automatically by the receiver and may be unconsciously emitted by the sender. These signals are non-verbal and are responsible for social learning in the first year of life. Social signals can also be processed consciously and this allows automatic processing to be modulated and overruled. Evidence for this higher-level social processing is abundant from about 18 months of age in humans, while evidence is sparse for non-human animals. We suggest that deliberate social signalling requires reflective awareness of ourselves and awareness of the effect of the signals on others. Similarly, the appropriate reception of such signals depends on the ability to take another person&amp;#039;s point of view. This ability is critical to reputation management, as this depends on monitoring how our own actions are perceived by others. We speculate that the development of these high level social signalling systems goes hand in hand with the development of consciousness.","author":[{"dropping-particle":"","family":"Frith","given":"Chris D","non-dropping-particle":"","parse-names":false,"suffix":""},{"dropping-particle":"","family":"Frith","given":"Uta","non-dropping-particle":"","parse-names":false,"suffix":""}],"container-title":"Current Biology","id":"ITEM-1","issue":"16","issued":{"date-parts":[["2007"]]},"page":"R724-R732","title":"Social Cognition in Humans","type":"article-journal","volume":"17"},"uris":["http://www.mendeley.com/documents/?uuid=ae09a271-ac46-45ce-aa0e-278b84b0acb8"]}],"mendeley":{"formattedCitation":"(Frith &amp; Frith, 2007)","plainTextFormattedCitation":"(Frith &amp; Frith, 2007)","previouslyFormattedCitation":"(Frith &amp; Frith, 2007)"},"properties":{"noteIndex":0},"schema":"https://github.com/citation-style-language/schema/raw/master/csl-citation.json"}</w:instrText>
      </w:r>
      <w:r w:rsidR="006D2EE6" w:rsidRPr="00BD14B0">
        <w:fldChar w:fldCharType="separate"/>
      </w:r>
      <w:r w:rsidR="006D2EE6" w:rsidRPr="00BD14B0">
        <w:rPr>
          <w:noProof/>
        </w:rPr>
        <w:t>(Frith &amp; Frith, 2007)</w:t>
      </w:r>
      <w:r w:rsidR="006D2EE6" w:rsidRPr="00BD14B0">
        <w:fldChar w:fldCharType="end"/>
      </w:r>
      <w:r w:rsidR="006D2EE6" w:rsidRPr="00BD14B0">
        <w:t xml:space="preserve">, possibly because they have more access to valuable sources than low social-powered faces </w:t>
      </w:r>
      <w:r w:rsidR="006D2EE6" w:rsidRPr="00BD14B0">
        <w:fldChar w:fldCharType="begin" w:fldLock="1"/>
      </w:r>
      <w:r w:rsidR="004D2901" w:rsidRPr="00BD14B0">
        <w:instrText>ADDIN CSL_CITATION {"citationItems":[{"id":"ITEM-1","itemData":{"DOI":"10.1111/j.1751-9004.2008.00109.x","ISBN":"1751-9004 (Electronic)","ISSN":"1751-9004","PMID":"20107613","abstract":"We form first impressions from faces despite warnings not to do so. Moreover, there is considerable agreement in our impressions, which carry significant social outcomes. Appearance matters because some facial qualities are so useful in guiding adaptive behavior that even a trace of those qualities can create an impression. Specifically, the qualities revealed by facial cues that characterize low fitness, babies, emotion, and identity are overgeneralized to people whose facial appearance resembles the unfit (anomalous face overgeneralization), babies (babyface overgeneralization), a particular emotion (emotion face overgeneralization), or a particular identity (familiar face overgeneralization). We review studies that support the overgeneralization hypotheses and recommend research that incorporates additional tenets of the ecological theory from which these hypotheses are derived: the contribution of dynamic and multi-modal stimulus information to face perception; bidirectional relationships between behavior and face perception; perceptual learning mechanisms and social goals that sensitize perceivers to particular information in faces. Although we are admonished 'don't judge a book by its cover', we repeatedly defy that warning as we go about our daily lives responding to people on the basis of their facial appearance. The impact of faces is shown in our impressions of people as well as in our behavior towards them, such as whom we help, whom we hire, or whom we ask for a date (Zebrowitz, 1997). Appearance matters not only when our reactions to a face are arguably relevant to our choices, but even when those choices should be driven by more objective information. For example, facial appearance predicts criminal justice decisions (Eberhardt, Davies, Purdie-Vaughns, &amp; Johnson, 2006; Stewart, 1980; Zebrowitz &amp; McDonald, 1991), as well as congressional elections (Todorov, Mandisodza, Goren, &amp; Hall, 2005). Why does facial appearance matter? Why do particular faces create certain impressions? What cues drive our impressions of these faces? Here, we describe how hypotheses derived from an ecological approach to social perception provide insights into social psychological face perception and the role of facial appearance in impression formation.","author":[{"dropping-particle":"","family":"Zebrowitz","given":"Leslie A.","non-dropping-particle":"","parse-names":false,"suffix":""},{"dropping-particle":"","family":"Montepare","given":"Joann M.","non-dropping-particle":"","parse-names":false,"suffix":""}],"container-title":"Social and Personality Psychology Compass","id":"ITEM-1","issue":"3","issued":{"date-parts":[["2008","5","1"]]},"note":"From Duplicate 1 (Social Psychological Face Perception: Why Appearance Matters - Zebrowitz, Leslie A.; Montepare, Joann M.)\n\ndoi: 10.1111/j.1751-9004.2008.00109.x","number-of-pages":"1497-1517","publisher":"Wiley/Blackwell (10.1111)","title":"Social Psychological Face Perception: Why Appearance Matters","type":"book","volume":"2"},"uris":["http://www.mendeley.com/documents/?uuid=54a15688-fdf8-4b1e-8310-0d5799d917e3"]}],"mendeley":{"formattedCitation":"(Zebrowitz &amp; Montepare, 2008)","plainTextFormattedCitation":"(Zebrowitz &amp; Montepare, 2008)","previouslyFormattedCitation":"(Zebrowitz &amp; Montepare, 2008)"},"properties":{"noteIndex":0},"schema":"https://github.com/citation-style-language/schema/raw/master/csl-citation.json"}</w:instrText>
      </w:r>
      <w:r w:rsidR="006D2EE6" w:rsidRPr="00BD14B0">
        <w:fldChar w:fldCharType="separate"/>
      </w:r>
      <w:r w:rsidR="006D2EE6" w:rsidRPr="00BD14B0">
        <w:rPr>
          <w:noProof/>
        </w:rPr>
        <w:t>(Zebrowitz &amp; Montepare, 2008)</w:t>
      </w:r>
      <w:r w:rsidR="006D2EE6" w:rsidRPr="00BD14B0">
        <w:fldChar w:fldCharType="end"/>
      </w:r>
      <w:r w:rsidR="006D2EE6" w:rsidRPr="00BD14B0">
        <w:t xml:space="preserve">. To evaluate this, a second study was conducted (Please refer to Chapter 3 for details). </w:t>
      </w:r>
    </w:p>
    <w:p w14:paraId="5B473805" w14:textId="4871EFAB" w:rsidR="006D2EE6" w:rsidRPr="00BD14B0" w:rsidRDefault="00AD78B4" w:rsidP="00553E01">
      <w:r w:rsidRPr="00BD14B0">
        <w:lastRenderedPageBreak/>
        <w:tab/>
      </w:r>
      <w:r w:rsidR="006D2EE6" w:rsidRPr="00BD14B0">
        <w:t xml:space="preserve">The second study (Chapter 3) investigated the impact of social power differences in dangerous situations. Although previous research on monkeys found that visual cues of dominance (an indicator of social status in monkeys) combined with danger in the environment made a significant difference in gaze following, this notion has never been tested with the human population </w:t>
      </w:r>
      <w:r w:rsidR="006D2EE6" w:rsidRPr="00BD14B0">
        <w:fldChar w:fldCharType="begin" w:fldLock="1"/>
      </w:r>
      <w:r w:rsidR="004D2901" w:rsidRPr="00BD14B0">
        <w:instrText>ADDIN CSL_CITATION {"citationItems":[{"id":"ITEM-1","itemData":{"DOI":"10.1016/j.cub.2006.02.013","ISSN":"0960-9822","author":[{"dropping-particle":"V","family":"Shepherd","given":"S","non-dropping-particle":"","parse-names":false,"suffix":""},{"dropping-particle":"","family":"Deaner","given":"R O","non-dropping-particle":"","parse-names":false,"suffix":""},{"dropping-particle":"","family":"Platt","given":"M L","non-dropping-particle":"","parse-names":false,"suffix":""}],"container-title":"Current Biology","id":"ITEM-1","issue":"4","issued":{"date-parts":[["2006"]]},"note":"Times Cited: 56\n56","page":"R119-R120","title":"Social status gates social attention in monkeys","type":"article-journal","volume":"16"},"uris":["http://www.mendeley.com/documents/?uuid=b072f528-1bec-4ee9-a72f-dc51b8d8f893"]}],"mendeley":{"formattedCitation":"(S V Shepherd et al., 2006)","manualFormatting":"(Shepherd et al., 2006)","plainTextFormattedCitation":"(S V Shepherd et al., 2006)","previouslyFormattedCitation":"(S V Shepherd et al., 2006)"},"properties":{"noteIndex":0},"schema":"https://github.com/citation-style-language/schema/raw/master/csl-citation.json"}</w:instrText>
      </w:r>
      <w:r w:rsidR="006D2EE6" w:rsidRPr="00BD14B0">
        <w:fldChar w:fldCharType="separate"/>
      </w:r>
      <w:r w:rsidR="006D2EE6" w:rsidRPr="00BD14B0">
        <w:rPr>
          <w:noProof/>
        </w:rPr>
        <w:t>(Shepherd et al., 2006)</w:t>
      </w:r>
      <w:r w:rsidR="006D2EE6" w:rsidRPr="00BD14B0">
        <w:fldChar w:fldCharType="end"/>
      </w:r>
      <w:r w:rsidR="006D2EE6" w:rsidRPr="00BD14B0">
        <w:t xml:space="preserve">. Human social interactions are more complex than what can be identified solely through visual cues. Because the level of facial dominance is not the only indicator of human social hierarchy, it is unclear whether this effect can be generalized to real-world social environments. Currently, no known studies in the literature considered the effect of social power gained only from episodic knowledge rather than visual indicators of dominance. Chapter 3 hypothesized that perceived social power in the dangerous environment would have a significant effect the magnitude of gaze, as a result of the creation of stronger gaze cues in leader conditions rather than follower conditions. The effect of the participant's and the gazer's genders was also measured to see if priming to danger in the environment affected males and females equally. Participants were instructed to be either a group leader or a group follower in order to manipulate perceived social power. The results revealed no main effect of the social power difference, but there was a significant effect of the gender of the participants. Visual cues were controlled, and only episodic learning was used to indicate social power differences. In both low and high social power situations, females were found to be more sensitive to gaze cues. This gender difference was consistent with gaze cueing literature; several studies showed that females tend to be more sensitive to social cues </w:t>
      </w:r>
      <w:r w:rsidR="006D2EE6" w:rsidRPr="00BD14B0">
        <w:fldChar w:fldCharType="begin" w:fldLock="1"/>
      </w:r>
      <w:r w:rsidR="004D2901" w:rsidRPr="00BD14B0">
        <w:instrText>ADDIN CSL_CITATION {"citationItems":[{"id":"ITEM-1","itemData":{"DOI":"https://doi.org/10.1016/j.jcps.2014.06.003","ISSN":"1057-7408","PMID":"12639333","abstract":"Systemizing is the drive to analyse systems or construct systems. A recent model  of psychological sex differences suggests that this is a major dimension in which the sexes differ, with males being more drawn to systemize than females. Currently, there are no self-report measures to assess this important dimension. A second major dimension of sex differences is empathizing (the drive to identify mental states and respond to these with an appropriate emotion). Previous studies find females score higher on empathy measures. We report a new self-report questionnaire, the Systemizing Quotient (SQ), for use with adults of normal intelligence. It contains 40 systemizing items and 20 control items. On each systemizing item, a person can score 2, 1 or 0, so the SQ has a maximum score of 80 and a minimum of zero. In Study 1, we measured the SQ of n = 278 adults (114 males, 164 females) from a general population, to test for predicted sex differences (male superiority) in systemizing. All subjects were also given the Empathy Quotient (EQ) to test if previous reports of female superiority would be replicated. In Study 2 we employed the SQ and the EQ with n = 47 adults (33 males, 14 females) with Asperger syndrome (AS) or high-functioning autism (HFA), who are predicted to be either normal or superior at systemizing, but impaired at empathizing. Their scores were compared with n = 47 matched adults from the general population in Study 1. In Study 1, as predicted, normal adult males scored significantly higher than females on the SQ and significantly lower on the EQ. In Study 2, again as predicted, adults with AS/HFA scored significantly higher on the SQ than matched controls, and significantly lower on the EQ than matched controls. The SQ reveals both a sex difference in systemizing in the general population and an unusually strong drive to systemize in AS/HFA. These results are discussed in relation to two linked theories: the 'empathizing-systemizing' (E-S) theory of sex differences and the extreme male brain (EMB) theory of autism.","author":[{"dropping-particle":"","family":"Meyers-Levy","given":"Joan","non-dropping-particle":"","parse-names":false,"suffix":""},{"dropping-particle":"","family":"Loken","given":"Barbara","non-dropping-particle":"","parse-names":false,"suffix":""},{"dropping-particle":"","family":"Baron-Cohen","given":"Simon","non-dropping-particle":"","parse-names":false,"suffix":""},{"dropping-particle":"","family":"Richler","given":"Jennifer","non-dropping-particle":"","parse-names":false,"suffix":""},{"dropping-particle":"","family":"Bisarya","given":"Dheraj","non-dropping-particle":"","parse-names":false,"suffix":""},{"dropping-particle":"","family":"Gurunathan","given":"Nhishanth","non-dropping-particle":"","parse-names":false,"suffix":""},{"dropping-particle":"","family":"Wheelwright","given":"Sally","non-dropping-particle":"","parse-names":false,"suffix":""}],"container-title":"Journal of Consumer Psychology","id":"ITEM-1","issue":"1","issued":{"date-parts":[["2015","2"]]},"language":"eng","page":"129-149","publisher-place":"England","title":"Revisiting gender differences: What we know and what lies ahead","type":"article-journal","volume":"25"},"uris":["http://www.mendeley.com/documents/?uuid=237381af-361b-4b61-9768-86d4e1af70b8"]}],"mendeley":{"formattedCitation":"(Meyers-Levy et al., 2015)","plainTextFormattedCitation":"(Meyers-Levy et al., 2015)","previouslyFormattedCitation":"(Meyers-Levy et al., 2015)"},"properties":{"noteIndex":0},"schema":"https://github.com/citation-style-language/schema/raw/master/csl-citation.json"}</w:instrText>
      </w:r>
      <w:r w:rsidR="006D2EE6" w:rsidRPr="00BD14B0">
        <w:fldChar w:fldCharType="separate"/>
      </w:r>
      <w:r w:rsidR="006D2EE6" w:rsidRPr="00BD14B0">
        <w:rPr>
          <w:noProof/>
        </w:rPr>
        <w:t>(Meyers-Levy et al., 2015)</w:t>
      </w:r>
      <w:r w:rsidR="006D2EE6" w:rsidRPr="00BD14B0">
        <w:fldChar w:fldCharType="end"/>
      </w:r>
      <w:r w:rsidR="006D2EE6" w:rsidRPr="00BD14B0">
        <w:t xml:space="preserve">. Our findings were consistent with the literature, which shows female participants exhibiting faster reaction time responses to the eye gaze of others in both high and low social power conditions as well as to both male and female faces. Yet, there is not enough explanation why females show this sensitivity to eye gaze cues, specifically on a behavioural level (measured by automatic shifts of attention). A plausible explanation is that the studies approach gender as a categorical variable, thus failing to recognize variables contributing across gender, such as autistic traits. To tackle this question, </w:t>
      </w:r>
      <w:r w:rsidR="00B34EA9" w:rsidRPr="00BD14B0">
        <w:t>only</w:t>
      </w:r>
      <w:r w:rsidR="006D2EE6" w:rsidRPr="00BD14B0">
        <w:t xml:space="preserve"> female participants were invited to 3rd study and asked to fill out AQ.</w:t>
      </w:r>
    </w:p>
    <w:p w14:paraId="563CF028" w14:textId="1A62BE72" w:rsidR="006D2EE6" w:rsidRPr="00BD14B0" w:rsidRDefault="00AD78B4" w:rsidP="00553E01">
      <w:r w:rsidRPr="00BD14B0">
        <w:tab/>
      </w:r>
      <w:r w:rsidR="006D2EE6" w:rsidRPr="00BD14B0">
        <w:t xml:space="preserve">Finally, a third study aimed to understand the impact of leadership learned by previously observed behaviour in a group context. The social attention system seems to be </w:t>
      </w:r>
      <w:r w:rsidR="006D2EE6" w:rsidRPr="00BD14B0">
        <w:lastRenderedPageBreak/>
        <w:t xml:space="preserve">operating with perceptual effects of visual social cues of the gazer. Moreover, two of the studies (Chapter 2 and Chapter 3) in this thesis revealed that episodic learning of social context was not influencing automatic shifts of attention by itself in the behavioural level (measured by RT). Nonetheless, the modulation in the strength of gaze cues by the top-down episodic knowledge associated with the gazer face occurred only when a visual cue was also present as a categorizer between different gazers. Since the episodic learning of social power differences in a group context did not create a difference in gaze following behaviour, it was hypothesised that observations of the gazer's previous behaviour would influence low-level social orienting mechanisms. Informing participants about social relations but not exposing them to their effects resulted in a difference in the explicit level measured with a questionnaire (see Chapter 2 for details), but not in the </w:t>
      </w:r>
      <w:r w:rsidR="00B34EA9" w:rsidRPr="00BD14B0">
        <w:t>behaviour</w:t>
      </w:r>
      <w:r w:rsidR="006D2EE6" w:rsidRPr="00BD14B0">
        <w:t xml:space="preserve"> level measured by RT. Indeed, </w:t>
      </w:r>
      <w:r w:rsidR="006D2EE6" w:rsidRPr="00BD14B0">
        <w:fldChar w:fldCharType="begin" w:fldLock="1"/>
      </w:r>
      <w:r w:rsidR="004D2901" w:rsidRPr="00BD14B0">
        <w:instrText>ADDIN CSL_CITATION {"citationItems":[{"id":"ITEM-1","itemData":{"DOI":"10.3758/s13423-014-0717-z","ISSN":"1069-9384","abstract":"Affective evaluations of objects are influenced by the preferences expressed by other people via their gaze direction, so that objects looked at are liked more than objects looked away from. But when can others’ preferences be trusted? Here, we show that group size influences the extent to which individuals tend to conform to others’ gaze preferences. We adopted the conventional gaze-cuing paradigm and modified the design in such a way that some objects were consistently cued by only one face (single-face condition), whereas other objects were consistently cued by several different faces (multiple-faces condition). While response time measures revealed equal gaze-cuing effects for both conditions, a boost in affective evaluation was observed only for objects looked at by several different faces. Objects looked at by a single face were not rated differently than objects looked away from. These findings suggest that observers make use of group size to evaluate the generalizability of the epistemic information conveyed by others’ gaze: Objects looked at are liked more than objects looked away from, but only when they are looked at by multiple faces.","author":[{"dropping-particle":"","family":"Capozzi","given":"Francesca","non-dropping-particle":"","parse-names":false,"suffix":""},{"dropping-particle":"","family":"Bayliss","given":"Andrew","non-dropping-particle":"","parse-names":false,"suffix":""},{"dropping-particle":"","family":"Elena","given":"Marco","non-dropping-particle":"","parse-names":false,"suffix":""},{"dropping-particle":"","family":"Becchio","given":"Cristina","non-dropping-particle":"","parse-names":false,"suffix":""}],"container-title":"Psychon Bull Rev","id":"ITEM-1","issue":"3","issued":{"date-parts":[["2015"]]},"page":"850-855","title":"One is not enough: Group size modulates social gaze-induced object desirability effects","type":"article-journal","volume":"22"},"uris":["http://www.mendeley.com/documents/?uuid=72eeafcb-25cd-4e09-ad27-128320ed2c42"]}],"mendeley":{"formattedCitation":"(Capozzi et al., 2015)","manualFormatting":"Capozzi, Bayliss, Elena, &amp; Becchio, (2015)","plainTextFormattedCitation":"(Capozzi et al., 2015)","previouslyFormattedCitation":"(Capozzi et al., 2015)"},"properties":{"noteIndex":0},"schema":"https://github.com/citation-style-language/schema/raw/master/csl-citation.json"}</w:instrText>
      </w:r>
      <w:r w:rsidR="006D2EE6" w:rsidRPr="00BD14B0">
        <w:fldChar w:fldCharType="separate"/>
      </w:r>
      <w:r w:rsidR="006D2EE6" w:rsidRPr="00BD14B0">
        <w:rPr>
          <w:noProof/>
        </w:rPr>
        <w:t>Capozzi, Bayliss, Elena, &amp; Becchio, (2015)</w:t>
      </w:r>
      <w:r w:rsidR="006D2EE6" w:rsidRPr="00BD14B0">
        <w:fldChar w:fldCharType="end"/>
      </w:r>
      <w:r w:rsidR="006D2EE6" w:rsidRPr="00BD14B0">
        <w:t xml:space="preserve"> showed that individuals who did not previously guide group attention in the environment were ineffective at leading social attention in later encounters. Since, it is probable that these effects are sensitive to modulation by contextual variables such as the gender of the gazer </w:t>
      </w:r>
      <w:r w:rsidR="006D2EE6" w:rsidRPr="00BD14B0">
        <w:fldChar w:fldCharType="begin" w:fldLock="1"/>
      </w:r>
      <w:r w:rsidR="004D2901" w:rsidRPr="00BD14B0">
        <w:instrText>ADDIN CSL_CITATION {"citationItems":[{"id":"ITEM-1","itemData":{"DOI":"10.1371/journal.pone.0059471","ISSN":"1932-6203","abstract":"Gaze following is a socio-cognitive process that provides adaptive information about potential threats and opportunities in the individual's environment. The aim of the present study was to investigate the potential interaction between emotional context and facial dominance in gaze following. We used the gaze cue task to induce attention to or away from the location of a target stimulus. In the experiment, the gaze cue either belonged to a (dominant looking) male face or a (non-dominant looking) female face. Critically, prior to the task, individuals were primed with pictures of threat or no threat to induce either a dangerous or safe environment. Findings revealed that the primed emotional context critically influenced the gaze cuing effect. While a gaze cue of the dominant male face influenced performance in both the threat and no-threat conditions, the gaze cue of the non-dominant female face only influenced performance in the no-threat condition. This research suggests an implicit, context-dependent follower bias, which carries implications for research on visual attention, social cognition, and leadership.","author":[{"dropping-particle":"","family":"Ohlsen","given":"Garian","non-dropping-particle":"","parse-names":false,"suffix":""},{"dropping-particle":"","family":"Zoest","given":"Wieske","non-dropping-particle":"van","parse-names":false,"suffix":""},{"dropping-particle":"","family":"Vugt","given":"Mark","non-dropping-particle":"van","parse-names":false,"suffix":""}],"container-title":"PLoS ONE","editor":[{"dropping-particle":"","family":"Avenanti","given":"Alessio","non-dropping-particle":"","parse-names":false,"suffix":""}],"id":"ITEM-1","issue":"4","issued":{"date-parts":[["2013","4","3"]]},"note":"Times Cited: 7\n7","page":"e59471","title":"Gender and Facial Dominance in Gaze Cuing: Emotional Context Matters in the Eyes That We Follow","type":"article-journal","volume":"8"},"uris":["http://www.mendeley.com/documents/?uuid=7d99e529-16ff-4ecc-9ded-0ca936d93c3c"]}],"mendeley":{"formattedCitation":"(Ohlsen et al., 2013)","plainTextFormattedCitation":"(Ohlsen et al., 2013)","previouslyFormattedCitation":"(Ohlsen et al., 2013)"},"properties":{"noteIndex":0},"schema":"https://github.com/citation-style-language/schema/raw/master/csl-citation.json"}</w:instrText>
      </w:r>
      <w:r w:rsidR="006D2EE6" w:rsidRPr="00BD14B0">
        <w:fldChar w:fldCharType="separate"/>
      </w:r>
      <w:r w:rsidR="006D2EE6" w:rsidRPr="00BD14B0">
        <w:rPr>
          <w:noProof/>
        </w:rPr>
        <w:t>(Ohlsen et al., 2013)</w:t>
      </w:r>
      <w:r w:rsidR="006D2EE6" w:rsidRPr="00BD14B0">
        <w:fldChar w:fldCharType="end"/>
      </w:r>
      <w:r w:rsidR="006D2EE6" w:rsidRPr="00BD14B0">
        <w:t>, it is hypothesised there will be a difference in the strength of gaze cueing according to the gender of the gazer. Thus, in the third study (Chapter 4), participants were informed about the gazer based on prior observation rather than manipulation of the physical appearance of the face or explicit information about the individual.</w:t>
      </w:r>
    </w:p>
    <w:p w14:paraId="00EF0BF9" w14:textId="660FE1CE" w:rsidR="006D2EE6" w:rsidRPr="00BD14B0" w:rsidRDefault="00AD78B4" w:rsidP="00553E01">
      <w:r w:rsidRPr="00BD14B0">
        <w:tab/>
      </w:r>
      <w:r w:rsidR="006D2EE6" w:rsidRPr="00BD14B0">
        <w:t xml:space="preserve">Lastly, in Chapter 4 participants (neurotypical females) were asked to fill out two questionnaires to investigate the sensitivity to social cues obtained by eye gaze. These questionnaires were the AQ and the ICQ-EV. In the chapter, it was emphasized that the AQ test is not a test for autism but is administered to neurotypical members of the population to detect autism traits. This questionnaire was used in chapter 4 to measure low or high AQ scores. This is based on the premise, by </w:t>
      </w:r>
      <w:r w:rsidR="006D2EE6" w:rsidRPr="00BD14B0">
        <w:fldChar w:fldCharType="begin" w:fldLock="1"/>
      </w:r>
      <w:r w:rsidR="004D2901" w:rsidRPr="00BD14B0">
        <w:instrText>ADDIN CSL_CITATION {"citationItems":[{"id":"ITEM-1","itemData":{"DOI":"10.1023/A:1005653411471","ISBN":"0162-3257","ISSN":"0162-3257,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Disorders","id":"ITEM-1","issue":"1","issued":{"date-parts":[["2001"]]},"page":"5-17","title":"The Autism Spectrum Quotient : Evidence from Asperger syndrome/high functioning autism, males and females, scientists and mathematicians","type":"article-journal","volume":"31"},"uris":["http://www.mendeley.com/documents/?uuid=11e2804f-d120-4a68-b02a-5d1d609712da"]}],"mendeley":{"formattedCitation":"(Baron-Cohen et al., 2001)","manualFormatting":"Baron-Cohen et al., (2001)","plainTextFormattedCitation":"(Baron-Cohen et al., 2001)","previouslyFormattedCitation":"(Baron-Cohen et al., 2001)"},"properties":{"noteIndex":0},"schema":"https://github.com/citation-style-language/schema/raw/master/csl-citation.json"}</w:instrText>
      </w:r>
      <w:r w:rsidR="006D2EE6" w:rsidRPr="00BD14B0">
        <w:fldChar w:fldCharType="separate"/>
      </w:r>
      <w:r w:rsidR="006D2EE6" w:rsidRPr="00BD14B0">
        <w:rPr>
          <w:noProof/>
        </w:rPr>
        <w:t>Baron-Cohen et al., (2001)</w:t>
      </w:r>
      <w:r w:rsidR="006D2EE6" w:rsidRPr="00BD14B0">
        <w:fldChar w:fldCharType="end"/>
      </w:r>
      <w:r w:rsidR="006D2EE6" w:rsidRPr="00BD14B0">
        <w:t xml:space="preserve"> that autism is part of a continuum. Only those on the end of the autism continuum would be given a diagnosis. However, traits may be present in the general population. Individuals who achieve high scores on the AQ questionnaire often have a difficult time understanding the thoughts of others and being able to respond appropriately. The ICQ-EV test was also administered. In Chapter 4 observed gender difference in the gaze cueing effect researched by only </w:t>
      </w:r>
      <w:r w:rsidR="00B34EA9" w:rsidRPr="00BD14B0">
        <w:lastRenderedPageBreak/>
        <w:t>collecting</w:t>
      </w:r>
      <w:r w:rsidR="006D2EE6" w:rsidRPr="00BD14B0">
        <w:t xml:space="preserve"> data from females and measuring the range of AQ tendencies within female population. It was hypothesised that categorical distinction between male and females is not insignificant, especially in administering the questionnaires. Men tend to be higher on autism traits, and females higher on social skills. To test the range of autism traits within neurotypical females, a single-gendered group was selected. This was done to explore both the range of autistic and psychotic traits amongst female participants and to explore how these two tendencies would overlap.  </w:t>
      </w:r>
    </w:p>
    <w:p w14:paraId="6DAAEFE6" w14:textId="207D751F" w:rsidR="006D2EE6" w:rsidRPr="00BD14B0" w:rsidRDefault="00AD78B4" w:rsidP="00553E01">
      <w:r w:rsidRPr="00BD14B0">
        <w:tab/>
      </w:r>
      <w:r w:rsidR="006D2EE6" w:rsidRPr="00BD14B0">
        <w:t>Overall, the goal of this thesis is to critically analyse the very individualist models that are used to investigate gaze cues. Rather than focusing solely on interpersonal traits alone, this thesis investigates how gender, social positionings such as in-group or out-group membership, and individual qualities such as empathy and systematic thinking interact to determine gaze cue responsiveness. The goal of this thesis was to find out how personal traits and social-cognitive variables affect gaze cues. Moreover, it looked into how being in a group environment and the observant's personality traits affect attention to social information. It does so because there is a need to investigate how female roles are modelled, as well as how this relates to clinical conditions and treatment options for women who struggle and are misdiagnosed as a result of gender norms. The purpose of this study was to determine whether social or environmental threats are associated with gaze cues, as well as how gaze cues are associated with power or dominance positions. According to research, gaze cues are frequently directed toward those perceived to be dominant. The study looked at how gender affects perceptions of dominance, both in terms of how women show more gaze and whether they are correctly perceived as leaders or followers.</w:t>
      </w:r>
    </w:p>
    <w:p w14:paraId="51C23D58" w14:textId="77777777" w:rsidR="006D2EE6" w:rsidRPr="00BD14B0" w:rsidRDefault="006D2EE6" w:rsidP="00553E01"/>
    <w:p w14:paraId="23B848D7" w14:textId="2255D2E3" w:rsidR="006D2EE6" w:rsidRPr="00BD14B0" w:rsidRDefault="006D2EE6" w:rsidP="00553E01">
      <w:pPr>
        <w:pStyle w:val="Heading2"/>
      </w:pPr>
      <w:bookmarkStart w:id="128" w:name="_Toc108310807"/>
      <w:r w:rsidRPr="00BD14B0">
        <w:t>Reflection on the measurements</w:t>
      </w:r>
      <w:bookmarkEnd w:id="128"/>
      <w:r w:rsidRPr="00BD14B0">
        <w:t xml:space="preserve"> </w:t>
      </w:r>
    </w:p>
    <w:p w14:paraId="6FCF1AD9" w14:textId="77777777" w:rsidR="006D2EE6" w:rsidRPr="00BD14B0" w:rsidRDefault="006D2EE6" w:rsidP="00553E01"/>
    <w:p w14:paraId="7745E041" w14:textId="5038313F" w:rsidR="006D2EE6" w:rsidRPr="00BD14B0" w:rsidRDefault="006D2EE6" w:rsidP="00553E01">
      <w:pPr>
        <w:pStyle w:val="Heading3"/>
      </w:pPr>
      <w:bookmarkStart w:id="129" w:name="_Toc108310808"/>
      <w:r w:rsidRPr="00BD14B0">
        <w:t>SOA</w:t>
      </w:r>
      <w:bookmarkEnd w:id="129"/>
    </w:p>
    <w:p w14:paraId="4EB90D55" w14:textId="5EF68505" w:rsidR="006D2EE6" w:rsidRPr="00BD14B0" w:rsidRDefault="006D2EE6" w:rsidP="00553E01">
      <w:r w:rsidRPr="00BD14B0">
        <w:tab/>
        <w:t>Throughout the experiment, 300</w:t>
      </w:r>
      <w:r w:rsidR="00A35ECD" w:rsidRPr="00BD14B0">
        <w:t xml:space="preserve"> </w:t>
      </w:r>
      <w:proofErr w:type="spellStart"/>
      <w:r w:rsidRPr="00BD14B0">
        <w:t>ms</w:t>
      </w:r>
      <w:proofErr w:type="spellEnd"/>
      <w:r w:rsidRPr="00BD14B0">
        <w:t xml:space="preserve"> of SOA was used to assess the presence of a significant gaze cueing effect. There are several reasons why this SOA was chosen in particular. The time course of the gaze cueing effect can be measured by varying the delay </w:t>
      </w:r>
      <w:r w:rsidRPr="00BD14B0">
        <w:lastRenderedPageBreak/>
        <w:t xml:space="preserve">between the onset of the cue and the onset of the target (stimulus onset asynchrony, SOA). The minimum SOA at which a gaze cueing effect is reliably observed is 100 </w:t>
      </w:r>
      <w:proofErr w:type="spellStart"/>
      <w:r w:rsidR="00A35ECD" w:rsidRPr="00BD14B0">
        <w:t>m</w:t>
      </w:r>
      <w:r w:rsidRPr="00BD14B0">
        <w:t>s</w:t>
      </w:r>
      <w:proofErr w:type="spellEnd"/>
      <w:r w:rsidRPr="00BD14B0">
        <w:t xml:space="preserve">, whilst the longest is about 1000 </w:t>
      </w:r>
      <w:proofErr w:type="spellStart"/>
      <w:r w:rsidR="00A35ECD" w:rsidRPr="00BD14B0">
        <w:t>m</w:t>
      </w:r>
      <w:r w:rsidRPr="00BD14B0">
        <w:t>s</w:t>
      </w:r>
      <w:proofErr w:type="spellEnd"/>
      <w:r w:rsidRPr="00BD14B0">
        <w:t xml:space="preserve"> </w:t>
      </w:r>
      <w:r w:rsidR="00151C70">
        <w:fldChar w:fldCharType="begin" w:fldLock="1"/>
      </w:r>
      <w:r w:rsidR="00C37D6D">
        <w:instrText>ADDIN CSL_CITATION {"citationItems":[{"id":"ITEM-1","itemData":{"DOI":"10.1097/00001756-200303030-00039","ISBN":"1473-558X(Electronic),0959-4965(Print)","ISSN":"0959-4965","abstract":"We examined covert and overt orienting in response to non-predictive gaze direction cues and investigated whether the subcortical superior colliculus (SC) plays a role in this type of orienting. Participants viewed a centrally presented gazing schematic face and responded to targets appearing at gazed-at or non-gazed-at locations either by making a keypress response while maintaining central fixation or by making an eye movement to the target. For both response conditions, the fixation stimulus (the gazing face) either remained on the screen or was extinguished at the time of target presentation, a manipulation known to engage and disengage the SC. Results revealed that participants making manual responses oriented covertly to the gazed-at location regardless of the fixation condition, and that participants making eye movements oriented overtly only if the fixation stimulus remained on the screen. Overt gaze-triggered orienting was not enhanced relative to covert orienting, and the fixation offset effect was not reduced for averted gaze cues relative to straight gaze cues. These findings suggest that gaze direction cues do not activate or predisengage the oculomotor system, and thus that orienting to gaze direction does not engage the SC. (PsycINFO Database Record (c) 2016 APA, all rights reserved)","author":[{"dropping-particle":"","family":"Friesen","given":"Chris Kelland","non-dropping-particle":"","parse-names":false,"suffix":""},{"dropping-particle":"","family":"Kingstone","given":"Alan","non-dropping-particle":"","parse-names":false,"suffix":""}],"container-title":"NeuroReport","id":"ITEM-1","issue":"3","issued":{"date-parts":[["2003","3"]]},"page":"489-493","publisher":"Lippincott Williams &amp; Wilkins","publisher-place":"Friesen, Chris Kelland: Department of Psychology, University of Saskatchewan, 9 Campus Drive, Saskatoon, SK, Canada, S7N 5AS, chris.friesen@usask.ca","title":"Covert and overt orienting to gaze direction cues and the effects of fixation offset","type":"article-journal","volume":"14"},"uris":["http://www.mendeley.com/documents/?uuid=b1bee99d-9a8d-4ca8-9215-027f5cf73129"]},{"id":"ITEM-2","itemData":{"DOI":"10.1016/j.cognition.2004.04.005","ISSN":"00100277","abstract":"Attention is shifted reflexively to where other people are looking. It has been argued by a number of investigators that this social attention effect reflects the obligatory bottom-up activation of domain-specific modules within the inferior temporal (IT) cortex that are specialized for processing face and gaze information. However, it is also the case that top-down factors may modulate the activation of IT cells. Here we examined behaviorally whether reflexive social orienting is purely automatic or sensitive to top-down modulation. Participants were shown an ambiguous stimulus that could be perceived either as representing EYES or a CAR. In Experiment 1 we demonstrated between groups that an automatic shift of attention, equivalent to that triggered by a schematic FACE, occurred only when the stimulus was referred to as possessing EYES. In Experiment 2 all participants received the EYES and CAR conditions. When the stimulus was first referred to as a CAR and then as EYES, an attentional shift was only present for the EYES condition. However, when the stimulus was first referred to as possessing EYES, and then later as a CAR, attentional shifts were observed for both conditions. These data indicate that the emergence of a reflexive social attention effect is influenced by top-down mechanisms but in an asymmetrical manner. Top-down processes appear to be effective for triggering IT involvement, that is, for perceiving a stimulus as a face, which produces the social attention effect. But top-down mechanisms are ineffective once IT involvement has been triggered. That is, once a stimulus has been seen as having eyes, it continues to be seen that way, and accordingly, the social attention effect persists. © 2004 Elsevier B.V. All rights reserved.","author":[{"dropping-particle":"","family":"Ristic","given":"Jelena","non-dropping-particle":"","parse-names":false,"suffix":""},{"dropping-particle":"","family":"Kingstone","given":"Alan","non-dropping-particle":"","parse-names":false,"suffix":""}],"container-title":"Cognition","id":"ITEM-2","issue":"3","issued":{"date-parts":[["2005"]]},"page":"B55-B65","title":"Taking control of reflexive social attention","type":"article-journal","volume":"94"},"uris":["http://www.mendeley.com/documents/?uuid=f71c3270-f945-423d-8846-9a9a5feb7440"]}],"mendeley":{"formattedCitation":"(C. K. Friesen &amp; Kingstone, 2003; Jelena Ristic &amp; Kingstone, 2005)","manualFormatting":"(Friesen &amp; Kingstone, 2003; Ristic &amp; Kingstone, 2005)","plainTextFormattedCitation":"(C. K. Friesen &amp; Kingstone, 2003; Jelena Ristic &amp; Kingstone, 2005)","previouslyFormattedCitation":"(C. K. Friesen &amp; Kingstone, 2003; Jelena Ristic &amp; Kingstone, 2005)"},"properties":{"noteIndex":0},"schema":"https://github.com/citation-style-language/schema/raw/master/csl-citation.json"}</w:instrText>
      </w:r>
      <w:r w:rsidR="00151C70">
        <w:fldChar w:fldCharType="separate"/>
      </w:r>
      <w:r w:rsidR="00151C70" w:rsidRPr="00151C70">
        <w:rPr>
          <w:noProof/>
        </w:rPr>
        <w:t>(Friesen &amp; Kingstone, 2003; Ristic &amp; Kingstone, 2005)</w:t>
      </w:r>
      <w:r w:rsidR="00151C70">
        <w:fldChar w:fldCharType="end"/>
      </w:r>
      <w:r w:rsidR="00151C70">
        <w:t xml:space="preserve">. </w:t>
      </w:r>
      <w:r w:rsidR="00C37D6D">
        <w:fldChar w:fldCharType="begin" w:fldLock="1"/>
      </w:r>
      <w:r w:rsidR="00C37D6D">
        <w:instrText>ADDIN CSL_CITATION {"citationItems":[{"id":"ITEM-1","itemData":{"DOI":"10.1007/s10803-012-1510-3","ISSN":"01623257","PMID":"22447071","abstract":"We investigated if variation in autistic traits in the typically-developed population (using the Autism-spectrum Quotient, AQ) influenced implicit learning of social information. In the learning phase, participants repeatedly observed two identities whose gaze and expression conveyed either a pro- or antisocial disposition. These identities were then employed in a gaze-cueing paradigm. Participants made speeded responses to a peripheral target that was spatially pre-cued by a non-predictive gaze direction. The low AQ group (n = 50) showed a smaller gaze-cueing effect for the antisocial than for the prosocial identity. The high AQ group (n = 48) showed equivalent gaze-cueing for both identities. Others' intentions/dispositions can be learned implicitly and affect subsequent responses to their behavior. This ability is impaired with increasing levels of autistic traits. © 2012 Springer Science+Business Media, LLC.","author":[{"dropping-particle":"","family":"Hudson","given":"Matthew","non-dropping-particle":"","parse-names":false,"suffix":""},{"dropping-particle":"","family":"Nijboer","given":"Tanja C.W.","non-dropping-particle":"","parse-names":false,"suffix":""},{"dropping-particle":"","family":"Jellema","given":"Tjeerd","non-dropping-particle":"","parse-names":false,"suffix":""}],"container-title":"Journal of Autism and Developmental Disorders","id":"ITEM-1","issue":"12","issued":{"date-parts":[["2012"]]},"page":"2534-2545","title":"Implicit social learning in relation to autistic-like traits","type":"article-journal","volume":"42"},"uris":["http://www.mendeley.com/documents/?uuid=43844f77-4242-4b64-a15f-a09191989d27"]}],"mendeley":{"formattedCitation":"(Hudson et al., 2012)","manualFormatting":"Hudson et al., (2012)","plainTextFormattedCitation":"(Hudson et al., 2012)","previouslyFormattedCitation":"(Hudson et al., 2012)"},"properties":{"noteIndex":0},"schema":"https://github.com/citation-style-language/schema/raw/master/csl-citation.json"}</w:instrText>
      </w:r>
      <w:r w:rsidR="00C37D6D">
        <w:fldChar w:fldCharType="separate"/>
      </w:r>
      <w:r w:rsidR="00C37D6D" w:rsidRPr="00C37D6D">
        <w:rPr>
          <w:noProof/>
        </w:rPr>
        <w:t xml:space="preserve">Hudson et al., </w:t>
      </w:r>
      <w:r w:rsidR="00C37D6D">
        <w:rPr>
          <w:noProof/>
        </w:rPr>
        <w:t>(</w:t>
      </w:r>
      <w:r w:rsidR="00C37D6D" w:rsidRPr="00C37D6D">
        <w:rPr>
          <w:noProof/>
        </w:rPr>
        <w:t>2012)</w:t>
      </w:r>
      <w:r w:rsidR="00C37D6D">
        <w:fldChar w:fldCharType="end"/>
      </w:r>
      <w:r w:rsidR="00C37D6D">
        <w:t xml:space="preserve"> </w:t>
      </w:r>
      <w:r w:rsidRPr="00BD14B0">
        <w:t xml:space="preserve">found that modulation of the GCE occurred only in the short SOA condition, which reflects the involuntary exogenous system, but not in the longer SOA condition, which reflects the voluntary endogenous system. The involuntary/reflexive orienting of attention elicited in response to exogenous cues such as a peripheral transient is comparable to the effect's early onset. These effects are triggered by stimuli and have a bottom-up influence on attention orienting. Exogenous cueing, on the other hand, fades after SOAs of 300 </w:t>
      </w:r>
      <w:proofErr w:type="spellStart"/>
      <w:r w:rsidR="00A35ECD" w:rsidRPr="00BD14B0">
        <w:t>m</w:t>
      </w:r>
      <w:r w:rsidRPr="00BD14B0">
        <w:t>s</w:t>
      </w:r>
      <w:proofErr w:type="spellEnd"/>
      <w:r w:rsidRPr="00BD14B0">
        <w:t xml:space="preserve">. The prolonged influence of gaze cues beyond this time course suggests that orienting of attention to an agent’s gaze direction is also underpinned by voluntary top-down processes </w:t>
      </w:r>
      <w:r w:rsidR="00C37D6D">
        <w:fldChar w:fldCharType="begin" w:fldLock="1"/>
      </w:r>
      <w:r w:rsidR="00B76839">
        <w:instrText>ADDIN CSL_CITATION {"citationItems":[{"id":"ITEM-1","itemData":{"DOI":"10.1037/0096-1523.30.2.319","ISSN":"0096-1523","author":[{"dropping-particle":"","family":"Friesen","given":"Ck","non-dropping-particle":"","parse-names":false,"suffix":""},{"dropping-particle":"","family":"Ristic","given":"J","non-dropping-particle":"","parse-names":false,"suffix":""},{"dropping-particle":"","family":"Kingstone","given":"A","non-dropping-particle":"","parse-names":false,"suffix":""}],"container-title":"J. Exp. Psychol.-Hum. Percept. Perform.","id":"ITEM-1","issue":"2","issued":{"date-parts":[["2004"]]},"page":"319-329","title":"Attentional effects of counterpredictive gaze and arrow cues","type":"article-journal","volume":"30"},"uris":["http://www.mendeley.com/documents/?uuid=45b2d509-1186-4dda-87f2-f753de148932"]}],"mendeley":{"formattedCitation":"(C. Friesen et al., 2004)","manualFormatting":"(Friesen et al., 2004)","plainTextFormattedCitation":"(C. Friesen et al., 2004)","previouslyFormattedCitation":"(C. Friesen et al., 2004)"},"properties":{"noteIndex":0},"schema":"https://github.com/citation-style-language/schema/raw/master/csl-citation.json"}</w:instrText>
      </w:r>
      <w:r w:rsidR="00C37D6D">
        <w:fldChar w:fldCharType="separate"/>
      </w:r>
      <w:r w:rsidR="00C37D6D" w:rsidRPr="00C37D6D">
        <w:rPr>
          <w:noProof/>
        </w:rPr>
        <w:t>(Friesen et al., 2004)</w:t>
      </w:r>
      <w:r w:rsidR="00C37D6D">
        <w:fldChar w:fldCharType="end"/>
      </w:r>
      <w:r w:rsidR="00C37D6D">
        <w:t xml:space="preserve">. </w:t>
      </w:r>
      <w:r w:rsidRPr="00BD14B0">
        <w:t xml:space="preserve">This is because such cues are endogenous and require interpretation of their meaning to be understood. In shorter SOAs the gaze cueing effect would be weakened since there is not enough time for the image to reach visual memory. The gaze cueing effect would disappear in longer SOAs as conscious awareness takes over and affects its reflexivity </w:t>
      </w:r>
      <w:r w:rsidR="00B76839">
        <w:fldChar w:fldCharType="begin" w:fldLock="1"/>
      </w:r>
      <w:r w:rsidR="006052EC">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gaze","type":"article-journal","volume":"5"},"uris":["http://www.mendeley.com/documents/?uuid=ac75c7f6-819c-4299-8315-972abc85d134"]}],"mendeley":{"formattedCitation":"(C. K. Friesen &amp; Kingstone, 1998)","manualFormatting":"(Friesen &amp; Kingstone, 1998)","plainTextFormattedCitation":"(C. K. Friesen &amp; Kingstone, 1998)","previouslyFormattedCitation":"(C. K. Friesen &amp; Kingstone, 1998)"},"properties":{"noteIndex":0},"schema":"https://github.com/citation-style-language/schema/raw/master/csl-citation.json"}</w:instrText>
      </w:r>
      <w:r w:rsidR="00B76839">
        <w:fldChar w:fldCharType="separate"/>
      </w:r>
      <w:r w:rsidR="00B76839" w:rsidRPr="00B76839">
        <w:rPr>
          <w:noProof/>
        </w:rPr>
        <w:t>(Friesen &amp; Kingstone, 1998)</w:t>
      </w:r>
      <w:r w:rsidR="00B76839">
        <w:fldChar w:fldCharType="end"/>
      </w:r>
      <w:r w:rsidR="00B76839">
        <w:t xml:space="preserve">. </w:t>
      </w:r>
    </w:p>
    <w:p w14:paraId="2C414920" w14:textId="14E55E7E" w:rsidR="006D2EE6" w:rsidRPr="00BD14B0" w:rsidRDefault="006D2EE6" w:rsidP="00553E01">
      <w:r w:rsidRPr="00BD14B0">
        <w:tab/>
        <w:t xml:space="preserve">Second, in the current study, we are interested in measuring the reflexive nature of the attentional shifts and how socio-cognitive variables affect the atomicity of attentional shifts. The goal was to quantify the gaze cueing effect and compare how much fixation and delay occurred in each condition. As mentioned in </w:t>
      </w:r>
      <w:r w:rsidR="00656694">
        <w:fldChar w:fldCharType="begin" w:fldLock="1"/>
      </w:r>
      <w:r w:rsidR="000066B1">
        <w:instrText>ADDIN CSL_CITATION {"citationItems":[{"id":"ITEM-1","itemData":{"DOI":"10.3758/s13423-020-01730-x","ISBN":"1342302001","ISSN":"1069-9384","abstract":"Humans tend to shift attention according to others’ eye-gaze direction. This is a core ability as it permits to create pervasive relationships among individuals and with the environment around them. In the beginning, this form of social orienting was considered a reflexive phenomenon, but in recent years evidence has shown that it is also permeable to several social factors related to the observer, the individual depicted in the cueing face, and the relationship between them. The major goal of this work is to provide a comprehensive overview concerning the role that social variables can play in shaping covert gaze cueing in healthy adults, critically examining both the modulatory social factors for which evidence is more robust and those for which evidence is mixed. When available, overt attention studies will also be discussed. Finally, a novel theoretical framework linking these social and attention domains will be also introduced.","author":[{"dropping-particle":"","family":"Dalmaso","given":"Mario","non-dropping-particle":"","parse-names":false,"suffix":""},{"dropping-particle":"","family":"Castelli","given":"Luigi","non-dropping-particle":"","parse-names":false,"suffix":""},{"dropping-particle":"","family":"Galfano","given":"Giovanni","non-dropping-particle":"","parse-names":false,"suffix":""}],"container-title":"Psychonomic Bulletin &amp; Review","id":"ITEM-1","issue":"April","issued":{"date-parts":[["2020","4","6"]]},"publisher":"Psychonomic Bulletin &amp; Review","title":"Social modulators of gaze-mediated orienting of attention: A review","type":"article-journal"},"uris":["http://www.mendeley.com/documents/?uuid=afe3e388-522b-4af2-bd6d-2d65a095e8b8"]}],"mendeley":{"formattedCitation":"(Dalmaso et al., 2020)","plainTextFormattedCitation":"(Dalmaso et al., 2020)","previouslyFormattedCitation":"(Dalmaso et al., 2020)"},"properties":{"noteIndex":0},"schema":"https://github.com/citation-style-language/schema/raw/master/csl-citation.json"}</w:instrText>
      </w:r>
      <w:r w:rsidR="00656694">
        <w:fldChar w:fldCharType="separate"/>
      </w:r>
      <w:r w:rsidR="00656694" w:rsidRPr="00656694">
        <w:rPr>
          <w:noProof/>
        </w:rPr>
        <w:t>(Dalmaso et al., 2020)</w:t>
      </w:r>
      <w:r w:rsidR="00656694">
        <w:fldChar w:fldCharType="end"/>
      </w:r>
      <w:r w:rsidR="00656694">
        <w:t xml:space="preserve"> </w:t>
      </w:r>
      <w:r w:rsidRPr="00BD14B0">
        <w:t xml:space="preserve">longer SOAs such as 1.000 </w:t>
      </w:r>
      <w:proofErr w:type="spellStart"/>
      <w:r w:rsidR="00A35ECD" w:rsidRPr="00BD14B0">
        <w:t>m</w:t>
      </w:r>
      <w:r w:rsidRPr="00BD14B0">
        <w:t>s</w:t>
      </w:r>
      <w:proofErr w:type="spellEnd"/>
      <w:r w:rsidRPr="00BD14B0">
        <w:t xml:space="preserve"> are sensitive to features of face stimuli gathered by gaze cueing. Thus, studies conducted with longer SOAs show that the knowledge of the gazer can override the short-lived attentional shift. It can be concluded that longer SOAs, in the context of gaining knowledge about the gazer through episodic learning rather than visual representation, may yield different results; as demonstrated in Chapters 2 and 3. However, short SOAs are unaffected by episodic learning of social relations about the gazer, as shown in Chapters 2 and 3.</w:t>
      </w:r>
    </w:p>
    <w:p w14:paraId="5F9F22E5" w14:textId="7A6434F2" w:rsidR="006D2EE6" w:rsidRPr="00BD14B0" w:rsidRDefault="006D2EE6" w:rsidP="00553E01">
      <w:r w:rsidRPr="00BD14B0">
        <w:tab/>
        <w:t xml:space="preserve">Third, it's that strong and reliable gaze cueing effects do not emerge until around 200 to 300 milliseconds, according to studies using face pictures </w:t>
      </w:r>
      <w:r w:rsidR="006052EC">
        <w:fldChar w:fldCharType="begin" w:fldLock="1"/>
      </w:r>
      <w:r w:rsidR="00E25A05">
        <w:instrText>ADDIN CSL_CITATION {"citationItems":[{"id":"ITEM-1","itemData":{"DOI":"10.1348/000712604X15626","ISSN":"20448295","author":[{"dropping-particle":"","family":"Bayliss","given":"Andrew P","non-dropping-particle":"","parse-names":false,"suffix":""},{"dropping-particle":"","family":"Tipper","given":"Steven P","non-dropping-particle":"","parse-names":false,"suffix":""}],"container-title":"British Journal of Psychology","id":"ITEM-1","issue":"1","issued":{"date-parts":[["2005"]]},"page":"95-114","title":"Gaze and arrow cueing of attention reveals individual differences along the autism spectrum as a function of target context","type":"article-journal","volume":"96"},"uris":["http://www.mendeley.com/documents/?uuid=187ec140-a032-41d0-9a0e-8f582d48051c"]},{"id":"ITEM-2","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Cognition","id":"ITEM-2","issue":"5","issued":{"date-parts":[["1999"]]},"page":"509-540","title":"Gaze perception triggers reflexive visuospatial orienting","type":"article-journal","volume":"6"},"uris":["http://www.mendeley.com/documents/?uuid=d75d6f62-db29-416a-8682-3ddf8bb6262f"]}],"mendeley":{"formattedCitation":"(Andrew P Bayliss &amp; Tipper, 2005; Driver et al., 1999)","manualFormatting":"(Bayliss &amp; Tipper, 2005; Driver et al., 1999)","plainTextFormattedCitation":"(Andrew P Bayliss &amp; Tipper, 2005; Driver et al., 1999)","previouslyFormattedCitation":"(Andrew P Bayliss &amp; Tipper, 2005; Driver et al., 1999)"},"properties":{"noteIndex":0},"schema":"https://github.com/citation-style-language/schema/raw/master/csl-citation.json"}</w:instrText>
      </w:r>
      <w:r w:rsidR="006052EC">
        <w:fldChar w:fldCharType="separate"/>
      </w:r>
      <w:r w:rsidR="006052EC" w:rsidRPr="006052EC">
        <w:rPr>
          <w:noProof/>
        </w:rPr>
        <w:t>(Bayliss &amp; Tipper, 2005; Driver et al., 1999)</w:t>
      </w:r>
      <w:r w:rsidR="006052EC">
        <w:fldChar w:fldCharType="end"/>
      </w:r>
      <w:r w:rsidR="00883820">
        <w:t xml:space="preserve">. </w:t>
      </w:r>
      <w:r w:rsidRPr="00BD14B0">
        <w:t xml:space="preserve">Research comparing GCE of cartoon and real faces at 200 </w:t>
      </w:r>
      <w:proofErr w:type="spellStart"/>
      <w:r w:rsidR="00A35ECD" w:rsidRPr="00BD14B0">
        <w:t>m</w:t>
      </w:r>
      <w:r w:rsidRPr="00BD14B0">
        <w:t>s</w:t>
      </w:r>
      <w:proofErr w:type="spellEnd"/>
      <w:r w:rsidRPr="00BD14B0">
        <w:t xml:space="preserve"> found </w:t>
      </w:r>
      <w:r w:rsidRPr="00BD14B0">
        <w:lastRenderedPageBreak/>
        <w:t>that cartoon faces resulted in stronger GCE than real face pictures</w:t>
      </w:r>
      <w:r w:rsidR="00E25A05">
        <w:t xml:space="preserve"> </w:t>
      </w:r>
      <w:r w:rsidR="00E25A05">
        <w:fldChar w:fldCharType="begin" w:fldLock="1"/>
      </w:r>
      <w:r w:rsidR="00F2343E">
        <w:instrText>ADDIN CSL_CITATION {"citationItems":[{"id":"ITEM-1","itemData":{"DOI":"10.1037/0096-1523.29.6.1228","ISBN":"0096-1523 (Print)","ISSN":"1939-1277","PMID":"14640840","abstract":"In 6 experiments, the authors investigated whether attention orienting by gaze direction is modulated by the emotional expression (neutral, happy, angry, or fearful) on the face. The results showed a clear spatial cuing effect by gaze direction but no effect by facial expression. In addition, it was shown that the cuing effect was stronger with schematic faces than with real faces, that gaze cuing could be achieved at very short stimulus onset asynchronies (14 ms), and that there was no evidence for a difference in the strength of cuing triggered by static gaze cues and by cues involving apparent motion of the pupils. In sum, the results suggest that in normal, healthy adults, eye direction processing for attention shifts is independent of facial expression analysis.","author":[{"dropping-particle":"","family":"Hietanen","given":"Jari K.","non-dropping-particle":"","parse-names":false,"suffix":""},{"dropping-particle":"","family":"Leppänen","given":"Jukka M.","non-dropping-particle":"","parse-names":false,"suffix":""}],"container-title":"Journal of Experimental Psychology: Human Perception and Performance","id":"ITEM-1","issue":"6","issued":{"date-parts":[["2003"]]},"page":"1228-1243","title":"Does Facial Expression Affect Attention Orienting by Gaze Direction Cues?","type":"article-journal","volume":"29"},"uris":["http://www.mendeley.com/documents/?uuid=eacedced-5fc4-4714-ad16-918d6400bf34"]}],"mendeley":{"formattedCitation":"(Hietanen &amp; Leppänen, 2003)","plainTextFormattedCitation":"(Hietanen &amp; Leppänen, 2003)","previouslyFormattedCitation":"(Hietanen &amp; Leppänen, 2003)"},"properties":{"noteIndex":0},"schema":"https://github.com/citation-style-language/schema/raw/master/csl-citation.json"}</w:instrText>
      </w:r>
      <w:r w:rsidR="00E25A05">
        <w:fldChar w:fldCharType="separate"/>
      </w:r>
      <w:r w:rsidR="00E25A05" w:rsidRPr="00E25A05">
        <w:rPr>
          <w:noProof/>
        </w:rPr>
        <w:t>(Hietanen &amp; Leppänen, 2003)</w:t>
      </w:r>
      <w:r w:rsidR="00E25A05">
        <w:fldChar w:fldCharType="end"/>
      </w:r>
      <w:r w:rsidR="00E25A05">
        <w:t xml:space="preserve">. </w:t>
      </w:r>
      <w:r w:rsidRPr="00BD14B0">
        <w:t xml:space="preserve">They claim that the increased GCE for cartoon faces is due to differences in image complexity, as cartoon faces do not have any additional visual noise. According to </w:t>
      </w:r>
      <w:r w:rsidR="00F2343E">
        <w:fldChar w:fldCharType="begin" w:fldLock="1"/>
      </w:r>
      <w:r w:rsidR="00F2343E">
        <w:instrText>ADDIN CSL_CITATION {"citationItems":[{"id":"ITEM-1","itemData":{"DOI":"10.3389/fnhum.2012.00143","ISSN":"1662-5161","abstract":"Cognitive neuroscientists often study social cognition by using simple but socially relevant stimuli, such as schematic faces or images of other people. Whilst this research is valuable, important aspects of genuine social encounters are absent from these studies, a fact that has recently drawn criticism. In the present review we argue for an empirical approach to the determination of the equivalence of different social stimuli. This approach involves the systematic comparison of different types of social stimuli ranging in their approximation to a real social interaction. In garnering support for this cognitive ethological approach, we focus on recent research in social attention that has involved stimuli ranging from simple schematic faces to real social interactions. We highlight both meaningful similarities and differences in various social attentional phenomena across these different types of social stimuli thus validating the utility of the research initiative. Furthermore, we argue that exploring these similarities and differences will provide new insights into social cognition and social neuroscience.","author":[{"dropping-particle":"","family":"Risko","given":"Evan F","non-dropping-particle":"","parse-names":false,"suffix":""},{"dropping-particle":"","family":"Laidlaw","given":"Kaitlin","non-dropping-particle":"","parse-names":false,"suffix":""},{"dropping-particle":"","family":"Freeth","given":"Megan","non-dropping-particle":"","parse-names":false,"suffix":""},{"dropping-particle":"","family":"Foulsham","given":"Tom","non-dropping-particle":"","parse-names":false,"suffix":""},{"dropping-particle":"","family":"Kingstone","given":"Alan","non-dropping-particle":"","parse-names":false,"suffix":""}],"container-title":"Frontiers in Human Neuroscience","id":"ITEM-1","issued":{"date-parts":[["2012"]]},"note":"17","page":"143","title":"Social attention with real versus reel stimuli: toward an empirical approach to concerns about ecological validity","type":"article-journal","volume":"6"},"uris":["http://www.mendeley.com/documents/?uuid=4b69c46c-a09b-48c1-8224-726a20074048"]}],"mendeley":{"formattedCitation":"(Risko et al., 2012)","manualFormatting":"Risko et al., (2012)","plainTextFormattedCitation":"(Risko et al., 2012)","previouslyFormattedCitation":"(Risko et al., 2012)"},"properties":{"noteIndex":0},"schema":"https://github.com/citation-style-language/schema/raw/master/csl-citation.json"}</w:instrText>
      </w:r>
      <w:r w:rsidR="00F2343E">
        <w:fldChar w:fldCharType="separate"/>
      </w:r>
      <w:r w:rsidR="00F2343E" w:rsidRPr="00F2343E">
        <w:rPr>
          <w:noProof/>
        </w:rPr>
        <w:t xml:space="preserve">Risko et al., </w:t>
      </w:r>
      <w:r w:rsidR="00F2343E">
        <w:rPr>
          <w:noProof/>
        </w:rPr>
        <w:t>(</w:t>
      </w:r>
      <w:r w:rsidR="00F2343E" w:rsidRPr="00F2343E">
        <w:rPr>
          <w:noProof/>
        </w:rPr>
        <w:t>2012)</w:t>
      </w:r>
      <w:r w:rsidR="00F2343E">
        <w:fldChar w:fldCharType="end"/>
      </w:r>
      <w:r w:rsidR="00F2343E">
        <w:t xml:space="preserve"> </w:t>
      </w:r>
      <w:r w:rsidRPr="00BD14B0">
        <w:t xml:space="preserve">enhanced attention orienting to cartoon faces’ gaze cues might also be due to non-social mechanisms such as motion detection. Increased attention orienting to cartoon faces' gaze cues could also be due to non-social mechanisms such as motion detection, according to </w:t>
      </w:r>
      <w:r w:rsidR="00F2343E">
        <w:fldChar w:fldCharType="begin" w:fldLock="1"/>
      </w:r>
      <w:r w:rsidR="00607A2B">
        <w:instrText>ADDIN CSL_CITATION {"citationItems":[{"id":"ITEM-1","itemData":{"DOI":"10.3389/fnhum.2012.00143","ISSN":"1662-5161","abstract":"Cognitive neuroscientists often study social cognition by using simple but socially relevant stimuli, such as schematic faces or images of other people. Whilst this research is valuable, important aspects of genuine social encounters are absent from these studies, a fact that has recently drawn criticism. In the present review we argue for an empirical approach to the determination of the equivalence of different social stimuli. This approach involves the systematic comparison of different types of social stimuli ranging in their approximation to a real social interaction. In garnering support for this cognitive ethological approach, we focus on recent research in social attention that has involved stimuli ranging from simple schematic faces to real social interactions. We highlight both meaningful similarities and differences in various social attentional phenomena across these different types of social stimuli thus validating the utility of the research initiative. Furthermore, we argue that exploring these similarities and differences will provide new insights into social cognition and social neuroscience.","author":[{"dropping-particle":"","family":"Risko","given":"Evan F","non-dropping-particle":"","parse-names":false,"suffix":""},{"dropping-particle":"","family":"Laidlaw","given":"Kaitlin","non-dropping-particle":"","parse-names":false,"suffix":""},{"dropping-particle":"","family":"Freeth","given":"Megan","non-dropping-particle":"","parse-names":false,"suffix":""},{"dropping-particle":"","family":"Foulsham","given":"Tom","non-dropping-particle":"","parse-names":false,"suffix":""},{"dropping-particle":"","family":"Kingstone","given":"Alan","non-dropping-particle":"","parse-names":false,"suffix":""}],"container-title":"Frontiers in Human Neuroscience","id":"ITEM-1","issued":{"date-parts":[["2012"]]},"note":"17","page":"143","title":"Social attention with real versus reel stimuli: toward an empirical approach to concerns about ecological validity","type":"article-journal","volume":"6"},"uris":["http://www.mendeley.com/documents/?uuid=4b69c46c-a09b-48c1-8224-726a20074048"]}],"mendeley":{"formattedCitation":"(Risko et al., 2012)","plainTextFormattedCitation":"(Risko et al., 2012)","previouslyFormattedCitation":"(Risko et al., 2012)"},"properties":{"noteIndex":0},"schema":"https://github.com/citation-style-language/schema/raw/master/csl-citation.json"}</w:instrText>
      </w:r>
      <w:r w:rsidR="00F2343E">
        <w:fldChar w:fldCharType="separate"/>
      </w:r>
      <w:r w:rsidR="00F2343E" w:rsidRPr="00F2343E">
        <w:rPr>
          <w:noProof/>
        </w:rPr>
        <w:t>(Risko et al., 2012)</w:t>
      </w:r>
      <w:r w:rsidR="00F2343E">
        <w:fldChar w:fldCharType="end"/>
      </w:r>
      <w:r w:rsidR="00607A2B">
        <w:t xml:space="preserve">. </w:t>
      </w:r>
      <w:r w:rsidRPr="00BD14B0">
        <w:t xml:space="preserve">In detail, the non-social mechanism can be studied via arrow cues as well. However, it has been argued that arrow cues itself is a poor measurement of endogenous attention, as arrow cues can result in rapid and involuntary shifts of attention, which has been attributed to the directional meaning of these cues being overlearned in daily life. It is learned and gets easier with practice. As a result, studies that directly compare arrows and gaze without using a purely symbolic cue can only provide limited evidence about the role of endogenous attention in gaze cueing. Thus, using cartoon faces to compare the non-social and social mechanisms of gaze cueing would result in more accurate comparisons. When participants were given enough time to extract eye-gaze information from a photo of a real face (around 200-300 </w:t>
      </w:r>
      <w:proofErr w:type="spellStart"/>
      <w:r w:rsidR="00A35ECD" w:rsidRPr="00BD14B0">
        <w:t>m</w:t>
      </w:r>
      <w:r w:rsidRPr="00BD14B0">
        <w:t>s</w:t>
      </w:r>
      <w:proofErr w:type="spellEnd"/>
      <w:r w:rsidR="00627BA9" w:rsidRPr="00BD14B0">
        <w:t>,</w:t>
      </w:r>
      <w:r w:rsidR="00607A2B">
        <w:t xml:space="preserve"> </w:t>
      </w:r>
      <w:r w:rsidR="00607A2B">
        <w:fldChar w:fldCharType="begin" w:fldLock="1"/>
      </w:r>
      <w:r w:rsidR="00607A2B">
        <w:instrText>ADDIN CSL_CITATION {"citationItems":[{"id":"ITEM-1","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Cognition","id":"ITEM-1","issue":"5","issued":{"date-parts":[["1999"]]},"page":"509-540","title":"Gaze perception triggers reflexive visuospatial orienting","type":"article-journal","volume":"6"},"uris":["http://www.mendeley.com/documents/?uuid=d75d6f62-db29-416a-8682-3ddf8bb6262f"]}],"mendeley":{"formattedCitation":"(Driver et al., 1999)","manualFormatting":"Driver et al., 1999)","plainTextFormattedCitation":"(Driver et al., 1999)","previouslyFormattedCitation":"(Driver et al., 1999)"},"properties":{"noteIndex":0},"schema":"https://github.com/citation-style-language/schema/raw/master/csl-citation.json"}</w:instrText>
      </w:r>
      <w:r w:rsidR="00607A2B">
        <w:fldChar w:fldCharType="separate"/>
      </w:r>
      <w:r w:rsidR="00607A2B" w:rsidRPr="00607A2B">
        <w:rPr>
          <w:noProof/>
        </w:rPr>
        <w:t>Driver et al., 1999)</w:t>
      </w:r>
      <w:r w:rsidR="00607A2B">
        <w:fldChar w:fldCharType="end"/>
      </w:r>
      <w:r w:rsidRPr="00BD14B0">
        <w:t xml:space="preserve"> the gaze direction began to influence responses, with faster target detection incongruent trials compared to incongruent trials. Furthermore, </w:t>
      </w:r>
      <w:r w:rsidR="00607A2B">
        <w:fldChar w:fldCharType="begin" w:fldLock="1"/>
      </w:r>
      <w:r w:rsidR="003F69DE">
        <w:instrText>ADDIN CSL_CITATION {"citationItems":[{"id":"ITEM-1","itemData":{"DOI":"10.1016/j.actpsy.2018.11.006","ISSN":"00016918","abstract":"The present research assessed the nature of endogenous shifts of attention based on internally generated expectations (i.e., target location probability) and involuntary attention shifts following eye-gaze cues from line-drawings of schematic faces (Experiment 1) and photographs of real neutral faces (Experiment 2) and fearful faces (Experiment 3). The time-course of these two forms of attention was explored by manipulating the gaze-target SOA (i.e., 100 ms, 200 ms, 300 ms). In all three experiments, target location probability influenced responding at each SOA with faster responses to high probability than low probability targets. However, the time-course of involuntary attention shifts was dependent on the gaze-cueing stimulus employed. For photographs of neutral gaze, endogenous orienting of attention was most efficient at the briefest SOA with involuntary attention shifts emerging later. However, both schematic and fearful gaze-cues influenced responding across all SOAs, which is indicative of stronger gaze-cueing effects from these cues. At 200 ms there was an additive effect as responses were slowest when the target had been invalidly cued by neutral gaze and also appeared in the low probability location. Taken together these findings suggest that these forms of involuntary and endogenous attention can operate in parallel and relatively independently, but can show potentially differing levels of influence, dependent on the time course in which they take to operate.","author":[{"dropping-particle":"","family":"Slessor","given":"Gillian","non-dropping-particle":"","parse-names":false,"suffix":""},{"dropping-particle":"","family":"Finnerty","given":"Ailbhe","non-dropping-particle":"","parse-names":false,"suffix":""},{"dropping-particle":"","family":"Papp","given":"Jessika","non-dropping-particle":"","parse-names":false,"suffix":""},{"dropping-particle":"","family":"Smith","given":"Daniel T.","non-dropping-particle":"","parse-names":false,"suffix":""},{"dropping-particle":"","family":"Martin","given":"Douglas","non-dropping-particle":"","parse-names":false,"suffix":""}],"container-title":"Acta Psychologica","id":"ITEM-1","issue":"May 2018","issued":{"date-parts":[["2019","1"]]},"page":"172-180","publisher":"Elsevier","title":"Gaze-cueing and endogenous attention operate in parallel","type":"article-journal","volume":"192"},"uris":["http://www.mendeley.com/documents/?uuid=49d98c0e-d00d-4572-ad38-2ca1795f0311"]}],"mendeley":{"formattedCitation":"(Slessor et al., 2019)","plainTextFormattedCitation":"(Slessor et al., 2019)","previouslyFormattedCitation":"(Slessor et al., 2019)"},"properties":{"noteIndex":0},"schema":"https://github.com/citation-style-language/schema/raw/master/csl-citation.json"}</w:instrText>
      </w:r>
      <w:r w:rsidR="00607A2B">
        <w:fldChar w:fldCharType="separate"/>
      </w:r>
      <w:r w:rsidR="00607A2B" w:rsidRPr="00607A2B">
        <w:rPr>
          <w:noProof/>
        </w:rPr>
        <w:t>(Slessor et al., 2019)</w:t>
      </w:r>
      <w:r w:rsidR="00607A2B">
        <w:fldChar w:fldCharType="end"/>
      </w:r>
      <w:r w:rsidR="00607A2B">
        <w:t xml:space="preserve"> </w:t>
      </w:r>
      <w:r w:rsidRPr="00BD14B0">
        <w:t xml:space="preserve">claim that when a photo of a real face gaze cue was used as an attention cue, endogenous shifts of attention emerged faster than involuntary gaze cueing. In contrast, it has not been demonstrated that involuntary GCE can override endogenous attention mechanisms. As a result, gaze direction should begin to have an effect around 200-300 </w:t>
      </w:r>
      <w:proofErr w:type="spellStart"/>
      <w:r w:rsidR="00A35ECD" w:rsidRPr="00BD14B0">
        <w:t>m</w:t>
      </w:r>
      <w:r w:rsidRPr="00BD14B0">
        <w:t>s</w:t>
      </w:r>
      <w:proofErr w:type="spellEnd"/>
      <w:r w:rsidRPr="00BD14B0">
        <w:t xml:space="preserve"> (Driver et al., 1999), and the social mechanism should begin to kick in around 300 </w:t>
      </w:r>
      <w:proofErr w:type="spellStart"/>
      <w:r w:rsidR="00A35ECD" w:rsidRPr="00BD14B0">
        <w:t>m</w:t>
      </w:r>
      <w:r w:rsidRPr="00BD14B0">
        <w:t>s</w:t>
      </w:r>
      <w:proofErr w:type="spellEnd"/>
      <w:r w:rsidRPr="00BD14B0">
        <w:t>.</w:t>
      </w:r>
    </w:p>
    <w:p w14:paraId="770A95F6" w14:textId="2EF0BB86" w:rsidR="006D2EE6" w:rsidRPr="00BD14B0" w:rsidRDefault="006D2EE6" w:rsidP="00553E01">
      <w:r w:rsidRPr="00BD14B0">
        <w:t xml:space="preserve">             Others also showed 300 </w:t>
      </w:r>
      <w:proofErr w:type="spellStart"/>
      <w:r w:rsidRPr="00BD14B0">
        <w:t>ms</w:t>
      </w:r>
      <w:proofErr w:type="spellEnd"/>
      <w:r w:rsidRPr="00BD14B0">
        <w:t xml:space="preserve"> is effective. For example, social learning influences the earliest responses to another person's gaze cues at 300 </w:t>
      </w:r>
      <w:proofErr w:type="spellStart"/>
      <w:r w:rsidR="00A35ECD" w:rsidRPr="00BD14B0">
        <w:t>m</w:t>
      </w:r>
      <w:r w:rsidRPr="00BD14B0">
        <w:t>s</w:t>
      </w:r>
      <w:proofErr w:type="spellEnd"/>
      <w:r w:rsidRPr="00BD14B0">
        <w:t xml:space="preserve"> </w:t>
      </w:r>
      <w:r w:rsidR="003F69DE">
        <w:fldChar w:fldCharType="begin" w:fldLock="1"/>
      </w:r>
      <w:r w:rsidR="003F69DE">
        <w:instrText>ADDIN CSL_CITATION {"citationItems":[{"id":"ITEM-1","itemData":{"DOI":"10.1007/s10803-012-1510-3","ISSN":"01623257","PMID":"22447071","abstract":"We investigated if variation in autistic traits in the typically-developed population (using the Autism-spectrum Quotient, AQ) influenced implicit learning of social information. In the learning phase, participants repeatedly observed two identities whose gaze and expression conveyed either a pro- or antisocial disposition. These identities were then employed in a gaze-cueing paradigm. Participants made speeded responses to a peripheral target that was spatially pre-cued by a non-predictive gaze direction. The low AQ group (n = 50) showed a smaller gaze-cueing effect for the antisocial than for the prosocial identity. The high AQ group (n = 48) showed equivalent gaze-cueing for both identities. Others' intentions/dispositions can be learned implicitly and affect subsequent responses to their behavior. This ability is impaired with increasing levels of autistic traits. © 2012 Springer Science+Business Media, LLC.","author":[{"dropping-particle":"","family":"Hudson","given":"Matthew","non-dropping-particle":"","parse-names":false,"suffix":""},{"dropping-particle":"","family":"Nijboer","given":"Tanja C.W.","non-dropping-particle":"","parse-names":false,"suffix":""},{"dropping-particle":"","family":"Jellema","given":"Tjeerd","non-dropping-particle":"","parse-names":false,"suffix":""}],"container-title":"Journal of Autism and Developmental Disorders","id":"ITEM-1","issue":"12","issued":{"date-parts":[["2012"]]},"page":"2534-2545","title":"Implicit social learning in relation to autistic-like traits","type":"article-journal","volume":"42"},"uris":["http://www.mendeley.com/documents/?uuid=43844f77-4242-4b64-a15f-a09191989d27"]}],"mendeley":{"formattedCitation":"(Hudson et al., 2012)","plainTextFormattedCitation":"(Hudson et al., 2012)","previouslyFormattedCitation":"(Hudson et al., 2012)"},"properties":{"noteIndex":0},"schema":"https://github.com/citation-style-language/schema/raw/master/csl-citation.json"}</w:instrText>
      </w:r>
      <w:r w:rsidR="003F69DE">
        <w:fldChar w:fldCharType="separate"/>
      </w:r>
      <w:r w:rsidR="003F69DE" w:rsidRPr="003F69DE">
        <w:rPr>
          <w:noProof/>
        </w:rPr>
        <w:t>(Hudson et al., 2012)</w:t>
      </w:r>
      <w:r w:rsidR="003F69DE">
        <w:fldChar w:fldCharType="end"/>
      </w:r>
      <w:r w:rsidR="003F69DE">
        <w:t xml:space="preserve"> </w:t>
      </w:r>
      <w:r w:rsidRPr="00BD14B0">
        <w:t xml:space="preserve">or personal familiarity influences GC at 300 </w:t>
      </w:r>
      <w:proofErr w:type="spellStart"/>
      <w:r w:rsidR="00A35ECD" w:rsidRPr="00BD14B0">
        <w:t>m</w:t>
      </w:r>
      <w:r w:rsidRPr="00BD14B0">
        <w:t>s</w:t>
      </w:r>
      <w:proofErr w:type="spellEnd"/>
      <w:r w:rsidRPr="00BD14B0">
        <w:t xml:space="preserve"> </w:t>
      </w:r>
      <w:r w:rsidR="003F69DE">
        <w:fldChar w:fldCharType="begin" w:fldLock="1"/>
      </w:r>
      <w:r w:rsidR="003F69DE">
        <w:instrText>ADDIN CSL_CITATION {"citationItems":[{"id":"ITEM-1","itemData":{"DOI":"10.1098/rsbl.2006.0564","ISSN":"1744-9561","abstract":"Gaze cuing, the tendency to shift attention in the direction other individuals are looking, is hypothesized to depend on a distinct neural module. One expectation of such a module is that information processing should be encapsulated within it. Here, we tested whether familiarity, a type of social knowledge, penetrates the neural circuits governing gaze cuing. Male and female subjects viewed the face of an adult male looking left or right and then pressed a keypad to indicate the location of a target appearing randomly left or right. Responses were faster for targets congruent with gaze direction. Moreover, gaze cuing was stronger in females than males. Contrary to the modularity hypothesis, familiarity enhanced gaze cuing, but only in females. Sex differences in the effects of familiarity on gaze cuing may reflect greater adaptive significance of social information for females than males.","author":[{"dropping-particle":"","family":"Deaner","given":"Robert O","non-dropping-particle":"","parse-names":false,"suffix":""},{"dropping-particle":"V","family":"Shepherd","given":"Stephen","non-dropping-particle":"","parse-names":false,"suffix":""},{"dropping-particle":"","family":"Platt","given":"Michael L","non-dropping-particle":"","parse-names":false,"suffix":""}],"container-title":"Biology Letters","id":"ITEM-1","issue":"1","issued":{"date-parts":[["2007","2","22"]]},"note":"Times Cited: 31\n32","page":"65-68","title":"Familiarity accentuates gaze cuing in women but not men","type":"article-journal","volume":"3"},"uris":["http://www.mendeley.com/documents/?uuid=c40566fa-2045-42e8-8818-c7b3fd74af89"]}],"mendeley":{"formattedCitation":"(R. O. Deaner et al., 2007)","manualFormatting":"(Deaner et al., 2007)","plainTextFormattedCitation":"(R. O. Deaner et al., 2007)","previouslyFormattedCitation":"(R. O. Deaner et al., 2007)"},"properties":{"noteIndex":0},"schema":"https://github.com/citation-style-language/schema/raw/master/csl-citation.json"}</w:instrText>
      </w:r>
      <w:r w:rsidR="003F69DE">
        <w:fldChar w:fldCharType="separate"/>
      </w:r>
      <w:r w:rsidR="003F69DE" w:rsidRPr="003F69DE">
        <w:rPr>
          <w:noProof/>
        </w:rPr>
        <w:t>(Deaner et al., 2007)</w:t>
      </w:r>
      <w:r w:rsidR="003F69DE">
        <w:fldChar w:fldCharType="end"/>
      </w:r>
      <w:r w:rsidR="003F69DE">
        <w:t xml:space="preserve">. </w:t>
      </w:r>
      <w:r w:rsidRPr="00BD14B0">
        <w:t xml:space="preserve">Hudson et al. (2012) proposed that an SOA of 300 reflected the optimal timing for reflexive exogenous gaze-cueing effects (typically between 150 and 450 </w:t>
      </w:r>
      <w:proofErr w:type="spellStart"/>
      <w:r w:rsidR="00A35ECD" w:rsidRPr="00BD14B0">
        <w:t>m</w:t>
      </w:r>
      <w:r w:rsidRPr="00BD14B0">
        <w:t>s</w:t>
      </w:r>
      <w:proofErr w:type="spellEnd"/>
      <w:r w:rsidRPr="00BD14B0">
        <w:t xml:space="preserve">), whereas gaze cueing at 800 </w:t>
      </w:r>
      <w:proofErr w:type="spellStart"/>
      <w:r w:rsidR="00A35ECD" w:rsidRPr="00BD14B0">
        <w:t>m</w:t>
      </w:r>
      <w:r w:rsidRPr="00BD14B0">
        <w:t>s</w:t>
      </w:r>
      <w:proofErr w:type="spellEnd"/>
      <w:r w:rsidRPr="00BD14B0">
        <w:t xml:space="preserve"> would be governed by voluntary endogenous processes. Hudson et al. (2012) demonstrated that modulation of the cueing effect occurred only in the short SOA condition, which reflects involuntary exogenous orienting, but not in the longer SOA condition, which reflects </w:t>
      </w:r>
      <w:r w:rsidRPr="00BD14B0">
        <w:lastRenderedPageBreak/>
        <w:t>voluntary endogenous orienting</w:t>
      </w:r>
      <w:r w:rsidR="003F69DE">
        <w:t xml:space="preserve"> </w:t>
      </w:r>
      <w:r w:rsidR="003F69DE">
        <w:fldChar w:fldCharType="begin" w:fldLock="1"/>
      </w:r>
      <w:r w:rsidR="003F69DE">
        <w:instrText>ADDIN CSL_CITATION {"citationItems":[{"id":"ITEM-1","itemData":{"DOI":"10.1037/0096-1523.30.2.319","ISSN":"0096-1523","author":[{"dropping-particle":"","family":"Friesen","given":"Ck","non-dropping-particle":"","parse-names":false,"suffix":""},{"dropping-particle":"","family":"Ristic","given":"J","non-dropping-particle":"","parse-names":false,"suffix":""},{"dropping-particle":"","family":"Kingstone","given":"A","non-dropping-particle":"","parse-names":false,"suffix":""}],"container-title":"J. Exp. Psychol.-Hum. Percept. Perform.","id":"ITEM-1","issue":"2","issued":{"date-parts":[["2004"]]},"page":"319-329","title":"Attentional effects of counterpredictive gaze and arrow cues","type":"article-journal","volume":"30"},"uris":["http://www.mendeley.com/documents/?uuid=45b2d509-1186-4dda-87f2-f753de148932"]}],"mendeley":{"formattedCitation":"(C. Friesen et al., 2004)","manualFormatting":"(Friesen et al., 2004)","plainTextFormattedCitation":"(C. Friesen et al., 2004)","previouslyFormattedCitation":"(C. Friesen et al., 2004)"},"properties":{"noteIndex":0},"schema":"https://github.com/citation-style-language/schema/raw/master/csl-citation.json"}</w:instrText>
      </w:r>
      <w:r w:rsidR="003F69DE">
        <w:fldChar w:fldCharType="separate"/>
      </w:r>
      <w:r w:rsidR="003F69DE" w:rsidRPr="003F69DE">
        <w:rPr>
          <w:noProof/>
        </w:rPr>
        <w:t>(Friesen et al., 2004)</w:t>
      </w:r>
      <w:r w:rsidR="003F69DE">
        <w:fldChar w:fldCharType="end"/>
      </w:r>
      <w:r w:rsidR="003F69DE">
        <w:t xml:space="preserve">. </w:t>
      </w:r>
      <w:r w:rsidRPr="00BD14B0">
        <w:t>This suggests that implicit social learning influences the earliest responses to another's gaze direction, which is consistent with previous findings that personal familiarity influences gaze-cueing over comparable time spans (</w:t>
      </w:r>
      <w:proofErr w:type="spellStart"/>
      <w:r w:rsidRPr="00BD14B0">
        <w:t>Deaner</w:t>
      </w:r>
      <w:proofErr w:type="spellEnd"/>
      <w:r w:rsidRPr="00BD14B0">
        <w:t xml:space="preserve"> et al. 2007). Additionally, according to </w:t>
      </w:r>
      <w:r w:rsidR="003F69DE">
        <w:fldChar w:fldCharType="begin" w:fldLock="1"/>
      </w:r>
      <w:r w:rsidR="00E453C7">
        <w:instrText>ADDIN CSL_CITATION {"citationItems":[{"id":"ITEM-1","itemData":{"DOI":"10.1007/s10803-012-1510-3","ISSN":"01623257","PMID":"22447071","abstract":"We investigated if variation in autistic traits in the typically-developed population (using the Autism-spectrum Quotient, AQ) influenced implicit learning of social information. In the learning phase, participants repeatedly observed two identities whose gaze and expression conveyed either a pro- or antisocial disposition. These identities were then employed in a gaze-cueing paradigm. Participants made speeded responses to a peripheral target that was spatially pre-cued by a non-predictive gaze direction. The low AQ group (n = 50) showed a smaller gaze-cueing effect for the antisocial than for the prosocial identity. The high AQ group (n = 48) showed equivalent gaze-cueing for both identities. Others' intentions/dispositions can be learned implicitly and affect subsequent responses to their behavior. This ability is impaired with increasing levels of autistic traits. © 2012 Springer Science+Business Media, LLC.","author":[{"dropping-particle":"","family":"Hudson","given":"Matthew","non-dropping-particle":"","parse-names":false,"suffix":""},{"dropping-particle":"","family":"Nijboer","given":"Tanja C.W.","non-dropping-particle":"","parse-names":false,"suffix":""},{"dropping-particle":"","family":"Jellema","given":"Tjeerd","non-dropping-particle":"","parse-names":false,"suffix":""}],"container-title":"Journal of Autism and Developmental Disorders","id":"ITEM-1","issue":"12","issued":{"date-parts":[["2012"]]},"page":"2534-2545","title":"Implicit social learning in relation to autistic-like traits","type":"article-journal","volume":"42"},"uris":["http://www.mendeley.com/documents/?uuid=43844f77-4242-4b64-a15f-a09191989d27"]}],"mendeley":{"formattedCitation":"(Hudson et al., 2012)","manualFormatting":"Hudson et al., (2012)","plainTextFormattedCitation":"(Hudson et al., 2012)","previouslyFormattedCitation":"(Hudson et al., 2012)"},"properties":{"noteIndex":0},"schema":"https://github.com/citation-style-language/schema/raw/master/csl-citation.json"}</w:instrText>
      </w:r>
      <w:r w:rsidR="003F69DE">
        <w:fldChar w:fldCharType="separate"/>
      </w:r>
      <w:r w:rsidR="003F69DE" w:rsidRPr="003F69DE">
        <w:rPr>
          <w:noProof/>
        </w:rPr>
        <w:t xml:space="preserve">Hudson et al., </w:t>
      </w:r>
      <w:r w:rsidR="003F69DE">
        <w:rPr>
          <w:noProof/>
        </w:rPr>
        <w:t>(</w:t>
      </w:r>
      <w:r w:rsidR="003F69DE" w:rsidRPr="003F69DE">
        <w:rPr>
          <w:noProof/>
        </w:rPr>
        <w:t>2012)</w:t>
      </w:r>
      <w:r w:rsidR="003F69DE">
        <w:fldChar w:fldCharType="end"/>
      </w:r>
      <w:r w:rsidRPr="00BD14B0">
        <w:t xml:space="preserve">, greater GCE in low AQ individuals to faces who smiled at them during the learning phase (only at 300 </w:t>
      </w:r>
      <w:proofErr w:type="spellStart"/>
      <w:r w:rsidR="00A35ECD" w:rsidRPr="00BD14B0">
        <w:t>m</w:t>
      </w:r>
      <w:r w:rsidRPr="00BD14B0">
        <w:t>s</w:t>
      </w:r>
      <w:proofErr w:type="spellEnd"/>
      <w:r w:rsidRPr="00BD14B0">
        <w:t xml:space="preserve"> and not al 800 </w:t>
      </w:r>
      <w:proofErr w:type="spellStart"/>
      <w:r w:rsidR="00A35ECD" w:rsidRPr="00BD14B0">
        <w:t>m</w:t>
      </w:r>
      <w:r w:rsidRPr="00BD14B0">
        <w:t>s</w:t>
      </w:r>
      <w:proofErr w:type="spellEnd"/>
      <w:r w:rsidRPr="00BD14B0">
        <w:t xml:space="preserve">). Hence, 300 </w:t>
      </w:r>
      <w:proofErr w:type="spellStart"/>
      <w:r w:rsidR="00A35ECD" w:rsidRPr="00BD14B0">
        <w:t>m</w:t>
      </w:r>
      <w:r w:rsidRPr="00BD14B0">
        <w:t>s</w:t>
      </w:r>
      <w:proofErr w:type="spellEnd"/>
      <w:r w:rsidRPr="00BD14B0">
        <w:t xml:space="preserve"> can be counted as the minimal time required for the automatic processes of the gaze cueing effect to occur.</w:t>
      </w:r>
    </w:p>
    <w:p w14:paraId="6C27F859" w14:textId="77777777" w:rsidR="006D2EE6" w:rsidRPr="00BD14B0" w:rsidRDefault="006D2EE6" w:rsidP="00553E01"/>
    <w:p w14:paraId="546F6372" w14:textId="3D97B421" w:rsidR="006D2EE6" w:rsidRPr="00BD14B0" w:rsidRDefault="006D2EE6" w:rsidP="00553E01">
      <w:pPr>
        <w:pStyle w:val="Heading3"/>
      </w:pPr>
      <w:bookmarkStart w:id="130" w:name="_Toc108310809"/>
      <w:r w:rsidRPr="00BD14B0">
        <w:t>Faces</w:t>
      </w:r>
      <w:bookmarkEnd w:id="130"/>
    </w:p>
    <w:p w14:paraId="5046E2A8" w14:textId="3D3C4E3E" w:rsidR="006D2EE6" w:rsidRPr="00BD14B0" w:rsidRDefault="00AD78B4" w:rsidP="00553E01">
      <w:r w:rsidRPr="00BD14B0">
        <w:tab/>
      </w:r>
      <w:r w:rsidR="006D2EE6" w:rsidRPr="00BD14B0">
        <w:t xml:space="preserve">Faces shown to participants in all three experimental studies were chosen from face databases, so the stimuli used have already been proven to be suitable for gaze cueing studies. In addition, all faces were presented with a white background to eliminate visual noise in the data. Face stimuli in Chapter 4 did not depict real people's faces, but rather 3D avatar faces. Those 3D avatar faces had previously been created by </w:t>
      </w:r>
      <w:r w:rsidR="006D2EE6" w:rsidRPr="00BD14B0">
        <w:fldChar w:fldCharType="begin" w:fldLock="1"/>
      </w:r>
      <w:r w:rsidR="004D2901" w:rsidRPr="00BD14B0">
        <w:instrText>ADDIN CSL_CITATION {"citationItems":[{"id":"ITEM-1","itemData":{"DOI":"10.1037/xge0000167","ISSN":"0096-3445","abstract":"We asked whether previous observations of group interactions modulate subsequent social attention episodes. Participants first completed a learning phase with 2 conditions. In the “leader” condition 1 of 3 identities turned her gaze first, followed by the 2 other faces. In the “follower” condition, 1 of the identities turned her gaze after the 2 other faces had first shifted their gaze. Thus, participants observed that some individuals were consistently leaders and others followers of others’ attention. In the test phase, the faces of leaders and followers were presented in a gaze cueing paradigm. Remarkably, the followers did not elicit gaze cueing. Our data demonstrate that individuals who do not guide group attention in exploring the environment are ineffective social attention directors in later encounters. Thus, the role played in previous group social attention interactions modulates the relative weight assigned to others’ gaze: we ignore the gaze of group followers.","author":[{"dropping-particle":"","family":"Capozzi","given":"Francesca","non-dropping-particle":"","parse-names":false,"suffix":""},{"dropping-particle":"","family":"Becchio","given":"Cristina","non-dropping-particle":"","parse-names":false,"suffix":""},{"dropping-particle":"","family":"Willemse","given":"Cesco","non-dropping-particle":"","parse-names":false,"suffix":""},{"dropping-particle":"","family":"Bayliss","given":"Andrew P","non-dropping-particle":"","parse-names":false,"suffix":""}],"container-title":"Journal of Experimental Psychology: General","id":"ITEM-1","issued":{"date-parts":[["2016"]]},"title":"Followers Are Not Followed: Observed Group Interactions Modulate Subsequent Social Attention","type":"article-journal"},"uris":["http://www.mendeley.com/documents/?uuid=375d71b6-ee24-42b5-b1e8-b217d92f5738"]}],"mendeley":{"formattedCitation":"(Capozzi et al., 2016)","plainTextFormattedCitation":"(Capozzi et al., 2016)","previouslyFormattedCitation":"(Capozzi et al., 2016)"},"properties":{"noteIndex":0},"schema":"https://github.com/citation-style-language/schema/raw/master/csl-citation.json"}</w:instrText>
      </w:r>
      <w:r w:rsidR="006D2EE6" w:rsidRPr="00BD14B0">
        <w:fldChar w:fldCharType="separate"/>
      </w:r>
      <w:r w:rsidR="006D2EE6" w:rsidRPr="00BD14B0">
        <w:rPr>
          <w:noProof/>
        </w:rPr>
        <w:t>(Capozzi et al., 2016)</w:t>
      </w:r>
      <w:r w:rsidR="006D2EE6" w:rsidRPr="00BD14B0">
        <w:fldChar w:fldCharType="end"/>
      </w:r>
      <w:r w:rsidR="006D2EE6" w:rsidRPr="00BD14B0">
        <w:t xml:space="preserve">. According to </w:t>
      </w:r>
      <w:r w:rsidR="006D2EE6" w:rsidRPr="00BD14B0">
        <w:fldChar w:fldCharType="begin" w:fldLock="1"/>
      </w:r>
      <w:r w:rsidR="004D2901" w:rsidRPr="00BD14B0">
        <w:instrText>ADDIN CSL_CITATION {"citationItems":[{"id":"ITEM-1","itemData":{"DOI":"10.3389/fpsyg.2012.00537","ISSN":"1664-1078","abstract":"Social gaze provides a window into the interests and intentions of others and allows us to actively point out our own. It enables us to engage in triadic interactions involving human actors and physical objects and to build an indispensable basis for coordinated action and collaborative efforts. The object-related aspect of gaze in combination with the fact that any motor act of looking encompasses both input and output of the minds involved makes this non-verbal cue system particularly interesting for research in embodied social cognition. Social gaze comprises several core components, such as gaze-following or gaze aversion. Gaze-following can result in situations of either \"joint attention\" or \"shared attention.\" The former describes situations in which the gaze-follower is aware of sharing a joint visual focus with the gazer. The latter refers to a situation in which gazer and gaze-follower focus on the same object and both are aware of their reciprocal awareness of this joint focus. Here, a novel interactive eye-tracking paradigm suited for studying triadic interactions was used to explore two aspects of social gaze. Experiments 1a and 1b assessed how the latency of another person's gaze reactions (i.e., gaze-following or gaze version) affected participants' sense of agency, which was measured by their experience of relatedness of these reactions. Results demonstrate that both timing and congruency of a gaze reaction as well as the other's action options influence the sense of agency. Experiment 2 explored differences in gaze dynamics when participants were asked to establish either joint or shared attention. Findings indicate that establishing shared attention takes longer and requires a larger number of gaze shifts as compared to joint attention, which more closely seems to resemble simple visual detection. Taken together, novel insights into the sense of agency and the awareness of others in gaze-based interaction are provided.","author":[{"dropping-particle":"","family":"Pfeiffer","given":"Ulrich J","non-dropping-particle":"","parse-names":false,"suffix":""},{"dropping-particle":"","family":"Schilbach","given":"Leonhard","non-dropping-particle":"","parse-names":false,"suffix":""},{"dropping-particle":"","family":"Jording","given":"Mathis","non-dropping-particle":"","parse-names":false,"suffix":""},{"dropping-particle":"","family":"Timmermans","given":"Bert","non-dropping-particle":"","parse-names":false,"suffix":""},{"dropping-particle":"","family":"Bente","given":"Gary","non-dropping-particle":"","parse-names":false,"suffix":""},{"dropping-particle":"","family":"Vogeley","given":"Kai","non-dropping-particle":"","parse-names":false,"suffix":""}],"container-title":"Frontiers in Psychology","id":"ITEM-1","issued":{"date-parts":[["2012"]]},"note":"Times Cited: 6\nVogeley, K/E-4860-2012\nVogeley, K/0000-0002-5891-5831\n6","title":"Eyes on the mind: investigating the influence of gaze dynamics on the perception of others in real-time social interaction","type":"article-journal","volume":"3"},"uris":["http://www.mendeley.com/documents/?uuid=74e37b3a-b15a-4267-a53b-56b475152a4e"]}],"mendeley":{"formattedCitation":"(Pfeiffer et al., 2012)","manualFormatting":"Pfeiffer et al., (2012)","plainTextFormattedCitation":"(Pfeiffer et al., 2012)","previouslyFormattedCitation":"(Pfeiffer et al., 2012)"},"properties":{"noteIndex":0},"schema":"https://github.com/citation-style-language/schema/raw/master/csl-citation.json"}</w:instrText>
      </w:r>
      <w:r w:rsidR="006D2EE6" w:rsidRPr="00BD14B0">
        <w:fldChar w:fldCharType="separate"/>
      </w:r>
      <w:r w:rsidR="006D2EE6" w:rsidRPr="00BD14B0">
        <w:rPr>
          <w:noProof/>
        </w:rPr>
        <w:t>Pfeiffer et al., (2012)</w:t>
      </w:r>
      <w:r w:rsidR="006D2EE6" w:rsidRPr="00BD14B0">
        <w:fldChar w:fldCharType="end"/>
      </w:r>
      <w:r w:rsidR="006D2EE6" w:rsidRPr="00BD14B0">
        <w:t xml:space="preserve">, when avatars can offer direct or joint gaze, it fosters a sense of relatedness. Because our sample was young and thus of a similar age group, we chose young faces for the current thesis. Previously, it has been shown that the age of the face is effective on gaze cueing </w:t>
      </w:r>
      <w:r w:rsidR="006D2EE6" w:rsidRPr="00BD14B0">
        <w:fldChar w:fldCharType="begin" w:fldLock="1"/>
      </w:r>
      <w:r w:rsidR="004D2901" w:rsidRPr="00BD14B0">
        <w:instrText>ADDIN CSL_CITATION {"citationItems":[{"id":"ITEM-1","itemData":{"DOI":"10.1093/geronb/gbq038","ISSN":"1079-5014","author":[{"dropping-particle":"","family":"Slessor","given":"Gillian","non-dropping-particle":"","parse-names":false,"suffix":""},{"dropping-particle":"","family":"Laird","given":"Gillian","non-dropping-particle":"","parse-names":false,"suffix":""},{"dropping-particle":"","family":"Phillips","given":"Louise H","non-dropping-particle":"","parse-names":false,"suffix":""},{"dropping-particle":"","family":"Bull","given":"Rebecca","non-dropping-particle":"","parse-names":false,"suffix":""},{"dropping-particle":"","family":"Filippou","given":"Dimitra","non-dropping-particle":"","parse-names":false,"suffix":""}],"container-title":"J GERONTOL B-PSYCHOL","id":"ITEM-1","issue":"5","issued":{"date-parts":[["2010"]]},"page":"536-541","title":"Age-related differences in gaze following: does the age of the face matter?","type":"article-journal","volume":"65"},"uris":["http://www.mendeley.com/documents/?uuid=9a17e522-afa3-4fcd-803b-fac9519b2f72"]}],"mendeley":{"formattedCitation":"(Slessor et al., 2010)","plainTextFormattedCitation":"(Slessor et al., 2010)","previouslyFormattedCitation":"(Slessor et al., 2010)"},"properties":{"noteIndex":0},"schema":"https://github.com/citation-style-language/schema/raw/master/csl-citation.json"}</w:instrText>
      </w:r>
      <w:r w:rsidR="006D2EE6" w:rsidRPr="00BD14B0">
        <w:fldChar w:fldCharType="separate"/>
      </w:r>
      <w:r w:rsidR="006D2EE6" w:rsidRPr="00BD14B0">
        <w:rPr>
          <w:noProof/>
        </w:rPr>
        <w:t>(Slessor et al., 2010)</w:t>
      </w:r>
      <w:r w:rsidR="006D2EE6" w:rsidRPr="00BD14B0">
        <w:fldChar w:fldCharType="end"/>
      </w:r>
      <w:r w:rsidR="006D2EE6" w:rsidRPr="00BD14B0">
        <w:t xml:space="preserve">, young participants had an advantage for processing the gaze cues of young gazer faces not older gazer faces.  Hence, share that younger research participant's show a bias to their age group. To eliminate the effect of age differences, young faces were specifically chosen as a stimulus for gaze cueing tasks in this thesis. It has previously been demonstrated that the age of the face has an effect on gaze cueing (Slessor et al., 2010), with young participants having an advantage in processing the gaze cues of young gazer faces rather than older gazer faces. It has previously been demonstrated that the age of the face has an effect on gaze cueing </w:t>
      </w:r>
      <w:r w:rsidR="006D2EE6" w:rsidRPr="00BD14B0">
        <w:fldChar w:fldCharType="begin" w:fldLock="1"/>
      </w:r>
      <w:r w:rsidR="004D2901" w:rsidRPr="00BD14B0">
        <w:instrText>ADDIN CSL_CITATION {"citationItems":[{"id":"ITEM-1","itemData":{"DOI":"10.1093/geronb/gbq038","ISSN":"1079-5014","author":[{"dropping-particle":"","family":"Slessor","given":"Gillian","non-dropping-particle":"","parse-names":false,"suffix":""},{"dropping-particle":"","family":"Laird","given":"Gillian","non-dropping-particle":"","parse-names":false,"suffix":""},{"dropping-particle":"","family":"Phillips","given":"Louise H","non-dropping-particle":"","parse-names":false,"suffix":""},{"dropping-particle":"","family":"Bull","given":"Rebecca","non-dropping-particle":"","parse-names":false,"suffix":""},{"dropping-particle":"","family":"Filippou","given":"Dimitra","non-dropping-particle":"","parse-names":false,"suffix":""}],"container-title":"J GERONTOL B-PSYCHOL","id":"ITEM-1","issue":"5","issued":{"date-parts":[["2010"]]},"page":"536-541","title":"Age-related differences in gaze following: does the age of the face matter?","type":"article-journal","volume":"65"},"uris":["http://www.mendeley.com/documents/?uuid=9a17e522-afa3-4fcd-803b-fac9519b2f72"]}],"mendeley":{"formattedCitation":"(Slessor et al., 2010)","manualFormatting":"Slessor et al., (2010)","plainTextFormattedCitation":"(Slessor et al., 2010)","previouslyFormattedCitation":"(Slessor et al., 2010)"},"properties":{"noteIndex":0},"schema":"https://github.com/citation-style-language/schema/raw/master/csl-citation.json"}</w:instrText>
      </w:r>
      <w:r w:rsidR="006D2EE6" w:rsidRPr="00BD14B0">
        <w:fldChar w:fldCharType="separate"/>
      </w:r>
      <w:r w:rsidR="006D2EE6" w:rsidRPr="00BD14B0">
        <w:rPr>
          <w:noProof/>
        </w:rPr>
        <w:t>Slessor et al., (2010)</w:t>
      </w:r>
      <w:r w:rsidR="006D2EE6" w:rsidRPr="00BD14B0">
        <w:fldChar w:fldCharType="end"/>
      </w:r>
      <w:r w:rsidR="006D2EE6" w:rsidRPr="00BD14B0">
        <w:t>, with young participants outperforming older participants in processing the gaze cues of young gazer faces. To eliminate the effect of age differences, young faces were specifically chosen as a stimulus for gaze cueing tasks in this thesis.</w:t>
      </w:r>
    </w:p>
    <w:p w14:paraId="4A72237E" w14:textId="77777777" w:rsidR="006D2EE6" w:rsidRPr="00BD14B0" w:rsidRDefault="006D2EE6" w:rsidP="00553E01"/>
    <w:p w14:paraId="17C87829" w14:textId="689BA7C0" w:rsidR="006D2EE6" w:rsidRPr="00BD14B0" w:rsidRDefault="006D2EE6" w:rsidP="00553E01">
      <w:pPr>
        <w:pStyle w:val="Heading3"/>
      </w:pPr>
      <w:bookmarkStart w:id="131" w:name="_Toc108310810"/>
      <w:r w:rsidRPr="00BD14B0">
        <w:lastRenderedPageBreak/>
        <w:t>The gaze cueing task</w:t>
      </w:r>
      <w:bookmarkEnd w:id="131"/>
    </w:p>
    <w:p w14:paraId="00B67924" w14:textId="77777777" w:rsidR="006D2EE6" w:rsidRPr="00BD14B0" w:rsidRDefault="006D2EE6" w:rsidP="00553E01">
      <w:r w:rsidRPr="00BD14B0">
        <w:tab/>
        <w:t xml:space="preserve">In the current thesis, a classical gaze cueing task was administered, with one face on the screen looking either to the right or left side of the screen. The goal is to measure the effect of social relations on gaze following using episodic learning rather than a visual stimulus that could trigger the social representation of the gazer's faces. The gaze cueing in this manner did not create a difference in the strength of gaze cueing. However, this raises the question of how episodic learning affects the following behaviour. In chapter 2 and 3, there was only one face on the screen in the classical gaze cueing task, and there were no other stimuli on the screen to compare one face to hint at the societal rating of the face. </w:t>
      </w:r>
    </w:p>
    <w:p w14:paraId="73520F0D" w14:textId="60A09D3B" w:rsidR="006D2EE6" w:rsidRPr="00BD14B0" w:rsidRDefault="00627BA9" w:rsidP="00553E01">
      <w:r w:rsidRPr="00BD14B0">
        <w:rPr>
          <w:i/>
          <w:u w:color="FF0000"/>
        </w:rPr>
        <w:tab/>
      </w:r>
      <w:r w:rsidR="006D2EE6" w:rsidRPr="00BD14B0">
        <w:t xml:space="preserve">However, in chapter 4, there are three faces on the screen during the learning phase (refer to Chapter 4 for details), resulting in a significant difference in the strength of gaze cueing at the testing phase. Because the main aim of the learning phase of the experiment is to awaken social comparison using visual priming, the presence of three different faces on the screen may result in a comparison between those faces at the learning phase. When three faces were displayed on the screen, the participants were able to observe the social rating of the target face's social rating by comparing it to the other </w:t>
      </w:r>
      <w:proofErr w:type="spellStart"/>
      <w:proofErr w:type="gramStart"/>
      <w:r w:rsidR="006D2EE6" w:rsidRPr="00BD14B0">
        <w:t>faces.In</w:t>
      </w:r>
      <w:proofErr w:type="spellEnd"/>
      <w:proofErr w:type="gramEnd"/>
      <w:r w:rsidR="006D2EE6" w:rsidRPr="00BD14B0">
        <w:t xml:space="preserve"> that case, social relations may be triggered not only by the face itself, but also by comparison to other faces. It also can be argued that the effect of social-cognitive variables gathered from memory can be effective not by observing one face but by observing the comparison of the face.</w:t>
      </w:r>
    </w:p>
    <w:p w14:paraId="75B558B7" w14:textId="77777777" w:rsidR="006D2EE6" w:rsidRPr="00BD14B0" w:rsidRDefault="006D2EE6" w:rsidP="00553E01"/>
    <w:p w14:paraId="49195F83" w14:textId="13B17206" w:rsidR="006D2EE6" w:rsidRPr="00BD14B0" w:rsidRDefault="006D2EE6" w:rsidP="00553E01">
      <w:pPr>
        <w:pStyle w:val="Heading3"/>
      </w:pPr>
      <w:bookmarkStart w:id="132" w:name="_Toc108310811"/>
      <w:r w:rsidRPr="00BD14B0">
        <w:t>Computer versus real environment</w:t>
      </w:r>
      <w:bookmarkEnd w:id="132"/>
    </w:p>
    <w:p w14:paraId="6D720851" w14:textId="7B129842" w:rsidR="006D2EE6" w:rsidRPr="00BD14B0" w:rsidRDefault="006D2EE6" w:rsidP="00553E01">
      <w:r w:rsidRPr="00BD14B0">
        <w:tab/>
        <w:t xml:space="preserve">Using a computer to measure gaze cues helps to create a standardized means of measuring reaction time responses that can be repeated or applied to different </w:t>
      </w:r>
      <w:r w:rsidR="00B34EA9" w:rsidRPr="00BD14B0">
        <w:t>conditions.</w:t>
      </w:r>
      <w:r w:rsidRPr="00BD14B0">
        <w:t xml:space="preserve"> Indeed, </w:t>
      </w:r>
      <w:r w:rsidRPr="00BD14B0">
        <w:fldChar w:fldCharType="begin" w:fldLock="1"/>
      </w:r>
      <w:r w:rsidR="004D2901" w:rsidRPr="00BD14B0">
        <w:instrText>ADDIN CSL_CITATION {"citationItems":[{"id":"ITEM-1","itemData":{"DOI":"10.1371/journal.pone.0053286","ISSN":"1932-6203","abstract":"Social understanding is facilitated by effectively attending to other people and the subtle social cues they generate. In order to more fully appreciate the nature of social attention and what drives people to attend to social aspects of the world, one must investigate the factors that influence social attention. This is especially important when attempting to create models of disordered social attention, e.g. a model of social attention in autism. Here we analysed participants' viewing behaviour during one-to-one social interactions with an experimenter. Interactions were conducted either live or via video (social presence manipulation). The participant was asked and then required to answer questions. Experimenter eye-contact was either direct or averted. Additionally, the influence of participant self-reported autistic traits was also investigated. We found that regardless of whether the interaction was conducted live or via a video, participants frequently looked at the experimenter's face, and they did this more often when being asked a question than when answering. Critical differences in social attention between the live and video interactions were also observed. Modifications of experimenter eye contact influenced participants' eye movements in the live interaction only; and increased autistic traits were associated with less looking at the experimenter for video interactions only. We conclude that analysing patterns of eye-movements in response to strictly controlled video stimuli and natural real-world stimuli furthers the field's understanding of the factors that influence social attention.","author":[{"dropping-particle":"","family":"Freeth","given":"Megan","non-dropping-particle":"","parse-names":false,"suffix":""},{"dropping-particle":"","family":"Foulsham","given":"Tom","non-dropping-particle":"","parse-names":false,"suffix":""},{"dropping-particle":"","family":"Kingstone","given":"Alan","non-dropping-particle":"","parse-names":false,"suffix":""}],"container-title":"Plos One","id":"ITEM-1","issue":"1","issued":{"date-parts":[["2013"]]},"note":"Times Cited: 7\n7","title":"What Affects Social Attention? Social Presence, Eye Contact and Autistic Traits","type":"article-journal","volume":"8"},"uris":["http://www.mendeley.com/documents/?uuid=f6d66173-773d-42d2-adb6-34aa87867aab"]}],"mendeley":{"formattedCitation":"(Megan Freeth et al., 2013)","manualFormatting":" Freeth, Foulsham, &amp; Kingstone, (2013)","plainTextFormattedCitation":"(Megan Freeth et al., 2013)","previouslyFormattedCitation":"(Megan Freeth et al., 2013)"},"properties":{"noteIndex":0},"schema":"https://github.com/citation-style-language/schema/raw/master/csl-citation.json"}</w:instrText>
      </w:r>
      <w:r w:rsidRPr="00BD14B0">
        <w:fldChar w:fldCharType="separate"/>
      </w:r>
      <w:r w:rsidRPr="00BD14B0">
        <w:rPr>
          <w:noProof/>
        </w:rPr>
        <w:t xml:space="preserve"> Freeth, Foulsham, &amp; Kingstone, (2013)</w:t>
      </w:r>
      <w:r w:rsidRPr="00BD14B0">
        <w:fldChar w:fldCharType="end"/>
      </w:r>
      <w:r w:rsidRPr="00BD14B0">
        <w:t xml:space="preserve"> showed that there are crucial differences in eye contact in real-life interactions compared to those who watch videos of gazers looking at/away from a target on a computer screen. This study explored the differences in gaze when participants gazed at a person in a live setting. It was only with live experimenters that participants modified their gaze known in the literature. When the gaze following task is carried out in real-life examples such as listening or responding to a live experimenter, </w:t>
      </w:r>
      <w:r w:rsidRPr="00BD14B0">
        <w:lastRenderedPageBreak/>
        <w:t xml:space="preserve">the social presence of a real person has a significant effect on gaze cueing, according to this study </w:t>
      </w:r>
      <w:r w:rsidRPr="00BD14B0">
        <w:fldChar w:fldCharType="begin" w:fldLock="1"/>
      </w:r>
      <w:r w:rsidR="004D2901" w:rsidRPr="00BD14B0">
        <w:instrText>ADDIN CSL_CITATION {"citationItems":[{"id":"ITEM-1","itemData":{"DOI":"10.1371/journal.pone.0053286","ISSN":"1932-6203","abstract":"Social understanding is facilitated by effectively attending to other people and the subtle social cues they generate. In order to more fully appreciate the nature of social attention and what drives people to attend to social aspects of the world, one must investigate the factors that influence social attention. This is especially important when attempting to create models of disordered social attention, e.g. a model of social attention in autism. Here we analysed participants' viewing behaviour during one-to-one social interactions with an experimenter. Interactions were conducted either live or via video (social presence manipulation). The participant was asked and then required to answer questions. Experimenter eye-contact was either direct or averted. Additionally, the influence of participant self-reported autistic traits was also investigated. We found that regardless of whether the interaction was conducted live or via a video, participants frequently looked at the experimenter's face, and they did this more often when being asked a question than when answering. Critical differences in social attention between the live and video interactions were also observed. Modifications of experimenter eye contact influenced participants' eye movements in the live interaction only; and increased autistic traits were associated with less looking at the experimenter for video interactions only. We conclude that analysing patterns of eye-movements in response to strictly controlled video stimuli and natural real-world stimuli furthers the field's understanding of the factors that influence social attention.","author":[{"dropping-particle":"","family":"Freeth","given":"Megan","non-dropping-particle":"","parse-names":false,"suffix":""},{"dropping-particle":"","family":"Foulsham","given":"Tom","non-dropping-particle":"","parse-names":false,"suffix":""},{"dropping-particle":"","family":"Kingstone","given":"Alan","non-dropping-particle":"","parse-names":false,"suffix":""}],"container-title":"Plos One","id":"ITEM-1","issue":"1","issued":{"date-parts":[["2013"]]},"note":"Times Cited: 7\n7","title":"What Affects Social Attention? Social Presence, Eye Contact and Autistic Traits","type":"article-journal","volume":"8"},"uris":["http://www.mendeley.com/documents/?uuid=f6d66173-773d-42d2-adb6-34aa87867aab"]}],"mendeley":{"formattedCitation":"(Megan Freeth et al., 2013)","manualFormatting":"(Freeth et al., 2013)","plainTextFormattedCitation":"(Megan Freeth et al., 2013)","previouslyFormattedCitation":"(Megan Freeth et al., 2013)"},"properties":{"noteIndex":0},"schema":"https://github.com/citation-style-language/schema/raw/master/csl-citation.json"}</w:instrText>
      </w:r>
      <w:r w:rsidRPr="00BD14B0">
        <w:fldChar w:fldCharType="separate"/>
      </w:r>
      <w:r w:rsidRPr="00BD14B0">
        <w:rPr>
          <w:noProof/>
        </w:rPr>
        <w:t>(Freeth et al., 2013)</w:t>
      </w:r>
      <w:r w:rsidRPr="00BD14B0">
        <w:fldChar w:fldCharType="end"/>
      </w:r>
      <w:r w:rsidRPr="00BD14B0">
        <w:t xml:space="preserve">. The presence of a real person rather than a computer screen would have a different impact on participants with high AQ scores. Although computerized images give reliable results across different SOAs and various conditions such as cartoon images. Eye directions are not the only source of information gathered from human faces. Facial expressions or head positions give clues about a person and his/her relationship to the environment. The social context provides clues that may relate to social status, dominance, or adherence to social norms. All such situations may have an impact on the gaze cues by demonstrating social status (as explained in chapter 3) leadership roles (as explained in chapter 4) or group membership (as explained in chapter 2). This might provide further information to research participants and therefore provide new insights into results. </w:t>
      </w:r>
    </w:p>
    <w:p w14:paraId="4AB60290" w14:textId="77777777" w:rsidR="006D2EE6" w:rsidRPr="00BD14B0" w:rsidRDefault="006D2EE6" w:rsidP="00553E01"/>
    <w:p w14:paraId="438D20F5" w14:textId="759E8C10" w:rsidR="006D2EE6" w:rsidRPr="00BD14B0" w:rsidRDefault="006D2EE6" w:rsidP="00553E01">
      <w:pPr>
        <w:pStyle w:val="Heading2"/>
      </w:pPr>
      <w:bookmarkStart w:id="133" w:name="_Toc108310812"/>
      <w:r w:rsidRPr="00BD14B0">
        <w:t>Themes Emerging from the Thesis</w:t>
      </w:r>
      <w:bookmarkEnd w:id="133"/>
      <w:r w:rsidRPr="00BD14B0">
        <w:t xml:space="preserve"> </w:t>
      </w:r>
    </w:p>
    <w:p w14:paraId="18363E42" w14:textId="77777777" w:rsidR="006D2EE6" w:rsidRPr="00BD14B0" w:rsidRDefault="006D2EE6" w:rsidP="00553E01"/>
    <w:p w14:paraId="73FF28FD" w14:textId="1CC91553" w:rsidR="006D2EE6" w:rsidRPr="00BD14B0" w:rsidRDefault="006D2EE6" w:rsidP="00553E01">
      <w:pPr>
        <w:pStyle w:val="Heading3"/>
      </w:pPr>
      <w:bookmarkStart w:id="134" w:name="_Toc108310813"/>
      <w:r w:rsidRPr="00BD14B0">
        <w:t>Theme 1: Gender difference of the observer</w:t>
      </w:r>
      <w:bookmarkEnd w:id="134"/>
    </w:p>
    <w:p w14:paraId="1ED468E6" w14:textId="1E550401" w:rsidR="006D2EE6" w:rsidRPr="00BD14B0" w:rsidRDefault="006D2EE6" w:rsidP="00553E01">
      <w:r w:rsidRPr="00BD14B0">
        <w:tab/>
        <w:t xml:space="preserve">Females were found to have larger gaze cueing effect compared to males. This was not affected by the perceived social power or the leadership condition. Gender may play a variety of roles in increased sensitivity to gaze cueing. First, there are physiological elements that contribute to the gaze cueing effect. According to </w:t>
      </w:r>
      <w:r w:rsidRPr="00BD14B0">
        <w:fldChar w:fldCharType="begin" w:fldLock="1"/>
      </w:r>
      <w:r w:rsidR="004D2901" w:rsidRPr="00BD14B0">
        <w:instrText>ADDIN CSL_CITATION {"citationItems":[{"id":"ITEM-1","itemData":{"DOI":"10.1016/j.psyneuen.2013.02.018","ISSN":"0306-4530","abstract":"BackgroundOxytocin is known to enhance recognition of emotional expressions and may increase attention to the eye region. Therefore, we investigated whether oxytocin administration would lead to increased orienting of attention in response to gaze cues of emotional faces. MethodsIn a randomized placebo-controlled double-blind crossover study 20 healthy males received 24 IU of oxytocin or placebo. Thirty-five minutes after administration they performed a gaze cueing task with happy, fearful and neutral faces. Stress levels were measured throughout the study. ResultsOxytocin did not affect stress levels during the study, but significantly increased gaze cueing scores for happy and fearful expressions compared to placebo. No effects were found for neutral expressions. Trait anxiety or depression did not moderate the effect. ConclusionsOxytocin increases orienting of attention in response to emotional gaze cues, both for happy and fearful expressions. Replication is needed in female and clinical populations. Effects of oxytocin on early, automatic processing levels should be studied in relation to previously found pro-social and behavioral effects of oxytocin.","author":[{"dropping-particle":"","family":"Tollenaar","given":"Marieke S","non-dropping-particle":"","parse-names":false,"suffix":""},{"dropping-particle":"","family":"Chatzimanoli","given":"Michaela","non-dropping-particle":"","parse-names":false,"suffix":""},{"dropping-particle":"","family":"Wee","given":"Nic J A","non-dropping-particle":"van Der","parse-names":false,"suffix":""},{"dropping-particle":"","family":"Putman","given":"Peter","non-dropping-particle":"","parse-names":false,"suffix":""}],"container-title":"Psychoneuroendocrinology","id":"ITEM-1","issue":"9","issued":{"date-parts":[["2013"]]},"page":"1797-1802","title":"Enhanced orienting of attention in response to emotional gaze cues after oxytocin administration in healthy young men","type":"article-journal","volume":"38"},"uris":["http://www.mendeley.com/documents/?uuid=b507d94c-4c3f-4d35-96d5-baceeb3a92a5"]}],"mendeley":{"formattedCitation":"(Tollenaar et al., 2013)","manualFormatting":"Tollenaar, Chatzimanoli, van Der Wee, &amp; Putman, (2013)","plainTextFormattedCitation":"(Tollenaar et al., 2013)","previouslyFormattedCitation":"(Tollenaar et al., 2013)"},"properties":{"noteIndex":0},"schema":"https://github.com/citation-style-language/schema/raw/master/csl-citation.json"}</w:instrText>
      </w:r>
      <w:r w:rsidRPr="00BD14B0">
        <w:fldChar w:fldCharType="separate"/>
      </w:r>
      <w:r w:rsidRPr="00BD14B0">
        <w:rPr>
          <w:noProof/>
        </w:rPr>
        <w:t>Tollenaar, Chatzimanoli, van Der Wee, &amp; Putman, (2013)</w:t>
      </w:r>
      <w:r w:rsidRPr="00BD14B0">
        <w:fldChar w:fldCharType="end"/>
      </w:r>
      <w:r w:rsidRPr="00BD14B0">
        <w:t xml:space="preserve"> oxytocin plays a role in enhancing gaze cueing effect. Oxytocin is naturally present in women’s bodies and promotes mother-baby bonding. Interestingly, the first form of a conversation between a mother and her baby is the gaze </w:t>
      </w:r>
      <w:r w:rsidRPr="00BD14B0">
        <w:fldChar w:fldCharType="begin" w:fldLock="1"/>
      </w:r>
      <w:r w:rsidR="004D2901" w:rsidRPr="00BD14B0">
        <w:instrText>ADDIN CSL_CITATION {"citationItems":[{"id":"ITEM-1","itemData":{"ISBN":"0-8058-4750-2 (Hardcover); 9780-805-847505 (Hardcover)","abstract":"In this book, the authors address questions about infant development and joint attention that have been addressed through research on gaze-following. Gaze-following and joint attention are examined from the perspectives of perceptual, cognitive, linguistic and social-emotional development. Taken together, all of the chapters in this volume highlight two important points. First, if researchers are to draw nearer to understanding human development then they must study it in situ. Certainly they need to study the \"individual\" but they must also study what occurs between and even among people. One of the editors believes it is what occurs within the context of these social exchanges and relationships that so frequently involve looking where another is looking that holds many keys to our understanding of social, cognitive, perceptual and neurological development. Second joint visual attention/gaze-following is not merely a developmental precursor; rather these behaviors, their relations to other developmental achievements, are all part of the dynamic system that is Development. (PsycINFO Database Record (c) 2016 APA, all rights reserved)","container-title":"Gaze-following: Its development and significance.","editor":[{"dropping-particle":"","family":"Flom","given":"Ross","non-dropping-particle":"","parse-names":false,"suffix":""},{"dropping-particle":"","family":"Lee","given":"Kang","non-dropping-particle":"","parse-names":false,"suffix":""},{"dropping-particle":"","family":"Muir","given":"Darwin","non-dropping-particle":"","parse-names":false,"suffix":""}],"id":"ITEM-1","issued":{"date-parts":[["2007"]]},"page":"x, 327-x, 327","publisher":"Lawrence Erlbaum Associates Publishers","publisher-place":"Mahwah,  NJ,  US","title":"Gaze-following: Its development and significance.","type":"article"},"uris":["http://www.mendeley.com/documents/?uuid=c10a8487-e1ad-495b-acd7-b54147648e10"]}],"mendeley":{"formattedCitation":"(Flom et al., 2007)","plainTextFormattedCitation":"(Flom et al., 2007)","previouslyFormattedCitation":"(Flom et al., 2007)"},"properties":{"noteIndex":0},"schema":"https://github.com/citation-style-language/schema/raw/master/csl-citation.json"}</w:instrText>
      </w:r>
      <w:r w:rsidRPr="00BD14B0">
        <w:fldChar w:fldCharType="separate"/>
      </w:r>
      <w:r w:rsidR="004D2901" w:rsidRPr="00BD14B0">
        <w:rPr>
          <w:noProof/>
        </w:rPr>
        <w:t>(Flom et al., 2007)</w:t>
      </w:r>
      <w:r w:rsidRPr="00BD14B0">
        <w:fldChar w:fldCharType="end"/>
      </w:r>
      <w:r w:rsidRPr="00BD14B0">
        <w:t xml:space="preserve">. In respect to this, the gaze is the first form of communication between a mother and her baby </w:t>
      </w:r>
      <w:r w:rsidR="003F69DE" w:rsidRPr="00BD14B0">
        <w:fldChar w:fldCharType="begin" w:fldLock="1"/>
      </w:r>
      <w:r w:rsidR="003F69DE" w:rsidRPr="00BD14B0">
        <w:instrText>ADDIN CSL_CITATION {"citationItems":[{"id":"ITEM-1","itemData":{"ISBN":"0-8058-4750-2 (Hardcover); 9780-805-847505 (Hardcover)","abstract":"In this book, the authors address questions about infant development and joint attention that have been addressed through research on gaze-following. Gaze-following and joint attention are examined from the perspectives of perceptual, cognitive, linguistic and social-emotional development. Taken together, all of the chapters in this volume highlight two important points. First, if researchers are to draw nearer to understanding human development then they must study it in situ. Certainly they need to study the \"individual\" but they must also study what occurs between and even among people. One of the editors believes it is what occurs within the context of these social exchanges and relationships that so frequently involve looking where another is looking that holds many keys to our understanding of social, cognitive, perceptual and neurological development. Second joint visual attention/gaze-following is not merely a developmental precursor; rather these behaviors, their relations to other developmental achievements, are all part of the dynamic system that is Development. (PsycINFO Database Record (c) 2016 APA, all rights reserved)","container-title":"Gaze-following: Its development and significance.","editor":[{"dropping-particle":"","family":"Flom","given":"Ross","non-dropping-particle":"","parse-names":false,"suffix":""},{"dropping-particle":"","family":"Lee","given":"Kang","non-dropping-particle":"","parse-names":false,"suffix":""},{"dropping-particle":"","family":"Muir","given":"Darwin","non-dropping-particle":"","parse-names":false,"suffix":""}],"id":"ITEM-1","issued":{"date-parts":[["2007"]]},"page":"x, 327-x, 327","publisher":"Lawrence Erlbaum Associates Publishers","publisher-place":"Mahwah,  NJ,  US","title":"Gaze-following: Its development and significance.","type":"article"},"uris":["http://www.mendeley.com/documents/?uuid=c10a8487-e1ad-495b-acd7-b54147648e10"]}],"mendeley":{"formattedCitation":"(Flom et al., 2007)","plainTextFormattedCitation":"(Flom et al., 2007)","previouslyFormattedCitation":"(Flom et al., 2007)"},"properties":{"noteIndex":0},"schema":"https://github.com/citation-style-language/schema/raw/master/csl-citation.json"}</w:instrText>
      </w:r>
      <w:r w:rsidR="003F69DE" w:rsidRPr="00BD14B0">
        <w:fldChar w:fldCharType="separate"/>
      </w:r>
      <w:r w:rsidR="003F69DE" w:rsidRPr="00BD14B0">
        <w:rPr>
          <w:noProof/>
        </w:rPr>
        <w:t>(Flom et al., 2007)</w:t>
      </w:r>
      <w:r w:rsidR="003F69DE" w:rsidRPr="00BD14B0">
        <w:fldChar w:fldCharType="end"/>
      </w:r>
      <w:r w:rsidRPr="00BD14B0">
        <w:t xml:space="preserve">. The presence of oxytocin therefore presents a physiological difference between men and women, which explains why women are more likely to show sensitivity on gaze cueing effect. Second, it has been suggested that autistic-like social deficiencies may be found to varying degrees throughout the entire population, with no clear boundary between normalcy and psychopathology, and clinical levels of autism at the high end of this continuum </w:t>
      </w:r>
      <w:r w:rsidRPr="00BD14B0">
        <w:fldChar w:fldCharType="begin" w:fldLock="1"/>
      </w:r>
      <w:r w:rsidR="004D2901" w:rsidRPr="00BD14B0">
        <w:instrText>ADDIN CSL_CITATION {"citationItems":[{"id":"ITEM-1","itemData":{"DOI":"10.1023/A:1005653411471","ISBN":"0162-3257","ISSN":"0162-3257,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Disorders","id":"ITEM-1","issue":"1","issued":{"date-parts":[["2001"]]},"page":"5-17","title":"The Autism Spectrum Quotient : Evidence from Asperger syndrome/high functioning autism, males and females, scientists and mathematicians","type":"article-journal","volume":"31"},"uris":["http://www.mendeley.com/documents/?uuid=11e2804f-d120-4a68-b02a-5d1d609712da"]},{"id":"ITEM-2","itemData":{"DOI":"10.1001/archpsyc.60.5.524","ISSN":"0003-990X (Print)","PMID":"12742874","abstract":"BACKGROUND: Recent research has indicated that autism is not a discrete disorder  and that family members of autistic probands have an increased likelihood of exhibiting autistic symptoms with a wide range of severity, often below the threshold for a diagnosis of an autism spectrum disorder. OBJECTIVE: To examine the distribution and genetic structure of autistic traits in the general population using a newly established quantitative measure of autistic traits, the Social Responsiveness Scale (formerly known as the Social Reciprocity Scale). METHODS: The sample consisted of 788 pairs of twins aged 7 to 15 years, randomly selected from the pool of participants in a large epidemiologic study (the Missouri Twin Study). One parent of each pair of twins completed the Social Responsiveness Scale on each child. The data were subjected to structural equation modeling. RESULTS: Autistic traits as measured by the Social Responsiveness Scale were continuously distributed and moderately to highly heritable. Levels of severity of autistic traits at or above the previously published mean for patients with pervasive developmental disorder not otherwise specified were found in 1.4% of boys and 0.3% of girls. Structural equation modeling revealed no evidence for the existence of sex-specific genetic influences, and suggested specific mechanisms by which females may be relatively protected from vulnerability to autistic traits. CONCLUSIONS: These data indicate that the social deficits characteristic of autism spectrum disorders are common. Given the continuous distribution of these traits, it may be arbitrary where cutoffs are made between research designations of being \"affected\" vs \"unaffected\" with a pervasive developmental disorder. The genes influencing autistic traits appear to be the same for boys and girls. Lower prevalence (and severity) of autistic traits in girls may be the result of increased sensitivity to early environmental influences that operate to promote social competency.","author":[{"dropping-particle":"","family":"Constantino","given":"John N","non-dropping-particle":"","parse-names":false,"suffix":""},{"dropping-particle":"","family":"Todd","given":"Richard D","non-dropping-particle":"","parse-names":false,"suffix":""}],"container-title":"Archives of general psychiatry","id":"ITEM-2","issue":"5","issued":{"date-parts":[["2003","5"]]},"language":"eng","page":"524-530","publisher-place":"United States","title":"Autistic traits in the general population: a twin study.","type":"article-journal","volume":"60"},"uris":["http://www.mendeley.com/documents/?uuid=1f6e113c-7f52-4eb7-9e48-c47a1fc21fb5"]}],"mendeley":{"formattedCitation":"(Baron-Cohen et al., 2001; Constantino &amp; Todd, 2003)","plainTextFormattedCitation":"(Baron-Cohen et al., 2001; Constantino &amp; Todd, 2003)","previouslyFormattedCitation":"(Baron-Cohen et al., 2001; Constantino &amp; Todd, 2003)"},"properties":{"noteIndex":0},"schema":"https://github.com/citation-style-language/schema/raw/master/csl-citation.json"}</w:instrText>
      </w:r>
      <w:r w:rsidRPr="00BD14B0">
        <w:fldChar w:fldCharType="separate"/>
      </w:r>
      <w:r w:rsidRPr="00BD14B0">
        <w:rPr>
          <w:noProof/>
        </w:rPr>
        <w:t xml:space="preserve">(Baron-Cohen et al., 2001; Constantino &amp; Todd, </w:t>
      </w:r>
      <w:r w:rsidRPr="00BD14B0">
        <w:rPr>
          <w:noProof/>
        </w:rPr>
        <w:lastRenderedPageBreak/>
        <w:t>2003)</w:t>
      </w:r>
      <w:r w:rsidRPr="00BD14B0">
        <w:fldChar w:fldCharType="end"/>
      </w:r>
      <w:r w:rsidRPr="00BD14B0">
        <w:t xml:space="preserve">. Eye gaze cueing assists us in matching AQ scores to performance in neurotypical females. Third, social factors may influence the findings of gender differences in social attention studies. From a social perspective, females are taught the value of connectivity and relationships. Males, on the other hand, are expected to focus intellectual models or images of physical power or strength. These roles shape how men and women interact with one another and with the social environment in which they live. The social norm of gender, rather than the biology of gender, might be the determining factor in social attention differences between two genders. This means that socially learned gender roles result in a set of </w:t>
      </w:r>
      <w:r w:rsidR="00B34EA9" w:rsidRPr="00BD14B0">
        <w:t>behaviours</w:t>
      </w:r>
      <w:r w:rsidRPr="00BD14B0">
        <w:t xml:space="preserve"> that result in a sensitivity to social information about others. Individual diversion differences are not </w:t>
      </w:r>
      <w:proofErr w:type="gramStart"/>
      <w:r w:rsidRPr="00BD14B0">
        <w:t>taken into account</w:t>
      </w:r>
      <w:proofErr w:type="gramEnd"/>
      <w:r w:rsidRPr="00BD14B0">
        <w:t xml:space="preserve"> when using a categorical grouping. Men are taller than women on average, but this does not imply that all men are taller than all women. Although it is beneficial in research to explain social attention sensitivities, overuse of this approach may cause some individual differences across both genders to be overlooked, such as introversion in personality or autistic traits. </w:t>
      </w:r>
    </w:p>
    <w:p w14:paraId="55C9041D" w14:textId="77777777" w:rsidR="006D2EE6" w:rsidRPr="00BD14B0" w:rsidRDefault="006D2EE6" w:rsidP="00553E01"/>
    <w:p w14:paraId="1BAFAE18" w14:textId="28F918CC" w:rsidR="006D2EE6" w:rsidRPr="00BD14B0" w:rsidRDefault="006D2EE6" w:rsidP="00553E01">
      <w:pPr>
        <w:pStyle w:val="Heading3"/>
      </w:pPr>
      <w:bookmarkStart w:id="135" w:name="_Toc108310814"/>
      <w:r w:rsidRPr="00BD14B0">
        <w:t>Theme 2: Episodic learning</w:t>
      </w:r>
      <w:bookmarkEnd w:id="135"/>
      <w:r w:rsidRPr="00BD14B0">
        <w:t xml:space="preserve"> </w:t>
      </w:r>
    </w:p>
    <w:p w14:paraId="3DB6953A" w14:textId="6F5B26B0" w:rsidR="006D2EE6" w:rsidRPr="00BD14B0" w:rsidRDefault="00AD78B4" w:rsidP="00553E01">
      <w:r w:rsidRPr="00BD14B0">
        <w:tab/>
      </w:r>
      <w:r w:rsidR="006D2EE6" w:rsidRPr="00BD14B0">
        <w:t xml:space="preserve">In this thesis, the knowledge about social relations was learned via reading and imagining about it or via exposure to knowledge of observation rather than visual perception which would trigger recognition of social relations to observed face. In chapter 2, Episodic learning </w:t>
      </w:r>
      <w:r w:rsidR="00B34EA9" w:rsidRPr="00BD14B0">
        <w:t>was ineffective</w:t>
      </w:r>
      <w:r w:rsidR="006D2EE6" w:rsidRPr="00BD14B0">
        <w:t xml:space="preserve"> on reflexive shifts of attention. In-group/outgroup manipulation was ineffective because there was no computation in the environment. This study was conducted in a controlled setting, which is far more predictable than a real social environment. The study did not evoke images that would make participants feel threatened or competitive and there was no need for active categorization processes to occur. Being in a real social environment that would trigger the memory of social relations affect the memory of the observed face.</w:t>
      </w:r>
    </w:p>
    <w:p w14:paraId="2087A8FD" w14:textId="38220F7B" w:rsidR="006D2EE6" w:rsidRPr="00BD14B0" w:rsidRDefault="00AD78B4" w:rsidP="00553E01">
      <w:r w:rsidRPr="00BD14B0">
        <w:tab/>
      </w:r>
      <w:r w:rsidR="006D2EE6" w:rsidRPr="00BD14B0">
        <w:t xml:space="preserve">People might interpret the same social cues differently. For example, </w:t>
      </w:r>
      <w:r w:rsidR="006D2EE6" w:rsidRPr="00BD14B0">
        <w:fldChar w:fldCharType="begin" w:fldLock="1"/>
      </w:r>
      <w:r w:rsidR="004D2901" w:rsidRPr="00BD14B0">
        <w:instrText>ADDIN CSL_CITATION {"citationItems":[{"id":"ITEM-1","itemData":{"DOI":"10.3758/s13414-010-0001-x","ISSN":"1943-3921","abstract":"Gaze cues lead to reflexive shifts of attention even when those gaze cues do not predict target location. Although this general effect has been repeatedly demonstrated, not all individuals orient to gaze in an identical manner. For example, the magnitude of gaze-cuing effects have been reduced or eliminated in populations such as those scoring high on the Autism-Spectrum Quotient and in males relative to females (since males exhibit more autism-like traits). In the present study, we examined whether gaze cue effects would be moderated by political temperament, given that those on the political right tend to be more supportive of individualism-and less likely to be influenced by others-than those on the left. We found standard gaze-cuing effects across all subjects but systematic differences in these effects by political temperament. Liberals exhibited a very large gaze-cuing effect, whereas conservatives showed no such effect at various stimulus onset asynchronies.","author":[{"dropping-particle":"","family":"Dodd","given":"Michael D","non-dropping-particle":"","parse-names":false,"suffix":""},{"dropping-particle":"","family":"Hibbing","given":"John R","non-dropping-particle":"","parse-names":false,"suffix":""},{"dropping-particle":"","family":"Smith","given":"Kevin B","non-dropping-particle":"","parse-names":false,"suffix":""}],"container-title":"Attention, Perception, &amp; Psychophysics","id":"ITEM-1","issue":"1","issued":{"date-parts":[["2011","1","4"]]},"note":"Times Cited: 8\n8","page":"24-29","title":"The politics of attention: gaze-cuing effects are moderated by political temperament","type":"article-journal","volume":"73"},"uris":["http://www.mendeley.com/documents/?uuid=600c9d1c-8b7a-4231-93fd-40ec9b24c90d"]}],"mendeley":{"formattedCitation":"(Dodd et al., 2011)","manualFormatting":"Dodd et al., (2011)","plainTextFormattedCitation":"(Dodd et al., 2011)","previouslyFormattedCitation":"(Dodd et al., 2011)"},"properties":{"noteIndex":0},"schema":"https://github.com/citation-style-language/schema/raw/master/csl-citation.json"}</w:instrText>
      </w:r>
      <w:r w:rsidR="006D2EE6" w:rsidRPr="00BD14B0">
        <w:fldChar w:fldCharType="separate"/>
      </w:r>
      <w:r w:rsidR="006D2EE6" w:rsidRPr="00BD14B0">
        <w:rPr>
          <w:noProof/>
        </w:rPr>
        <w:t>Dodd et al., (2011)</w:t>
      </w:r>
      <w:r w:rsidR="006D2EE6" w:rsidRPr="00BD14B0">
        <w:fldChar w:fldCharType="end"/>
      </w:r>
      <w:r w:rsidR="006D2EE6" w:rsidRPr="00BD14B0">
        <w:t xml:space="preserve"> introduce the idea of politics playing a role in social gaze, arguing that political liberalism has resulted in a very large gaze cueing effect. </w:t>
      </w:r>
      <w:r w:rsidR="006D2EE6" w:rsidRPr="00BD14B0">
        <w:fldChar w:fldCharType="begin" w:fldLock="1"/>
      </w:r>
      <w:r w:rsidR="004D2901" w:rsidRPr="00BD14B0">
        <w:instrText>ADDIN CSL_CITATION {"citationItems":[{"id":"ITEM-1","itemData":{"DOI":"10.3758/s13414-010-0001-x","ISSN":"1943-3921","abstract":"Gaze cues lead to reflexive shifts of attention even when those gaze cues do not predict target location. Although this general effect has been repeatedly demonstrated, not all individuals orient to gaze in an identical manner. For example, the magnitude of gaze-cuing effects have been reduced or eliminated in populations such as those scoring high on the Autism-Spectrum Quotient and in males relative to females (since males exhibit more autism-like traits). In the present study, we examined whether gaze cue effects would be moderated by political temperament, given that those on the political right tend to be more supportive of individualism-and less likely to be influenced by others-than those on the left. We found standard gaze-cuing effects across all subjects but systematic differences in these effects by political temperament. Liberals exhibited a very large gaze-cuing effect, whereas conservatives showed no such effect at various stimulus onset asynchronies.","author":[{"dropping-particle":"","family":"Dodd","given":"Michael D","non-dropping-particle":"","parse-names":false,"suffix":""},{"dropping-particle":"","family":"Hibbing","given":"John R","non-dropping-particle":"","parse-names":false,"suffix":""},{"dropping-particle":"","family":"Smith","given":"Kevin B","non-dropping-particle":"","parse-names":false,"suffix":""}],"container-title":"Attention, Perception, &amp; Psychophysics","id":"ITEM-1","issue":"1","issued":{"date-parts":[["2011","1","4"]]},"note":"Times Cited: 8\n8","page":"24-29","title":"The politics of attention: gaze-cuing effects are moderated by political temperament","type":"article-journal","volume":"73"},"uris":["http://www.mendeley.com/documents/?uuid=600c9d1c-8b7a-4231-93fd-40ec9b24c90d"]}],"mendeley":{"formattedCitation":"(Dodd et al., 2011)","manualFormatting":"Dodd et al., (2011)","plainTextFormattedCitation":"(Dodd et al., 2011)","previouslyFormattedCitation":"(Dodd et al., 2011)"},"properties":{"noteIndex":0},"schema":"https://github.com/citation-style-language/schema/raw/master/csl-citation.json"}</w:instrText>
      </w:r>
      <w:r w:rsidR="006D2EE6" w:rsidRPr="00BD14B0">
        <w:fldChar w:fldCharType="separate"/>
      </w:r>
      <w:r w:rsidR="006D2EE6" w:rsidRPr="00BD14B0">
        <w:rPr>
          <w:noProof/>
        </w:rPr>
        <w:t>Dodd et al., (2011)</w:t>
      </w:r>
      <w:r w:rsidR="006D2EE6" w:rsidRPr="00BD14B0">
        <w:fldChar w:fldCharType="end"/>
      </w:r>
      <w:r w:rsidR="006D2EE6" w:rsidRPr="00BD14B0">
        <w:t xml:space="preserve"> shared that politically conservative participants showed no such effect. </w:t>
      </w:r>
      <w:r w:rsidR="006D2EE6" w:rsidRPr="00BD14B0">
        <w:fldChar w:fldCharType="begin" w:fldLock="1"/>
      </w:r>
      <w:r w:rsidR="004D2901" w:rsidRPr="00BD14B0">
        <w:instrText>ADDIN CSL_CITATION {"citationItems":[{"id":"ITEM-1","itemData":{"DOI":"10.3758/s13414-010-0001-x","ISSN":"1943-3921","abstract":"Gaze cues lead to reflexive shifts of attention even when those gaze cues do not predict target location. Although this general effect has been repeatedly demonstrated, not all individuals orient to gaze in an identical manner. For example, the magnitude of gaze-cuing effects have been reduced or eliminated in populations such as those scoring high on the Autism-Spectrum Quotient and in males relative to females (since males exhibit more autism-like traits). In the present study, we examined whether gaze cue effects would be moderated by political temperament, given that those on the political right tend to be more supportive of individualism-and less likely to be influenced by others-than those on the left. We found standard gaze-cuing effects across all subjects but systematic differences in these effects by political temperament. Liberals exhibited a very large gaze-cuing effect, whereas conservatives showed no such effect at various stimulus onset asynchronies.","author":[{"dropping-particle":"","family":"Dodd","given":"Michael D","non-dropping-particle":"","parse-names":false,"suffix":""},{"dropping-particle":"","family":"Hibbing","given":"John R","non-dropping-particle":"","parse-names":false,"suffix":""},{"dropping-particle":"","family":"Smith","given":"Kevin B","non-dropping-particle":"","parse-names":false,"suffix":""}],"container-title":"Attention, Perception, &amp; Psychophysics","id":"ITEM-1","issue":"1","issued":{"date-parts":[["2011","1","4"]]},"note":"Times Cited: 8\n8","page":"24-29","title":"The politics of attention: gaze-cuing effects are moderated by political temperament","type":"article-journal","volume":"73"},"uris":["http://www.mendeley.com/documents/?uuid=600c9d1c-8b7a-4231-93fd-40ec9b24c90d"]}],"mendeley":{"formattedCitation":"(Dodd et al., 2011)","manualFormatting":"Dodd et al., (2011)","plainTextFormattedCitation":"(Dodd et al., 2011)","previouslyFormattedCitation":"(Dodd et al., 2011)"},"properties":{"noteIndex":0},"schema":"https://github.com/citation-style-language/schema/raw/master/csl-citation.json"}</w:instrText>
      </w:r>
      <w:r w:rsidR="006D2EE6" w:rsidRPr="00BD14B0">
        <w:fldChar w:fldCharType="separate"/>
      </w:r>
      <w:r w:rsidR="006D2EE6" w:rsidRPr="00BD14B0">
        <w:rPr>
          <w:noProof/>
        </w:rPr>
        <w:t>Dodd et al., (2011)</w:t>
      </w:r>
      <w:r w:rsidR="006D2EE6" w:rsidRPr="00BD14B0">
        <w:fldChar w:fldCharType="end"/>
      </w:r>
      <w:r w:rsidR="006D2EE6" w:rsidRPr="00BD14B0">
        <w:t xml:space="preserve"> defined </w:t>
      </w:r>
      <w:r w:rsidR="006D2EE6" w:rsidRPr="00BD14B0">
        <w:lastRenderedPageBreak/>
        <w:t>political conservativism as largely individualistic and intellectual. Liberal people, in contrast, were seen to be empathic and concerned with the rights of others. Social learning is often linked to years and years of interaction. These interactions have an impact on how a person perceives himself in relation to other people. In this manner, the memory of social relations needs to be closely linked with a complex setting that has been observed and coded throughout the years. There are indications that there are distinct differences between individuals in the ability to implicitly learn about the provisions of others based on social cues.</w:t>
      </w:r>
    </w:p>
    <w:p w14:paraId="0F6AC05D" w14:textId="7E8D1B63" w:rsidR="006D2EE6" w:rsidRPr="00BD14B0" w:rsidRDefault="00AD78B4" w:rsidP="00553E01">
      <w:r w:rsidRPr="00BD14B0">
        <w:tab/>
      </w:r>
      <w:r w:rsidR="006D2EE6" w:rsidRPr="00BD14B0">
        <w:t>We can, therefore, argue that power relationships are not only relevant while exploring whether the subject of the gaze is a ‘leader’ or ‘follower’ but can be related to the person doing the gazing. This begs the question ‘are power relationships less about social position and more about the given roles prescribed by social norms?”. Social group belonging, social power difference, observing previous behaviour/leadership was not significantly affecting the reflexivity of eye gaze following. However, chapter 4 indicated that participants who are observing either leader or a follower in a computer screen with three faces on the screen created a difference in the reaction time responses. It has been shown that participants were more likely to follow the eye gaze of “leader” compared to “follower”.</w:t>
      </w:r>
    </w:p>
    <w:p w14:paraId="0D626A15" w14:textId="06608EFE" w:rsidR="006D2EE6" w:rsidRPr="00BD14B0" w:rsidRDefault="00AD78B4" w:rsidP="00553E01">
      <w:r w:rsidRPr="00BD14B0">
        <w:tab/>
      </w:r>
      <w:r w:rsidR="006D2EE6" w:rsidRPr="00BD14B0">
        <w:t>It can be argued that there was more than 1 face on the screen and 2 faces were following the eye gaze of the leader's face and the participants tend to do the same even without having any social information about the faces that they observe. Observing the “leader” face leading other faces eye gaze created the same reaction to participants. It can be argued that the visual stimuli of leadership were significant in this study. This shows that when performing an action or gesture, participants would relate more strongly, and have more resonance with in-group members. Socially learned messages have a powerful impact on how we shape identity and the messages absorbed about ourselves and other people. The reflexivity of the eye gaze following seems to be related to the visual information of learned social relationships.</w:t>
      </w:r>
    </w:p>
    <w:p w14:paraId="138C673F" w14:textId="77777777" w:rsidR="006D2EE6" w:rsidRPr="00BD14B0" w:rsidRDefault="006D2EE6" w:rsidP="00553E01"/>
    <w:p w14:paraId="0C619788" w14:textId="4DF42273" w:rsidR="006D2EE6" w:rsidRPr="00BD14B0" w:rsidRDefault="006D2EE6" w:rsidP="00553E01">
      <w:pPr>
        <w:pStyle w:val="Heading3"/>
      </w:pPr>
      <w:bookmarkStart w:id="136" w:name="_Toc108310815"/>
      <w:r w:rsidRPr="00BD14B0">
        <w:lastRenderedPageBreak/>
        <w:t>Theme 3: Attention mechanisms</w:t>
      </w:r>
      <w:bookmarkEnd w:id="136"/>
      <w:r w:rsidRPr="00BD14B0">
        <w:t xml:space="preserve"> </w:t>
      </w:r>
    </w:p>
    <w:p w14:paraId="16FF065D" w14:textId="63C07283" w:rsidR="006D2EE6" w:rsidRPr="00BD14B0" w:rsidRDefault="00AD78B4" w:rsidP="00553E01">
      <w:r w:rsidRPr="00BD14B0">
        <w:tab/>
      </w:r>
      <w:r w:rsidR="006D2EE6" w:rsidRPr="00BD14B0">
        <w:t>When researching the gaze cueing effect, it is critical to determine whether or not the effect is influenced by internal characteristics (bottom-up knowledge) or social learning (</w:t>
      </w:r>
      <w:proofErr w:type="gramStart"/>
      <w:r w:rsidR="006D2EE6" w:rsidRPr="00BD14B0">
        <w:t>e.g.</w:t>
      </w:r>
      <w:proofErr w:type="gramEnd"/>
      <w:r w:rsidR="006D2EE6" w:rsidRPr="00BD14B0">
        <w:t xml:space="preserve"> top-down influence) People’s memories, perceptions of their social environment, and assessments of their own abilities are all influenced by top-down influence, which is not based on their inherent characteristics. Social cognition refers to how a person makes sense of the environment, processes emotions and pays attention to other people. Our facial expressions, body posture, and memory, to name a few factors, all influence how we interpret our environment  </w:t>
      </w:r>
      <w:r w:rsidR="006D2EE6" w:rsidRPr="00BD14B0">
        <w:fldChar w:fldCharType="begin" w:fldLock="1"/>
      </w:r>
      <w:r w:rsidR="004D2901" w:rsidRPr="00BD14B0">
        <w:instrText>ADDIN CSL_CITATION {"citationItems":[{"id":"ITEM-1","itemData":{"DOI":"10.1016/j.jecp.2009.10.001","ISSN":"00220965","abstract":"The reported experiments aimed to investigate whether a person and his or her gaze direction presented in the context of a naturalistic scene cause perception, memory, and attention to be biased in typically developing adolescents and high-functioning adolescents with autism spectrum disorder (ASD). A novel computerized image manipulation program presented a series of photographic scenes, each containing a person. The program enabled participants to laterally maneuver the scenes behind a static window, the borders of which partially occluded the scenes. The gaze direction of the person in the scenes spontaneously cued attention of both groups in the direction of gaze, affecting judgments of preference (Experiment 1a) and causing memory biases (Experiment 1b). Experiment 2 showed that the gaze direction of a person cues visual search accurately to the exact location of gaze in both groups. These findings suggest that biases in preference, memory, and attention are caused by another person's gaze direction when viewed in a complex scene in adolescents with and without ASD (C) 2009 Elsevier Inc. All rights reserved.","author":[{"dropping-particle":"","family":"Freeth","given":"M","non-dropping-particle":"","parse-names":false,"suffix":""},{"dropping-particle":"","family":"Ropar","given":"D","non-dropping-particle":"","parse-names":false,"suffix":""},{"dropping-particle":"","family":"Chapman","given":"P","non-dropping-particle":"","parse-names":false,"suffix":""},{"dropping-particle":"","family":"Mitchell","given":"P","non-dropping-particle":"","parse-names":false,"suffix":""}],"container-title":"Journal of Experimental Child Psychology","id":"ITEM-1","issue":"1-2","issued":{"date-parts":[["2010","1"]]},"note":"Times Cited: 12\n12","page":"20-37","title":"The eye gaze direction of an observed person can bias perception, memory, and attention in adolescents with and without autism spectrum disorder","type":"article-journal","volume":"105"},"uris":["http://www.mendeley.com/documents/?uuid=95c2d085-bcc4-4b3e-9978-9190a6c7db4f"]}],"mendeley":{"formattedCitation":"(M Freeth et al., 2010)","manualFormatting":"(Freeth, Ropar, Chapman, &amp; Mitchell, 2010)","plainTextFormattedCitation":"(M Freeth et al., 2010)","previouslyFormattedCitation":"(M Freeth et al., 2010)"},"properties":{"noteIndex":0},"schema":"https://github.com/citation-style-language/schema/raw/master/csl-citation.json"}</w:instrText>
      </w:r>
      <w:r w:rsidR="006D2EE6" w:rsidRPr="00BD14B0">
        <w:fldChar w:fldCharType="separate"/>
      </w:r>
      <w:r w:rsidR="006D2EE6" w:rsidRPr="00BD14B0">
        <w:rPr>
          <w:noProof/>
        </w:rPr>
        <w:t>(Freeth, Ropar, Chapman, &amp; Mitchell, 2010)</w:t>
      </w:r>
      <w:r w:rsidR="006D2EE6" w:rsidRPr="00BD14B0">
        <w:fldChar w:fldCharType="end"/>
      </w:r>
      <w:r w:rsidR="006D2EE6" w:rsidRPr="00BD14B0">
        <w:t xml:space="preserve">. Previous studies suggested differences on gaze cueing can occur with bottom-up cues that are not visual but socially important </w:t>
      </w:r>
      <w:r w:rsidR="006D2EE6" w:rsidRPr="00BD14B0">
        <w:fldChar w:fldCharType="begin" w:fldLock="1"/>
      </w:r>
      <w:r w:rsidR="004D2901" w:rsidRPr="00BD14B0">
        <w:instrText>ADDIN CSL_CITATION {"citationItems":[{"id":"ITEM-1","itemData":{"DOI":"10.3758/BF03208827","ISSN":"1069-9384","abstract":"Normal subjects were presented with a simple line drawing of a face looking left, right, or straight ahead. A target letter F or T then appeared to the left or the right of the face. All subjects participated in target detection, localization, and identification response conditions. Although subjects were told that the Line drawing's gaze direction (the cue) did not predict where the target would occur, response time in all three conditions was reliably faster when gaze was toward versus away from the target. This study provides evidence for covert, reflexive orienting to peripheral locations in response to uninformative gaze shifts presented at fixation. The implications for theories of social attention and visual orienting are discussed, and the brain mechanisms that may underlie this phenomenon are considered.","author":[{"dropping-particle":"","family":"Friesen","given":"Chris Kelland","non-dropping-particle":"","parse-names":false,"suffix":""},{"dropping-particle":"","family":"Kingstone","given":"Alan","non-dropping-particle":"","parse-names":false,"suffix":""}],"container-title":"Psychonomic Bulletin &amp; Review","id":"ITEM-1","issue":"3","issued":{"date-parts":[["1998","9"]]},"note":"Times Cited: 490\n4th Annual Meeting of the Cognitive-Neuroscience-Society\nMar 23-25, 1997\nBoston, ma\nCognit Neurosci Soc\n499","page":"490-495","title":"The eyes have it! Reflexive orienting is triggered by nonpredictive gaze","type":"article-journal","volume":"5"},"uris":["http://www.mendeley.com/documents/?uuid=ac75c7f6-819c-4299-8315-972abc85d134"]},{"id":"ITEM-2","itemData":{"ISSN":"1350-6285","author":[{"dropping-particle":"","family":"Driver","given":"J","non-dropping-particle":"","parse-names":false,"suffix":""},{"dropping-particle":"","family":"Davis","given":"G","non-dropping-particle":"","parse-names":false,"suffix":""},{"dropping-particle":"","family":"Ricciardelli","given":"P","non-dropping-particle":"","parse-names":false,"suffix":""},{"dropping-particle":"","family":"Kidd","given":"P","non-dropping-particle":"","parse-names":false,"suffix":""},{"dropping-particle":"","family":"Maxwell","given":"E","non-dropping-particle":"","parse-names":false,"suffix":""},{"dropping-particle":"","family":"Baron-Cohen","given":"S","non-dropping-particle":"","parse-names":false,"suffix":""}],"container-title":"Visual Cognition","id":"ITEM-2","issue":"5","issued":{"date-parts":[["1999"]]},"page":"509-540","title":"Gaze perception triggers reflexive visuospatial orienting","type":"article-journal","volume":"6"},"uris":["http://www.mendeley.com/documents/?uuid=d75d6f62-db29-416a-8682-3ddf8bb6262f"]},{"id":"ITEM-3","itemData":{"DOI":"10.1016/S1364-6613(99)01436-9","ISBN":"1364-6613","ISSN":"13646613","PMID":"10652522","abstract":"The face communicates an impressive amount of visual information. We use it to identify its owner, how they are feeling and to help us understand what they are saying. Models of face processing have considered how we extract such meaning from the face but have ignored another important signal - eye gaze. In this article we begin by reviewing evidence from recent neurophysiological studies that suggests that the eyes constitute a special stimulus in at least two senses. First, the structure of the eyes is such that it provides us with a particularly powerful signal to the direction of another person's gaze, and second, we may have evolved neural mechanisms devoted to gaze processing. As a result, gaze direction is analysed rapidly and automatically, and is able to trigger reflexive shifts of an observer's visual attention. However, understanding where another individual is directing their attention involves more than simply analysing their gaze direction. We go on to describe research with adult participants, children and non-human primates that suggests that other cues such as head orientation and pointing gestures make significant contributions to the computation of another's direction of attention.","author":[{"dropping-particle":"","family":"Langten","given":"Stephen R H","non-dropping-particle":"","parse-names":false,"suffix":""},{"dropping-particle":"","family":"Watt","given":"Roger J.","non-dropping-particle":"","parse-names":false,"suffix":""},{"dropping-particle":"","family":"Bruce","given":"Vicki","non-dropping-particle":"","parse-names":false,"suffix":""}],"container-title":"Trends in Cognitive Sciences","id":"ITEM-3","issue":"2","issued":{"date-parts":[["2000"]]},"note":"NULL","page":"50-59","title":"Do the eyes have it? Cues to the direction of social attention","type":"article-journal","volume":"4"},"uris":["http://www.mendeley.com/documents/?uuid=e5679125-eb8c-42bb-a6ce-b75a88061e04"]}],"mendeley":{"formattedCitation":"(Driver et al., 1999; C. K. Friesen &amp; Kingstone, 1998; Langten et al., 2000)","manualFormatting":"(Driver et al., 1999; Friesen &amp; Kingstone, 1998; Langten et al., 2000)","plainTextFormattedCitation":"(Driver et al., 1999; C. K. Friesen &amp; Kingstone, 1998; Langten et al., 2000)","previouslyFormattedCitation":"(Driver et al., 1999; C. K. Friesen &amp; Kingstone, 1998; Langten et al., 2000)"},"properties":{"noteIndex":0},"schema":"https://github.com/citation-style-language/schema/raw/master/csl-citation.json"}</w:instrText>
      </w:r>
      <w:r w:rsidR="006D2EE6" w:rsidRPr="00BD14B0">
        <w:fldChar w:fldCharType="separate"/>
      </w:r>
      <w:r w:rsidR="006D2EE6" w:rsidRPr="00BD14B0">
        <w:rPr>
          <w:noProof/>
        </w:rPr>
        <w:t>(Driver et al., 1999; Friesen &amp; Kingstone, 1998; Langten et al., 2000)</w:t>
      </w:r>
      <w:r w:rsidR="006D2EE6" w:rsidRPr="00BD14B0">
        <w:fldChar w:fldCharType="end"/>
      </w:r>
      <w:r w:rsidR="006D2EE6" w:rsidRPr="00BD14B0">
        <w:t xml:space="preserve">. When </w:t>
      </w:r>
      <w:r w:rsidR="00B34EA9" w:rsidRPr="00BD14B0">
        <w:t>analysing</w:t>
      </w:r>
      <w:r w:rsidR="006D2EE6" w:rsidRPr="00BD14B0">
        <w:t xml:space="preserve"> top-down effects on gaze following, it is important to </w:t>
      </w:r>
      <w:proofErr w:type="gramStart"/>
      <w:r w:rsidR="006D2EE6" w:rsidRPr="00BD14B0">
        <w:t>take into account</w:t>
      </w:r>
      <w:proofErr w:type="gramEnd"/>
      <w:r w:rsidR="006D2EE6" w:rsidRPr="00BD14B0">
        <w:t xml:space="preserve"> individual differences such as personality traits or internal characteristics. In fact, researchers have hypothesized that top-down attention guidance cannot overcome the influence of bottom-up attention guidance during short SOAs in non-social attentional tasks </w:t>
      </w:r>
      <w:r w:rsidR="006D2EE6" w:rsidRPr="00BD14B0">
        <w:fldChar w:fldCharType="begin" w:fldLock="1"/>
      </w:r>
      <w:r w:rsidR="004D2901" w:rsidRPr="00BD14B0">
        <w:instrText>ADDIN CSL_CITATION {"citationItems":[{"id":"ITEM-1","itemData":{"ISSN":"0096-1523 (Print)","PMID":"1431742","abstract":"Four experiments tested a new hypothesis that involuntary attention shifts are contingent on the relationship between the properties of the eliciting event and the properties required for task performance. In a variant of the spatial cuing paradigm, the relation between cue property and the property useful in locating the target was systematically manipulated. In Experiment 1, invalid abrupt-onset precues produced costs for targets characterized by an abrupt onset but not for targets characterized by a discontinuity in color. In Experiment 2, invalid color precues produced greater costs for color targets than for abrupt-onset targets. Experiment 3 provided converging evidence for this pattern. Experiment 4 investigated the boundary conditions and time course for attention shifts elicited by color discontinuities. The results of these experiments suggest that attention capture is contingent on attentional control settings induced by task demands.","author":[{"dropping-particle":"","family":"Folk","given":"C L","non-dropping-particle":"","parse-names":false,"suffix":""},{"dropping-particle":"","family":"Remington","given":"R W","non-dropping-particle":"","parse-names":false,"suffix":""},{"dropping-particle":"","family":"Johnston","given":"J C","non-dropping-particle":"","parse-names":false,"suffix":""}],"container-title":"Journal of experimental psychology. Human perception and performance","id":"ITEM-1","issue":"4","issued":{"date-parts":[["1992","11"]]},"language":"eng","page":"1030-1044","publisher-place":"United States","title":"Involuntary covert orienting is contingent on attentional control settings.","type":"article-journal","volume":"18"},"uris":["http://www.mendeley.com/documents/?uuid=eff5a0a1-1291-44b7-b79e-3b1fdfae30ad"]}],"mendeley":{"formattedCitation":"(Folk et al., 1992)","plainTextFormattedCitation":"(Folk et al., 1992)","previouslyFormattedCitation":"(Folk et al., 1992)"},"properties":{"noteIndex":0},"schema":"https://github.com/citation-style-language/schema/raw/master/csl-citation.json"}</w:instrText>
      </w:r>
      <w:r w:rsidR="006D2EE6" w:rsidRPr="00BD14B0">
        <w:fldChar w:fldCharType="separate"/>
      </w:r>
      <w:r w:rsidR="004D2901" w:rsidRPr="00BD14B0">
        <w:rPr>
          <w:noProof/>
        </w:rPr>
        <w:t>(Folk et al., 1992)</w:t>
      </w:r>
      <w:r w:rsidR="006D2EE6" w:rsidRPr="00BD14B0">
        <w:fldChar w:fldCharType="end"/>
      </w:r>
      <w:r w:rsidR="006D2EE6" w:rsidRPr="00BD14B0">
        <w:t>. Therefore, it can be concluded that, longer SOAs might be able to produce differences on gaze following gathered by episodic learning but have some kind influential effect as compared to short SOAs. This should be further researched in social attention tasks. This is something that should be looked into further in social attention tasks in the future.</w:t>
      </w:r>
    </w:p>
    <w:p w14:paraId="50A3DBFA" w14:textId="77777777" w:rsidR="006D2EE6" w:rsidRPr="00BD14B0" w:rsidRDefault="006D2EE6" w:rsidP="00553E01"/>
    <w:p w14:paraId="393AD685" w14:textId="367B7A33" w:rsidR="006D2EE6" w:rsidRPr="00BD14B0" w:rsidRDefault="006D2EE6" w:rsidP="00553E01">
      <w:pPr>
        <w:pStyle w:val="Heading3"/>
      </w:pPr>
      <w:bookmarkStart w:id="137" w:name="_Toc108310816"/>
      <w:r w:rsidRPr="00BD14B0">
        <w:t>Theme 4: Implicit versus Explicit</w:t>
      </w:r>
      <w:bookmarkEnd w:id="137"/>
      <w:r w:rsidRPr="00BD14B0">
        <w:t xml:space="preserve"> </w:t>
      </w:r>
    </w:p>
    <w:p w14:paraId="214477D9" w14:textId="77777777" w:rsidR="006D2EE6" w:rsidRPr="00BD14B0" w:rsidRDefault="006D2EE6" w:rsidP="00553E01">
      <w:r w:rsidRPr="00BD14B0">
        <w:tab/>
        <w:t xml:space="preserve">In Chapter 2, people explicitly rated themselves to be in the same group with in-group faces but they did not categorize themselves as belonging to the same group as outgroup faces. However, they were still able to shift their implicit attention without even realizing they were doing so. Following the presentation of minimally detailed in-group and out-group faces to the participants, they showed similar gaze following to minimal in-group and out-group faces. In laboratory settings, either completely absent or only minimally present, depending on the task. In a laboratory, what we perceive to be threatening, dangerous or simply different enough to be frightening may not be present. Social cues are </w:t>
      </w:r>
      <w:r w:rsidRPr="00BD14B0">
        <w:lastRenderedPageBreak/>
        <w:t>subtle and often become a part of who we are or how we perceive ourselves to be. A laboratory setting is likely to be devoid of social cues to a significant degree, as is the case with most experiments. These social cues would largely not exist within a laboratory setting. Although the participants in this study were explicitly aware of their social context, the findings of this study suggest that participants in highly isolated settings may not have experienced differences in implicit reactions.</w:t>
      </w:r>
    </w:p>
    <w:p w14:paraId="5AB676E7" w14:textId="77777777" w:rsidR="006D2EE6" w:rsidRPr="00BD14B0" w:rsidRDefault="006D2EE6" w:rsidP="00553E01"/>
    <w:p w14:paraId="24FC692A" w14:textId="5EB92538" w:rsidR="006D2EE6" w:rsidRPr="00BD14B0" w:rsidRDefault="006D2EE6" w:rsidP="00553E01">
      <w:pPr>
        <w:pStyle w:val="Heading2"/>
      </w:pPr>
      <w:bookmarkStart w:id="138" w:name="_Toc108310817"/>
      <w:r w:rsidRPr="00BD14B0">
        <w:t>Implications</w:t>
      </w:r>
      <w:bookmarkEnd w:id="138"/>
      <w:r w:rsidRPr="00BD14B0">
        <w:t xml:space="preserve"> </w:t>
      </w:r>
    </w:p>
    <w:p w14:paraId="3A35919E" w14:textId="77777777" w:rsidR="00396FB4" w:rsidRDefault="00AD78B4" w:rsidP="00396FB4">
      <w:r w:rsidRPr="00BD14B0">
        <w:tab/>
      </w:r>
      <w:r w:rsidR="00396FB4">
        <w:t xml:space="preserve">This thesis offered strong support for the idea that the dual relationship between the gazer and the observer is sometimes just as important as or even more so than visual information. Since humans are social creatures who work best in groups, it is crucial to measure how people behave when they are around others. Chapter 2 showed clear evidence that visual information was important in a group context in attitude but not cognitively. Participants showed a difference in group membership scores when the questionnaire was used but not when the gaze cueing task was employed. According to a recent article by </w:t>
      </w:r>
      <w:proofErr w:type="spellStart"/>
      <w:r w:rsidR="00396FB4">
        <w:t>Dalmaso</w:t>
      </w:r>
      <w:proofErr w:type="spellEnd"/>
      <w:r w:rsidR="00396FB4">
        <w:t xml:space="preserve"> et al., 2020, racial group membership is a significant factor affecting social attention and is mainly driven by the different social status cues associated with the various social groups. Chapter 2 showed strong evidence that visual differentiation is essential to have ingroup outgroup effect on gaze following and the social info about the gazer is not enough. We provided compelling evidence that social information is insufficient on its own and requires visual differentiation for group belonging on social attention.</w:t>
      </w:r>
    </w:p>
    <w:p w14:paraId="34202A7F" w14:textId="77777777" w:rsidR="00396FB4" w:rsidRDefault="00396FB4" w:rsidP="00396FB4">
      <w:r>
        <w:tab/>
        <w:t xml:space="preserve">When attempting to understand joint attention/gaze following, it is critical to consider the social status of the individual within the group since individuals do not function in isolation but rather within a social context. </w:t>
      </w:r>
      <w:r w:rsidRPr="0088443A">
        <w:t xml:space="preserve">Depending on the situation, it is crucial to determine whether the visual information has an impact on its own or in </w:t>
      </w:r>
      <w:r>
        <w:t>combination</w:t>
      </w:r>
      <w:r w:rsidRPr="0088443A">
        <w:t xml:space="preserve"> with social relevance</w:t>
      </w:r>
      <w:r>
        <w:t xml:space="preserve">. According to </w:t>
      </w:r>
      <w:proofErr w:type="spellStart"/>
      <w:r>
        <w:t>Dalmaso</w:t>
      </w:r>
      <w:proofErr w:type="spellEnd"/>
      <w:r>
        <w:t xml:space="preserve"> et al. 2020, the effect of social status on the gaze cueing effect is comparable to dominance from an empirical standpoint.</w:t>
      </w:r>
      <w:r w:rsidRPr="0088443A">
        <w:t xml:space="preserve"> </w:t>
      </w:r>
      <w:r>
        <w:t xml:space="preserve">They argued that dominance mainly arises from physical strength but social status from intellectual abilities and respect, admiration. Hence, social power depends on an individual's internal state, but it is not the same with social status. </w:t>
      </w:r>
    </w:p>
    <w:p w14:paraId="510B2AA5" w14:textId="77777777" w:rsidR="00396FB4" w:rsidRDefault="00396FB4" w:rsidP="00396FB4">
      <w:r>
        <w:lastRenderedPageBreak/>
        <w:tab/>
      </w:r>
      <w:r w:rsidRPr="00BD14B0">
        <w:t xml:space="preserve">First, females who show early signs of ASD more likely to be able to maintain eye gaze following to a greater degree than males with developmental ASD. This could be due to females' increased sensitivity hence greater understanding of social cues. </w:t>
      </w:r>
      <w:r w:rsidRPr="00BD14B0">
        <w:fldChar w:fldCharType="begin" w:fldLock="1"/>
      </w:r>
      <w:r w:rsidRPr="00BD14B0">
        <w:instrText>ADDIN CSL_CITATION {"citationItems":[{"id":"ITEM-1","itemData":{"DOI":"10.1177/1362361312472261","ISSN":"1461-7005 (Electronic)","PMID":"24092840","abstract":"A family member with an autism spectrum disorder presents pervasive and bidirectional influences on the entire family system, suggesting a need for family-focused autism spectrum disorder research. While there has been increasing interest in this research area, family-focused autism spectrum disorder research can still be considered relatively recent, and there are limitations to the existing literature. The purpose of this article is to provide theoretical and methodological directions for future family-focused autism spectrum disorder research. In particular, this article proposes Family Systems approaches as a common theoretical framework for future family-focused autism spectrum disorder research by considering theoretical concepts such as Boundaries, Ambiguous Loss, Resilience and Traumatic Growth. We discuss reasons why these concepts are important to researching families living with autism spectrum disorder and provide recommendations for future research. The potential for research grounded in Family Systems approaches to influence clinical support services is also discussed.","author":[{"dropping-particle":"","family":"Cridland","given":"Elizabeth K","non-dropping-particle":"","parse-names":false,"suffix":""},{"dropping-particle":"","family":"Jones","given":"Sandra C","non-dropping-particle":"","parse-names":false,"suffix":""},{"dropping-particle":"","family":"Magee","given":"Christopher A","non-dropping-particle":"","parse-names":false,"suffix":""},{"dropping-particle":"","family":"Caputi","given":"Peter","non-dropping-particle":"","parse-names":false,"suffix":""}],"container-title":"Autism : the international journal of research and practice","id":"ITEM-1","issue":"3","issued":{"date-parts":[["2014","4"]]},"language":"eng","page":"213-222","publisher-place":"England","title":"Family-focused autism spectrum disorder research: a review of the utility of family systems approaches.","type":"article-journal","volume":"18"},"uris":["http://www.mendeley.com/documents/?uuid=4aafde55-75fa-46a7-a87f-76a4a62c9e2c"]}],"mendeley":{"formattedCitation":"(Cridland et al., 2014)","manualFormatting":"Cridland, Jones, Magee, &amp; Caputi, ( 2014)","plainTextFormattedCitation":"(Cridland et al., 2014)","previouslyFormattedCitation":"(Cridland et al., 2014)"},"properties":{"noteIndex":0},"schema":"https://github.com/citation-style-language/schema/raw/master/csl-citation.json"}</w:instrText>
      </w:r>
      <w:r w:rsidRPr="00BD14B0">
        <w:fldChar w:fldCharType="separate"/>
      </w:r>
      <w:r w:rsidRPr="00BD14B0">
        <w:rPr>
          <w:noProof/>
        </w:rPr>
        <w:t>Cridland, Jones, Magee, &amp; Caputi, (2014)</w:t>
      </w:r>
      <w:r w:rsidRPr="00BD14B0">
        <w:fldChar w:fldCharType="end"/>
      </w:r>
      <w:r w:rsidRPr="00BD14B0">
        <w:t xml:space="preserve"> share that because females with autism are often able to mask their difficulties because they can focus attention and have strong social skills. However, later in adulthood, social dynamics become more complicated and females without diagnosis would not be able to access necessary support for further emotional and social development </w:t>
      </w:r>
      <w:r w:rsidRPr="00BD14B0">
        <w:fldChar w:fldCharType="begin" w:fldLock="1"/>
      </w:r>
      <w:r w:rsidRPr="00BD14B0">
        <w:instrText>ADDIN CSL_CITATION {"citationItems":[{"id":"ITEM-1","itemData":{"DOI":"10.1177/1362361307085267","ISSN":"1362-3613 (Print)","PMID":"18178595","abstract":"Facilitating the learning and participation of pupils with Asperger syndrome and  high-functioning autism (herein referred to as AS) in mainstream schools is complex and poorly understood. We report on a small-scale qualitative study of the views and experiences of 20 such pupils drawn from four secondary schools in north-west England. Data were collected through semi-structured interviews and pupil diaries. Interpretive phenomenological analysis was used to explore how pupils with AS make sense of their educational experiences. The central theme was how participants constructed their understanding of what their AS meant to them. This was often characterized by negative perceptions of their differences, such as being 'retarded' or having a 'bad brain'. The links between this understanding and reported difficulties with peers and teachers, the desire to 'fit in', and other themes are discussed. The implications of these findings for policy and practice in this area are also presented.","author":[{"dropping-particle":"","family":"Humphrey","given":"Neil","non-dropping-particle":"","parse-names":false,"suffix":""},{"dropping-particle":"","family":"Lewis","given":"Sarah","non-dropping-particle":"","parse-names":false,"suffix":""}],"container-title":"Autism : the international journal of research and practice","id":"ITEM-1","issue":"1","issued":{"date-parts":[["2008","1"]]},"language":"eng","page":"23-46","publisher-place":"England","title":"'Make me normal': the views and experiences of pupils on the autistic spectrum in mainstream secondary schools.","type":"article-journal","volume":"12"},"uris":["http://www.mendeley.com/documents/?uuid=ac4a160c-dfce-4653-82cd-e6b44afc8d25"]},{"id":"ITEM-2","itemData":{"DOI":"10.1177/1362361312472261","ISSN":"1461-7005 (Electronic)","PMID":"24092840","abstract":"A family member with an autism spectrum disorder presents pervasive and bidirectional influences on the entire family system, suggesting a need for family-focused autism spectrum disorder research. While there has been increasing interest in this research area, family-focused autism spectrum disorder research can still be considered relatively recent, and there are limitations to the existing literature. The purpose of this article is to provide theoretical and methodological directions for future family-focused autism spectrum disorder research. In particular, this article proposes Family Systems approaches as a common theoretical framework for future family-focused autism spectrum disorder research by considering theoretical concepts such as Boundaries, Ambiguous Loss, Resilience and Traumatic Growth. We discuss reasons why these concepts are important to researching families living with autism spectrum disorder and provide recommendations for future research. The potential for research grounded in Family Systems approaches to influence clinical support services is also discussed.","author":[{"dropping-particle":"","family":"Cridland","given":"Elizabeth K","non-dropping-particle":"","parse-names":false,"suffix":""},{"dropping-particle":"","family":"Jones","given":"Sandra C","non-dropping-particle":"","parse-names":false,"suffix":""},{"dropping-particle":"","family":"Magee","given":"Christopher A","non-dropping-particle":"","parse-names":false,"suffix":""},{"dropping-particle":"","family":"Caputi","given":"Peter","non-dropping-particle":"","parse-names":false,"suffix":""}],"container-title":"Autism : the international journal of research and practice","id":"ITEM-2","issue":"3","issued":{"date-parts":[["2014","4"]]},"language":"eng","page":"213-222","publisher-place":"England","title":"Family-focused autism spectrum disorder research: a review of the utility of family systems approaches.","type":"article-journal","volume":"18"},"uris":["http://www.mendeley.com/documents/?uuid=4aafde55-75fa-46a7-a87f-76a4a62c9e2c"]}],"mendeley":{"formattedCitation":"(Cridland et al., 2014; Humphrey &amp; Lewis, 2008)","plainTextFormattedCitation":"(Cridland et al., 2014; Humphrey &amp; Lewis, 2008)","previouslyFormattedCitation":"(Cridland et al., 2014; Humphrey &amp; Lewis, 2008)"},"properties":{"noteIndex":0},"schema":"https://github.com/citation-style-language/schema/raw/master/csl-citation.json"}</w:instrText>
      </w:r>
      <w:r w:rsidRPr="00BD14B0">
        <w:fldChar w:fldCharType="separate"/>
      </w:r>
      <w:r w:rsidRPr="00BD14B0">
        <w:rPr>
          <w:noProof/>
        </w:rPr>
        <w:t>(Cridland et al., 2014; Humphrey &amp; Lewis, 2008)</w:t>
      </w:r>
      <w:r w:rsidRPr="00BD14B0">
        <w:fldChar w:fldCharType="end"/>
      </w:r>
      <w:r w:rsidRPr="00BD14B0">
        <w:t xml:space="preserve">. </w:t>
      </w:r>
      <w:r w:rsidRPr="00BD14B0">
        <w:fldChar w:fldCharType="begin" w:fldLock="1"/>
      </w:r>
      <w:r w:rsidRPr="00BD14B0">
        <w:instrText>ADDIN CSL_CITATION {"citationItems":[{"id":"ITEM-1","itemData":{"DOI":"10.1023/A:1005653411471","ISBN":"0162-3257","ISSN":"0162-3257, 1573-3432","PMID":"11439754","abstract":"Currently there are no brief, self-administered instruments for measuring the degree to which an adult with normal intelligence has the traits associated with the autistic spectrum. In this paper, we report on a new instrument to assess this: the Autism-Spectrum Quotient (AQ). Individuals score in the range 0–50. Four groups of subjects were assessed: Group 1: 58 adults with Asperger syndrome (AS) or high-functioning autism (HFA); Group 2: 174 randomly selected controls. Group 3: 840 students in Cambridge University; and Group 4: 16 winners of the UK Mathematics Olympiad. The adults with AS/HFA had a mean AQ score of 35.8 (SD = 6.5), significantly higher than Group 2 controls (M = 16.4, SD = 6.3). 80% of the adults with AS/HFA scored 32+, versus 2% of controls. Among the controls, men scored slightly but significantly higher than women. No women scored extremely highly (AQ score 34+) whereas 4% of men did so. Twice as many men (40%) as women (21%) scored at intermediate levels (AQ score 20+). Among the AS/HFA group, male and female scores did not differ significantly. The students in Cambridge University did not differ from the randomly selected control group, but scientists (including mathematicians) scored significantly higher than both humanities and social sciences students, confirming an earlier study that autistic conditions are associated with scientific skills. Within the sciences, mathematicians scored highest. This was replicated in Group 4, the Mathematics Olympiad winners scoring significantly higher than the male Cambridge humanities students. 6% of the student sample scored 327plus; on the AQ. On interview, 11 out of 11 of these met three or more DSM-IV criteria for AS/HFA, and all were studying sciences/mathematics, and 7 of the 11 met threshold on these criteria. Test—retest and interrater reliability of the AQ was good. The AQ is thus a valuable instrument for rapidly quantifying where any given individual is situated on the continuum from autism to normality. Its potential for screening for autism spectrum conditions in adults of normal intelligence remains to be fully explored.","author":[{"dropping-particle":"","family":"Baron-Cohen","given":"Simon","non-dropping-particle":"","parse-names":false,"suffix":""},{"dropping-particle":"","family":"Wheelwright","given":"Sally","non-dropping-particle":"","parse-names":false,"suffix":""},{"dropping-particle":"","family":"Skinner","given":"Richard","non-dropping-particle":"","parse-names":false,"suffix":""},{"dropping-particle":"","family":"Martin","given":"Joanne","non-dropping-particle":"","parse-names":false,"suffix":""},{"dropping-particle":"","family":"Clubley","given":"Emma","non-dropping-particle":"","parse-names":false,"suffix":""}],"container-title":"Journal of Autism and Developmental Disorders","id":"ITEM-1","issue":"1","issued":{"date-parts":[["2001"]]},"page":"5-17","title":"The Autism Spectrum Quotient : Evidence from Asperger syndrome/high functioning autism, males and females, scientists and mathematicians","type":"article-journal","volume":"31"},"uris":["http://www.mendeley.com/documents/?uuid=11e2804f-d120-4a68-b02a-5d1d609712da"]}],"mendeley":{"formattedCitation":"(Baron-Cohen et al., 2001)","manualFormatting":"Baron-Cohen et al., (2001)","plainTextFormattedCitation":"(Baron-Cohen et al., 2001)","previouslyFormattedCitation":"(Baron-Cohen et al., 2001)"},"properties":{"noteIndex":0},"schema":"https://github.com/citation-style-language/schema/raw/master/csl-citation.json"}</w:instrText>
      </w:r>
      <w:r w:rsidRPr="00BD14B0">
        <w:fldChar w:fldCharType="separate"/>
      </w:r>
      <w:r w:rsidRPr="00BD14B0">
        <w:rPr>
          <w:noProof/>
        </w:rPr>
        <w:t>Baron-Cohen et al., (2001)</w:t>
      </w:r>
      <w:r w:rsidRPr="00BD14B0">
        <w:fldChar w:fldCharType="end"/>
      </w:r>
      <w:r w:rsidRPr="00BD14B0">
        <w:t xml:space="preserve"> noted that people with autism are largely able to tune into basic emotional expressions but are unable to read more complex emotions. There is therefore a great need to form a better understanding the relationship between ASD and social attention. Chapter 4 showed that Autism Questionnaire (AQ) mirrors the Inferential Confusion Questionnaire (ICQ-EV) in females. Inferential Confusion is often linked with </w:t>
      </w:r>
      <w:proofErr w:type="gramStart"/>
      <w:r w:rsidRPr="00BD14B0">
        <w:t>Obsessive-Compulsive Disorder</w:t>
      </w:r>
      <w:proofErr w:type="gramEnd"/>
      <w:r w:rsidRPr="00BD14B0">
        <w:t xml:space="preserve">. Interestingly, </w:t>
      </w:r>
      <w:r w:rsidRPr="00BD14B0">
        <w:fldChar w:fldCharType="begin" w:fldLock="1"/>
      </w:r>
      <w:r w:rsidRPr="00BD14B0">
        <w:instrText>ADDIN CSL_CITATION {"citationItems":[{"id":"ITEM-1","itemData":{"DOI":"https://doi.org/10.1016/j.rpsmen.2012.07.006","ISSN":"2173-5050","author":[{"dropping-particle":"","family":"Paula-Pérez","given":"Isabel","non-dropping-particle":"","parse-names":false,"suffix":""}],"container-title":"Revista de Psiquiatría y Salud Mental (English Edition)","id":"ITEM-1","issue":"4","issued":{"date-parts":[["2013"]]},"page":"178-186","title":"Differential diagnosis between obsessive compulsive disorder and restrictive and repetitive behavioural patterns, activities and interests in autism spectrum disorders","type":"article-journal","volume":"6"},"uris":["http://www.mendeley.com/documents/?uuid=83fd7002-3a69-4180-8d9f-532d1cdc4baa"]}],"mendeley":{"formattedCitation":"(Paula-Pérez, 2013)","manualFormatting":"Paula-Pérez, (2013)","plainTextFormattedCitation":"(Paula-Pérez, 2013)","previouslyFormattedCitation":"(Paula-Pérez, 2013)"},"properties":{"noteIndex":0},"schema":"https://github.com/citation-style-language/schema/raw/master/csl-citation.json"}</w:instrText>
      </w:r>
      <w:r w:rsidRPr="00BD14B0">
        <w:fldChar w:fldCharType="separate"/>
      </w:r>
      <w:r w:rsidRPr="00BD14B0">
        <w:rPr>
          <w:noProof/>
        </w:rPr>
        <w:t>Paula-Pérez, (2013)</w:t>
      </w:r>
      <w:r w:rsidRPr="00BD14B0">
        <w:fldChar w:fldCharType="end"/>
      </w:r>
      <w:r w:rsidRPr="00BD14B0">
        <w:t xml:space="preserve"> concluded that autism is frequently associated with obsessive-compulsive disorder because people with autism frequently have a limited range of specialized interests and engage in repetitive behaviours. As a result, autistic people are often diagnosed with having OCD. As demonstrated in Chapter 4, AQ and ICQ-EV have a positive correlation in a neurotypical female sample This is an original finding, but it is alarmingly important to understand a female phenotype of autistic-like traits before drawing out any overall conclusions. Further research about females with ASD and inferential confusion can lead to better understanding and thus possibility of creating better interventions. However, it is crucial to make a clinical distinction between autistic-like traits and ASD</w:t>
      </w:r>
    </w:p>
    <w:p w14:paraId="4F359CE8" w14:textId="41242E6F" w:rsidR="006D2EE6" w:rsidRPr="00BD14B0" w:rsidRDefault="006D2EE6" w:rsidP="00396FB4"/>
    <w:p w14:paraId="56D15BA6" w14:textId="10B71EFC" w:rsidR="006D2EE6" w:rsidRPr="00BD14B0" w:rsidRDefault="006D2EE6" w:rsidP="00553E01">
      <w:pPr>
        <w:pStyle w:val="Heading2"/>
      </w:pPr>
      <w:bookmarkStart w:id="139" w:name="_Toc108310818"/>
      <w:r w:rsidRPr="00BD14B0">
        <w:t>Future Direction</w:t>
      </w:r>
      <w:bookmarkEnd w:id="139"/>
    </w:p>
    <w:p w14:paraId="38B5CCAB" w14:textId="62E623F7" w:rsidR="006D2EE6" w:rsidRPr="00BD14B0" w:rsidRDefault="00AD78B4" w:rsidP="00553E01">
      <w:r w:rsidRPr="00BD14B0">
        <w:tab/>
      </w:r>
      <w:r w:rsidR="006D2EE6" w:rsidRPr="00BD14B0">
        <w:t xml:space="preserve">Researchers of social attention would benefit from the importance of group context while designing laboratory-based studies. Although useful, laboratory conditions may not show the full range of interactions that would be available in a real-world setting with an interactive experimenter. This is particularly important when working with sample with high in autistic traits. Some social interactions can be quite automatic to neurotypical </w:t>
      </w:r>
      <w:r w:rsidR="006D2EE6" w:rsidRPr="00BD14B0">
        <w:lastRenderedPageBreak/>
        <w:t xml:space="preserve">individuals, but it is not clear if people with high autistic-like traits use the same mechanisms and do not depend on the visual indicator of social group membership. In addition, a laboratory setting limits the social interactions which shape identity, in-group and out-group divisions and our associations, memories, and perceptions of out-group members. Interactions between group members may change if they are unable to perceive threat or danger </w:t>
      </w:r>
      <w:r w:rsidR="00E453C7">
        <w:fldChar w:fldCharType="begin" w:fldLock="1"/>
      </w:r>
      <w:r w:rsidR="00656694">
        <w:instrText>ADDIN CSL_CITATION {"citationItems":[{"id":"ITEM-1","itemData":{"DOI":"10.1371/journal.pone.0025117","ISSN":"1932-6203","abstract":"Studies in human and non-human primates indicate that basic socio-cognitive operations are inherently linked to the power of gaze in capturing reflexively the attention of an observer. Although monkey studies indicate that the automatic tendency to follow the gaze of a conspecific is modulated by the leader-follower social status, evidence for such effects in humans is meager. Here, we used a gaze following paradigm where the directional gaze of right-or left-wing Italian political characters could influence the oculomotor behavior of ingroup or outgroup voters. We show that the gaze of Berlusconi, the right-wing leader currently dominating the Italian political landscape, potentiates and inhibits gaze following behavior in ingroup and outgroup voters, respectively. Importantly, the higher the perceived similarity in personality traits between voters and Berlusconi, the stronger the gaze interference effect. Thus, higher-order social variables such as political leadership and affiliation prepotently affect reflexive shifts of attention.","author":[{"dropping-particle":"","family":"Liuzza","given":"Marco Tullio","non-dropping-particle":"","parse-names":false,"suffix":""},{"dropping-particle":"","family":"Cazzato","given":"Valentina","non-dropping-particle":"","parse-names":false,"suffix":""},{"dropping-particle":"","family":"Vecchione","given":"Michele","non-dropping-particle":"","parse-names":false,"suffix":""},{"dropping-particle":"","family":"Crostella","given":"Filippo","non-dropping-particle":"","parse-names":false,"suffix":""},{"dropping-particle":"","family":"Caprara","given":"Gian Vittorio","non-dropping-particle":"","parse-names":false,"suffix":""},{"dropping-particle":"","family":"Aglioti","given":"Salvatore Maria","non-dropping-particle":"","parse-names":false,"suffix":""}],"container-title":"Plos One","id":"ITEM-1","issue":"9","issued":{"date-parts":[["2011"]]},"note":"Times Cited: 12\nLiuzza, Marco Tullio/A-9967-2012\n12","title":"Follow My Eyes: The Gaze of Politicians Reflexively Captures the Gaze of Ingroup Voters","type":"article-journal","volume":"6"},"uris":["http://www.mendeley.com/documents/?uuid=5a49dbe4-b43e-4f79-b2bf-d8ab63cce5d6"]}],"mendeley":{"formattedCitation":"(Liuzza et al., 2011)","plainTextFormattedCitation":"(Liuzza et al., 2011)","previouslyFormattedCitation":"(Liuzza et al., 2011)"},"properties":{"noteIndex":0},"schema":"https://github.com/citation-style-language/schema/raw/master/csl-citation.json"}</w:instrText>
      </w:r>
      <w:r w:rsidR="00E453C7">
        <w:fldChar w:fldCharType="separate"/>
      </w:r>
      <w:r w:rsidR="00E453C7" w:rsidRPr="00E453C7">
        <w:rPr>
          <w:noProof/>
        </w:rPr>
        <w:t>(Liuzza et al., 2011)</w:t>
      </w:r>
      <w:r w:rsidR="00E453C7">
        <w:fldChar w:fldCharType="end"/>
      </w:r>
      <w:r w:rsidR="00E453C7">
        <w:t xml:space="preserve">. </w:t>
      </w:r>
      <w:r w:rsidR="006D2EE6" w:rsidRPr="00BD14B0">
        <w:t xml:space="preserve">Extending the experimental setting to include dangerous scenario, threat or social ranking difference between gazer pictures might reveal a new dimension to gaze cues and Autistic-like traits in individuals. </w:t>
      </w:r>
    </w:p>
    <w:p w14:paraId="31797C09" w14:textId="5E739884" w:rsidR="006D2EE6" w:rsidRPr="00BD14B0" w:rsidRDefault="00AD78B4" w:rsidP="00553E01">
      <w:r w:rsidRPr="00BD14B0">
        <w:tab/>
      </w:r>
      <w:r w:rsidR="006D2EE6" w:rsidRPr="00BD14B0">
        <w:t>Using milliseconds longer than 300</w:t>
      </w:r>
      <w:r w:rsidR="00A35ECD" w:rsidRPr="00BD14B0">
        <w:t xml:space="preserve"> </w:t>
      </w:r>
      <w:proofErr w:type="spellStart"/>
      <w:r w:rsidR="006D2EE6" w:rsidRPr="00BD14B0">
        <w:t>ms</w:t>
      </w:r>
      <w:proofErr w:type="spellEnd"/>
      <w:r w:rsidR="006D2EE6" w:rsidRPr="00BD14B0">
        <w:t xml:space="preserve"> could be advantageous for future research. It is possible that person perception occurs later. As demonstrated in the study 3 testing phase, the presence of multiple faces on the screen and the use of 500 </w:t>
      </w:r>
      <w:proofErr w:type="spellStart"/>
      <w:r w:rsidR="006D2EE6" w:rsidRPr="00BD14B0">
        <w:t>ms</w:t>
      </w:r>
      <w:proofErr w:type="spellEnd"/>
      <w:r w:rsidR="006D2EE6" w:rsidRPr="00BD14B0">
        <w:t xml:space="preserve"> as SOA made a difference in the strength of the gaze cueing effect. As a result, recognising the face using memory-based representations rather than visual information may necessitate a longer SOA than 300</w:t>
      </w:r>
      <w:r w:rsidR="00A35ECD" w:rsidRPr="00BD14B0">
        <w:t xml:space="preserve"> </w:t>
      </w:r>
      <w:proofErr w:type="spellStart"/>
      <w:r w:rsidR="006D2EE6" w:rsidRPr="00BD14B0">
        <w:t>ms</w:t>
      </w:r>
      <w:proofErr w:type="spellEnd"/>
      <w:r w:rsidR="006D2EE6" w:rsidRPr="00BD14B0">
        <w:t>. This concept should be investigated further in social attention studies.</w:t>
      </w:r>
    </w:p>
    <w:p w14:paraId="1C983CCA" w14:textId="7F12B647" w:rsidR="006D2EE6" w:rsidRPr="00BD14B0" w:rsidRDefault="00AD78B4" w:rsidP="00553E01">
      <w:r w:rsidRPr="00BD14B0">
        <w:tab/>
      </w:r>
      <w:r w:rsidR="006D2EE6" w:rsidRPr="00BD14B0">
        <w:t xml:space="preserve">Without a competition in the environment, a social group belonging to itself may not create a difference in attention. Due to limited resources in the environment, competition between groups is possible.  </w:t>
      </w:r>
      <w:r w:rsidR="006D2EE6" w:rsidRPr="00BD14B0">
        <w:fldChar w:fldCharType="begin" w:fldLock="1"/>
      </w:r>
      <w:r w:rsidR="004D2901" w:rsidRPr="00BD14B0">
        <w:instrText>ADDIN CSL_CITATION {"citationItems":[{"id":"ITEM-1","itemData":{"DOI":"10.1111/j.2044-8260.1979.tb00324.x","ISBN":"0007-1293(Print)","ISSN":"00071293","abstract":"D. Taylor and R. Brown (see record 1980-27904-001) have argued that, although research in social psychology needs to take into account the social context of social behavior, the theories should aim at the explanation of individual behavior. This view is argued against as it applies to some important issues in social psychology: (1) It is contended that the \"individualistic\" bias of research in social psychology derives from the nature of the theories dominating the discipline. (2) A theory of intergroup behavior is briefly outlined to show that its structure and aims are different in some important ways from the individualistic theories. The bias of these theories, which is due to their assumption that social behavior takes place inside homogeneous and unstructured social systems, is illustrated using as examples the theory of belief similarity in prejudice and equity theory. (20 ref) (PsycINFO Database Record (c) 2016 APA, all rights reserved)","author":[{"dropping-particle":"","family":"Tajfel","given":"Henri","non-dropping-particle":"","parse-names":false,"suffix":""}],"container-title":"British Journal of Social and Clinical Psychology","id":"ITEM-1","issue":"2","issued":{"date-parts":[["1979","6"]]},"page":"183-190","publisher":"British Psychological Society","publisher-place":"United Kingdom","title":"Individuals and groups in social psychology*","type":"article-journal","volume":"18"},"uris":["http://www.mendeley.com/documents/?uuid=7476a241-6162-43b7-9914-f38623ded0a0"]}],"mendeley":{"formattedCitation":"(Tajfel, 1979)","manualFormatting":"Tajfel, (1979)","plainTextFormattedCitation":"(Tajfel, 1979)","previouslyFormattedCitation":"(Tajfel, 1979)"},"properties":{"noteIndex":0},"schema":"https://github.com/citation-style-language/schema/raw/master/csl-citation.json"}</w:instrText>
      </w:r>
      <w:r w:rsidR="006D2EE6" w:rsidRPr="00BD14B0">
        <w:fldChar w:fldCharType="separate"/>
      </w:r>
      <w:r w:rsidR="006D2EE6" w:rsidRPr="00BD14B0">
        <w:rPr>
          <w:noProof/>
        </w:rPr>
        <w:t>Tajfel, (1979)</w:t>
      </w:r>
      <w:r w:rsidR="006D2EE6" w:rsidRPr="00BD14B0">
        <w:fldChar w:fldCharType="end"/>
      </w:r>
      <w:r w:rsidR="006D2EE6" w:rsidRPr="00BD14B0">
        <w:t xml:space="preserve"> a group's social status falls, some members are motivated to seek power and join a higher status group.  Others seek to become dominant and powerful members of an in-group. When conducting gaze studies, it is critical to consider the role of social context. Instead, viewing people as constantly adjusting and readjusting to their surroundings assists to a better understanding of how neurological, psychological, and social conditions interact.</w:t>
      </w:r>
    </w:p>
    <w:p w14:paraId="1760CADB" w14:textId="5C4ACDD9" w:rsidR="006D2EE6" w:rsidRPr="00BD14B0" w:rsidRDefault="00AD78B4" w:rsidP="00553E01">
      <w:pPr>
        <w:rPr>
          <w:shd w:val="clear" w:color="auto" w:fill="FFFFFF"/>
        </w:rPr>
      </w:pPr>
      <w:r w:rsidRPr="00BD14B0">
        <w:rPr>
          <w:shd w:val="clear" w:color="auto" w:fill="FFFFFF"/>
        </w:rPr>
        <w:tab/>
      </w:r>
      <w:r w:rsidR="006D2EE6" w:rsidRPr="00BD14B0">
        <w:rPr>
          <w:shd w:val="clear" w:color="auto" w:fill="FFFFFF"/>
        </w:rPr>
        <w:t xml:space="preserve">When meaning the social attention in a laboratory setting, an eye tracker combined with reaction time measurement would be beneficial. This is particularly important because the ability to track eye movements is related to the ability to relate and shape meaningful conversations. As a result, using only reaction time to draw conclusions for social attention research would be limited for drawing conclusion about the population. Eye-tracking gives insight into how social relationships are formed by tackling the very first reactions to social stimuli such as eye gaze. The neural pathway responsible for eye movements would be mainly responsible for directing the eye gaze. Furthermore, the measurement of reaction </w:t>
      </w:r>
      <w:r w:rsidR="006D2EE6" w:rsidRPr="00BD14B0">
        <w:rPr>
          <w:shd w:val="clear" w:color="auto" w:fill="FFFFFF"/>
        </w:rPr>
        <w:lastRenderedPageBreak/>
        <w:t xml:space="preserve">time includes finger movements, which is a separate pathway. Additionally, no comparisons have been made between which neural structures are responsible when an eye-tracker is used, and RT-based behavioural measures are used. It would be beneficial to investigate the neural structures to determine whether the behavioural measurement is explicitly measuring reflexive attentional shifts. </w:t>
      </w:r>
    </w:p>
    <w:p w14:paraId="7752F33F" w14:textId="360ADE08" w:rsidR="006D2EE6" w:rsidRPr="00BD14B0" w:rsidRDefault="00AD78B4" w:rsidP="00553E01">
      <w:pPr>
        <w:rPr>
          <w:shd w:val="clear" w:color="auto" w:fill="FFFFFF"/>
        </w:rPr>
      </w:pPr>
      <w:r w:rsidRPr="00BD14B0">
        <w:rPr>
          <w:shd w:val="clear" w:color="auto" w:fill="FFFFFF"/>
        </w:rPr>
        <w:tab/>
      </w:r>
      <w:r w:rsidR="006D2EE6" w:rsidRPr="00BD14B0">
        <w:rPr>
          <w:shd w:val="clear" w:color="auto" w:fill="FFFFFF"/>
        </w:rPr>
        <w:t xml:space="preserve">Lastly, study 3 should be repeated with male participants. This will </w:t>
      </w:r>
      <w:r w:rsidR="006D2EE6" w:rsidRPr="00BD14B0">
        <w:t xml:space="preserve">allow </w:t>
      </w:r>
      <w:r w:rsidR="006D2EE6" w:rsidRPr="00BD14B0">
        <w:rPr>
          <w:shd w:val="clear" w:color="auto" w:fill="FFFFFF"/>
        </w:rPr>
        <w:t xml:space="preserve">researchers to gain </w:t>
      </w:r>
      <w:r w:rsidR="006D2EE6" w:rsidRPr="00BD14B0">
        <w:t>a better understanding of gender-based norms and how these modelled roles affect social cognition</w:t>
      </w:r>
      <w:r w:rsidR="006D2EE6" w:rsidRPr="00BD14B0">
        <w:rPr>
          <w:shd w:val="clear" w:color="auto" w:fill="FFFFFF"/>
        </w:rPr>
        <w:t xml:space="preserve">. Although female participants were able to understand the role of women as leaders rather than simply followers, </w:t>
      </w:r>
      <w:r w:rsidR="006D2EE6" w:rsidRPr="00BD14B0">
        <w:t>male participants' results may differ</w:t>
      </w:r>
      <w:r w:rsidR="006D2EE6" w:rsidRPr="00BD14B0">
        <w:rPr>
          <w:shd w:val="clear" w:color="auto" w:fill="FFFFFF"/>
        </w:rPr>
        <w:t xml:space="preserve">. This will </w:t>
      </w:r>
      <w:r w:rsidR="006D2EE6" w:rsidRPr="00BD14B0">
        <w:t>provide</w:t>
      </w:r>
      <w:r w:rsidR="006D2EE6" w:rsidRPr="00BD14B0">
        <w:rPr>
          <w:shd w:val="clear" w:color="auto" w:fill="FFFFFF"/>
        </w:rPr>
        <w:t xml:space="preserve"> insight into the roles of social hierarchies, </w:t>
      </w:r>
      <w:r w:rsidR="006D2EE6" w:rsidRPr="00BD14B0">
        <w:t>the impact of current role models on social cognition</w:t>
      </w:r>
      <w:r w:rsidR="006D2EE6" w:rsidRPr="00BD14B0">
        <w:rPr>
          <w:shd w:val="clear" w:color="auto" w:fill="FFFFFF"/>
        </w:rPr>
        <w:t>, gender norms and how males shape relational identity in a changing and unpredictable social world.</w:t>
      </w:r>
    </w:p>
    <w:p w14:paraId="444AA0DC" w14:textId="48B60AC5" w:rsidR="006D2EE6" w:rsidRPr="00BD14B0" w:rsidRDefault="00DC5138" w:rsidP="00553E01">
      <w:r w:rsidRPr="00BD14B0">
        <w:tab/>
        <w:t>The use of avatars in shaping and developing gaze cues with participants who have high AQ scores may assist researchers when responding to autism. Furthermore, whether a researcher interacts directly with a participant, or a participant interacts with a video or avatar, social gaze cues have a different impact on people with autism and may have different impact on all participants depending on their AQ levels. Also, it would be helpful to explore and deepen research into autism and gaze cues when a scientist interacts directly with participants. Further research is needed to establish whether these results can be applied to a larger population of people.</w:t>
      </w:r>
    </w:p>
    <w:p w14:paraId="25BA499A" w14:textId="77777777" w:rsidR="00B34EA9" w:rsidRPr="00BD14B0" w:rsidRDefault="00B34EA9" w:rsidP="00553E01"/>
    <w:p w14:paraId="7E0A0431" w14:textId="65101670" w:rsidR="006D2EE6" w:rsidRPr="00BD14B0" w:rsidRDefault="006D2EE6" w:rsidP="00553E01">
      <w:pPr>
        <w:pStyle w:val="Heading2"/>
      </w:pPr>
      <w:bookmarkStart w:id="140" w:name="_Toc108310819"/>
      <w:r w:rsidRPr="00BD14B0">
        <w:t>Conclusion</w:t>
      </w:r>
      <w:bookmarkEnd w:id="140"/>
    </w:p>
    <w:p w14:paraId="6361E0FC" w14:textId="77777777" w:rsidR="00D2122A" w:rsidRPr="00BD14B0" w:rsidRDefault="00AD78B4" w:rsidP="00D2122A">
      <w:r w:rsidRPr="00BD14B0">
        <w:tab/>
      </w:r>
      <w:r w:rsidR="00D2122A" w:rsidRPr="00BD14B0">
        <w:t xml:space="preserve">The thesis demonstrates that gaze movements are subtle and can occur for a variety of reasons. Simultaneously, people who are fearful and threatened, hypervigilant, or of low social status frequently respond to gaze cues more. It can be speculated that, following a gaze cue can elicit feelings of empathy, it is also possible that following a gaze cue can elicit feelings of vulnerability. According to social messages, the role of in-group and out-group membership could be investigated further to determine which groups are perceived to be threatening rather than simply different from one another for the individual. </w:t>
      </w:r>
    </w:p>
    <w:p w14:paraId="3D012207" w14:textId="77777777" w:rsidR="00D2122A" w:rsidRPr="00BD14B0" w:rsidRDefault="00D2122A" w:rsidP="00D2122A">
      <w:r w:rsidRPr="00BD14B0">
        <w:lastRenderedPageBreak/>
        <w:tab/>
        <w:t xml:space="preserve">The role of in-group and out-group membership could be expanded to investigate which groups are perceived to be threatening, rather than simply different, based on social messages. The chapter 2 also looked at the role of social cognition in shaping individual experiences of belonging to an in-group or belonging to an out-group. It could therefore be argued that social beliefs shape identity, and identity or how we perceive ourselves in the world shapes social cues. As a result, we are constantly changing and evolving with the environment. </w:t>
      </w:r>
      <w:r>
        <w:t xml:space="preserve"> </w:t>
      </w:r>
      <w:r w:rsidRPr="00BD14B0">
        <w:t>Chapter 3</w:t>
      </w:r>
      <w:r>
        <w:t xml:space="preserve"> gave</w:t>
      </w:r>
      <w:r w:rsidRPr="00BD14B0">
        <w:t xml:space="preserve"> insight into how social norms shape social attentional processes and what this means for social relationships between groups, outgroups, and people of different genders. By investigating how social relationships are formed along embodied lines, we may be able to gain a better understanding of social cognition and how it influences the behaviour.</w:t>
      </w:r>
    </w:p>
    <w:p w14:paraId="6F833165" w14:textId="77777777" w:rsidR="00D2122A" w:rsidRPr="00BD14B0" w:rsidRDefault="00D2122A" w:rsidP="00D2122A">
      <w:r w:rsidRPr="00BD14B0">
        <w:tab/>
        <w:t xml:space="preserve">Chapter 4 explored the role of gender in constructing social relationships but used facial screenshots of younger women. When it comes to AQ scores, focusing on male gaze cues may help us gain insight into their behavioural pattern. It also investigated the role of social cognition in shaping individual experiences of being </w:t>
      </w:r>
      <w:r>
        <w:t>leader follower</w:t>
      </w:r>
      <w:r w:rsidRPr="00BD14B0">
        <w:t>, as well as individual characteristics such as autistic may play a role in cognition. Also, studies on gaze cueing show that when a person feels in control of their gaze cues and how they respond, they can develop a sense of agency. This study, therefore, provides a social context to gaze studies, where it shows differences among the participants with high autistic traits.</w:t>
      </w:r>
    </w:p>
    <w:p w14:paraId="333D31A5" w14:textId="6688124C" w:rsidR="008B43B8" w:rsidRPr="00BD14B0" w:rsidRDefault="00D2122A" w:rsidP="00553E01">
      <w:r w:rsidRPr="00BD14B0">
        <w:tab/>
        <w:t>The studies conducted in this thesis give insight into the role of social cognition in gaze cues. Creating a holistic definition of what it means to be a person in a social world is often reflected in eye gaze movements. Acknowledging dominant social beliefs or messages about 'others' would place the study within a deeper social context. As a result, this thesis adds a social context to gaze studies, demonstrating that we cannot simply focus on visual cues for creating social context in laboratory studies.</w:t>
      </w:r>
    </w:p>
    <w:p w14:paraId="3F773F04" w14:textId="77777777" w:rsidR="003E38F0" w:rsidRPr="00BD14B0" w:rsidRDefault="003E38F0" w:rsidP="001C025E">
      <w:pPr>
        <w:pStyle w:val="Heading1"/>
        <w:numPr>
          <w:ilvl w:val="0"/>
          <w:numId w:val="0"/>
        </w:numPr>
      </w:pPr>
      <w:bookmarkStart w:id="141" w:name="_Toc108310820"/>
      <w:r w:rsidRPr="00BD14B0">
        <w:t>References</w:t>
      </w:r>
      <w:bookmarkEnd w:id="141"/>
      <w:r w:rsidRPr="00BD14B0">
        <w:t xml:space="preserve"> </w:t>
      </w:r>
    </w:p>
    <w:p w14:paraId="6F8C3A4A" w14:textId="71A51933" w:rsidR="008B43B8" w:rsidRPr="00BD14B0" w:rsidRDefault="008B43B8" w:rsidP="00553E01"/>
    <w:p w14:paraId="29FD568F" w14:textId="4F4EA0BB" w:rsidR="001C025E" w:rsidRPr="001C025E" w:rsidRDefault="003E38F0" w:rsidP="001C025E">
      <w:pPr>
        <w:widowControl w:val="0"/>
        <w:autoSpaceDE w:val="0"/>
        <w:autoSpaceDN w:val="0"/>
        <w:adjustRightInd w:val="0"/>
        <w:ind w:left="480" w:hanging="480"/>
        <w:rPr>
          <w:noProof/>
          <w:lang w:val="en-US"/>
        </w:rPr>
      </w:pPr>
      <w:r w:rsidRPr="00BD14B0">
        <w:fldChar w:fldCharType="begin" w:fldLock="1"/>
      </w:r>
      <w:r w:rsidRPr="00BD14B0">
        <w:instrText xml:space="preserve">ADDIN Mendeley Bibliography CSL_BIBLIOGRAPHY </w:instrText>
      </w:r>
      <w:r w:rsidRPr="00BD14B0">
        <w:fldChar w:fldCharType="separate"/>
      </w:r>
      <w:r w:rsidR="001C025E" w:rsidRPr="001C025E">
        <w:rPr>
          <w:noProof/>
          <w:lang w:val="en-US"/>
        </w:rPr>
        <w:t xml:space="preserve">Aardema, F., Emmelkamp, P., &amp; O’Connor, K. (2005). Inferential confusion, cognitive change and treatment outcome in Obsessive–Compulsive Disorder. In </w:t>
      </w:r>
      <w:r w:rsidR="001C025E" w:rsidRPr="001C025E">
        <w:rPr>
          <w:i/>
          <w:iCs/>
          <w:noProof/>
          <w:lang w:val="en-US"/>
        </w:rPr>
        <w:t xml:space="preserve">Clinical </w:t>
      </w:r>
      <w:r w:rsidR="001C025E" w:rsidRPr="001C025E">
        <w:rPr>
          <w:i/>
          <w:iCs/>
          <w:noProof/>
          <w:lang w:val="en-US"/>
        </w:rPr>
        <w:lastRenderedPageBreak/>
        <w:t>Psychology &amp; Psychotherapy</w:t>
      </w:r>
      <w:r w:rsidR="001C025E" w:rsidRPr="001C025E">
        <w:rPr>
          <w:noProof/>
          <w:lang w:val="en-US"/>
        </w:rPr>
        <w:t xml:space="preserve"> (Vol. 12). https://doi.org/10.1002/cpp.464</w:t>
      </w:r>
    </w:p>
    <w:p w14:paraId="76EE6AD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Aardema, F., Wu, K. D., Careau, Y., O’Connor, K., Julien, D., &amp; Dennie, S. (2010). The expanded version of the inferential confusion questionnaire: Further development and validation in clinical and non-clinical samples. </w:t>
      </w:r>
      <w:r w:rsidRPr="001C025E">
        <w:rPr>
          <w:i/>
          <w:iCs/>
          <w:noProof/>
          <w:lang w:val="en-US"/>
        </w:rPr>
        <w:t>Journal of Psychopathology and Behavioral Assessment</w:t>
      </w:r>
      <w:r w:rsidRPr="001C025E">
        <w:rPr>
          <w:noProof/>
          <w:lang w:val="en-US"/>
        </w:rPr>
        <w:t xml:space="preserve">, </w:t>
      </w:r>
      <w:r w:rsidRPr="001C025E">
        <w:rPr>
          <w:i/>
          <w:iCs/>
          <w:noProof/>
          <w:lang w:val="en-US"/>
        </w:rPr>
        <w:t>32</w:t>
      </w:r>
      <w:r w:rsidRPr="001C025E">
        <w:rPr>
          <w:noProof/>
          <w:lang w:val="en-US"/>
        </w:rPr>
        <w:t>(3), 448–462. https://doi.org/10.1007/s10862-009-9157-x</w:t>
      </w:r>
    </w:p>
    <w:p w14:paraId="3384969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Adams, R. B., &amp; Kleck, R. E. (2003). Perceived Gaze Direction and the Processing of Facial Displays of Emotion. </w:t>
      </w:r>
      <w:r w:rsidRPr="001C025E">
        <w:rPr>
          <w:i/>
          <w:iCs/>
          <w:noProof/>
          <w:lang w:val="en-US"/>
        </w:rPr>
        <w:t>Psychological Science</w:t>
      </w:r>
      <w:r w:rsidRPr="001C025E">
        <w:rPr>
          <w:noProof/>
          <w:lang w:val="en-US"/>
        </w:rPr>
        <w:t xml:space="preserve">, </w:t>
      </w:r>
      <w:r w:rsidRPr="001C025E">
        <w:rPr>
          <w:i/>
          <w:iCs/>
          <w:noProof/>
          <w:lang w:val="en-US"/>
        </w:rPr>
        <w:t>14</w:t>
      </w:r>
      <w:r w:rsidRPr="001C025E">
        <w:rPr>
          <w:noProof/>
          <w:lang w:val="en-US"/>
        </w:rPr>
        <w:t>(6), 644–647. https://doi.org/10.1046/j.0956-7976.2003.psci_1479.x</w:t>
      </w:r>
    </w:p>
    <w:p w14:paraId="0092D1F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Adolphs, R. (1999). Social cognition and the human brain. </w:t>
      </w:r>
      <w:r w:rsidRPr="001C025E">
        <w:rPr>
          <w:i/>
          <w:iCs/>
          <w:noProof/>
          <w:lang w:val="en-US"/>
        </w:rPr>
        <w:t>Trends in Cognitive Sciences</w:t>
      </w:r>
      <w:r w:rsidRPr="001C025E">
        <w:rPr>
          <w:noProof/>
          <w:lang w:val="en-US"/>
        </w:rPr>
        <w:t xml:space="preserve">, </w:t>
      </w:r>
      <w:r w:rsidRPr="001C025E">
        <w:rPr>
          <w:i/>
          <w:iCs/>
          <w:noProof/>
          <w:lang w:val="en-US"/>
        </w:rPr>
        <w:t>3</w:t>
      </w:r>
      <w:r w:rsidRPr="001C025E">
        <w:rPr>
          <w:noProof/>
          <w:lang w:val="en-US"/>
        </w:rPr>
        <w:t>(12), 469–479. https://doi.org/10.1016/S1364-6613(99)01399-6</w:t>
      </w:r>
    </w:p>
    <w:p w14:paraId="1B8E9F4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Akechi, H., Senju, A., Uibo, H., Kikuchi, Y., Hasegawa, T., &amp; Hietanen, J. K. (2013). Attention to Eye Contact in the West and East: Autonomic Responses and Evaluative Ratings. </w:t>
      </w:r>
      <w:r w:rsidRPr="001C025E">
        <w:rPr>
          <w:i/>
          <w:iCs/>
          <w:noProof/>
          <w:lang w:val="en-US"/>
        </w:rPr>
        <w:t>PLoS ONE</w:t>
      </w:r>
      <w:r w:rsidRPr="001C025E">
        <w:rPr>
          <w:noProof/>
          <w:lang w:val="en-US"/>
        </w:rPr>
        <w:t xml:space="preserve">, </w:t>
      </w:r>
      <w:r w:rsidRPr="001C025E">
        <w:rPr>
          <w:i/>
          <w:iCs/>
          <w:noProof/>
          <w:lang w:val="en-US"/>
        </w:rPr>
        <w:t>8</w:t>
      </w:r>
      <w:r w:rsidRPr="001C025E">
        <w:rPr>
          <w:noProof/>
          <w:lang w:val="en-US"/>
        </w:rPr>
        <w:t>(3). https://doi.org/10.1371/journal.pone.0059312</w:t>
      </w:r>
    </w:p>
    <w:p w14:paraId="4981C58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Akiyama, T., Kato, M., Muramatsu, T., Umeda, S., Saito, F., &amp; Kashima, H. (2007). Unilateral Amygdala Lesions Hamper Attentional Orienting Triggered by Gaze Direction. </w:t>
      </w:r>
      <w:r w:rsidRPr="001C025E">
        <w:rPr>
          <w:i/>
          <w:iCs/>
          <w:noProof/>
          <w:lang w:val="en-US"/>
        </w:rPr>
        <w:t>Cerebral Cortex</w:t>
      </w:r>
      <w:r w:rsidRPr="001C025E">
        <w:rPr>
          <w:noProof/>
          <w:lang w:val="en-US"/>
        </w:rPr>
        <w:t xml:space="preserve">, </w:t>
      </w:r>
      <w:r w:rsidRPr="001C025E">
        <w:rPr>
          <w:i/>
          <w:iCs/>
          <w:noProof/>
          <w:lang w:val="en-US"/>
        </w:rPr>
        <w:t>17</w:t>
      </w:r>
      <w:r w:rsidRPr="001C025E">
        <w:rPr>
          <w:noProof/>
          <w:lang w:val="en-US"/>
        </w:rPr>
        <w:t>(11), 2593–2600. https://doi.org/10.1093/cercor/bhl166</w:t>
      </w:r>
    </w:p>
    <w:p w14:paraId="1284BE9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Allman, J. M., &amp; Martin, B. (1999). </w:t>
      </w:r>
      <w:r w:rsidRPr="001C025E">
        <w:rPr>
          <w:i/>
          <w:iCs/>
          <w:noProof/>
          <w:lang w:val="en-US"/>
        </w:rPr>
        <w:t>Evolving brains</w:t>
      </w:r>
      <w:r w:rsidRPr="001C025E">
        <w:rPr>
          <w:noProof/>
          <w:lang w:val="en-US"/>
        </w:rPr>
        <w:t xml:space="preserve"> (Issue 68). Scientific American Library New York.</w:t>
      </w:r>
    </w:p>
    <w:p w14:paraId="0990EC3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Allport, A. (1993). Attention and control: Have we been asking the wrong questions? A critical review of twenty-five years. In </w:t>
      </w:r>
      <w:r w:rsidRPr="001C025E">
        <w:rPr>
          <w:i/>
          <w:iCs/>
          <w:noProof/>
          <w:lang w:val="en-US"/>
        </w:rPr>
        <w:t>Attention and performance 14:  Synergies in experimental psychology, artificial intelligence, and cognitive neuroscience.</w:t>
      </w:r>
      <w:r w:rsidRPr="001C025E">
        <w:rPr>
          <w:noProof/>
          <w:lang w:val="en-US"/>
        </w:rPr>
        <w:t xml:space="preserve"> (pp. 183–218). The MIT Press.</w:t>
      </w:r>
    </w:p>
    <w:p w14:paraId="17C2E4C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Allport, G. W., &amp; Ross, J. M. (1967). Personal religious orientation and prejudice. </w:t>
      </w:r>
      <w:r w:rsidRPr="001C025E">
        <w:rPr>
          <w:i/>
          <w:iCs/>
          <w:noProof/>
          <w:lang w:val="en-US"/>
        </w:rPr>
        <w:t>Journal of Personality and Social Psychology</w:t>
      </w:r>
      <w:r w:rsidRPr="001C025E">
        <w:rPr>
          <w:noProof/>
          <w:lang w:val="en-US"/>
        </w:rPr>
        <w:t xml:space="preserve">, </w:t>
      </w:r>
      <w:r w:rsidRPr="001C025E">
        <w:rPr>
          <w:i/>
          <w:iCs/>
          <w:noProof/>
          <w:lang w:val="en-US"/>
        </w:rPr>
        <w:t>5</w:t>
      </w:r>
      <w:r w:rsidRPr="001C025E">
        <w:rPr>
          <w:noProof/>
          <w:lang w:val="en-US"/>
        </w:rPr>
        <w:t>(4), 432–443. https://doi.org/10.1037/h0021212</w:t>
      </w:r>
    </w:p>
    <w:p w14:paraId="2ACE93B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Alwall, N., Johansson, D., &amp; Hansen, S. (2010). The gender difference in gaze-cueing: Associations with empathizing and systemizing. </w:t>
      </w:r>
      <w:r w:rsidRPr="001C025E">
        <w:rPr>
          <w:i/>
          <w:iCs/>
          <w:noProof/>
          <w:lang w:val="en-US"/>
        </w:rPr>
        <w:t>Personality and Individual Differences</w:t>
      </w:r>
      <w:r w:rsidRPr="001C025E">
        <w:rPr>
          <w:noProof/>
          <w:lang w:val="en-US"/>
        </w:rPr>
        <w:t xml:space="preserve">, </w:t>
      </w:r>
      <w:r w:rsidRPr="001C025E">
        <w:rPr>
          <w:i/>
          <w:iCs/>
          <w:noProof/>
          <w:lang w:val="en-US"/>
        </w:rPr>
        <w:t>49</w:t>
      </w:r>
      <w:r w:rsidRPr="001C025E">
        <w:rPr>
          <w:noProof/>
          <w:lang w:val="en-US"/>
        </w:rPr>
        <w:t>(7), 729–732. https://doi.org/10.1016/j.paid.2010.06.016</w:t>
      </w:r>
    </w:p>
    <w:p w14:paraId="5206620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Amon, M. J. (2015). Visual attention in mixed-gender groups. </w:t>
      </w:r>
      <w:r w:rsidRPr="001C025E">
        <w:rPr>
          <w:i/>
          <w:iCs/>
          <w:noProof/>
          <w:lang w:val="en-US"/>
        </w:rPr>
        <w:t>FRONT PSYCHOL</w:t>
      </w:r>
      <w:r w:rsidRPr="001C025E">
        <w:rPr>
          <w:noProof/>
          <w:lang w:val="en-US"/>
        </w:rPr>
        <w:t xml:space="preserve">, </w:t>
      </w:r>
      <w:r w:rsidRPr="001C025E">
        <w:rPr>
          <w:i/>
          <w:iCs/>
          <w:noProof/>
          <w:lang w:val="en-US"/>
        </w:rPr>
        <w:t>5</w:t>
      </w:r>
      <w:r w:rsidRPr="001C025E">
        <w:rPr>
          <w:noProof/>
          <w:lang w:val="en-US"/>
        </w:rPr>
        <w:t>. https://doi.org/10.3389/fpsyg.2014.01569 info:doi/10.3389/fpsyg.2014.01569</w:t>
      </w:r>
    </w:p>
    <w:p w14:paraId="59EC3C8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Anderson, C., John, O. P., Keltner, D., &amp; Kring, A. M. (2001). Who attains social status? Effects of personality and physical attractiveness in social groups. </w:t>
      </w:r>
      <w:r w:rsidRPr="001C025E">
        <w:rPr>
          <w:i/>
          <w:iCs/>
          <w:noProof/>
          <w:lang w:val="en-US"/>
        </w:rPr>
        <w:t>Journal of Personality and Social Psychology</w:t>
      </w:r>
      <w:r w:rsidRPr="001C025E">
        <w:rPr>
          <w:noProof/>
          <w:lang w:val="en-US"/>
        </w:rPr>
        <w:t xml:space="preserve">, </w:t>
      </w:r>
      <w:r w:rsidRPr="001C025E">
        <w:rPr>
          <w:i/>
          <w:iCs/>
          <w:noProof/>
          <w:lang w:val="en-US"/>
        </w:rPr>
        <w:t>81</w:t>
      </w:r>
      <w:r w:rsidRPr="001C025E">
        <w:rPr>
          <w:noProof/>
          <w:lang w:val="en-US"/>
        </w:rPr>
        <w:t>(1), 116–132. https://doi.org/10.1037/0022-3514.81.1.116</w:t>
      </w:r>
    </w:p>
    <w:p w14:paraId="56DADC8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Anderson, C., Srivastava, S., Beer, J. S., Spataro, S. E., &amp; Chatman, J. A. (2006). Knowing your place: Self-perceptions of status in face-to-face groups. </w:t>
      </w:r>
      <w:r w:rsidRPr="001C025E">
        <w:rPr>
          <w:i/>
          <w:iCs/>
          <w:noProof/>
          <w:lang w:val="en-US"/>
        </w:rPr>
        <w:t>Journal of Personality and Social Psychology</w:t>
      </w:r>
      <w:r w:rsidRPr="001C025E">
        <w:rPr>
          <w:noProof/>
          <w:lang w:val="en-US"/>
        </w:rPr>
        <w:t xml:space="preserve">, </w:t>
      </w:r>
      <w:r w:rsidRPr="001C025E">
        <w:rPr>
          <w:i/>
          <w:iCs/>
          <w:noProof/>
          <w:lang w:val="en-US"/>
        </w:rPr>
        <w:t>91</w:t>
      </w:r>
      <w:r w:rsidRPr="001C025E">
        <w:rPr>
          <w:noProof/>
          <w:lang w:val="en-US"/>
        </w:rPr>
        <w:t>(6), 1094–1110. https://doi.org/10.1037/0022-3514.91.6.1094</w:t>
      </w:r>
    </w:p>
    <w:p w14:paraId="254B574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Anicich, E. M., Swaab, R. I., &amp; Galinsky, A. D. (2015). Hierarchical cultural values predict success and mortality in high-stakes teams. </w:t>
      </w:r>
      <w:r w:rsidRPr="001C025E">
        <w:rPr>
          <w:i/>
          <w:iCs/>
          <w:noProof/>
          <w:lang w:val="en-US"/>
        </w:rPr>
        <w:t>Proceedings of the National Academy of Sciences</w:t>
      </w:r>
      <w:r w:rsidRPr="001C025E">
        <w:rPr>
          <w:noProof/>
          <w:lang w:val="en-US"/>
        </w:rPr>
        <w:t xml:space="preserve">, </w:t>
      </w:r>
      <w:r w:rsidRPr="001C025E">
        <w:rPr>
          <w:i/>
          <w:iCs/>
          <w:noProof/>
          <w:lang w:val="en-US"/>
        </w:rPr>
        <w:t>112</w:t>
      </w:r>
      <w:r w:rsidRPr="001C025E">
        <w:rPr>
          <w:noProof/>
          <w:lang w:val="en-US"/>
        </w:rPr>
        <w:t>(5), 1338–1343. https://doi.org/10.1073/pnas.1408800112</w:t>
      </w:r>
    </w:p>
    <w:p w14:paraId="565FFAA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Argyle, M., &amp; Cook, M. (1976). </w:t>
      </w:r>
      <w:r w:rsidRPr="001C025E">
        <w:rPr>
          <w:i/>
          <w:iCs/>
          <w:noProof/>
          <w:lang w:val="en-US"/>
        </w:rPr>
        <w:t>Gaze and Mutual Gaze</w:t>
      </w:r>
      <w:r w:rsidRPr="001C025E">
        <w:rPr>
          <w:noProof/>
          <w:lang w:val="en-US"/>
        </w:rPr>
        <w:t>. New York: Cambridge.</w:t>
      </w:r>
    </w:p>
    <w:p w14:paraId="3B20044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Austin, E. J. (2005). Personality correlates of the broader autism phenotype as assessed by the Autism Spectrum Quotient (AQ). </w:t>
      </w:r>
      <w:r w:rsidRPr="001C025E">
        <w:rPr>
          <w:i/>
          <w:iCs/>
          <w:noProof/>
          <w:lang w:val="en-US"/>
        </w:rPr>
        <w:t>Personality and Individual Differences</w:t>
      </w:r>
      <w:r w:rsidRPr="001C025E">
        <w:rPr>
          <w:noProof/>
          <w:lang w:val="en-US"/>
        </w:rPr>
        <w:t xml:space="preserve">, </w:t>
      </w:r>
      <w:r w:rsidRPr="001C025E">
        <w:rPr>
          <w:i/>
          <w:iCs/>
          <w:noProof/>
          <w:lang w:val="en-US"/>
        </w:rPr>
        <w:t>38</w:t>
      </w:r>
      <w:r w:rsidRPr="001C025E">
        <w:rPr>
          <w:noProof/>
          <w:lang w:val="en-US"/>
        </w:rPr>
        <w:t>(2), 451–460. https://doi.org/https://doi.org/10.1016/j.paid.2004.04.022</w:t>
      </w:r>
    </w:p>
    <w:p w14:paraId="565009C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Awh, E., Belepolsky, A. V., Theeuwes, J., &amp; Belopolsky, A. V. (2012). Theoretical Dichotomy. </w:t>
      </w:r>
      <w:r w:rsidRPr="001C025E">
        <w:rPr>
          <w:i/>
          <w:iCs/>
          <w:noProof/>
          <w:lang w:val="en-US"/>
        </w:rPr>
        <w:t>Trends in Cognitive Science</w:t>
      </w:r>
      <w:r w:rsidRPr="001C025E">
        <w:rPr>
          <w:noProof/>
          <w:lang w:val="en-US"/>
        </w:rPr>
        <w:t xml:space="preserve">, </w:t>
      </w:r>
      <w:r w:rsidRPr="001C025E">
        <w:rPr>
          <w:i/>
          <w:iCs/>
          <w:noProof/>
          <w:lang w:val="en-US"/>
        </w:rPr>
        <w:t>16</w:t>
      </w:r>
      <w:r w:rsidRPr="001C025E">
        <w:rPr>
          <w:noProof/>
          <w:lang w:val="en-US"/>
        </w:rPr>
        <w:t>(8), 437–443. https://doi.org/10.1016/j.tics.2012.06.010.Top-down</w:t>
      </w:r>
    </w:p>
    <w:p w14:paraId="5794F5A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Back, E. (2019). Inferring Mental States From Dynamic Faces in Adolescents With Autism Spectrum Disorder: Insights From Eye Tracking. </w:t>
      </w:r>
      <w:r w:rsidRPr="001C025E">
        <w:rPr>
          <w:i/>
          <w:iCs/>
          <w:noProof/>
          <w:lang w:val="en-US"/>
        </w:rPr>
        <w:t>Child Development</w:t>
      </w:r>
      <w:r w:rsidRPr="001C025E">
        <w:rPr>
          <w:noProof/>
          <w:lang w:val="en-US"/>
        </w:rPr>
        <w:t xml:space="preserve">, </w:t>
      </w:r>
      <w:r w:rsidRPr="001C025E">
        <w:rPr>
          <w:i/>
          <w:iCs/>
          <w:noProof/>
          <w:lang w:val="en-US"/>
        </w:rPr>
        <w:t>90</w:t>
      </w:r>
      <w:r w:rsidRPr="001C025E">
        <w:rPr>
          <w:noProof/>
          <w:lang w:val="en-US"/>
        </w:rPr>
        <w:t>(5), 1589–1597. https://doi.org/10.1111/cdev.13302</w:t>
      </w:r>
    </w:p>
    <w:p w14:paraId="08A1155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Bailey, M., &amp; Williams, L. R. (2016). Are college students really liberal? An exploration of student political ideology and attitudes toward policies impacting minorities. </w:t>
      </w:r>
      <w:r w:rsidRPr="001C025E">
        <w:rPr>
          <w:i/>
          <w:iCs/>
          <w:noProof/>
          <w:lang w:val="en-US"/>
        </w:rPr>
        <w:t>The Social Science Journal</w:t>
      </w:r>
      <w:r w:rsidRPr="001C025E">
        <w:rPr>
          <w:noProof/>
          <w:lang w:val="en-US"/>
        </w:rPr>
        <w:t xml:space="preserve">, </w:t>
      </w:r>
      <w:r w:rsidRPr="001C025E">
        <w:rPr>
          <w:i/>
          <w:iCs/>
          <w:noProof/>
          <w:lang w:val="en-US"/>
        </w:rPr>
        <w:t>53</w:t>
      </w:r>
      <w:r w:rsidRPr="001C025E">
        <w:rPr>
          <w:noProof/>
          <w:lang w:val="en-US"/>
        </w:rPr>
        <w:t>(3), 309–317. https://doi.org/https://doi.org/10.1016/j.soscij.2016.04.002</w:t>
      </w:r>
    </w:p>
    <w:p w14:paraId="26BD306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Baron-Cohen, S., Richler, J., Bisarya, D., Gurunathan, N., &amp; Wheelwright, S. (2003). The </w:t>
      </w:r>
      <w:r w:rsidRPr="001C025E">
        <w:rPr>
          <w:noProof/>
          <w:lang w:val="en-US"/>
        </w:rPr>
        <w:lastRenderedPageBreak/>
        <w:t xml:space="preserve">systemizing quotient: an investigation of adults with Asperger syndrome or high-functioning autism, and normal sex differences. </w:t>
      </w:r>
      <w:r w:rsidRPr="001C025E">
        <w:rPr>
          <w:i/>
          <w:iCs/>
          <w:noProof/>
          <w:lang w:val="en-US"/>
        </w:rPr>
        <w:t>Philosophical Transactions of the Royal Society of London. Series B, Biological Sciences</w:t>
      </w:r>
      <w:r w:rsidRPr="001C025E">
        <w:rPr>
          <w:noProof/>
          <w:lang w:val="en-US"/>
        </w:rPr>
        <w:t xml:space="preserve">, </w:t>
      </w:r>
      <w:r w:rsidRPr="001C025E">
        <w:rPr>
          <w:i/>
          <w:iCs/>
          <w:noProof/>
          <w:lang w:val="en-US"/>
        </w:rPr>
        <w:t>358</w:t>
      </w:r>
      <w:r w:rsidRPr="001C025E">
        <w:rPr>
          <w:noProof/>
          <w:lang w:val="en-US"/>
        </w:rPr>
        <w:t>(1430), 361–374. https://doi.org/10.1098/rstb.2002.1206</w:t>
      </w:r>
    </w:p>
    <w:p w14:paraId="42F6D24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Baron-Cohen, S., Wheelwright, S., Skinner, R., Martin, J., &amp; Clubley, E. (2001). The Autism Spectrum Quotient : Evidence from Asperger syndrome/high functioning autism, males and females, scientists and mathematicians. </w:t>
      </w:r>
      <w:r w:rsidRPr="001C025E">
        <w:rPr>
          <w:i/>
          <w:iCs/>
          <w:noProof/>
          <w:lang w:val="en-US"/>
        </w:rPr>
        <w:t>Journal of Autism and Developmental Disorders</w:t>
      </w:r>
      <w:r w:rsidRPr="001C025E">
        <w:rPr>
          <w:noProof/>
          <w:lang w:val="en-US"/>
        </w:rPr>
        <w:t xml:space="preserve">, </w:t>
      </w:r>
      <w:r w:rsidRPr="001C025E">
        <w:rPr>
          <w:i/>
          <w:iCs/>
          <w:noProof/>
          <w:lang w:val="en-US"/>
        </w:rPr>
        <w:t>31</w:t>
      </w:r>
      <w:r w:rsidRPr="001C025E">
        <w:rPr>
          <w:noProof/>
          <w:lang w:val="en-US"/>
        </w:rPr>
        <w:t>(1), 5–17. https://doi.org/10.1023/A:1005653411471</w:t>
      </w:r>
    </w:p>
    <w:p w14:paraId="11EDFF7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Baron‐cohen, S., &amp; Cross, P. (1992). Reading the Eyes: Evidence for the Role of Perception in the Development of a Theory of Mind. </w:t>
      </w:r>
      <w:r w:rsidRPr="001C025E">
        <w:rPr>
          <w:i/>
          <w:iCs/>
          <w:noProof/>
          <w:lang w:val="en-US"/>
        </w:rPr>
        <w:t>Mind &amp;amp; Language</w:t>
      </w:r>
      <w:r w:rsidRPr="001C025E">
        <w:rPr>
          <w:noProof/>
          <w:lang w:val="en-US"/>
        </w:rPr>
        <w:t xml:space="preserve">, </w:t>
      </w:r>
      <w:r w:rsidRPr="001C025E">
        <w:rPr>
          <w:i/>
          <w:iCs/>
          <w:noProof/>
          <w:lang w:val="en-US"/>
        </w:rPr>
        <w:t>7</w:t>
      </w:r>
      <w:r w:rsidRPr="001C025E">
        <w:rPr>
          <w:noProof/>
          <w:lang w:val="en-US"/>
        </w:rPr>
        <w:t>(1‐2), 172–186. https://doi.org/10.1111/j.1468-0017.1992.tb00203.x</w:t>
      </w:r>
    </w:p>
    <w:p w14:paraId="726DE32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Baron, R. A., Byrne, D. E., &amp; Byrne, D. (1997). </w:t>
      </w:r>
      <w:r w:rsidRPr="001C025E">
        <w:rPr>
          <w:i/>
          <w:iCs/>
          <w:noProof/>
          <w:lang w:val="en-US"/>
        </w:rPr>
        <w:t>Social Psychology</w:t>
      </w:r>
      <w:r w:rsidRPr="001C025E">
        <w:rPr>
          <w:noProof/>
          <w:lang w:val="en-US"/>
        </w:rPr>
        <w:t>. Allyn and Bacon. https://books.google.com.tr/books?id=W30gAQAAMAAJ</w:t>
      </w:r>
    </w:p>
    <w:p w14:paraId="7CB10D9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BaronCohen, S., Wheelwright, S., &amp; Jolliffe, T. (1997). Is there a “‘language of the eyes’”? Evidence from normal adults, and adults with autism or Asperger Syndrome. </w:t>
      </w:r>
      <w:r w:rsidRPr="001C025E">
        <w:rPr>
          <w:i/>
          <w:iCs/>
          <w:noProof/>
          <w:lang w:val="en-US"/>
        </w:rPr>
        <w:t>Visual Cognition</w:t>
      </w:r>
      <w:r w:rsidRPr="001C025E">
        <w:rPr>
          <w:noProof/>
          <w:lang w:val="en-US"/>
        </w:rPr>
        <w:t xml:space="preserve">, </w:t>
      </w:r>
      <w:r w:rsidRPr="001C025E">
        <w:rPr>
          <w:i/>
          <w:iCs/>
          <w:noProof/>
          <w:lang w:val="en-US"/>
        </w:rPr>
        <w:t>4</w:t>
      </w:r>
      <w:r w:rsidRPr="001C025E">
        <w:rPr>
          <w:noProof/>
          <w:lang w:val="en-US"/>
        </w:rPr>
        <w:t>(3), 311–331. https://doi.org/10.1080/713756761</w:t>
      </w:r>
    </w:p>
    <w:p w14:paraId="2F6418F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Barrett, L., &amp; Henzi, P. (2005). The social nature of primate cognition. </w:t>
      </w:r>
      <w:r w:rsidRPr="001C025E">
        <w:rPr>
          <w:i/>
          <w:iCs/>
          <w:noProof/>
          <w:lang w:val="en-US"/>
        </w:rPr>
        <w:t>Proceedings of the Royal Society B: Biological Sciences</w:t>
      </w:r>
      <w:r w:rsidRPr="001C025E">
        <w:rPr>
          <w:noProof/>
          <w:lang w:val="en-US"/>
        </w:rPr>
        <w:t xml:space="preserve">, </w:t>
      </w:r>
      <w:r w:rsidRPr="001C025E">
        <w:rPr>
          <w:i/>
          <w:iCs/>
          <w:noProof/>
          <w:lang w:val="en-US"/>
        </w:rPr>
        <w:t>272</w:t>
      </w:r>
      <w:r w:rsidRPr="001C025E">
        <w:rPr>
          <w:noProof/>
          <w:lang w:val="en-US"/>
        </w:rPr>
        <w:t>(1575), 1865–1875. https://doi.org/10.1098/rspb.2005.3200</w:t>
      </w:r>
    </w:p>
    <w:p w14:paraId="2E1EF9A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Barrett, L., Henzi, P., &amp; Rendall, D. (2007). Social Brains, Simple Minds: Does Social Complexity Really Require Cognitive Complexity? </w:t>
      </w:r>
      <w:r w:rsidRPr="001C025E">
        <w:rPr>
          <w:i/>
          <w:iCs/>
          <w:noProof/>
          <w:lang w:val="en-US"/>
        </w:rPr>
        <w:t>Philosophical Transactions: Biological Sciences</w:t>
      </w:r>
      <w:r w:rsidRPr="001C025E">
        <w:rPr>
          <w:noProof/>
          <w:lang w:val="en-US"/>
        </w:rPr>
        <w:t xml:space="preserve">, </w:t>
      </w:r>
      <w:r w:rsidRPr="001C025E">
        <w:rPr>
          <w:i/>
          <w:iCs/>
          <w:noProof/>
          <w:lang w:val="en-US"/>
        </w:rPr>
        <w:t>362</w:t>
      </w:r>
      <w:r w:rsidRPr="001C025E">
        <w:rPr>
          <w:noProof/>
          <w:lang w:val="en-US"/>
        </w:rPr>
        <w:t>(1480), 561–575. https://doi.org/10.1098/rstb.2006.1995</w:t>
      </w:r>
    </w:p>
    <w:p w14:paraId="755D26E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Bayliss, A P, Di Pellegrino, G., &amp; Tipper, S. (2005). Sex differences in eye gaze and symbolic cueing of attention. </w:t>
      </w:r>
      <w:r w:rsidRPr="001C025E">
        <w:rPr>
          <w:i/>
          <w:iCs/>
          <w:noProof/>
          <w:lang w:val="en-US"/>
        </w:rPr>
        <w:t>Q. J. Exp. Psychol. Sect A-Hum. Exp. Psychol.</w:t>
      </w:r>
      <w:r w:rsidRPr="001C025E">
        <w:rPr>
          <w:noProof/>
          <w:lang w:val="en-US"/>
        </w:rPr>
        <w:t xml:space="preserve">, </w:t>
      </w:r>
      <w:r w:rsidRPr="001C025E">
        <w:rPr>
          <w:i/>
          <w:iCs/>
          <w:noProof/>
          <w:lang w:val="en-US"/>
        </w:rPr>
        <w:t>58</w:t>
      </w:r>
      <w:r w:rsidRPr="001C025E">
        <w:rPr>
          <w:noProof/>
          <w:lang w:val="en-US"/>
        </w:rPr>
        <w:t>(4), 631–650. https://doi.org/10.1080/02724980443000124</w:t>
      </w:r>
    </w:p>
    <w:p w14:paraId="11AB647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Bayliss, Andrew P., Schuch, S., &amp; Tipper, S. P. (2010). Gaze cueing elicited by emotional faces is influenced by affective context. </w:t>
      </w:r>
      <w:r w:rsidRPr="001C025E">
        <w:rPr>
          <w:i/>
          <w:iCs/>
          <w:noProof/>
          <w:lang w:val="en-US"/>
        </w:rPr>
        <w:t>Visual Cognition</w:t>
      </w:r>
      <w:r w:rsidRPr="001C025E">
        <w:rPr>
          <w:noProof/>
          <w:lang w:val="en-US"/>
        </w:rPr>
        <w:t xml:space="preserve">, </w:t>
      </w:r>
      <w:r w:rsidRPr="001C025E">
        <w:rPr>
          <w:i/>
          <w:iCs/>
          <w:noProof/>
          <w:lang w:val="en-US"/>
        </w:rPr>
        <w:t>18</w:t>
      </w:r>
      <w:r w:rsidRPr="001C025E">
        <w:rPr>
          <w:noProof/>
          <w:lang w:val="en-US"/>
        </w:rPr>
        <w:t>(8), 1214–1232. https://doi.org/10.1080/13506285.2010.484657</w:t>
      </w:r>
    </w:p>
    <w:p w14:paraId="7738C66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Bayliss, Andrew P, Bartlett, J., Naughtin, C. K., &amp; Kritikos, A. (2011). A Direct Link Between Gaze Perception and Social Attention. </w:t>
      </w:r>
      <w:r w:rsidRPr="001C025E">
        <w:rPr>
          <w:i/>
          <w:iCs/>
          <w:noProof/>
          <w:lang w:val="en-US"/>
        </w:rPr>
        <w:t>Journal of Experimental Psychology-Human Perception and Performance</w:t>
      </w:r>
      <w:r w:rsidRPr="001C025E">
        <w:rPr>
          <w:noProof/>
          <w:lang w:val="en-US"/>
        </w:rPr>
        <w:t xml:space="preserve">, </w:t>
      </w:r>
      <w:r w:rsidRPr="001C025E">
        <w:rPr>
          <w:i/>
          <w:iCs/>
          <w:noProof/>
          <w:lang w:val="en-US"/>
        </w:rPr>
        <w:t>37</w:t>
      </w:r>
      <w:r w:rsidRPr="001C025E">
        <w:rPr>
          <w:noProof/>
          <w:lang w:val="en-US"/>
        </w:rPr>
        <w:t>(3), 634–644. https://doi.org/10.1037/a0020559</w:t>
      </w:r>
    </w:p>
    <w:p w14:paraId="5820FDB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Bayliss, Andrew P, &amp; Tipper, S. P. (2005). Gaze and arrow cueing of attention reveals individual differences along the autism spectrum as a function of target context. </w:t>
      </w:r>
      <w:r w:rsidRPr="001C025E">
        <w:rPr>
          <w:i/>
          <w:iCs/>
          <w:noProof/>
          <w:lang w:val="en-US"/>
        </w:rPr>
        <w:t>British Journal of Psychology</w:t>
      </w:r>
      <w:r w:rsidRPr="001C025E">
        <w:rPr>
          <w:noProof/>
          <w:lang w:val="en-US"/>
        </w:rPr>
        <w:t xml:space="preserve">, </w:t>
      </w:r>
      <w:r w:rsidRPr="001C025E">
        <w:rPr>
          <w:i/>
          <w:iCs/>
          <w:noProof/>
          <w:lang w:val="en-US"/>
        </w:rPr>
        <w:t>96</w:t>
      </w:r>
      <w:r w:rsidRPr="001C025E">
        <w:rPr>
          <w:noProof/>
          <w:lang w:val="en-US"/>
        </w:rPr>
        <w:t>(1), 95–114. https://doi.org/10.1348/000712604X15626</w:t>
      </w:r>
    </w:p>
    <w:p w14:paraId="04B33A1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Bayliss, Di Pellegrino, G., &amp; Tipper, S. P. (2004). Orienting of attention via observed eye gaze is head-centred. </w:t>
      </w:r>
      <w:r w:rsidRPr="001C025E">
        <w:rPr>
          <w:i/>
          <w:iCs/>
          <w:noProof/>
          <w:lang w:val="en-US"/>
        </w:rPr>
        <w:t>Cognition</w:t>
      </w:r>
      <w:r w:rsidRPr="001C025E">
        <w:rPr>
          <w:noProof/>
          <w:lang w:val="en-US"/>
        </w:rPr>
        <w:t xml:space="preserve">, </w:t>
      </w:r>
      <w:r w:rsidRPr="001C025E">
        <w:rPr>
          <w:i/>
          <w:iCs/>
          <w:noProof/>
          <w:lang w:val="en-US"/>
        </w:rPr>
        <w:t>94</w:t>
      </w:r>
      <w:r w:rsidRPr="001C025E">
        <w:rPr>
          <w:noProof/>
          <w:lang w:val="en-US"/>
        </w:rPr>
        <w:t>(1), B1. https://doi.org/10.1016/j.cognition.2004.05.002</w:t>
      </w:r>
    </w:p>
    <w:p w14:paraId="6AC7620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Becker, M. (2010). The effectiveness of a gaze cue depends on the facial expression of emotion: Evidence from simultaneous competing cues. </w:t>
      </w:r>
      <w:r w:rsidRPr="001C025E">
        <w:rPr>
          <w:i/>
          <w:iCs/>
          <w:noProof/>
          <w:lang w:val="en-US"/>
        </w:rPr>
        <w:t>Attention, Perception, &amp;amp; Psychophysics</w:t>
      </w:r>
      <w:r w:rsidRPr="001C025E">
        <w:rPr>
          <w:noProof/>
          <w:lang w:val="en-US"/>
        </w:rPr>
        <w:t xml:space="preserve">, </w:t>
      </w:r>
      <w:r w:rsidRPr="001C025E">
        <w:rPr>
          <w:i/>
          <w:iCs/>
          <w:noProof/>
          <w:lang w:val="en-US"/>
        </w:rPr>
        <w:t>72</w:t>
      </w:r>
      <w:r w:rsidRPr="001C025E">
        <w:rPr>
          <w:noProof/>
          <w:lang w:val="en-US"/>
        </w:rPr>
        <w:t>(7), 1814–1824. https://doi.org/10.3758/APP.72.7.1814</w:t>
      </w:r>
    </w:p>
    <w:p w14:paraId="7E09C90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Bendersky, C., &amp; Hays, N. A. (2012). Status Conflict in Groups. </w:t>
      </w:r>
      <w:r w:rsidRPr="001C025E">
        <w:rPr>
          <w:i/>
          <w:iCs/>
          <w:noProof/>
          <w:lang w:val="en-US"/>
        </w:rPr>
        <w:t>Organization Science</w:t>
      </w:r>
      <w:r w:rsidRPr="001C025E">
        <w:rPr>
          <w:noProof/>
          <w:lang w:val="en-US"/>
        </w:rPr>
        <w:t xml:space="preserve">, </w:t>
      </w:r>
      <w:r w:rsidRPr="001C025E">
        <w:rPr>
          <w:i/>
          <w:iCs/>
          <w:noProof/>
          <w:lang w:val="en-US"/>
        </w:rPr>
        <w:t>23</w:t>
      </w:r>
      <w:r w:rsidRPr="001C025E">
        <w:rPr>
          <w:noProof/>
          <w:lang w:val="en-US"/>
        </w:rPr>
        <w:t>(2), 323–340. https://doi.org/10.1287/orsc.1110.0734</w:t>
      </w:r>
    </w:p>
    <w:p w14:paraId="58718A2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Berger, J., Rosenholtz, S. J., &amp; Zelditch, M. (1980). Status Organizing Processes. </w:t>
      </w:r>
      <w:r w:rsidRPr="001C025E">
        <w:rPr>
          <w:i/>
          <w:iCs/>
          <w:noProof/>
          <w:lang w:val="en-US"/>
        </w:rPr>
        <w:t>Annual Review of Sociology</w:t>
      </w:r>
      <w:r w:rsidRPr="001C025E">
        <w:rPr>
          <w:noProof/>
          <w:lang w:val="en-US"/>
        </w:rPr>
        <w:t xml:space="preserve">, </w:t>
      </w:r>
      <w:r w:rsidRPr="001C025E">
        <w:rPr>
          <w:i/>
          <w:iCs/>
          <w:noProof/>
          <w:lang w:val="en-US"/>
        </w:rPr>
        <w:t>6</w:t>
      </w:r>
      <w:r w:rsidRPr="001C025E">
        <w:rPr>
          <w:noProof/>
          <w:lang w:val="en-US"/>
        </w:rPr>
        <w:t>(1), 479–508. https://doi.org/10.1146/annurev.so.06.080180.002403</w:t>
      </w:r>
    </w:p>
    <w:p w14:paraId="16CCC83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Blais, C., Jack, R. E., Scheepers, C., Fiset, D., &amp; Caldara, R. (2008). Culture Shapes How We Look at Faces. </w:t>
      </w:r>
      <w:r w:rsidRPr="001C025E">
        <w:rPr>
          <w:i/>
          <w:iCs/>
          <w:noProof/>
          <w:lang w:val="en-US"/>
        </w:rPr>
        <w:t>Plos One</w:t>
      </w:r>
      <w:r w:rsidRPr="001C025E">
        <w:rPr>
          <w:noProof/>
          <w:lang w:val="en-US"/>
        </w:rPr>
        <w:t xml:space="preserve">, </w:t>
      </w:r>
      <w:r w:rsidRPr="001C025E">
        <w:rPr>
          <w:i/>
          <w:iCs/>
          <w:noProof/>
          <w:lang w:val="en-US"/>
        </w:rPr>
        <w:t>3</w:t>
      </w:r>
      <w:r w:rsidRPr="001C025E">
        <w:rPr>
          <w:noProof/>
          <w:lang w:val="en-US"/>
        </w:rPr>
        <w:t>(8). https://doi.org/10.1371/journal.pone.0003022</w:t>
      </w:r>
    </w:p>
    <w:p w14:paraId="4929B09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Blau, P. M. (1964). Justice in Social Exchange. </w:t>
      </w:r>
      <w:r w:rsidRPr="001C025E">
        <w:rPr>
          <w:i/>
          <w:iCs/>
          <w:noProof/>
          <w:lang w:val="en-US"/>
        </w:rPr>
        <w:t>Sociological Inquiry</w:t>
      </w:r>
      <w:r w:rsidRPr="001C025E">
        <w:rPr>
          <w:noProof/>
          <w:lang w:val="en-US"/>
        </w:rPr>
        <w:t xml:space="preserve">, </w:t>
      </w:r>
      <w:r w:rsidRPr="001C025E">
        <w:rPr>
          <w:i/>
          <w:iCs/>
          <w:noProof/>
          <w:lang w:val="en-US"/>
        </w:rPr>
        <w:t>34</w:t>
      </w:r>
      <w:r w:rsidRPr="001C025E">
        <w:rPr>
          <w:noProof/>
          <w:lang w:val="en-US"/>
        </w:rPr>
        <w:t>(2), 193–206. https://doi.org/10.1111/j.1475-682X.1964.tb00583.x</w:t>
      </w:r>
    </w:p>
    <w:p w14:paraId="5F69273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Bowler, D. M., Briskman, J., Gurvidi, N., &amp; Fornells-Ambrojo, M. (2005). Understanding the Mind or Predicting Signal-Dependent Action? Performance of Children With and Without Autism on Analogues of the False-Belief Task. </w:t>
      </w:r>
      <w:r w:rsidRPr="001C025E">
        <w:rPr>
          <w:i/>
          <w:iCs/>
          <w:noProof/>
          <w:lang w:val="en-US"/>
        </w:rPr>
        <w:t>Journal of Cognition and Development</w:t>
      </w:r>
      <w:r w:rsidRPr="001C025E">
        <w:rPr>
          <w:noProof/>
          <w:lang w:val="en-US"/>
        </w:rPr>
        <w:t xml:space="preserve">, </w:t>
      </w:r>
      <w:r w:rsidRPr="001C025E">
        <w:rPr>
          <w:i/>
          <w:iCs/>
          <w:noProof/>
          <w:lang w:val="en-US"/>
        </w:rPr>
        <w:t>6</w:t>
      </w:r>
      <w:r w:rsidRPr="001C025E">
        <w:rPr>
          <w:noProof/>
          <w:lang w:val="en-US"/>
        </w:rPr>
        <w:t>(2), 259–283. https://doi.org/10.1207/s15327647jcd0602_5</w:t>
      </w:r>
    </w:p>
    <w:p w14:paraId="60123AF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Bristow, D., Rees, G., &amp; Frith, C. D. (2007). Social interaction modifies neural response to </w:t>
      </w:r>
      <w:r w:rsidRPr="001C025E">
        <w:rPr>
          <w:noProof/>
          <w:lang w:val="en-US"/>
        </w:rPr>
        <w:lastRenderedPageBreak/>
        <w:t xml:space="preserve">gaze shifts. </w:t>
      </w:r>
      <w:r w:rsidRPr="001C025E">
        <w:rPr>
          <w:i/>
          <w:iCs/>
          <w:noProof/>
          <w:lang w:val="en-US"/>
        </w:rPr>
        <w:t>Social Cognitive and Affective Neuroscience</w:t>
      </w:r>
      <w:r w:rsidRPr="001C025E">
        <w:rPr>
          <w:noProof/>
          <w:lang w:val="en-US"/>
        </w:rPr>
        <w:t xml:space="preserve">, </w:t>
      </w:r>
      <w:r w:rsidRPr="001C025E">
        <w:rPr>
          <w:i/>
          <w:iCs/>
          <w:noProof/>
          <w:lang w:val="en-US"/>
        </w:rPr>
        <w:t>2</w:t>
      </w:r>
      <w:r w:rsidRPr="001C025E">
        <w:rPr>
          <w:noProof/>
          <w:lang w:val="en-US"/>
        </w:rPr>
        <w:t>(1), 52–61. https://doi.org/10.1093/scan/nsl036</w:t>
      </w:r>
    </w:p>
    <w:p w14:paraId="366C718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Brosnan, M., Ashwin, C., Walker, I., &amp; Donaghue, J. (2010). Can an ‘Extreme Female Brain’ be characterised in terms of psychosis? </w:t>
      </w:r>
      <w:r w:rsidRPr="001C025E">
        <w:rPr>
          <w:i/>
          <w:iCs/>
          <w:noProof/>
          <w:lang w:val="en-US"/>
        </w:rPr>
        <w:t>Personality and Individual Differences</w:t>
      </w:r>
      <w:r w:rsidRPr="001C025E">
        <w:rPr>
          <w:noProof/>
          <w:lang w:val="en-US"/>
        </w:rPr>
        <w:t xml:space="preserve">, </w:t>
      </w:r>
      <w:r w:rsidRPr="001C025E">
        <w:rPr>
          <w:i/>
          <w:iCs/>
          <w:noProof/>
          <w:lang w:val="en-US"/>
        </w:rPr>
        <w:t>49</w:t>
      </w:r>
      <w:r w:rsidRPr="001C025E">
        <w:rPr>
          <w:noProof/>
          <w:lang w:val="en-US"/>
        </w:rPr>
        <w:t>(7), 738–742. https://doi.org/https://doi.org/10.1016/j.paid.2010.06.018</w:t>
      </w:r>
    </w:p>
    <w:p w14:paraId="794C9F3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Brothers, L. (1990). The neural basis of primate social communication. </w:t>
      </w:r>
      <w:r w:rsidRPr="001C025E">
        <w:rPr>
          <w:i/>
          <w:iCs/>
          <w:noProof/>
          <w:lang w:val="en-US"/>
        </w:rPr>
        <w:t>Motivation and Emotion</w:t>
      </w:r>
      <w:r w:rsidRPr="001C025E">
        <w:rPr>
          <w:noProof/>
          <w:lang w:val="en-US"/>
        </w:rPr>
        <w:t xml:space="preserve">, </w:t>
      </w:r>
      <w:r w:rsidRPr="001C025E">
        <w:rPr>
          <w:i/>
          <w:iCs/>
          <w:noProof/>
          <w:lang w:val="en-US"/>
        </w:rPr>
        <w:t>14</w:t>
      </w:r>
      <w:r w:rsidRPr="001C025E">
        <w:rPr>
          <w:noProof/>
          <w:lang w:val="en-US"/>
        </w:rPr>
        <w:t>(2), 81–91. https://doi.org/10.1007/BF00991637</w:t>
      </w:r>
    </w:p>
    <w:p w14:paraId="0B85B46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Brothers, L. (2002). The social brain: a project for integrating primate behavior and neurophysiology in a new domain. </w:t>
      </w:r>
      <w:r w:rsidRPr="001C025E">
        <w:rPr>
          <w:i/>
          <w:iCs/>
          <w:noProof/>
          <w:lang w:val="en-US"/>
        </w:rPr>
        <w:t>Foundations in Social Neuroscience</w:t>
      </w:r>
      <w:r w:rsidRPr="001C025E">
        <w:rPr>
          <w:noProof/>
          <w:lang w:val="en-US"/>
        </w:rPr>
        <w:t>, 367–385.</w:t>
      </w:r>
    </w:p>
    <w:p w14:paraId="2367047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Bruner, J. S. (1957). On perceptual readiness. In </w:t>
      </w:r>
      <w:r w:rsidRPr="001C025E">
        <w:rPr>
          <w:i/>
          <w:iCs/>
          <w:noProof/>
          <w:lang w:val="en-US"/>
        </w:rPr>
        <w:t>Psychological Review</w:t>
      </w:r>
      <w:r w:rsidRPr="001C025E">
        <w:rPr>
          <w:noProof/>
          <w:lang w:val="en-US"/>
        </w:rPr>
        <w:t xml:space="preserve"> (Vol. 64, Issue 2). American Psychological Association. https://doi.org/10.1037/h0043805</w:t>
      </w:r>
    </w:p>
    <w:p w14:paraId="4223781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Burger, J., Gochfeld, M., &amp; Murray, B. G. (1992). Risk Discrimination of Eye Contact and Directness of Approach in Black Iguanas ( Ctenosaura similis ). </w:t>
      </w:r>
      <w:r w:rsidRPr="001C025E">
        <w:rPr>
          <w:i/>
          <w:iCs/>
          <w:noProof/>
          <w:lang w:val="en-US"/>
        </w:rPr>
        <w:t>Journal of Comparative Psychology</w:t>
      </w:r>
      <w:r w:rsidRPr="001C025E">
        <w:rPr>
          <w:noProof/>
          <w:lang w:val="en-US"/>
        </w:rPr>
        <w:t xml:space="preserve">, </w:t>
      </w:r>
      <w:r w:rsidRPr="001C025E">
        <w:rPr>
          <w:i/>
          <w:iCs/>
          <w:noProof/>
          <w:lang w:val="en-US"/>
        </w:rPr>
        <w:t>106</w:t>
      </w:r>
      <w:r w:rsidRPr="001C025E">
        <w:rPr>
          <w:noProof/>
          <w:lang w:val="en-US"/>
        </w:rPr>
        <w:t>(1), 97–101. https://doi.org/10.1037/0735-7036.106.1.97</w:t>
      </w:r>
    </w:p>
    <w:p w14:paraId="65C3C86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Calder, A., Beaver, J. D., Winston, J., Dolan, R., Jenkins, R., Eger, E., &amp; Henson, R. N. A. (2007). Separate coding of different gaze directions in the superior temporal sulcus and inferior parietal lobule. </w:t>
      </w:r>
      <w:r w:rsidRPr="001C025E">
        <w:rPr>
          <w:i/>
          <w:iCs/>
          <w:noProof/>
          <w:lang w:val="en-US"/>
        </w:rPr>
        <w:t>Curr. Biol.</w:t>
      </w:r>
      <w:r w:rsidRPr="001C025E">
        <w:rPr>
          <w:noProof/>
          <w:lang w:val="en-US"/>
        </w:rPr>
        <w:t xml:space="preserve">, </w:t>
      </w:r>
      <w:r w:rsidRPr="001C025E">
        <w:rPr>
          <w:i/>
          <w:iCs/>
          <w:noProof/>
          <w:lang w:val="en-US"/>
        </w:rPr>
        <w:t>17</w:t>
      </w:r>
      <w:r w:rsidRPr="001C025E">
        <w:rPr>
          <w:noProof/>
          <w:lang w:val="en-US"/>
        </w:rPr>
        <w:t>(1), 20–25. https://doi.org/10.1016/j.cub.2006.10.052</w:t>
      </w:r>
    </w:p>
    <w:p w14:paraId="22ECD9E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Calder, A. J., Lawrence, A. D., Keane, J., Scott, S. K., Owen, A. M., Christoffels, I., &amp; Young, A. W. (2002). Reading the mind from eye gaze. </w:t>
      </w:r>
      <w:r w:rsidRPr="001C025E">
        <w:rPr>
          <w:i/>
          <w:iCs/>
          <w:noProof/>
          <w:lang w:val="en-US"/>
        </w:rPr>
        <w:t>Neuropsychologia</w:t>
      </w:r>
      <w:r w:rsidRPr="001C025E">
        <w:rPr>
          <w:noProof/>
          <w:lang w:val="en-US"/>
        </w:rPr>
        <w:t xml:space="preserve">, </w:t>
      </w:r>
      <w:r w:rsidRPr="001C025E">
        <w:rPr>
          <w:i/>
          <w:iCs/>
          <w:noProof/>
          <w:lang w:val="en-US"/>
        </w:rPr>
        <w:t>40</w:t>
      </w:r>
      <w:r w:rsidRPr="001C025E">
        <w:rPr>
          <w:noProof/>
          <w:lang w:val="en-US"/>
        </w:rPr>
        <w:t>(8), 1129–1138. https://doi.org/10.1016/S0028-3932(02)00008-8</w:t>
      </w:r>
    </w:p>
    <w:p w14:paraId="7370911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Capozzi, F., Bayliss, A., Elena, M., &amp; Becchio, C. (2015). One is not enough: Group size modulates social gaze-induced object desirability effects. </w:t>
      </w:r>
      <w:r w:rsidRPr="001C025E">
        <w:rPr>
          <w:i/>
          <w:iCs/>
          <w:noProof/>
          <w:lang w:val="en-US"/>
        </w:rPr>
        <w:t>Psychon Bull Rev</w:t>
      </w:r>
      <w:r w:rsidRPr="001C025E">
        <w:rPr>
          <w:noProof/>
          <w:lang w:val="en-US"/>
        </w:rPr>
        <w:t xml:space="preserve">, </w:t>
      </w:r>
      <w:r w:rsidRPr="001C025E">
        <w:rPr>
          <w:i/>
          <w:iCs/>
          <w:noProof/>
          <w:lang w:val="en-US"/>
        </w:rPr>
        <w:t>22</w:t>
      </w:r>
      <w:r w:rsidRPr="001C025E">
        <w:rPr>
          <w:noProof/>
          <w:lang w:val="en-US"/>
        </w:rPr>
        <w:t>(3), 850–855. https://doi.org/10.3758/s13423-014-0717-z</w:t>
      </w:r>
    </w:p>
    <w:p w14:paraId="407B0A3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Capozzi, F., Becchio, C., Willemse, C., &amp; Bayliss, A. P. (2016). Followers Are Not Followed: Observed Group Interactions Modulate Subsequent Social Attention. </w:t>
      </w:r>
      <w:r w:rsidRPr="001C025E">
        <w:rPr>
          <w:i/>
          <w:iCs/>
          <w:noProof/>
          <w:lang w:val="en-US"/>
        </w:rPr>
        <w:t>Journal of Experimental Psychology: General</w:t>
      </w:r>
      <w:r w:rsidRPr="001C025E">
        <w:rPr>
          <w:noProof/>
          <w:lang w:val="en-US"/>
        </w:rPr>
        <w:t>. https://doi.org/10.1037/xge0000167</w:t>
      </w:r>
    </w:p>
    <w:p w14:paraId="4B4347A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Carraro, L., Dalmaso, M., Castelli, L., Galfano, G., Bobbio, A., &amp; Mantovani, G. (2017). </w:t>
      </w:r>
      <w:r w:rsidRPr="001C025E">
        <w:rPr>
          <w:noProof/>
          <w:lang w:val="en-US"/>
        </w:rPr>
        <w:lastRenderedPageBreak/>
        <w:t xml:space="preserve">The appeal of the devil’s eye: social evaluation affects social attention. </w:t>
      </w:r>
      <w:r w:rsidRPr="001C025E">
        <w:rPr>
          <w:i/>
          <w:iCs/>
          <w:noProof/>
          <w:lang w:val="en-US"/>
        </w:rPr>
        <w:t>Cognitive Processing</w:t>
      </w:r>
      <w:r w:rsidRPr="001C025E">
        <w:rPr>
          <w:noProof/>
          <w:lang w:val="en-US"/>
        </w:rPr>
        <w:t xml:space="preserve">, </w:t>
      </w:r>
      <w:r w:rsidRPr="001C025E">
        <w:rPr>
          <w:i/>
          <w:iCs/>
          <w:noProof/>
          <w:lang w:val="en-US"/>
        </w:rPr>
        <w:t>18</w:t>
      </w:r>
      <w:r w:rsidRPr="001C025E">
        <w:rPr>
          <w:noProof/>
          <w:lang w:val="en-US"/>
        </w:rPr>
        <w:t>(1), 97–103. https://doi.org/10.1007/s10339-016-0785-2</w:t>
      </w:r>
    </w:p>
    <w:p w14:paraId="6F1FC40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Carrasco, M. (2011). Visual attention: The past 25 years. </w:t>
      </w:r>
      <w:r w:rsidRPr="001C025E">
        <w:rPr>
          <w:i/>
          <w:iCs/>
          <w:noProof/>
          <w:lang w:val="en-US"/>
        </w:rPr>
        <w:t>Vision Research</w:t>
      </w:r>
      <w:r w:rsidRPr="001C025E">
        <w:rPr>
          <w:noProof/>
          <w:lang w:val="en-US"/>
        </w:rPr>
        <w:t xml:space="preserve">, </w:t>
      </w:r>
      <w:r w:rsidRPr="001C025E">
        <w:rPr>
          <w:i/>
          <w:iCs/>
          <w:noProof/>
          <w:lang w:val="en-US"/>
        </w:rPr>
        <w:t>51</w:t>
      </w:r>
      <w:r w:rsidRPr="001C025E">
        <w:rPr>
          <w:noProof/>
          <w:lang w:val="en-US"/>
        </w:rPr>
        <w:t>(13), 1484–1525. https://doi.org/10.1016/j.visres.2011.04.012</w:t>
      </w:r>
    </w:p>
    <w:p w14:paraId="30B11B6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Caruso, E. M., Mead, N. L., &amp; Balcetis, E. (2009). Political partisanship influences perception of biracial candidates’ skin tone. </w:t>
      </w:r>
      <w:r w:rsidRPr="001C025E">
        <w:rPr>
          <w:i/>
          <w:iCs/>
          <w:noProof/>
          <w:lang w:val="en-US"/>
        </w:rPr>
        <w:t>Proceedings of the National Academy of Sciences of the United States of America</w:t>
      </w:r>
      <w:r w:rsidRPr="001C025E">
        <w:rPr>
          <w:noProof/>
          <w:lang w:val="en-US"/>
        </w:rPr>
        <w:t xml:space="preserve">, </w:t>
      </w:r>
      <w:r w:rsidRPr="001C025E">
        <w:rPr>
          <w:i/>
          <w:iCs/>
          <w:noProof/>
          <w:lang w:val="en-US"/>
        </w:rPr>
        <w:t>106</w:t>
      </w:r>
      <w:r w:rsidRPr="001C025E">
        <w:rPr>
          <w:noProof/>
          <w:lang w:val="en-US"/>
        </w:rPr>
        <w:t>(48), 20168–20173. https://doi.org/10.1073/pnas.0905362106</w:t>
      </w:r>
    </w:p>
    <w:p w14:paraId="157477C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Castelli, L., Zogmaister, C., Smith, E. R., &amp; Arcuri, L. (2004). On the Automatic Evaluation of Social Exemplars. </w:t>
      </w:r>
      <w:r w:rsidRPr="001C025E">
        <w:rPr>
          <w:i/>
          <w:iCs/>
          <w:noProof/>
          <w:lang w:val="en-US"/>
        </w:rPr>
        <w:t>Journal of Personality and Social Psychology</w:t>
      </w:r>
      <w:r w:rsidRPr="001C025E">
        <w:rPr>
          <w:noProof/>
          <w:lang w:val="en-US"/>
        </w:rPr>
        <w:t xml:space="preserve">, </w:t>
      </w:r>
      <w:r w:rsidRPr="001C025E">
        <w:rPr>
          <w:i/>
          <w:iCs/>
          <w:noProof/>
          <w:lang w:val="en-US"/>
        </w:rPr>
        <w:t>86</w:t>
      </w:r>
      <w:r w:rsidRPr="001C025E">
        <w:rPr>
          <w:noProof/>
          <w:lang w:val="en-US"/>
        </w:rPr>
        <w:t>(3), 373–387. https://doi.org/10.1037/0022-3514.86.3.373</w:t>
      </w:r>
    </w:p>
    <w:p w14:paraId="302342A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Cazzato, V., Liuzza, M. T., Caprara, G. V., Macaluso, E., &amp; Aglioti, S. M. (2015). The attracting power of the gaze of politicians is modulated by the personality and ideological attitude of their voters: a functional magnetic resonance imaging study. </w:t>
      </w:r>
      <w:r w:rsidRPr="001C025E">
        <w:rPr>
          <w:i/>
          <w:iCs/>
          <w:noProof/>
          <w:lang w:val="en-US"/>
        </w:rPr>
        <w:t>European Journal of Neuroscience</w:t>
      </w:r>
      <w:r w:rsidRPr="001C025E">
        <w:rPr>
          <w:noProof/>
          <w:lang w:val="en-US"/>
        </w:rPr>
        <w:t xml:space="preserve">, </w:t>
      </w:r>
      <w:r w:rsidRPr="001C025E">
        <w:rPr>
          <w:i/>
          <w:iCs/>
          <w:noProof/>
          <w:lang w:val="en-US"/>
        </w:rPr>
        <w:t>42</w:t>
      </w:r>
      <w:r w:rsidRPr="001C025E">
        <w:rPr>
          <w:noProof/>
          <w:lang w:val="en-US"/>
        </w:rPr>
        <w:t>(8), 2534–2545. https://doi.org/10.1111/ejn.13038</w:t>
      </w:r>
    </w:p>
    <w:p w14:paraId="53C150E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Chaminade, T., &amp; Okka, M. (2013). Comparing the effect of humanoid and human face for the spatial orientation of attention   . In </w:t>
      </w:r>
      <w:r w:rsidRPr="001C025E">
        <w:rPr>
          <w:i/>
          <w:iCs/>
          <w:noProof/>
          <w:lang w:val="en-US"/>
        </w:rPr>
        <w:t xml:space="preserve">Frontiers in Neurorobotics  </w:t>
      </w:r>
      <w:r w:rsidRPr="001C025E">
        <w:rPr>
          <w:noProof/>
          <w:lang w:val="en-US"/>
        </w:rPr>
        <w:t xml:space="preserve"> (Vol. 7, p. 12). http://journal.frontiersin.org/article/10.3389/fnbot.2013.00012</w:t>
      </w:r>
    </w:p>
    <w:p w14:paraId="3A49329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Chance, M. R. A. (1967). Attention Structure as the Basis of Primate Rank Orders. </w:t>
      </w:r>
      <w:r w:rsidRPr="001C025E">
        <w:rPr>
          <w:i/>
          <w:iCs/>
          <w:noProof/>
          <w:lang w:val="en-US"/>
        </w:rPr>
        <w:t>Man</w:t>
      </w:r>
      <w:r w:rsidRPr="001C025E">
        <w:rPr>
          <w:noProof/>
          <w:lang w:val="en-US"/>
        </w:rPr>
        <w:t xml:space="preserve">, </w:t>
      </w:r>
      <w:r w:rsidRPr="001C025E">
        <w:rPr>
          <w:i/>
          <w:iCs/>
          <w:noProof/>
          <w:lang w:val="en-US"/>
        </w:rPr>
        <w:t>2</w:t>
      </w:r>
      <w:r w:rsidRPr="001C025E">
        <w:rPr>
          <w:noProof/>
          <w:lang w:val="en-US"/>
        </w:rPr>
        <w:t>(4), 503–518. https://doi.org/10.2307/2799336</w:t>
      </w:r>
    </w:p>
    <w:p w14:paraId="2525A23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Chase, I. D., Tovey, C., Spangler-Martin, D., &amp; Manfredonia, M. (2002). Individual differences versus social dynamics in the formation of animal dominance hierarchies. </w:t>
      </w:r>
      <w:r w:rsidRPr="001C025E">
        <w:rPr>
          <w:i/>
          <w:iCs/>
          <w:noProof/>
          <w:lang w:val="en-US"/>
        </w:rPr>
        <w:t>Proceedings of the National Academy of Sciences</w:t>
      </w:r>
      <w:r w:rsidRPr="001C025E">
        <w:rPr>
          <w:noProof/>
          <w:lang w:val="en-US"/>
        </w:rPr>
        <w:t xml:space="preserve">, </w:t>
      </w:r>
      <w:r w:rsidRPr="001C025E">
        <w:rPr>
          <w:i/>
          <w:iCs/>
          <w:noProof/>
          <w:lang w:val="en-US"/>
        </w:rPr>
        <w:t>99</w:t>
      </w:r>
      <w:r w:rsidRPr="001C025E">
        <w:rPr>
          <w:noProof/>
          <w:lang w:val="en-US"/>
        </w:rPr>
        <w:t>(8), 5744–5749. https://doi.org/10.1073/pnas.082104199</w:t>
      </w:r>
    </w:p>
    <w:p w14:paraId="2FCC108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Chauhan, V., Visconti di Oleggio Castello, M., Soltani, A., &amp; Gobbini, M. I. (2017). Social Saliency of the Cue Slows Attention Shifts. </w:t>
      </w:r>
      <w:r w:rsidRPr="001C025E">
        <w:rPr>
          <w:i/>
          <w:iCs/>
          <w:noProof/>
          <w:lang w:val="en-US"/>
        </w:rPr>
        <w:t>Frontiers in Psychology</w:t>
      </w:r>
      <w:r w:rsidRPr="001C025E">
        <w:rPr>
          <w:noProof/>
          <w:lang w:val="en-US"/>
        </w:rPr>
        <w:t xml:space="preserve">, </w:t>
      </w:r>
      <w:r w:rsidRPr="001C025E">
        <w:rPr>
          <w:i/>
          <w:iCs/>
          <w:noProof/>
          <w:lang w:val="en-US"/>
        </w:rPr>
        <w:t>8</w:t>
      </w:r>
      <w:r w:rsidRPr="001C025E">
        <w:rPr>
          <w:noProof/>
          <w:lang w:val="en-US"/>
        </w:rPr>
        <w:t>(MAY), 1–11. https://doi.org/10.3389/fpsyg.2017.00738</w:t>
      </w:r>
    </w:p>
    <w:p w14:paraId="42A23BD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Chen, Y., &amp; Zhao, Y. (2015). Intergroup threat gates social attention in humans. </w:t>
      </w:r>
      <w:r w:rsidRPr="001C025E">
        <w:rPr>
          <w:i/>
          <w:iCs/>
          <w:noProof/>
          <w:lang w:val="en-US"/>
        </w:rPr>
        <w:t>Biology Letters</w:t>
      </w:r>
      <w:r w:rsidRPr="001C025E">
        <w:rPr>
          <w:noProof/>
          <w:lang w:val="en-US"/>
        </w:rPr>
        <w:t xml:space="preserve">, </w:t>
      </w:r>
      <w:r w:rsidRPr="001C025E">
        <w:rPr>
          <w:i/>
          <w:iCs/>
          <w:noProof/>
          <w:lang w:val="en-US"/>
        </w:rPr>
        <w:t>11</w:t>
      </w:r>
      <w:r w:rsidRPr="001C025E">
        <w:rPr>
          <w:noProof/>
          <w:lang w:val="en-US"/>
        </w:rPr>
        <w:t>(2). https://doi.org/10.1098/rsbl.2014.1055</w:t>
      </w:r>
    </w:p>
    <w:p w14:paraId="64DEA78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Chen, Y., Zhao, Y., Song, H., Guan, L., &amp; Wu, X. (2017). The neural basis of intergroup threat effect on social attention. </w:t>
      </w:r>
      <w:r w:rsidRPr="001C025E">
        <w:rPr>
          <w:i/>
          <w:iCs/>
          <w:noProof/>
          <w:lang w:val="en-US"/>
        </w:rPr>
        <w:t>Scientific Reports</w:t>
      </w:r>
      <w:r w:rsidRPr="001C025E">
        <w:rPr>
          <w:noProof/>
          <w:lang w:val="en-US"/>
        </w:rPr>
        <w:t xml:space="preserve">, </w:t>
      </w:r>
      <w:r w:rsidRPr="001C025E">
        <w:rPr>
          <w:i/>
          <w:iCs/>
          <w:noProof/>
          <w:lang w:val="en-US"/>
        </w:rPr>
        <w:t>7</w:t>
      </w:r>
      <w:r w:rsidRPr="001C025E">
        <w:rPr>
          <w:noProof/>
          <w:lang w:val="en-US"/>
        </w:rPr>
        <w:t>(June 2016), 1–12. https://doi.org/10.1038/srep41062</w:t>
      </w:r>
    </w:p>
    <w:p w14:paraId="4CCDF2F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Cheng, J. T., Tracy, J. L., Foulsham, T., Kingstone, A., &amp; Henrich, J. (2013). Two ways to the top: Evidence that dominance and prestige are distinct yet viable avenues to social rank and influence. </w:t>
      </w:r>
      <w:r w:rsidRPr="001C025E">
        <w:rPr>
          <w:i/>
          <w:iCs/>
          <w:noProof/>
          <w:lang w:val="en-US"/>
        </w:rPr>
        <w:t>Journal of Personality and Social Psychology</w:t>
      </w:r>
      <w:r w:rsidRPr="001C025E">
        <w:rPr>
          <w:noProof/>
          <w:lang w:val="en-US"/>
        </w:rPr>
        <w:t xml:space="preserve">, </w:t>
      </w:r>
      <w:r w:rsidRPr="001C025E">
        <w:rPr>
          <w:i/>
          <w:iCs/>
          <w:noProof/>
          <w:lang w:val="en-US"/>
        </w:rPr>
        <w:t>104</w:t>
      </w:r>
      <w:r w:rsidRPr="001C025E">
        <w:rPr>
          <w:noProof/>
          <w:lang w:val="en-US"/>
        </w:rPr>
        <w:t>(1), 103–125. https://doi.org/10.1037/a0030398</w:t>
      </w:r>
    </w:p>
    <w:p w14:paraId="13EF7A9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Ciardo, F., Marino, B. F. M., Actis-Grosso, R., Rossetti, A., &amp; Ricciardelli, P. (2014). Face age modulates gaze following in young adults. </w:t>
      </w:r>
      <w:r w:rsidRPr="001C025E">
        <w:rPr>
          <w:i/>
          <w:iCs/>
          <w:noProof/>
          <w:lang w:val="en-US"/>
        </w:rPr>
        <w:t>Scientific Reports</w:t>
      </w:r>
      <w:r w:rsidRPr="001C025E">
        <w:rPr>
          <w:noProof/>
          <w:lang w:val="en-US"/>
        </w:rPr>
        <w:t xml:space="preserve">, </w:t>
      </w:r>
      <w:r w:rsidRPr="001C025E">
        <w:rPr>
          <w:i/>
          <w:iCs/>
          <w:noProof/>
          <w:lang w:val="en-US"/>
        </w:rPr>
        <w:t>4</w:t>
      </w:r>
      <w:r w:rsidRPr="001C025E">
        <w:rPr>
          <w:noProof/>
          <w:lang w:val="en-US"/>
        </w:rPr>
        <w:t>(1), 4746. https://doi.org/10.1038/srep04746</w:t>
      </w:r>
    </w:p>
    <w:p w14:paraId="653E28C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Ciardo, F., Ricciardelli, P., Lugli, L., Rubichi, S., &amp; Iani, C. (2015). Eyes keep watch over you! Competition enhances joint attention in females. </w:t>
      </w:r>
      <w:r w:rsidRPr="001C025E">
        <w:rPr>
          <w:i/>
          <w:iCs/>
          <w:noProof/>
          <w:lang w:val="en-US"/>
        </w:rPr>
        <w:t>Acta Psychologica</w:t>
      </w:r>
      <w:r w:rsidRPr="001C025E">
        <w:rPr>
          <w:noProof/>
          <w:lang w:val="en-US"/>
        </w:rPr>
        <w:t xml:space="preserve">, </w:t>
      </w:r>
      <w:r w:rsidRPr="001C025E">
        <w:rPr>
          <w:i/>
          <w:iCs/>
          <w:noProof/>
          <w:lang w:val="en-US"/>
        </w:rPr>
        <w:t>160</w:t>
      </w:r>
      <w:r w:rsidRPr="001C025E">
        <w:rPr>
          <w:noProof/>
          <w:lang w:val="en-US"/>
        </w:rPr>
        <w:t>, 170–177. https://doi.org/10.1016/j.actpsy.2015.07.013</w:t>
      </w:r>
    </w:p>
    <w:p w14:paraId="1CAE354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Cohen, A. S., Sasaki, J. Y., &amp; German, T. C. (2015). Specialized mechanisms for theory of mind: Are mental representations special because they are mental or because they are representations? </w:t>
      </w:r>
      <w:r w:rsidRPr="001C025E">
        <w:rPr>
          <w:i/>
          <w:iCs/>
          <w:noProof/>
          <w:lang w:val="en-US"/>
        </w:rPr>
        <w:t>Cognition</w:t>
      </w:r>
      <w:r w:rsidRPr="001C025E">
        <w:rPr>
          <w:noProof/>
          <w:lang w:val="en-US"/>
        </w:rPr>
        <w:t xml:space="preserve">, </w:t>
      </w:r>
      <w:r w:rsidRPr="001C025E">
        <w:rPr>
          <w:i/>
          <w:iCs/>
          <w:noProof/>
          <w:lang w:val="en-US"/>
        </w:rPr>
        <w:t>136</w:t>
      </w:r>
      <w:r w:rsidRPr="001C025E">
        <w:rPr>
          <w:noProof/>
          <w:lang w:val="en-US"/>
        </w:rPr>
        <w:t>, 49–63. https://doi.org/10.1016/j.cognition.2014.11.016</w:t>
      </w:r>
    </w:p>
    <w:p w14:paraId="623FA5D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Cohen, A. S., Sasaki, J. Y., German, T. C., &amp; Kim, H. S. (2017). Automatic Mechanisms for Social Attention Are Culturally Penetrable. </w:t>
      </w:r>
      <w:r w:rsidRPr="001C025E">
        <w:rPr>
          <w:i/>
          <w:iCs/>
          <w:noProof/>
          <w:lang w:val="en-US"/>
        </w:rPr>
        <w:t>Cognitive Science</w:t>
      </w:r>
      <w:r w:rsidRPr="001C025E">
        <w:rPr>
          <w:noProof/>
          <w:lang w:val="en-US"/>
        </w:rPr>
        <w:t xml:space="preserve">, </w:t>
      </w:r>
      <w:r w:rsidRPr="001C025E">
        <w:rPr>
          <w:i/>
          <w:iCs/>
          <w:noProof/>
          <w:lang w:val="en-US"/>
        </w:rPr>
        <w:t>41</w:t>
      </w:r>
      <w:r w:rsidRPr="001C025E">
        <w:rPr>
          <w:noProof/>
          <w:lang w:val="en-US"/>
        </w:rPr>
        <w:t>(1), 242–258. https://doi.org/10.1111/cogs.12329</w:t>
      </w:r>
    </w:p>
    <w:p w14:paraId="3ECACF6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Constantino, J. N., &amp; Todd, R. D. (2003). Autistic traits in the general population: a twin study. </w:t>
      </w:r>
      <w:r w:rsidRPr="001C025E">
        <w:rPr>
          <w:i/>
          <w:iCs/>
          <w:noProof/>
          <w:lang w:val="en-US"/>
        </w:rPr>
        <w:t>Archives of General Psychiatry</w:t>
      </w:r>
      <w:r w:rsidRPr="001C025E">
        <w:rPr>
          <w:noProof/>
          <w:lang w:val="en-US"/>
        </w:rPr>
        <w:t xml:space="preserve">, </w:t>
      </w:r>
      <w:r w:rsidRPr="001C025E">
        <w:rPr>
          <w:i/>
          <w:iCs/>
          <w:noProof/>
          <w:lang w:val="en-US"/>
        </w:rPr>
        <w:t>60</w:t>
      </w:r>
      <w:r w:rsidRPr="001C025E">
        <w:rPr>
          <w:noProof/>
          <w:lang w:val="en-US"/>
        </w:rPr>
        <w:t>(5), 524–530. https://doi.org/10.1001/archpsyc.60.5.524</w:t>
      </w:r>
    </w:p>
    <w:p w14:paraId="05844EA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Corbetta, M., Miezin, F., Shulman, G., &amp; Petersen, S. (1993). A PET study of visuospatial attention. </w:t>
      </w:r>
      <w:r w:rsidRPr="001C025E">
        <w:rPr>
          <w:i/>
          <w:iCs/>
          <w:noProof/>
          <w:lang w:val="en-US"/>
        </w:rPr>
        <w:t>The Journal of Neuroscience</w:t>
      </w:r>
      <w:r w:rsidRPr="001C025E">
        <w:rPr>
          <w:noProof/>
          <w:lang w:val="en-US"/>
        </w:rPr>
        <w:t xml:space="preserve">, </w:t>
      </w:r>
      <w:r w:rsidRPr="001C025E">
        <w:rPr>
          <w:i/>
          <w:iCs/>
          <w:noProof/>
          <w:lang w:val="en-US"/>
        </w:rPr>
        <w:t>13</w:t>
      </w:r>
      <w:r w:rsidRPr="001C025E">
        <w:rPr>
          <w:noProof/>
          <w:lang w:val="en-US"/>
        </w:rPr>
        <w:t>(3), 1202–1226. https://doi.org/10.1523/JNEUROSCI.13-03-01202.1993</w:t>
      </w:r>
    </w:p>
    <w:p w14:paraId="3FCA568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Corbetta, Maurizio, Patel, G., &amp; Shulman, G. L. (2008). The Reorienting System of the Human Brain: From Environment to Theory of Mind. </w:t>
      </w:r>
      <w:r w:rsidRPr="001C025E">
        <w:rPr>
          <w:i/>
          <w:iCs/>
          <w:noProof/>
          <w:lang w:val="en-US"/>
        </w:rPr>
        <w:t>Neuron</w:t>
      </w:r>
      <w:r w:rsidRPr="001C025E">
        <w:rPr>
          <w:noProof/>
          <w:lang w:val="en-US"/>
        </w:rPr>
        <w:t xml:space="preserve">, </w:t>
      </w:r>
      <w:r w:rsidRPr="001C025E">
        <w:rPr>
          <w:i/>
          <w:iCs/>
          <w:noProof/>
          <w:lang w:val="en-US"/>
        </w:rPr>
        <w:t>58</w:t>
      </w:r>
      <w:r w:rsidRPr="001C025E">
        <w:rPr>
          <w:noProof/>
          <w:lang w:val="en-US"/>
        </w:rPr>
        <w:t>(3), 306–324. https://doi.org/10.1016/j.neuron.2008.04.017</w:t>
      </w:r>
    </w:p>
    <w:p w14:paraId="506553A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Corbetta, Maurizio, &amp; Shulman, G. L. (2002). Control of goal-directed and stimulus-driven attention in the brain. </w:t>
      </w:r>
      <w:r w:rsidRPr="001C025E">
        <w:rPr>
          <w:i/>
          <w:iCs/>
          <w:noProof/>
          <w:lang w:val="en-US"/>
        </w:rPr>
        <w:t>Nature Reviews Neuroscience</w:t>
      </w:r>
      <w:r w:rsidRPr="001C025E">
        <w:rPr>
          <w:noProof/>
          <w:lang w:val="en-US"/>
        </w:rPr>
        <w:t xml:space="preserve">, </w:t>
      </w:r>
      <w:r w:rsidRPr="001C025E">
        <w:rPr>
          <w:i/>
          <w:iCs/>
          <w:noProof/>
          <w:lang w:val="en-US"/>
        </w:rPr>
        <w:t>3</w:t>
      </w:r>
      <w:r w:rsidRPr="001C025E">
        <w:rPr>
          <w:noProof/>
          <w:lang w:val="en-US"/>
        </w:rPr>
        <w:t>(3), 201–215. https://doi.org/10.1038/nrn755</w:t>
      </w:r>
    </w:p>
    <w:p w14:paraId="5A47F24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Cridland, E. K., Jones, S. C., Magee, C. A., &amp; Caputi, P. (2014). Family-focused autism spectrum disorder research: a review of the utility of family systems approaches. </w:t>
      </w:r>
      <w:r w:rsidRPr="001C025E">
        <w:rPr>
          <w:i/>
          <w:iCs/>
          <w:noProof/>
          <w:lang w:val="en-US"/>
        </w:rPr>
        <w:t>Autism : The International Journal of Research and Practice</w:t>
      </w:r>
      <w:r w:rsidRPr="001C025E">
        <w:rPr>
          <w:noProof/>
          <w:lang w:val="en-US"/>
        </w:rPr>
        <w:t xml:space="preserve">, </w:t>
      </w:r>
      <w:r w:rsidRPr="001C025E">
        <w:rPr>
          <w:i/>
          <w:iCs/>
          <w:noProof/>
          <w:lang w:val="en-US"/>
        </w:rPr>
        <w:t>18</w:t>
      </w:r>
      <w:r w:rsidRPr="001C025E">
        <w:rPr>
          <w:noProof/>
          <w:lang w:val="en-US"/>
        </w:rPr>
        <w:t>(3), 213–222. https://doi.org/10.1177/1362361312472261</w:t>
      </w:r>
    </w:p>
    <w:p w14:paraId="1525A2B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Cui, G., Zhang, S., &amp; Geng, H. (2014). The Impact of Perceived Social Power and Dangerous Context on Social Attention. </w:t>
      </w:r>
      <w:r w:rsidRPr="001C025E">
        <w:rPr>
          <w:i/>
          <w:iCs/>
          <w:noProof/>
          <w:lang w:val="en-US"/>
        </w:rPr>
        <w:t>PLoS ONE</w:t>
      </w:r>
      <w:r w:rsidRPr="001C025E">
        <w:rPr>
          <w:noProof/>
          <w:lang w:val="en-US"/>
        </w:rPr>
        <w:t xml:space="preserve">, </w:t>
      </w:r>
      <w:r w:rsidRPr="001C025E">
        <w:rPr>
          <w:i/>
          <w:iCs/>
          <w:noProof/>
          <w:lang w:val="en-US"/>
        </w:rPr>
        <w:t>9</w:t>
      </w:r>
      <w:r w:rsidRPr="001C025E">
        <w:rPr>
          <w:noProof/>
          <w:lang w:val="en-US"/>
        </w:rPr>
        <w:t>(12), e114077. https://doi.org/10.1371/journal.pone.0114077</w:t>
      </w:r>
    </w:p>
    <w:p w14:paraId="5FE0576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Dalmaso, M., Castelli, L., &amp; Galfano, G. (2020). Social modulators of gaze-mediated orienting of attention: A review. </w:t>
      </w:r>
      <w:r w:rsidRPr="001C025E">
        <w:rPr>
          <w:i/>
          <w:iCs/>
          <w:noProof/>
          <w:lang w:val="en-US"/>
        </w:rPr>
        <w:t>Psychonomic Bulletin &amp; Review</w:t>
      </w:r>
      <w:r w:rsidRPr="001C025E">
        <w:rPr>
          <w:noProof/>
          <w:lang w:val="en-US"/>
        </w:rPr>
        <w:t xml:space="preserve">, </w:t>
      </w:r>
      <w:r w:rsidRPr="001C025E">
        <w:rPr>
          <w:i/>
          <w:iCs/>
          <w:noProof/>
          <w:lang w:val="en-US"/>
        </w:rPr>
        <w:t>April</w:t>
      </w:r>
      <w:r w:rsidRPr="001C025E">
        <w:rPr>
          <w:noProof/>
          <w:lang w:val="en-US"/>
        </w:rPr>
        <w:t>. https://doi.org/10.3758/s13423-020-01730-x</w:t>
      </w:r>
    </w:p>
    <w:p w14:paraId="3C857C6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Dalmaso, M., Edwards, S. G., &amp; Bayliss, A. P. (2016). Re-encountering individuals who previously engaged in joint gaze modulates subsequent gaze cueing. </w:t>
      </w:r>
      <w:r w:rsidRPr="001C025E">
        <w:rPr>
          <w:i/>
          <w:iCs/>
          <w:noProof/>
          <w:lang w:val="en-US"/>
        </w:rPr>
        <w:t>Journal of Experimental Psychology: Learning, Memory, and Cognition</w:t>
      </w:r>
      <w:r w:rsidRPr="001C025E">
        <w:rPr>
          <w:noProof/>
          <w:lang w:val="en-US"/>
        </w:rPr>
        <w:t xml:space="preserve">, </w:t>
      </w:r>
      <w:r w:rsidRPr="001C025E">
        <w:rPr>
          <w:i/>
          <w:iCs/>
          <w:noProof/>
          <w:lang w:val="en-US"/>
        </w:rPr>
        <w:t>42</w:t>
      </w:r>
      <w:r w:rsidRPr="001C025E">
        <w:rPr>
          <w:noProof/>
          <w:lang w:val="en-US"/>
        </w:rPr>
        <w:t>(2), 271–284. https://doi.org/10.1037/xlm0000159</w:t>
      </w:r>
    </w:p>
    <w:p w14:paraId="68027CE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Dalmaso, M., Galfano, G., Castelli, L., Carraro, L., Dalmaso, M., Castelli, L., Galfano, G., Bobbio, A., Mantovani, G., Frischen, A., Tipper, S. P., Kawakami, K., Williams, A., Sidhu, D., Choma, B. L., Rodriguez-Bailon, R., Canadas, E., Chung, D., &amp; Hugenberg, K. (2017). The Impact of Same- and Other-Race Gaze Distractors on the Control of Saccadic Eye Movements. </w:t>
      </w:r>
      <w:r w:rsidRPr="001C025E">
        <w:rPr>
          <w:i/>
          <w:iCs/>
          <w:noProof/>
          <w:lang w:val="en-US"/>
        </w:rPr>
        <w:t>Cognitive Processing</w:t>
      </w:r>
      <w:r w:rsidRPr="001C025E">
        <w:rPr>
          <w:noProof/>
          <w:lang w:val="en-US"/>
        </w:rPr>
        <w:t xml:space="preserve">, </w:t>
      </w:r>
      <w:r w:rsidRPr="001C025E">
        <w:rPr>
          <w:i/>
          <w:iCs/>
          <w:noProof/>
          <w:lang w:val="en-US"/>
        </w:rPr>
        <w:t>44</w:t>
      </w:r>
      <w:r w:rsidRPr="001C025E">
        <w:rPr>
          <w:noProof/>
          <w:lang w:val="en-US"/>
        </w:rPr>
        <w:t>(1), 1020–1028. https://doi.org/10.1177/0301006615594936</w:t>
      </w:r>
    </w:p>
    <w:p w14:paraId="427E323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Dalmaso, M., Galfano, G., Coricelli, C., &amp; Castelli, L. (2014). Temporal Dynamics Underlying the Modulation of Social Status on Social Attention. </w:t>
      </w:r>
      <w:r w:rsidRPr="001C025E">
        <w:rPr>
          <w:i/>
          <w:iCs/>
          <w:noProof/>
          <w:lang w:val="en-US"/>
        </w:rPr>
        <w:t>PLoS ONE</w:t>
      </w:r>
      <w:r w:rsidRPr="001C025E">
        <w:rPr>
          <w:noProof/>
          <w:lang w:val="en-US"/>
        </w:rPr>
        <w:t xml:space="preserve">, </w:t>
      </w:r>
      <w:r w:rsidRPr="001C025E">
        <w:rPr>
          <w:i/>
          <w:iCs/>
          <w:noProof/>
          <w:lang w:val="en-US"/>
        </w:rPr>
        <w:t>9</w:t>
      </w:r>
      <w:r w:rsidRPr="001C025E">
        <w:rPr>
          <w:noProof/>
          <w:lang w:val="en-US"/>
        </w:rPr>
        <w:t>(3), e93139. https://doi.org/10.1371/journal.pone.0093139</w:t>
      </w:r>
    </w:p>
    <w:p w14:paraId="7E5A07D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Dalmaso, M., Pavan, G., Castelli, L., &amp; Galfano, G. (2012a). Social status gates social attention in humans. </w:t>
      </w:r>
      <w:r w:rsidRPr="001C025E">
        <w:rPr>
          <w:i/>
          <w:iCs/>
          <w:noProof/>
          <w:lang w:val="en-US"/>
        </w:rPr>
        <w:t>Biology Letters</w:t>
      </w:r>
      <w:r w:rsidRPr="001C025E">
        <w:rPr>
          <w:noProof/>
          <w:lang w:val="en-US"/>
        </w:rPr>
        <w:t xml:space="preserve">, </w:t>
      </w:r>
      <w:r w:rsidRPr="001C025E">
        <w:rPr>
          <w:i/>
          <w:iCs/>
          <w:noProof/>
          <w:lang w:val="en-US"/>
        </w:rPr>
        <w:t>8</w:t>
      </w:r>
      <w:r w:rsidRPr="001C025E">
        <w:rPr>
          <w:noProof/>
          <w:lang w:val="en-US"/>
        </w:rPr>
        <w:t>(3), 450–452. https://doi.org/10.1098/rsbl.2011.0881</w:t>
      </w:r>
    </w:p>
    <w:p w14:paraId="5EEC312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Dalmaso, M., Pavan, G., Castelli, L., &amp; Galfano, G. (2012b). Social status gates social attention in humans. </w:t>
      </w:r>
      <w:r w:rsidRPr="001C025E">
        <w:rPr>
          <w:i/>
          <w:iCs/>
          <w:noProof/>
          <w:lang w:val="en-US"/>
        </w:rPr>
        <w:t>Biology Letters</w:t>
      </w:r>
      <w:r w:rsidRPr="001C025E">
        <w:rPr>
          <w:noProof/>
          <w:lang w:val="en-US"/>
        </w:rPr>
        <w:t xml:space="preserve">, </w:t>
      </w:r>
      <w:r w:rsidRPr="001C025E">
        <w:rPr>
          <w:i/>
          <w:iCs/>
          <w:noProof/>
          <w:lang w:val="en-US"/>
        </w:rPr>
        <w:t>8</w:t>
      </w:r>
      <w:r w:rsidRPr="001C025E">
        <w:rPr>
          <w:noProof/>
          <w:lang w:val="en-US"/>
        </w:rPr>
        <w:t>(3), 450–452. https://doi.org/10.1098/rsbl.2011.0881</w:t>
      </w:r>
    </w:p>
    <w:p w14:paraId="262681D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Dawson, J., Kingstone, A., &amp; Foulsham, T. (2021). Theory of mind affects the interpretation of another person’s focus of attention. </w:t>
      </w:r>
      <w:r w:rsidRPr="001C025E">
        <w:rPr>
          <w:i/>
          <w:iCs/>
          <w:noProof/>
          <w:lang w:val="en-US"/>
        </w:rPr>
        <w:t>Scientific Reports</w:t>
      </w:r>
      <w:r w:rsidRPr="001C025E">
        <w:rPr>
          <w:noProof/>
          <w:lang w:val="en-US"/>
        </w:rPr>
        <w:t xml:space="preserve">, </w:t>
      </w:r>
      <w:r w:rsidRPr="001C025E">
        <w:rPr>
          <w:i/>
          <w:iCs/>
          <w:noProof/>
          <w:lang w:val="en-US"/>
        </w:rPr>
        <w:t>11</w:t>
      </w:r>
      <w:r w:rsidRPr="001C025E">
        <w:rPr>
          <w:noProof/>
          <w:lang w:val="en-US"/>
        </w:rPr>
        <w:t>(1), 17147. https://doi.org/10.1038/s41598-021-96513-2</w:t>
      </w:r>
    </w:p>
    <w:p w14:paraId="2E507C7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De Souza, W. C., Eifuku, S., Tamura, R., Nishijo, H., &amp; Ono, T. (2005). Differential Characteristics of Face Neuron Responses Within the Anterior Superior Temporal Sulcus of Macaques. </w:t>
      </w:r>
      <w:r w:rsidRPr="001C025E">
        <w:rPr>
          <w:i/>
          <w:iCs/>
          <w:noProof/>
          <w:lang w:val="en-US"/>
        </w:rPr>
        <w:t>Journal of Neurophysiology</w:t>
      </w:r>
      <w:r w:rsidRPr="001C025E">
        <w:rPr>
          <w:noProof/>
          <w:lang w:val="en-US"/>
        </w:rPr>
        <w:t xml:space="preserve">, </w:t>
      </w:r>
      <w:r w:rsidRPr="001C025E">
        <w:rPr>
          <w:i/>
          <w:iCs/>
          <w:noProof/>
          <w:lang w:val="en-US"/>
        </w:rPr>
        <w:t>94</w:t>
      </w:r>
      <w:r w:rsidRPr="001C025E">
        <w:rPr>
          <w:noProof/>
          <w:lang w:val="en-US"/>
        </w:rPr>
        <w:t>(2), 1252–1266. https://doi.org/10.1152/jn.00949.2004</w:t>
      </w:r>
    </w:p>
    <w:p w14:paraId="60C4774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Deaner, R. O., Khera, A. V, &amp; Platt, M. L. (2005). Monkeys Pay Per View: Adaptive Valuation of Social Images by Rhesus Macaques. </w:t>
      </w:r>
      <w:r w:rsidRPr="001C025E">
        <w:rPr>
          <w:i/>
          <w:iCs/>
          <w:noProof/>
          <w:lang w:val="en-US"/>
        </w:rPr>
        <w:t>Current Biology</w:t>
      </w:r>
      <w:r w:rsidRPr="001C025E">
        <w:rPr>
          <w:noProof/>
          <w:lang w:val="en-US"/>
        </w:rPr>
        <w:t xml:space="preserve">, </w:t>
      </w:r>
      <w:r w:rsidRPr="001C025E">
        <w:rPr>
          <w:i/>
          <w:iCs/>
          <w:noProof/>
          <w:lang w:val="en-US"/>
        </w:rPr>
        <w:t>15</w:t>
      </w:r>
      <w:r w:rsidRPr="001C025E">
        <w:rPr>
          <w:noProof/>
          <w:lang w:val="en-US"/>
        </w:rPr>
        <w:t>(6), 543–548. https://doi.org/10.1016/j.cub.2005.01.044</w:t>
      </w:r>
    </w:p>
    <w:p w14:paraId="6C212E5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Deaner, R. O., Shepherd, S. V, &amp; Platt, M. L. (2007). Familiarity accentuates gaze cuing in women but not men. </w:t>
      </w:r>
      <w:r w:rsidRPr="001C025E">
        <w:rPr>
          <w:i/>
          <w:iCs/>
          <w:noProof/>
          <w:lang w:val="en-US"/>
        </w:rPr>
        <w:t>Biology Letters</w:t>
      </w:r>
      <w:r w:rsidRPr="001C025E">
        <w:rPr>
          <w:noProof/>
          <w:lang w:val="en-US"/>
        </w:rPr>
        <w:t xml:space="preserve">, </w:t>
      </w:r>
      <w:r w:rsidRPr="001C025E">
        <w:rPr>
          <w:i/>
          <w:iCs/>
          <w:noProof/>
          <w:lang w:val="en-US"/>
        </w:rPr>
        <w:t>3</w:t>
      </w:r>
      <w:r w:rsidRPr="001C025E">
        <w:rPr>
          <w:noProof/>
          <w:lang w:val="en-US"/>
        </w:rPr>
        <w:t>(1), 65–68. https://doi.org/10.1098/rsbl.2006.0564</w:t>
      </w:r>
    </w:p>
    <w:p w14:paraId="4FFBC55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Deaner, R., &amp; Platt, M. (2003). Reflexive social attention in monkeys and humans. </w:t>
      </w:r>
      <w:r w:rsidRPr="001C025E">
        <w:rPr>
          <w:i/>
          <w:iCs/>
          <w:noProof/>
          <w:lang w:val="en-US"/>
        </w:rPr>
        <w:t>Curr. Biol.</w:t>
      </w:r>
      <w:r w:rsidRPr="001C025E">
        <w:rPr>
          <w:noProof/>
          <w:lang w:val="en-US"/>
        </w:rPr>
        <w:t xml:space="preserve">, </w:t>
      </w:r>
      <w:r w:rsidRPr="001C025E">
        <w:rPr>
          <w:i/>
          <w:iCs/>
          <w:noProof/>
          <w:lang w:val="en-US"/>
        </w:rPr>
        <w:t>13</w:t>
      </w:r>
      <w:r w:rsidRPr="001C025E">
        <w:rPr>
          <w:noProof/>
          <w:lang w:val="en-US"/>
        </w:rPr>
        <w:t>(18), 1609–1613. https://doi.org/10.1016/j.cub.2003.08.025</w:t>
      </w:r>
    </w:p>
    <w:p w14:paraId="08CEF06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Debruine, L. (2002). Facial resemblance enhances trust. </w:t>
      </w:r>
      <w:r w:rsidRPr="001C025E">
        <w:rPr>
          <w:i/>
          <w:iCs/>
          <w:noProof/>
          <w:lang w:val="en-US"/>
        </w:rPr>
        <w:t>Proc. R. Soc. Lond. Ser. B-Biol. Sci.</w:t>
      </w:r>
      <w:r w:rsidRPr="001C025E">
        <w:rPr>
          <w:noProof/>
          <w:lang w:val="en-US"/>
        </w:rPr>
        <w:t xml:space="preserve">, </w:t>
      </w:r>
      <w:r w:rsidRPr="001C025E">
        <w:rPr>
          <w:i/>
          <w:iCs/>
          <w:noProof/>
          <w:lang w:val="en-US"/>
        </w:rPr>
        <w:t>269</w:t>
      </w:r>
      <w:r w:rsidRPr="001C025E">
        <w:rPr>
          <w:noProof/>
          <w:lang w:val="en-US"/>
        </w:rPr>
        <w:t>(1498), 1307–1312. https://doi.org/10.1098/rspb.2002.2034</w:t>
      </w:r>
    </w:p>
    <w:p w14:paraId="05E8752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DeBruine, L. M., Jones, B. C., Little, A. C., &amp; Perrett, D. I. (2008). </w:t>
      </w:r>
      <w:r w:rsidRPr="001C025E">
        <w:rPr>
          <w:i/>
          <w:iCs/>
          <w:noProof/>
          <w:lang w:val="en-US"/>
        </w:rPr>
        <w:t>Social perception of facial resemblance in humans</w:t>
      </w:r>
      <w:r w:rsidRPr="001C025E">
        <w:rPr>
          <w:noProof/>
          <w:lang w:val="en-US"/>
        </w:rPr>
        <w:t xml:space="preserve"> (Vol. 37, pp. 64–77). https://doi.org/10.1007/s10508-007-9266-0</w:t>
      </w:r>
    </w:p>
    <w:p w14:paraId="41E44B8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Dodd, M. D., Hibbing, J. R., &amp; Smith, K. B. (2011). The politics of attention: gaze-cuing effects are moderated by political temperament. </w:t>
      </w:r>
      <w:r w:rsidRPr="001C025E">
        <w:rPr>
          <w:i/>
          <w:iCs/>
          <w:noProof/>
          <w:lang w:val="en-US"/>
        </w:rPr>
        <w:t xml:space="preserve">Attention, Perception, &amp; </w:t>
      </w:r>
      <w:r w:rsidRPr="001C025E">
        <w:rPr>
          <w:i/>
          <w:iCs/>
          <w:noProof/>
          <w:lang w:val="en-US"/>
        </w:rPr>
        <w:lastRenderedPageBreak/>
        <w:t>Psychophysics</w:t>
      </w:r>
      <w:r w:rsidRPr="001C025E">
        <w:rPr>
          <w:noProof/>
          <w:lang w:val="en-US"/>
        </w:rPr>
        <w:t xml:space="preserve">, </w:t>
      </w:r>
      <w:r w:rsidRPr="001C025E">
        <w:rPr>
          <w:i/>
          <w:iCs/>
          <w:noProof/>
          <w:lang w:val="en-US"/>
        </w:rPr>
        <w:t>73</w:t>
      </w:r>
      <w:r w:rsidRPr="001C025E">
        <w:rPr>
          <w:noProof/>
          <w:lang w:val="en-US"/>
        </w:rPr>
        <w:t>(1), 24–29. https://doi.org/10.3758/s13414-010-0001-x</w:t>
      </w:r>
    </w:p>
    <w:p w14:paraId="6E32C13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Dodd, M. D., Stigchel, S. Van der, Adil Leghari, M., Fung, G., &amp; Kingstone, A. (2008). Attentional SNARC: There’s something special about numbers (let us count the ways). </w:t>
      </w:r>
      <w:r w:rsidRPr="001C025E">
        <w:rPr>
          <w:i/>
          <w:iCs/>
          <w:noProof/>
          <w:lang w:val="en-US"/>
        </w:rPr>
        <w:t>Cognition</w:t>
      </w:r>
      <w:r w:rsidRPr="001C025E">
        <w:rPr>
          <w:noProof/>
          <w:lang w:val="en-US"/>
        </w:rPr>
        <w:t xml:space="preserve">, </w:t>
      </w:r>
      <w:r w:rsidRPr="001C025E">
        <w:rPr>
          <w:i/>
          <w:iCs/>
          <w:noProof/>
          <w:lang w:val="en-US"/>
        </w:rPr>
        <w:t>108</w:t>
      </w:r>
      <w:r w:rsidRPr="001C025E">
        <w:rPr>
          <w:noProof/>
          <w:lang w:val="en-US"/>
        </w:rPr>
        <w:t>(3), 810–818. https://doi.org/10.1016/j.cognition.2008.04.006</w:t>
      </w:r>
    </w:p>
    <w:p w14:paraId="2C2ABA1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Downing, P. E., Dodds, C. M., &amp; Bray, D. (2004). Why does the gaze of others direct visual attention? </w:t>
      </w:r>
      <w:r w:rsidRPr="001C025E">
        <w:rPr>
          <w:i/>
          <w:iCs/>
          <w:noProof/>
          <w:lang w:val="en-US"/>
        </w:rPr>
        <w:t>Visual Cognition</w:t>
      </w:r>
      <w:r w:rsidRPr="001C025E">
        <w:rPr>
          <w:noProof/>
          <w:lang w:val="en-US"/>
        </w:rPr>
        <w:t xml:space="preserve">, </w:t>
      </w:r>
      <w:r w:rsidRPr="001C025E">
        <w:rPr>
          <w:i/>
          <w:iCs/>
          <w:noProof/>
          <w:lang w:val="en-US"/>
        </w:rPr>
        <w:t>11</w:t>
      </w:r>
      <w:r w:rsidRPr="001C025E">
        <w:rPr>
          <w:noProof/>
          <w:lang w:val="en-US"/>
        </w:rPr>
        <w:t>(1), 71–79. https://doi.org/10.1080/13506280344000220</w:t>
      </w:r>
    </w:p>
    <w:p w14:paraId="7E31C1D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Driver, J., Davis, G., Ricciardelli, P., Kidd, P., Maxwell, E., &amp; Baron-Cohen, S. (1999). Gaze perception triggers reflexive visuospatial orienting. </w:t>
      </w:r>
      <w:r w:rsidRPr="001C025E">
        <w:rPr>
          <w:i/>
          <w:iCs/>
          <w:noProof/>
          <w:lang w:val="en-US"/>
        </w:rPr>
        <w:t>Visual Cognition</w:t>
      </w:r>
      <w:r w:rsidRPr="001C025E">
        <w:rPr>
          <w:noProof/>
          <w:lang w:val="en-US"/>
        </w:rPr>
        <w:t xml:space="preserve">, </w:t>
      </w:r>
      <w:r w:rsidRPr="001C025E">
        <w:rPr>
          <w:i/>
          <w:iCs/>
          <w:noProof/>
          <w:lang w:val="en-US"/>
        </w:rPr>
        <w:t>6</w:t>
      </w:r>
      <w:r w:rsidRPr="001C025E">
        <w:rPr>
          <w:noProof/>
          <w:lang w:val="en-US"/>
        </w:rPr>
        <w:t>(5), 509–540.</w:t>
      </w:r>
    </w:p>
    <w:p w14:paraId="55E766B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Dunbar, R. I. M. (1998). The social brain hypothesis. </w:t>
      </w:r>
      <w:r w:rsidRPr="001C025E">
        <w:rPr>
          <w:i/>
          <w:iCs/>
          <w:noProof/>
          <w:lang w:val="en-US"/>
        </w:rPr>
        <w:t>Evolutionary Anthropology: Issues, News, and Reviews</w:t>
      </w:r>
      <w:r w:rsidRPr="001C025E">
        <w:rPr>
          <w:noProof/>
          <w:lang w:val="en-US"/>
        </w:rPr>
        <w:t xml:space="preserve">, </w:t>
      </w:r>
      <w:r w:rsidRPr="001C025E">
        <w:rPr>
          <w:i/>
          <w:iCs/>
          <w:noProof/>
          <w:lang w:val="en-US"/>
        </w:rPr>
        <w:t>6</w:t>
      </w:r>
      <w:r w:rsidRPr="001C025E">
        <w:rPr>
          <w:noProof/>
          <w:lang w:val="en-US"/>
        </w:rPr>
        <w:t>(5), 178–190. https://doi.org/10.1002/(SICI)1520-6505(1998)6:5&lt;178::AID-EVAN5&gt;3.3.CO;2-P</w:t>
      </w:r>
    </w:p>
    <w:p w14:paraId="295C917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Dupierrix, E., de Boisferon, A., Meary, D., Lee, K., Quinn, P. C., Di Giorgio, E., Simion, F., Tomonaga, M., &amp; Pascalis, O. (2014). Preference for human eyes in human infants. </w:t>
      </w:r>
      <w:r w:rsidRPr="001C025E">
        <w:rPr>
          <w:i/>
          <w:iCs/>
          <w:noProof/>
          <w:lang w:val="en-US"/>
        </w:rPr>
        <w:t>Journal Of Experimental Child Psychology</w:t>
      </w:r>
      <w:r w:rsidRPr="001C025E">
        <w:rPr>
          <w:noProof/>
          <w:lang w:val="en-US"/>
        </w:rPr>
        <w:t xml:space="preserve">, </w:t>
      </w:r>
      <w:r w:rsidRPr="001C025E">
        <w:rPr>
          <w:i/>
          <w:iCs/>
          <w:noProof/>
          <w:lang w:val="en-US"/>
        </w:rPr>
        <w:t>123</w:t>
      </w:r>
      <w:r w:rsidRPr="001C025E">
        <w:rPr>
          <w:noProof/>
          <w:lang w:val="en-US"/>
        </w:rPr>
        <w:t>, 138–146. https://doi.org/10.1016/j.jecp.2013.12.010</w:t>
      </w:r>
    </w:p>
    <w:p w14:paraId="5F4535E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Ecuyer-Dab, I., &amp; Robert, M. (2004). Have sex differences in spatial ability evolved from male competition for mating  and female concern for survival? </w:t>
      </w:r>
      <w:r w:rsidRPr="001C025E">
        <w:rPr>
          <w:i/>
          <w:iCs/>
          <w:noProof/>
          <w:lang w:val="en-US"/>
        </w:rPr>
        <w:t>Cognition</w:t>
      </w:r>
      <w:r w:rsidRPr="001C025E">
        <w:rPr>
          <w:noProof/>
          <w:lang w:val="en-US"/>
        </w:rPr>
        <w:t xml:space="preserve">, </w:t>
      </w:r>
      <w:r w:rsidRPr="001C025E">
        <w:rPr>
          <w:i/>
          <w:iCs/>
          <w:noProof/>
          <w:lang w:val="en-US"/>
        </w:rPr>
        <w:t>91</w:t>
      </w:r>
      <w:r w:rsidRPr="001C025E">
        <w:rPr>
          <w:noProof/>
          <w:lang w:val="en-US"/>
        </w:rPr>
        <w:t>(3), 221–257. https://doi.org/10.1016/j.cognition.2003.09.007</w:t>
      </w:r>
    </w:p>
    <w:p w14:paraId="7D32D20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Edwards, S. G., &amp; Bayliss, A. P. (2019). Seeing eye-to-eye: Social gaze interactions influence gaze direction identification. </w:t>
      </w:r>
      <w:r w:rsidRPr="001C025E">
        <w:rPr>
          <w:i/>
          <w:iCs/>
          <w:noProof/>
          <w:lang w:val="en-US"/>
        </w:rPr>
        <w:t>Attention, Perception, &amp; Psychophysics</w:t>
      </w:r>
      <w:r w:rsidRPr="001C025E">
        <w:rPr>
          <w:noProof/>
          <w:lang w:val="en-US"/>
        </w:rPr>
        <w:t xml:space="preserve">, </w:t>
      </w:r>
      <w:r w:rsidRPr="001C025E">
        <w:rPr>
          <w:i/>
          <w:iCs/>
          <w:noProof/>
          <w:lang w:val="en-US"/>
        </w:rPr>
        <w:t>81</w:t>
      </w:r>
      <w:r w:rsidRPr="001C025E">
        <w:rPr>
          <w:noProof/>
          <w:lang w:val="en-US"/>
        </w:rPr>
        <w:t>(8), 2755–2765. https://doi.org/10.3758/s13414-019-01671-1</w:t>
      </w:r>
    </w:p>
    <w:p w14:paraId="21B096A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Egeth, H. E., &amp; Yantis, S. (1997). VISUAL ATTENTION: Control, Representation, and Time Course. </w:t>
      </w:r>
      <w:r w:rsidRPr="001C025E">
        <w:rPr>
          <w:i/>
          <w:iCs/>
          <w:noProof/>
          <w:lang w:val="en-US"/>
        </w:rPr>
        <w:t>Annual Review of Psychology</w:t>
      </w:r>
      <w:r w:rsidRPr="001C025E">
        <w:rPr>
          <w:noProof/>
          <w:lang w:val="en-US"/>
        </w:rPr>
        <w:t xml:space="preserve">, </w:t>
      </w:r>
      <w:r w:rsidRPr="001C025E">
        <w:rPr>
          <w:i/>
          <w:iCs/>
          <w:noProof/>
          <w:lang w:val="en-US"/>
        </w:rPr>
        <w:t>48</w:t>
      </w:r>
      <w:r w:rsidRPr="001C025E">
        <w:rPr>
          <w:noProof/>
          <w:lang w:val="en-US"/>
        </w:rPr>
        <w:t>(1), 269–297. https://doi.org/10.1146/annurev.psych.48.1.269</w:t>
      </w:r>
    </w:p>
    <w:p w14:paraId="0E90A0B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Emery, N J. (2000). The eyes have it: the neuroethology, function and evolution of social gaze. </w:t>
      </w:r>
      <w:r w:rsidRPr="001C025E">
        <w:rPr>
          <w:i/>
          <w:iCs/>
          <w:noProof/>
          <w:lang w:val="en-US"/>
        </w:rPr>
        <w:t>Neuroscience and Biobehavioral Reviews</w:t>
      </w:r>
      <w:r w:rsidRPr="001C025E">
        <w:rPr>
          <w:noProof/>
          <w:lang w:val="en-US"/>
        </w:rPr>
        <w:t xml:space="preserve">, </w:t>
      </w:r>
      <w:r w:rsidRPr="001C025E">
        <w:rPr>
          <w:i/>
          <w:iCs/>
          <w:noProof/>
          <w:lang w:val="en-US"/>
        </w:rPr>
        <w:t>24</w:t>
      </w:r>
      <w:r w:rsidRPr="001C025E">
        <w:rPr>
          <w:noProof/>
          <w:lang w:val="en-US"/>
        </w:rPr>
        <w:t xml:space="preserve">(6), 581–604. </w:t>
      </w:r>
      <w:r w:rsidRPr="001C025E">
        <w:rPr>
          <w:noProof/>
          <w:lang w:val="en-US"/>
        </w:rPr>
        <w:lastRenderedPageBreak/>
        <w:t>https://doi.org/10.1016/s0149-7634(00)00025-7</w:t>
      </w:r>
    </w:p>
    <w:p w14:paraId="5D73809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Emery, Nathan J., Lorincz, E. N., Perrett, D. I., Oram, M. W., &amp; Baker, C. I. (1997). Gaze following and joint attention in rhesus monkeys (Macaca mulatta). </w:t>
      </w:r>
      <w:r w:rsidRPr="001C025E">
        <w:rPr>
          <w:i/>
          <w:iCs/>
          <w:noProof/>
          <w:lang w:val="en-US"/>
        </w:rPr>
        <w:t>Journal of Comparative Psychology</w:t>
      </w:r>
      <w:r w:rsidRPr="001C025E">
        <w:rPr>
          <w:noProof/>
          <w:lang w:val="en-US"/>
        </w:rPr>
        <w:t xml:space="preserve">, </w:t>
      </w:r>
      <w:r w:rsidRPr="001C025E">
        <w:rPr>
          <w:i/>
          <w:iCs/>
          <w:noProof/>
          <w:lang w:val="en-US"/>
        </w:rPr>
        <w:t>111</w:t>
      </w:r>
      <w:r w:rsidRPr="001C025E">
        <w:rPr>
          <w:noProof/>
          <w:lang w:val="en-US"/>
        </w:rPr>
        <w:t>(3), 286–293. https://doi.org/10.1037/0735-7036.111.3.286</w:t>
      </w:r>
    </w:p>
    <w:p w14:paraId="3318624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Eriksen, C. W., &amp; Colegate, R. L. (1971). Selective attention and serial processing in briefly presented visual displays. </w:t>
      </w:r>
      <w:r w:rsidRPr="001C025E">
        <w:rPr>
          <w:i/>
          <w:iCs/>
          <w:noProof/>
          <w:lang w:val="en-US"/>
        </w:rPr>
        <w:t>Perception &amp; Psychophysics</w:t>
      </w:r>
      <w:r w:rsidRPr="001C025E">
        <w:rPr>
          <w:noProof/>
          <w:lang w:val="en-US"/>
        </w:rPr>
        <w:t xml:space="preserve">, </w:t>
      </w:r>
      <w:r w:rsidRPr="001C025E">
        <w:rPr>
          <w:i/>
          <w:iCs/>
          <w:noProof/>
          <w:lang w:val="en-US"/>
        </w:rPr>
        <w:t>10</w:t>
      </w:r>
      <w:r w:rsidRPr="001C025E">
        <w:rPr>
          <w:noProof/>
          <w:lang w:val="en-US"/>
        </w:rPr>
        <w:t>(5), 321–326. https://doi.org/10.3758/BF03207451</w:t>
      </w:r>
    </w:p>
    <w:p w14:paraId="497F976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Eriksen, C. W., &amp; Hoffman, J. E. (1973). The extent of processing of noise elements during selective encoding from visual displays. </w:t>
      </w:r>
      <w:r w:rsidRPr="001C025E">
        <w:rPr>
          <w:i/>
          <w:iCs/>
          <w:noProof/>
          <w:lang w:val="en-US"/>
        </w:rPr>
        <w:t>Perception &amp; Psychophysics</w:t>
      </w:r>
      <w:r w:rsidRPr="001C025E">
        <w:rPr>
          <w:noProof/>
          <w:lang w:val="en-US"/>
        </w:rPr>
        <w:t xml:space="preserve">, </w:t>
      </w:r>
      <w:r w:rsidRPr="001C025E">
        <w:rPr>
          <w:i/>
          <w:iCs/>
          <w:noProof/>
          <w:lang w:val="en-US"/>
        </w:rPr>
        <w:t>14</w:t>
      </w:r>
      <w:r w:rsidRPr="001C025E">
        <w:rPr>
          <w:noProof/>
          <w:lang w:val="en-US"/>
        </w:rPr>
        <w:t>(1), 155–160. https://doi.org/10.3758/BF03198630</w:t>
      </w:r>
    </w:p>
    <w:p w14:paraId="3EDF770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Farroni, T., Csibra, G., Simion, G., &amp; Johnson, M. H. (2002). Eye contact detection in humans from birth. </w:t>
      </w:r>
      <w:r w:rsidRPr="001C025E">
        <w:rPr>
          <w:i/>
          <w:iCs/>
          <w:noProof/>
          <w:lang w:val="en-US"/>
        </w:rPr>
        <w:t>Proc. Natl. Acad. Sci. U. S. A.</w:t>
      </w:r>
      <w:r w:rsidRPr="001C025E">
        <w:rPr>
          <w:noProof/>
          <w:lang w:val="en-US"/>
        </w:rPr>
        <w:t xml:space="preserve">, </w:t>
      </w:r>
      <w:r w:rsidRPr="001C025E">
        <w:rPr>
          <w:i/>
          <w:iCs/>
          <w:noProof/>
          <w:lang w:val="en-US"/>
        </w:rPr>
        <w:t>99</w:t>
      </w:r>
      <w:r w:rsidRPr="001C025E">
        <w:rPr>
          <w:noProof/>
          <w:lang w:val="en-US"/>
        </w:rPr>
        <w:t>(14), 9602–9605. https://doi.org/10.1073/pnas.152159999</w:t>
      </w:r>
    </w:p>
    <w:p w14:paraId="1DE5F4A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Farroni, T., Johnson, M. H., Menon, E., Zulian, L., Faraguna, D., &amp; Csibra, G. (2005). Newborns&amp;#039; preference for face- relevant stimuli: Effects of contrast polarity. </w:t>
      </w:r>
      <w:r w:rsidRPr="001C025E">
        <w:rPr>
          <w:i/>
          <w:iCs/>
          <w:noProof/>
          <w:lang w:val="en-US"/>
        </w:rPr>
        <w:t>Proc. Natl. Acad. Sci. U. S. A.</w:t>
      </w:r>
      <w:r w:rsidRPr="001C025E">
        <w:rPr>
          <w:noProof/>
          <w:lang w:val="en-US"/>
        </w:rPr>
        <w:t xml:space="preserve">, </w:t>
      </w:r>
      <w:r w:rsidRPr="001C025E">
        <w:rPr>
          <w:i/>
          <w:iCs/>
          <w:noProof/>
          <w:lang w:val="en-US"/>
        </w:rPr>
        <w:t>102</w:t>
      </w:r>
      <w:r w:rsidRPr="001C025E">
        <w:rPr>
          <w:noProof/>
          <w:lang w:val="en-US"/>
        </w:rPr>
        <w:t>(47), 17245–17250. https://doi.org/10.1073/pnas.0502205102</w:t>
      </w:r>
    </w:p>
    <w:p w14:paraId="19E76B7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Faul, F., Erdfelder, E., Lang, A.-G., &amp; Buchner, A. (2007). G*Power 3: A flexible statistical power analysis program for the social, behavioral, and biomedical sciences. </w:t>
      </w:r>
      <w:r w:rsidRPr="001C025E">
        <w:rPr>
          <w:i/>
          <w:iCs/>
          <w:noProof/>
          <w:lang w:val="en-US"/>
        </w:rPr>
        <w:t>Behavior Research Methods</w:t>
      </w:r>
      <w:r w:rsidRPr="001C025E">
        <w:rPr>
          <w:noProof/>
          <w:lang w:val="en-US"/>
        </w:rPr>
        <w:t xml:space="preserve">, </w:t>
      </w:r>
      <w:r w:rsidRPr="001C025E">
        <w:rPr>
          <w:i/>
          <w:iCs/>
          <w:noProof/>
          <w:lang w:val="en-US"/>
        </w:rPr>
        <w:t>39</w:t>
      </w:r>
      <w:r w:rsidRPr="001C025E">
        <w:rPr>
          <w:noProof/>
          <w:lang w:val="en-US"/>
        </w:rPr>
        <w:t>(2), 175–191. https://doi.org/10.3758/BF03193146</w:t>
      </w:r>
    </w:p>
    <w:p w14:paraId="5E132C1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Field, A. P. (2009). </w:t>
      </w:r>
      <w:r w:rsidRPr="001C025E">
        <w:rPr>
          <w:i/>
          <w:iCs/>
          <w:noProof/>
          <w:lang w:val="en-US"/>
        </w:rPr>
        <w:t>Discovering statistics using SPSS : (and sex and drugs and rock “n” roll)</w:t>
      </w:r>
      <w:r w:rsidRPr="001C025E">
        <w:rPr>
          <w:noProof/>
          <w:lang w:val="en-US"/>
        </w:rPr>
        <w:t>. SAGE Publications.</w:t>
      </w:r>
    </w:p>
    <w:p w14:paraId="208F697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Fiske, S. (2000). AGENDA 2000 - stereotyping, prejudice, and discrimination at the seam between the centuries: evolution, culture, mind and brain. </w:t>
      </w:r>
      <w:r w:rsidRPr="001C025E">
        <w:rPr>
          <w:i/>
          <w:iCs/>
          <w:noProof/>
          <w:lang w:val="en-US"/>
        </w:rPr>
        <w:t>European Journal of Social Psychology</w:t>
      </w:r>
      <w:r w:rsidRPr="001C025E">
        <w:rPr>
          <w:noProof/>
          <w:lang w:val="en-US"/>
        </w:rPr>
        <w:t xml:space="preserve">, </w:t>
      </w:r>
      <w:r w:rsidRPr="001C025E">
        <w:rPr>
          <w:i/>
          <w:iCs/>
          <w:noProof/>
          <w:lang w:val="en-US"/>
        </w:rPr>
        <w:t>30</w:t>
      </w:r>
      <w:r w:rsidRPr="001C025E">
        <w:rPr>
          <w:noProof/>
          <w:lang w:val="en-US"/>
        </w:rPr>
        <w:t>(3), 299–322.</w:t>
      </w:r>
    </w:p>
    <w:p w14:paraId="38CDBE6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Flom, R., Lee, K., &amp; Muir, D. (Eds.). (2007). Gaze-following: Its development and significance. In </w:t>
      </w:r>
      <w:r w:rsidRPr="001C025E">
        <w:rPr>
          <w:i/>
          <w:iCs/>
          <w:noProof/>
          <w:lang w:val="en-US"/>
        </w:rPr>
        <w:t>Gaze-following: Its development and significance.</w:t>
      </w:r>
      <w:r w:rsidRPr="001C025E">
        <w:rPr>
          <w:noProof/>
          <w:lang w:val="en-US"/>
        </w:rPr>
        <w:t xml:space="preserve"> (pp. x, 327–x, 327). </w:t>
      </w:r>
      <w:r w:rsidRPr="001C025E">
        <w:rPr>
          <w:noProof/>
          <w:lang w:val="en-US"/>
        </w:rPr>
        <w:lastRenderedPageBreak/>
        <w:t>Lawrence Erlbaum Associates Publishers.</w:t>
      </w:r>
    </w:p>
    <w:p w14:paraId="480ECD9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Folk, C. L., Remington, R. W., &amp; Johnston, J. C. (1992). Involuntary covert orienting is contingent on attentional control settings. </w:t>
      </w:r>
      <w:r w:rsidRPr="001C025E">
        <w:rPr>
          <w:i/>
          <w:iCs/>
          <w:noProof/>
          <w:lang w:val="en-US"/>
        </w:rPr>
        <w:t>Journal of Experimental Psychology. Human Perception and Performance</w:t>
      </w:r>
      <w:r w:rsidRPr="001C025E">
        <w:rPr>
          <w:noProof/>
          <w:lang w:val="en-US"/>
        </w:rPr>
        <w:t xml:space="preserve">, </w:t>
      </w:r>
      <w:r w:rsidRPr="001C025E">
        <w:rPr>
          <w:i/>
          <w:iCs/>
          <w:noProof/>
          <w:lang w:val="en-US"/>
        </w:rPr>
        <w:t>18</w:t>
      </w:r>
      <w:r w:rsidRPr="001C025E">
        <w:rPr>
          <w:noProof/>
          <w:lang w:val="en-US"/>
        </w:rPr>
        <w:t>(4), 1030–1044.</w:t>
      </w:r>
    </w:p>
    <w:p w14:paraId="7AF1CE9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Foulsham, T., Cheng, J. T., Tracy, J. L., Henrich, J., &amp; Kingstone, A. (2010). Gaze allocation in a dynamic situation: Effects of social status and speaking. </w:t>
      </w:r>
      <w:r w:rsidRPr="001C025E">
        <w:rPr>
          <w:i/>
          <w:iCs/>
          <w:noProof/>
          <w:lang w:val="en-US"/>
        </w:rPr>
        <w:t>Cognition</w:t>
      </w:r>
      <w:r w:rsidRPr="001C025E">
        <w:rPr>
          <w:noProof/>
          <w:lang w:val="en-US"/>
        </w:rPr>
        <w:t xml:space="preserve">, </w:t>
      </w:r>
      <w:r w:rsidRPr="001C025E">
        <w:rPr>
          <w:i/>
          <w:iCs/>
          <w:noProof/>
          <w:lang w:val="en-US"/>
        </w:rPr>
        <w:t>117</w:t>
      </w:r>
      <w:r w:rsidRPr="001C025E">
        <w:rPr>
          <w:noProof/>
          <w:lang w:val="en-US"/>
        </w:rPr>
        <w:t>(3), 319–331. https://doi.org/10.1016/j.cognition.2010.09.003</w:t>
      </w:r>
    </w:p>
    <w:p w14:paraId="298FE55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Fox, E., Mathews, A., Calder, A. J., &amp; Yiend, J. (2007). Anxiety and Sensitivity to Gaze Direction in Emotionally Expressive Faces. </w:t>
      </w:r>
      <w:r w:rsidRPr="001C025E">
        <w:rPr>
          <w:i/>
          <w:iCs/>
          <w:noProof/>
          <w:lang w:val="en-US"/>
        </w:rPr>
        <w:t>Emotion</w:t>
      </w:r>
      <w:r w:rsidRPr="001C025E">
        <w:rPr>
          <w:noProof/>
          <w:lang w:val="en-US"/>
        </w:rPr>
        <w:t xml:space="preserve">, </w:t>
      </w:r>
      <w:r w:rsidRPr="001C025E">
        <w:rPr>
          <w:i/>
          <w:iCs/>
          <w:noProof/>
          <w:lang w:val="en-US"/>
        </w:rPr>
        <w:t>7</w:t>
      </w:r>
      <w:r w:rsidRPr="001C025E">
        <w:rPr>
          <w:noProof/>
          <w:lang w:val="en-US"/>
        </w:rPr>
        <w:t>(3), 478–486. https://doi.org/10.1037/1528-3542.7.3.478</w:t>
      </w:r>
    </w:p>
    <w:p w14:paraId="105E8DD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FP de Araújo, M., A de Castro, W., Nishimaru, H., Urakawa, S., Ono, T., &amp; Nishijo, H. (2021). Performance in a gaze-cueing task is associated with autistic traits. </w:t>
      </w:r>
      <w:r w:rsidRPr="001C025E">
        <w:rPr>
          <w:i/>
          <w:iCs/>
          <w:noProof/>
          <w:lang w:val="en-US"/>
        </w:rPr>
        <w:t>AIMS Neuroscience</w:t>
      </w:r>
      <w:r w:rsidRPr="001C025E">
        <w:rPr>
          <w:noProof/>
          <w:lang w:val="en-US"/>
        </w:rPr>
        <w:t xml:space="preserve">, </w:t>
      </w:r>
      <w:r w:rsidRPr="001C025E">
        <w:rPr>
          <w:i/>
          <w:iCs/>
          <w:noProof/>
          <w:lang w:val="en-US"/>
        </w:rPr>
        <w:t>8</w:t>
      </w:r>
      <w:r w:rsidRPr="001C025E">
        <w:rPr>
          <w:noProof/>
          <w:lang w:val="en-US"/>
        </w:rPr>
        <w:t>(1), 148–160. https://doi.org/10.3934/Neuroscience.2021007</w:t>
      </w:r>
    </w:p>
    <w:p w14:paraId="1673D99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Freeth, M, Ropar, D., Chapman, P., &amp; Mitchell, P. (2010). The eye gaze direction of an observed person can bias perception, memory, and attention in adolescents with and without autism spectrum disorder. </w:t>
      </w:r>
      <w:r w:rsidRPr="001C025E">
        <w:rPr>
          <w:i/>
          <w:iCs/>
          <w:noProof/>
          <w:lang w:val="en-US"/>
        </w:rPr>
        <w:t>Journal of Experimental Child Psychology</w:t>
      </w:r>
      <w:r w:rsidRPr="001C025E">
        <w:rPr>
          <w:noProof/>
          <w:lang w:val="en-US"/>
        </w:rPr>
        <w:t xml:space="preserve">, </w:t>
      </w:r>
      <w:r w:rsidRPr="001C025E">
        <w:rPr>
          <w:i/>
          <w:iCs/>
          <w:noProof/>
          <w:lang w:val="en-US"/>
        </w:rPr>
        <w:t>105</w:t>
      </w:r>
      <w:r w:rsidRPr="001C025E">
        <w:rPr>
          <w:noProof/>
          <w:lang w:val="en-US"/>
        </w:rPr>
        <w:t>(1–2), 20–37. https://doi.org/10.1016/j.jecp.2009.10.001</w:t>
      </w:r>
    </w:p>
    <w:p w14:paraId="756EDB4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Freeth, Megan, Foulsham, T., &amp; Kingstone, A. (2013). What Affects Social Attention? Social Presence, Eye Contact and Autistic Traits. </w:t>
      </w:r>
      <w:r w:rsidRPr="001C025E">
        <w:rPr>
          <w:i/>
          <w:iCs/>
          <w:noProof/>
          <w:lang w:val="en-US"/>
        </w:rPr>
        <w:t>Plos One</w:t>
      </w:r>
      <w:r w:rsidRPr="001C025E">
        <w:rPr>
          <w:noProof/>
          <w:lang w:val="en-US"/>
        </w:rPr>
        <w:t xml:space="preserve">, </w:t>
      </w:r>
      <w:r w:rsidRPr="001C025E">
        <w:rPr>
          <w:i/>
          <w:iCs/>
          <w:noProof/>
          <w:lang w:val="en-US"/>
        </w:rPr>
        <w:t>8</w:t>
      </w:r>
      <w:r w:rsidRPr="001C025E">
        <w:rPr>
          <w:noProof/>
          <w:lang w:val="en-US"/>
        </w:rPr>
        <w:t>(1). https://doi.org/10.1371/journal.pone.0053286</w:t>
      </w:r>
    </w:p>
    <w:p w14:paraId="38DE3A4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Friesen, C. K., Halvorson, K. M., &amp; Graham, R. (2011). Emotionally meaningful targets enhance orienting triggered by a fearful gazing face. </w:t>
      </w:r>
      <w:r w:rsidRPr="001C025E">
        <w:rPr>
          <w:i/>
          <w:iCs/>
          <w:noProof/>
          <w:lang w:val="en-US"/>
        </w:rPr>
        <w:t>Cognition &amp; Emotion</w:t>
      </w:r>
      <w:r w:rsidRPr="001C025E">
        <w:rPr>
          <w:noProof/>
          <w:lang w:val="en-US"/>
        </w:rPr>
        <w:t xml:space="preserve">, </w:t>
      </w:r>
      <w:r w:rsidRPr="001C025E">
        <w:rPr>
          <w:i/>
          <w:iCs/>
          <w:noProof/>
          <w:lang w:val="en-US"/>
        </w:rPr>
        <w:t>25</w:t>
      </w:r>
      <w:r w:rsidRPr="001C025E">
        <w:rPr>
          <w:noProof/>
          <w:lang w:val="en-US"/>
        </w:rPr>
        <w:t>(1), 73–88. https://doi.org/10.1080/02699931003672381</w:t>
      </w:r>
    </w:p>
    <w:p w14:paraId="406FBF8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Friesen, C. K., &amp; Kingstone, A. (1998). The eyes have it! Reflexive orienting is triggered by nonpredictive gaze. </w:t>
      </w:r>
      <w:r w:rsidRPr="001C025E">
        <w:rPr>
          <w:i/>
          <w:iCs/>
          <w:noProof/>
          <w:lang w:val="en-US"/>
        </w:rPr>
        <w:t>Psychonomic Bulletin &amp; Review</w:t>
      </w:r>
      <w:r w:rsidRPr="001C025E">
        <w:rPr>
          <w:noProof/>
          <w:lang w:val="en-US"/>
        </w:rPr>
        <w:t xml:space="preserve">, </w:t>
      </w:r>
      <w:r w:rsidRPr="001C025E">
        <w:rPr>
          <w:i/>
          <w:iCs/>
          <w:noProof/>
          <w:lang w:val="en-US"/>
        </w:rPr>
        <w:t>5</w:t>
      </w:r>
      <w:r w:rsidRPr="001C025E">
        <w:rPr>
          <w:noProof/>
          <w:lang w:val="en-US"/>
        </w:rPr>
        <w:t>(3), 490–495. https://doi.org/10.3758/BF03208827</w:t>
      </w:r>
    </w:p>
    <w:p w14:paraId="1A13FEF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Friesen, C. K., &amp; Kingstone, A. (2003). Covert and overt orienting to gaze direction cues and the effects of fixation offset. </w:t>
      </w:r>
      <w:r w:rsidRPr="001C025E">
        <w:rPr>
          <w:i/>
          <w:iCs/>
          <w:noProof/>
          <w:lang w:val="en-US"/>
        </w:rPr>
        <w:t>NeuroReport</w:t>
      </w:r>
      <w:r w:rsidRPr="001C025E">
        <w:rPr>
          <w:noProof/>
          <w:lang w:val="en-US"/>
        </w:rPr>
        <w:t xml:space="preserve">, </w:t>
      </w:r>
      <w:r w:rsidRPr="001C025E">
        <w:rPr>
          <w:i/>
          <w:iCs/>
          <w:noProof/>
          <w:lang w:val="en-US"/>
        </w:rPr>
        <w:t>14</w:t>
      </w:r>
      <w:r w:rsidRPr="001C025E">
        <w:rPr>
          <w:noProof/>
          <w:lang w:val="en-US"/>
        </w:rPr>
        <w:t xml:space="preserve">(3), 489–493. </w:t>
      </w:r>
      <w:r w:rsidRPr="001C025E">
        <w:rPr>
          <w:noProof/>
          <w:lang w:val="en-US"/>
        </w:rPr>
        <w:lastRenderedPageBreak/>
        <w:t>https://doi.org/10.1097/00001756-200303030-00039</w:t>
      </w:r>
    </w:p>
    <w:p w14:paraId="0C29A19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Friesen, C., Ristic, J., &amp; Kingstone, A. (2004). Attentional effects of counterpredictive gaze and arrow cues. </w:t>
      </w:r>
      <w:r w:rsidRPr="001C025E">
        <w:rPr>
          <w:i/>
          <w:iCs/>
          <w:noProof/>
          <w:lang w:val="en-US"/>
        </w:rPr>
        <w:t>J. Exp. Psychol.-Hum. Percept. Perform.</w:t>
      </w:r>
      <w:r w:rsidRPr="001C025E">
        <w:rPr>
          <w:noProof/>
          <w:lang w:val="en-US"/>
        </w:rPr>
        <w:t xml:space="preserve">, </w:t>
      </w:r>
      <w:r w:rsidRPr="001C025E">
        <w:rPr>
          <w:i/>
          <w:iCs/>
          <w:noProof/>
          <w:lang w:val="en-US"/>
        </w:rPr>
        <w:t>30</w:t>
      </w:r>
      <w:r w:rsidRPr="001C025E">
        <w:rPr>
          <w:noProof/>
          <w:lang w:val="en-US"/>
        </w:rPr>
        <w:t>(2), 319–329. https://doi.org/10.1037/0096-1523.30.2.319</w:t>
      </w:r>
    </w:p>
    <w:p w14:paraId="3429503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Frischen, A., Bayliss, A. P., &amp; Tipper, S. P. (2007). Gaze cueing of attention: Visual attention, social cognition, and individual differences. </w:t>
      </w:r>
      <w:r w:rsidRPr="001C025E">
        <w:rPr>
          <w:i/>
          <w:iCs/>
          <w:noProof/>
          <w:lang w:val="en-US"/>
        </w:rPr>
        <w:t>Psychological Bulletin</w:t>
      </w:r>
      <w:r w:rsidRPr="001C025E">
        <w:rPr>
          <w:noProof/>
          <w:lang w:val="en-US"/>
        </w:rPr>
        <w:t xml:space="preserve">, </w:t>
      </w:r>
      <w:r w:rsidRPr="001C025E">
        <w:rPr>
          <w:i/>
          <w:iCs/>
          <w:noProof/>
          <w:lang w:val="en-US"/>
        </w:rPr>
        <w:t>133</w:t>
      </w:r>
      <w:r w:rsidRPr="001C025E">
        <w:rPr>
          <w:noProof/>
          <w:lang w:val="en-US"/>
        </w:rPr>
        <w:t>(4), 694–724. https://doi.org/10.1037/0033-2909.133.4.694</w:t>
      </w:r>
    </w:p>
    <w:p w14:paraId="2FF6009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Frischen, A., Smilek, D., Eastwood, J., &amp; Tipper, S. (2007). Inhibition of return in response to gaze cues: The roles of time course and fixation cue. In </w:t>
      </w:r>
      <w:r w:rsidRPr="001C025E">
        <w:rPr>
          <w:i/>
          <w:iCs/>
          <w:noProof/>
          <w:lang w:val="en-US"/>
        </w:rPr>
        <w:t>Visual Cognition - VIS COGN</w:t>
      </w:r>
      <w:r w:rsidRPr="001C025E">
        <w:rPr>
          <w:noProof/>
          <w:lang w:val="en-US"/>
        </w:rPr>
        <w:t xml:space="preserve"> (Vol. 15). https://doi.org/10.1080/13506280601112493</w:t>
      </w:r>
    </w:p>
    <w:p w14:paraId="0B81F28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Frischen, A., &amp; Tipper, S. P. (2004). Orienting attention via observed gaze shift evokes longer term inhibitory effects: Implications for social interactions, attention, and memory. </w:t>
      </w:r>
      <w:r w:rsidRPr="001C025E">
        <w:rPr>
          <w:i/>
          <w:iCs/>
          <w:noProof/>
          <w:lang w:val="en-US"/>
        </w:rPr>
        <w:t>Journal of Experimental Psychology: General</w:t>
      </w:r>
      <w:r w:rsidRPr="001C025E">
        <w:rPr>
          <w:noProof/>
          <w:lang w:val="en-US"/>
        </w:rPr>
        <w:t xml:space="preserve">, </w:t>
      </w:r>
      <w:r w:rsidRPr="001C025E">
        <w:rPr>
          <w:i/>
          <w:iCs/>
          <w:noProof/>
          <w:lang w:val="en-US"/>
        </w:rPr>
        <w:t>133</w:t>
      </w:r>
      <w:r w:rsidRPr="001C025E">
        <w:rPr>
          <w:noProof/>
          <w:lang w:val="en-US"/>
        </w:rPr>
        <w:t>(4), 516–533. https://doi.org/10.1037/0096-3445.133.4.516</w:t>
      </w:r>
    </w:p>
    <w:p w14:paraId="1341218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Frischen, A., &amp; Tipper, S. P. (2006). Long-term gaze cueing effects: Evidence for retrieval of prior states of attention from memory. </w:t>
      </w:r>
      <w:r w:rsidRPr="001C025E">
        <w:rPr>
          <w:i/>
          <w:iCs/>
          <w:noProof/>
          <w:lang w:val="en-US"/>
        </w:rPr>
        <w:t>Visual Cognition</w:t>
      </w:r>
      <w:r w:rsidRPr="001C025E">
        <w:rPr>
          <w:noProof/>
          <w:lang w:val="en-US"/>
        </w:rPr>
        <w:t xml:space="preserve">, </w:t>
      </w:r>
      <w:r w:rsidRPr="001C025E">
        <w:rPr>
          <w:i/>
          <w:iCs/>
          <w:noProof/>
          <w:lang w:val="en-US"/>
        </w:rPr>
        <w:t>14</w:t>
      </w:r>
      <w:r w:rsidRPr="001C025E">
        <w:rPr>
          <w:noProof/>
          <w:lang w:val="en-US"/>
        </w:rPr>
        <w:t>(3), 351–364. https://doi.org/10.1080/13506280544000192</w:t>
      </w:r>
    </w:p>
    <w:p w14:paraId="44B0B3C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Frith, C. D., &amp; Frith, U. (2006). The Neural Basis of Mentalizing. </w:t>
      </w:r>
      <w:r w:rsidRPr="001C025E">
        <w:rPr>
          <w:i/>
          <w:iCs/>
          <w:noProof/>
          <w:lang w:val="en-US"/>
        </w:rPr>
        <w:t>Neuron</w:t>
      </w:r>
      <w:r w:rsidRPr="001C025E">
        <w:rPr>
          <w:noProof/>
          <w:lang w:val="en-US"/>
        </w:rPr>
        <w:t xml:space="preserve">, </w:t>
      </w:r>
      <w:r w:rsidRPr="001C025E">
        <w:rPr>
          <w:i/>
          <w:iCs/>
          <w:noProof/>
          <w:lang w:val="en-US"/>
        </w:rPr>
        <w:t>50</w:t>
      </w:r>
      <w:r w:rsidRPr="001C025E">
        <w:rPr>
          <w:noProof/>
          <w:lang w:val="en-US"/>
        </w:rPr>
        <w:t>(4), 531–534. https://doi.org/10.1016/j.neuron.2006.05.001</w:t>
      </w:r>
    </w:p>
    <w:p w14:paraId="49EEA54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Frith, C. D., &amp; Frith, U. (2007). Social Cognition in Humans. </w:t>
      </w:r>
      <w:r w:rsidRPr="001C025E">
        <w:rPr>
          <w:i/>
          <w:iCs/>
          <w:noProof/>
          <w:lang w:val="en-US"/>
        </w:rPr>
        <w:t>Current Biology</w:t>
      </w:r>
      <w:r w:rsidRPr="001C025E">
        <w:rPr>
          <w:noProof/>
          <w:lang w:val="en-US"/>
        </w:rPr>
        <w:t xml:space="preserve">, </w:t>
      </w:r>
      <w:r w:rsidRPr="001C025E">
        <w:rPr>
          <w:i/>
          <w:iCs/>
          <w:noProof/>
          <w:lang w:val="en-US"/>
        </w:rPr>
        <w:t>17</w:t>
      </w:r>
      <w:r w:rsidRPr="001C025E">
        <w:rPr>
          <w:noProof/>
          <w:lang w:val="en-US"/>
        </w:rPr>
        <w:t>(16), R724–R732. https://doi.org/10.1016/j.cub.2007.05.068</w:t>
      </w:r>
    </w:p>
    <w:p w14:paraId="63484F0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Galfano, G., Dalmaso, M., Marzoli, D., Pavan, G., Coricelli, C., &amp; Castelli, L. (2012). Eye gaze cannot be ignored (but neither can arrows). </w:t>
      </w:r>
      <w:r w:rsidRPr="001C025E">
        <w:rPr>
          <w:i/>
          <w:iCs/>
          <w:noProof/>
          <w:lang w:val="en-US"/>
        </w:rPr>
        <w:t>Quarterly Journal of Experimental Psychology</w:t>
      </w:r>
      <w:r w:rsidRPr="001C025E">
        <w:rPr>
          <w:noProof/>
          <w:lang w:val="en-US"/>
        </w:rPr>
        <w:t xml:space="preserve">, </w:t>
      </w:r>
      <w:r w:rsidRPr="001C025E">
        <w:rPr>
          <w:i/>
          <w:iCs/>
          <w:noProof/>
          <w:lang w:val="en-US"/>
        </w:rPr>
        <w:t>65</w:t>
      </w:r>
      <w:r w:rsidRPr="001C025E">
        <w:rPr>
          <w:noProof/>
          <w:lang w:val="en-US"/>
        </w:rPr>
        <w:t>(10), 1895–1910. https://doi.org/10.1080/17470218.2012.663765</w:t>
      </w:r>
    </w:p>
    <w:p w14:paraId="680D2B3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Galinsky, A. D., Magee, J. C., Inesi, M. E., &amp; Gruenfeld, D. H. (2006). Power and Perspectives Not Taken. </w:t>
      </w:r>
      <w:r w:rsidRPr="001C025E">
        <w:rPr>
          <w:i/>
          <w:iCs/>
          <w:noProof/>
          <w:lang w:val="en-US"/>
        </w:rPr>
        <w:t>Psychological Science</w:t>
      </w:r>
      <w:r w:rsidRPr="001C025E">
        <w:rPr>
          <w:noProof/>
          <w:lang w:val="en-US"/>
        </w:rPr>
        <w:t xml:space="preserve">, </w:t>
      </w:r>
      <w:r w:rsidRPr="001C025E">
        <w:rPr>
          <w:i/>
          <w:iCs/>
          <w:noProof/>
          <w:lang w:val="en-US"/>
        </w:rPr>
        <w:t>17</w:t>
      </w:r>
      <w:r w:rsidRPr="001C025E">
        <w:rPr>
          <w:noProof/>
          <w:lang w:val="en-US"/>
        </w:rPr>
        <w:t>(12), 1068–1074. https://doi.org/10.1111/j.1467-9280.2006.01824.x</w:t>
      </w:r>
    </w:p>
    <w:p w14:paraId="5C3EDA9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Galinsky, A. D., Wang, C. S., Whitson, J. A., Anicich, E. M., Hugenberg, K., &amp; </w:t>
      </w:r>
      <w:r w:rsidRPr="001C025E">
        <w:rPr>
          <w:noProof/>
          <w:lang w:val="en-US"/>
        </w:rPr>
        <w:lastRenderedPageBreak/>
        <w:t xml:space="preserve">Bodenhausen, G. V. (2013). The Reappropriation of Stigmatizing Labels. </w:t>
      </w:r>
      <w:r w:rsidRPr="001C025E">
        <w:rPr>
          <w:i/>
          <w:iCs/>
          <w:noProof/>
          <w:lang w:val="en-US"/>
        </w:rPr>
        <w:t>Psychological Science</w:t>
      </w:r>
      <w:r w:rsidRPr="001C025E">
        <w:rPr>
          <w:noProof/>
          <w:lang w:val="en-US"/>
        </w:rPr>
        <w:t xml:space="preserve">, </w:t>
      </w:r>
      <w:r w:rsidRPr="001C025E">
        <w:rPr>
          <w:i/>
          <w:iCs/>
          <w:noProof/>
          <w:lang w:val="en-US"/>
        </w:rPr>
        <w:t>24</w:t>
      </w:r>
      <w:r w:rsidRPr="001C025E">
        <w:rPr>
          <w:noProof/>
          <w:lang w:val="en-US"/>
        </w:rPr>
        <w:t>(10), 2020–2029. https://doi.org/10.1177/0956797613482943</w:t>
      </w:r>
    </w:p>
    <w:p w14:paraId="7255440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Geary, D. C. (2010). </w:t>
      </w:r>
      <w:r w:rsidRPr="001C025E">
        <w:rPr>
          <w:i/>
          <w:iCs/>
          <w:noProof/>
          <w:lang w:val="en-US"/>
        </w:rPr>
        <w:t>Male, female: The evolution of human sex differences</w:t>
      </w:r>
      <w:r w:rsidRPr="001C025E">
        <w:rPr>
          <w:noProof/>
          <w:lang w:val="en-US"/>
        </w:rPr>
        <w:t>. American Psychological Association.</w:t>
      </w:r>
    </w:p>
    <w:p w14:paraId="4C20751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George, N., Driver, J., &amp; Dolan, R. J. (2001). Seen gaze-direction modulates fusiform activity and its coupling with other brain areas during face processing. </w:t>
      </w:r>
      <w:r w:rsidRPr="001C025E">
        <w:rPr>
          <w:i/>
          <w:iCs/>
          <w:noProof/>
          <w:lang w:val="en-US"/>
        </w:rPr>
        <w:t>NeuroImage</w:t>
      </w:r>
      <w:r w:rsidRPr="001C025E">
        <w:rPr>
          <w:noProof/>
          <w:lang w:val="en-US"/>
        </w:rPr>
        <w:t xml:space="preserve">, </w:t>
      </w:r>
      <w:r w:rsidRPr="001C025E">
        <w:rPr>
          <w:i/>
          <w:iCs/>
          <w:noProof/>
          <w:lang w:val="en-US"/>
        </w:rPr>
        <w:t>13</w:t>
      </w:r>
      <w:r w:rsidRPr="001C025E">
        <w:rPr>
          <w:noProof/>
          <w:lang w:val="en-US"/>
        </w:rPr>
        <w:t>(6 Pt 1), 1102–1112. https://doi.org/10.1006/nimg.2001.0769</w:t>
      </w:r>
    </w:p>
    <w:p w14:paraId="143919E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Gibson, B. S., &amp; Kingstone, A. (2006). Visual attention and the semantics of space: Beyond central and peripheral cues. </w:t>
      </w:r>
      <w:r w:rsidRPr="001C025E">
        <w:rPr>
          <w:i/>
          <w:iCs/>
          <w:noProof/>
          <w:lang w:val="en-US"/>
        </w:rPr>
        <w:t>Psychological Science</w:t>
      </w:r>
      <w:r w:rsidRPr="001C025E">
        <w:rPr>
          <w:noProof/>
          <w:lang w:val="en-US"/>
        </w:rPr>
        <w:t xml:space="preserve">, </w:t>
      </w:r>
      <w:r w:rsidRPr="001C025E">
        <w:rPr>
          <w:i/>
          <w:iCs/>
          <w:noProof/>
          <w:lang w:val="en-US"/>
        </w:rPr>
        <w:t>17</w:t>
      </w:r>
      <w:r w:rsidRPr="001C025E">
        <w:rPr>
          <w:noProof/>
          <w:lang w:val="en-US"/>
        </w:rPr>
        <w:t>(7), 622–627.</w:t>
      </w:r>
    </w:p>
    <w:p w14:paraId="6DA4446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Gilbert, S. J., Spengler, S., Simons, J. S., Steele, J. D., Lawrie, S. M., Frith, C. D., &amp; Burgess, P. W. (2006). Functional Specialization within Rostral Prefrontal Cortex (Area 10): A Meta-analysis. </w:t>
      </w:r>
      <w:r w:rsidRPr="001C025E">
        <w:rPr>
          <w:i/>
          <w:iCs/>
          <w:noProof/>
          <w:lang w:val="en-US"/>
        </w:rPr>
        <w:t>Journal of Cognitive Neuroscience</w:t>
      </w:r>
      <w:r w:rsidRPr="001C025E">
        <w:rPr>
          <w:noProof/>
          <w:lang w:val="en-US"/>
        </w:rPr>
        <w:t xml:space="preserve">, </w:t>
      </w:r>
      <w:r w:rsidRPr="001C025E">
        <w:rPr>
          <w:i/>
          <w:iCs/>
          <w:noProof/>
          <w:lang w:val="en-US"/>
        </w:rPr>
        <w:t>18</w:t>
      </w:r>
      <w:r w:rsidRPr="001C025E">
        <w:rPr>
          <w:noProof/>
          <w:lang w:val="en-US"/>
        </w:rPr>
        <w:t>(6), 932–948. https://doi.org/10.1162/jocn.2006.18.6.932</w:t>
      </w:r>
    </w:p>
    <w:p w14:paraId="51E1232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Gobbini, M. I., Gors, J. D., Halchenko, Y. O., Rogers, C., Guntupalli, J. S., Hughes, H., &amp; Cipolli, C. (2013). Prioritized Detection of Personally Familiar Faces. </w:t>
      </w:r>
      <w:r w:rsidRPr="001C025E">
        <w:rPr>
          <w:i/>
          <w:iCs/>
          <w:noProof/>
          <w:lang w:val="en-US"/>
        </w:rPr>
        <w:t>PLoS ONE</w:t>
      </w:r>
      <w:r w:rsidRPr="001C025E">
        <w:rPr>
          <w:noProof/>
          <w:lang w:val="en-US"/>
        </w:rPr>
        <w:t xml:space="preserve">, </w:t>
      </w:r>
      <w:r w:rsidRPr="001C025E">
        <w:rPr>
          <w:i/>
          <w:iCs/>
          <w:noProof/>
          <w:lang w:val="en-US"/>
        </w:rPr>
        <w:t>8</w:t>
      </w:r>
      <w:r w:rsidRPr="001C025E">
        <w:rPr>
          <w:noProof/>
          <w:lang w:val="en-US"/>
        </w:rPr>
        <w:t>(6), e66620. https://doi.org/10.1371/journal.pone.0066620</w:t>
      </w:r>
    </w:p>
    <w:p w14:paraId="450F1D4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Goldenfeld, N., Baron-Cohen, S., &amp; Wheelwright, S. (2005). Empathizing and systemizing in males, females, and autism. </w:t>
      </w:r>
      <w:r w:rsidRPr="001C025E">
        <w:rPr>
          <w:i/>
          <w:iCs/>
          <w:noProof/>
          <w:lang w:val="en-US"/>
        </w:rPr>
        <w:t>Clinical Neuropsychiatry: Journal of Treatment Evaluation</w:t>
      </w:r>
      <w:r w:rsidRPr="001C025E">
        <w:rPr>
          <w:noProof/>
          <w:lang w:val="en-US"/>
        </w:rPr>
        <w:t xml:space="preserve">, </w:t>
      </w:r>
      <w:r w:rsidRPr="001C025E">
        <w:rPr>
          <w:i/>
          <w:iCs/>
          <w:noProof/>
          <w:lang w:val="en-US"/>
        </w:rPr>
        <w:t>2</w:t>
      </w:r>
      <w:r w:rsidRPr="001C025E">
        <w:rPr>
          <w:noProof/>
          <w:lang w:val="en-US"/>
        </w:rPr>
        <w:t>(6), 338–345.</w:t>
      </w:r>
    </w:p>
    <w:p w14:paraId="6FE34C3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Goldinger, S. D., He, Y., &amp; Papesh, M. H. (2009). Deficits in Cross- Race Face Learning: Insights from Eye Movements and Pupillometry. </w:t>
      </w:r>
      <w:r w:rsidRPr="001C025E">
        <w:rPr>
          <w:i/>
          <w:iCs/>
          <w:noProof/>
          <w:lang w:val="en-US"/>
        </w:rPr>
        <w:t>Journal of Experimental Psychology: Learning, Memory, and Cognition</w:t>
      </w:r>
      <w:r w:rsidRPr="001C025E">
        <w:rPr>
          <w:noProof/>
          <w:lang w:val="en-US"/>
        </w:rPr>
        <w:t xml:space="preserve">, </w:t>
      </w:r>
      <w:r w:rsidRPr="001C025E">
        <w:rPr>
          <w:i/>
          <w:iCs/>
          <w:noProof/>
          <w:lang w:val="en-US"/>
        </w:rPr>
        <w:t>35</w:t>
      </w:r>
      <w:r w:rsidRPr="001C025E">
        <w:rPr>
          <w:noProof/>
          <w:lang w:val="en-US"/>
        </w:rPr>
        <w:t>(5), 1105–1122. https://doi.org/10.1037/a0016548</w:t>
      </w:r>
    </w:p>
    <w:p w14:paraId="7DF0AE6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Gould, R. V. (2002). The Origins of Status Hierarchies: A Formal Theory and Empirical Test. </w:t>
      </w:r>
      <w:r w:rsidRPr="001C025E">
        <w:rPr>
          <w:i/>
          <w:iCs/>
          <w:noProof/>
          <w:lang w:val="en-US"/>
        </w:rPr>
        <w:t>American Journal of Sociology</w:t>
      </w:r>
      <w:r w:rsidRPr="001C025E">
        <w:rPr>
          <w:noProof/>
          <w:lang w:val="en-US"/>
        </w:rPr>
        <w:t xml:space="preserve">, </w:t>
      </w:r>
      <w:r w:rsidRPr="001C025E">
        <w:rPr>
          <w:i/>
          <w:iCs/>
          <w:noProof/>
          <w:lang w:val="en-US"/>
        </w:rPr>
        <w:t>107</w:t>
      </w:r>
      <w:r w:rsidRPr="001C025E">
        <w:rPr>
          <w:noProof/>
          <w:lang w:val="en-US"/>
        </w:rPr>
        <w:t>(5), 1143–1178. https://doi.org/10.1086/341744</w:t>
      </w:r>
    </w:p>
    <w:p w14:paraId="155EA09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Greene, D. J., Mooshagian, E., Kaplan, J. T., Zaidel, E., &amp; Iacoboni, M. (2009). The neural </w:t>
      </w:r>
      <w:r w:rsidRPr="001C025E">
        <w:rPr>
          <w:noProof/>
          <w:lang w:val="en-US"/>
        </w:rPr>
        <w:lastRenderedPageBreak/>
        <w:t xml:space="preserve">correlates of social attention: automatic orienting to social and nonsocial cues. </w:t>
      </w:r>
      <w:r w:rsidRPr="001C025E">
        <w:rPr>
          <w:i/>
          <w:iCs/>
          <w:noProof/>
          <w:lang w:val="en-US"/>
        </w:rPr>
        <w:t>Psychological Research-Psychologische Forschung</w:t>
      </w:r>
      <w:r w:rsidRPr="001C025E">
        <w:rPr>
          <w:noProof/>
          <w:lang w:val="en-US"/>
        </w:rPr>
        <w:t xml:space="preserve">, </w:t>
      </w:r>
      <w:r w:rsidRPr="001C025E">
        <w:rPr>
          <w:i/>
          <w:iCs/>
          <w:noProof/>
          <w:lang w:val="en-US"/>
        </w:rPr>
        <w:t>73</w:t>
      </w:r>
      <w:r w:rsidRPr="001C025E">
        <w:rPr>
          <w:noProof/>
          <w:lang w:val="en-US"/>
        </w:rPr>
        <w:t>(4), 499–511. https://doi.org/10.1007/s00426-009-0233-3</w:t>
      </w:r>
    </w:p>
    <w:p w14:paraId="6A42D91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Greer, L. L., Caruso, H. M., &amp; Jehn, K. A. (2011). The bigger they are, the harder they fall: Linking team power, team conflict, and performance. </w:t>
      </w:r>
      <w:r w:rsidRPr="001C025E">
        <w:rPr>
          <w:i/>
          <w:iCs/>
          <w:noProof/>
          <w:lang w:val="en-US"/>
        </w:rPr>
        <w:t>Organizational Behavior and Human Decision Processes</w:t>
      </w:r>
      <w:r w:rsidRPr="001C025E">
        <w:rPr>
          <w:noProof/>
          <w:lang w:val="en-US"/>
        </w:rPr>
        <w:t xml:space="preserve">, </w:t>
      </w:r>
      <w:r w:rsidRPr="001C025E">
        <w:rPr>
          <w:i/>
          <w:iCs/>
          <w:noProof/>
          <w:lang w:val="en-US"/>
        </w:rPr>
        <w:t>116</w:t>
      </w:r>
      <w:r w:rsidRPr="001C025E">
        <w:rPr>
          <w:noProof/>
          <w:lang w:val="en-US"/>
        </w:rPr>
        <w:t>(1), 116–128. https://doi.org/10.1016/j.obhdp.2011.03.005</w:t>
      </w:r>
    </w:p>
    <w:p w14:paraId="218EBE8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Greer, L. L., &amp; van Kleef, G. A. (2010). Equality versus differentiation: The effects of power dispersion on group interaction. </w:t>
      </w:r>
      <w:r w:rsidRPr="001C025E">
        <w:rPr>
          <w:i/>
          <w:iCs/>
          <w:noProof/>
          <w:lang w:val="en-US"/>
        </w:rPr>
        <w:t>Journal of Applied Psychology</w:t>
      </w:r>
      <w:r w:rsidRPr="001C025E">
        <w:rPr>
          <w:noProof/>
          <w:lang w:val="en-US"/>
        </w:rPr>
        <w:t xml:space="preserve">, </w:t>
      </w:r>
      <w:r w:rsidRPr="001C025E">
        <w:rPr>
          <w:i/>
          <w:iCs/>
          <w:noProof/>
          <w:lang w:val="en-US"/>
        </w:rPr>
        <w:t>95</w:t>
      </w:r>
      <w:r w:rsidRPr="001C025E">
        <w:rPr>
          <w:noProof/>
          <w:lang w:val="en-US"/>
        </w:rPr>
        <w:t>(6), 1032–1044. https://doi.org/10.1037/a0020373</w:t>
      </w:r>
    </w:p>
    <w:p w14:paraId="7C2F972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Hadjikhani, N., Kveraga, K., Naik, P., &amp; Ahlfors, S. P. (2009). </w:t>
      </w:r>
      <w:r w:rsidRPr="001C025E">
        <w:rPr>
          <w:i/>
          <w:iCs/>
          <w:noProof/>
          <w:lang w:val="en-US"/>
        </w:rPr>
        <w:t>Early (M170) activation of face-specific cortex by face-like objects</w:t>
      </w:r>
      <w:r w:rsidRPr="001C025E">
        <w:rPr>
          <w:noProof/>
          <w:lang w:val="en-US"/>
        </w:rPr>
        <w:t>. Lippincott, Williams &amp;amp; Wilkins.</w:t>
      </w:r>
    </w:p>
    <w:p w14:paraId="48C6C52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Halevy, N., Chou, E. Y., Galinsky, A. D., &amp; Murnighan, J. K. (2012). When Hierarchy Wins. </w:t>
      </w:r>
      <w:r w:rsidRPr="001C025E">
        <w:rPr>
          <w:i/>
          <w:iCs/>
          <w:noProof/>
          <w:lang w:val="en-US"/>
        </w:rPr>
        <w:t>Social Psychological and Personality Science</w:t>
      </w:r>
      <w:r w:rsidRPr="001C025E">
        <w:rPr>
          <w:noProof/>
          <w:lang w:val="en-US"/>
        </w:rPr>
        <w:t xml:space="preserve">, </w:t>
      </w:r>
      <w:r w:rsidRPr="001C025E">
        <w:rPr>
          <w:i/>
          <w:iCs/>
          <w:noProof/>
          <w:lang w:val="en-US"/>
        </w:rPr>
        <w:t>3</w:t>
      </w:r>
      <w:r w:rsidRPr="001C025E">
        <w:rPr>
          <w:noProof/>
          <w:lang w:val="en-US"/>
        </w:rPr>
        <w:t>(4), 398–406. https://doi.org/10.1177/1948550611424225</w:t>
      </w:r>
    </w:p>
    <w:p w14:paraId="0C85568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Hall, J. A. (1978). Gender effects in decoding nonverbal cues. </w:t>
      </w:r>
      <w:r w:rsidRPr="001C025E">
        <w:rPr>
          <w:i/>
          <w:iCs/>
          <w:noProof/>
          <w:lang w:val="en-US"/>
        </w:rPr>
        <w:t>Psychological Bulletin</w:t>
      </w:r>
      <w:r w:rsidRPr="001C025E">
        <w:rPr>
          <w:noProof/>
          <w:lang w:val="en-US"/>
        </w:rPr>
        <w:t xml:space="preserve">, </w:t>
      </w:r>
      <w:r w:rsidRPr="001C025E">
        <w:rPr>
          <w:i/>
          <w:iCs/>
          <w:noProof/>
          <w:lang w:val="en-US"/>
        </w:rPr>
        <w:t>85</w:t>
      </w:r>
      <w:r w:rsidRPr="001C025E">
        <w:rPr>
          <w:noProof/>
          <w:lang w:val="en-US"/>
        </w:rPr>
        <w:t>(4), 845–857. https://doi.org/10.1037/0033-2909.85.4.845</w:t>
      </w:r>
    </w:p>
    <w:p w14:paraId="72558D8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Hamilton, D., &amp; Gifford, R. (1976). Illusory correlation in interpersonal perception: a cognitive basis of stereotypic judgments. </w:t>
      </w:r>
      <w:r w:rsidRPr="001C025E">
        <w:rPr>
          <w:i/>
          <w:iCs/>
          <w:noProof/>
          <w:lang w:val="en-US"/>
        </w:rPr>
        <w:t>Journal of Experimental Social Psychology</w:t>
      </w:r>
      <w:r w:rsidRPr="001C025E">
        <w:rPr>
          <w:noProof/>
          <w:lang w:val="en-US"/>
        </w:rPr>
        <w:t xml:space="preserve">, </w:t>
      </w:r>
      <w:r w:rsidRPr="001C025E">
        <w:rPr>
          <w:i/>
          <w:iCs/>
          <w:noProof/>
          <w:lang w:val="en-US"/>
        </w:rPr>
        <w:t>12</w:t>
      </w:r>
      <w:r w:rsidRPr="001C025E">
        <w:rPr>
          <w:noProof/>
          <w:lang w:val="en-US"/>
        </w:rPr>
        <w:t>(4), 392–407.</w:t>
      </w:r>
    </w:p>
    <w:p w14:paraId="5724348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Hardy, C. L., &amp; Van Vugt, M. (2006). Nice Guys Finish First: The Competitive Altruism Hypothesis. </w:t>
      </w:r>
      <w:r w:rsidRPr="001C025E">
        <w:rPr>
          <w:i/>
          <w:iCs/>
          <w:noProof/>
          <w:lang w:val="en-US"/>
        </w:rPr>
        <w:t>Personality and Social Psychology Bulletin</w:t>
      </w:r>
      <w:r w:rsidRPr="001C025E">
        <w:rPr>
          <w:noProof/>
          <w:lang w:val="en-US"/>
        </w:rPr>
        <w:t xml:space="preserve">, </w:t>
      </w:r>
      <w:r w:rsidRPr="001C025E">
        <w:rPr>
          <w:i/>
          <w:iCs/>
          <w:noProof/>
          <w:lang w:val="en-US"/>
        </w:rPr>
        <w:t>32</w:t>
      </w:r>
      <w:r w:rsidRPr="001C025E">
        <w:rPr>
          <w:noProof/>
          <w:lang w:val="en-US"/>
        </w:rPr>
        <w:t>(10), 1402–1413. https://doi.org/10.1177/0146167206291006</w:t>
      </w:r>
    </w:p>
    <w:p w14:paraId="22FF5AC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Harries, M. H., &amp; Perrett, D. I. (1991). Visual Processing of Faces in Temporal Cortex: Physiological Evidence for a Modular Organization and Possible Anatomical Correlates. </w:t>
      </w:r>
      <w:r w:rsidRPr="001C025E">
        <w:rPr>
          <w:i/>
          <w:iCs/>
          <w:noProof/>
          <w:lang w:val="en-US"/>
        </w:rPr>
        <w:t>Journal of Cognitive Neuroscience</w:t>
      </w:r>
      <w:r w:rsidRPr="001C025E">
        <w:rPr>
          <w:noProof/>
          <w:lang w:val="en-US"/>
        </w:rPr>
        <w:t xml:space="preserve">, </w:t>
      </w:r>
      <w:r w:rsidRPr="001C025E">
        <w:rPr>
          <w:i/>
          <w:iCs/>
          <w:noProof/>
          <w:lang w:val="en-US"/>
        </w:rPr>
        <w:t>3</w:t>
      </w:r>
      <w:r w:rsidRPr="001C025E">
        <w:rPr>
          <w:noProof/>
          <w:lang w:val="en-US"/>
        </w:rPr>
        <w:t>(1), 9–24. https://doi.org/10.1162/jocn.1991.3.1.9</w:t>
      </w:r>
    </w:p>
    <w:p w14:paraId="394A98A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Harris, L. T., Todorov, A., &amp; Fiske, S. T. (2005). Attributions on the brain: Neuro-imaging </w:t>
      </w:r>
      <w:r w:rsidRPr="001C025E">
        <w:rPr>
          <w:noProof/>
          <w:lang w:val="en-US"/>
        </w:rPr>
        <w:lastRenderedPageBreak/>
        <w:t xml:space="preserve">dispositional inferences, beyond theory of mind. </w:t>
      </w:r>
      <w:r w:rsidRPr="001C025E">
        <w:rPr>
          <w:i/>
          <w:iCs/>
          <w:noProof/>
          <w:lang w:val="en-US"/>
        </w:rPr>
        <w:t>NeuroImage</w:t>
      </w:r>
      <w:r w:rsidRPr="001C025E">
        <w:rPr>
          <w:noProof/>
          <w:lang w:val="en-US"/>
        </w:rPr>
        <w:t xml:space="preserve">, </w:t>
      </w:r>
      <w:r w:rsidRPr="001C025E">
        <w:rPr>
          <w:i/>
          <w:iCs/>
          <w:noProof/>
          <w:lang w:val="en-US"/>
        </w:rPr>
        <w:t>28</w:t>
      </w:r>
      <w:r w:rsidRPr="001C025E">
        <w:rPr>
          <w:noProof/>
          <w:lang w:val="en-US"/>
        </w:rPr>
        <w:t>(4), 763–769. https://doi.org/10.1016/j.neuroimage.2005.05.021</w:t>
      </w:r>
    </w:p>
    <w:p w14:paraId="7DCF0B0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Haxby, J. V, Hoffman, E. A., &amp; Gobbini, M. I. (2002). Human neural systems for face recognition and social communication. </w:t>
      </w:r>
      <w:r w:rsidRPr="001C025E">
        <w:rPr>
          <w:i/>
          <w:iCs/>
          <w:noProof/>
          <w:lang w:val="en-US"/>
        </w:rPr>
        <w:t>Biol Psychiatry</w:t>
      </w:r>
      <w:r w:rsidRPr="001C025E">
        <w:rPr>
          <w:noProof/>
          <w:lang w:val="en-US"/>
        </w:rPr>
        <w:t xml:space="preserve">, </w:t>
      </w:r>
      <w:r w:rsidRPr="001C025E">
        <w:rPr>
          <w:i/>
          <w:iCs/>
          <w:noProof/>
          <w:lang w:val="en-US"/>
        </w:rPr>
        <w:t>51</w:t>
      </w:r>
      <w:r w:rsidRPr="001C025E">
        <w:rPr>
          <w:noProof/>
          <w:lang w:val="en-US"/>
        </w:rPr>
        <w:t>(1), 59–67. https://doi.org/10.1016/S0006-3223(01)01330-0</w:t>
      </w:r>
    </w:p>
    <w:p w14:paraId="0AE69C2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Heider, F, &amp; Simmel, M. (1944). An experimental study of apparent behavior. </w:t>
      </w:r>
      <w:r w:rsidRPr="001C025E">
        <w:rPr>
          <w:i/>
          <w:iCs/>
          <w:noProof/>
          <w:lang w:val="en-US"/>
        </w:rPr>
        <w:t>The American Journal of Psychology</w:t>
      </w:r>
      <w:r w:rsidRPr="001C025E">
        <w:rPr>
          <w:noProof/>
          <w:lang w:val="en-US"/>
        </w:rPr>
        <w:t xml:space="preserve">, </w:t>
      </w:r>
      <w:r w:rsidRPr="001C025E">
        <w:rPr>
          <w:i/>
          <w:iCs/>
          <w:noProof/>
          <w:lang w:val="en-US"/>
        </w:rPr>
        <w:t>57</w:t>
      </w:r>
      <w:r w:rsidRPr="001C025E">
        <w:rPr>
          <w:noProof/>
          <w:lang w:val="en-US"/>
        </w:rPr>
        <w:t>, 243–259. https://doi.org/10.2307/1416950</w:t>
      </w:r>
    </w:p>
    <w:p w14:paraId="4C0250C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Heider, Fritz. (1958). The psychology of interpersonal relations. In </w:t>
      </w:r>
      <w:r w:rsidRPr="001C025E">
        <w:rPr>
          <w:i/>
          <w:iCs/>
          <w:noProof/>
          <w:lang w:val="en-US"/>
        </w:rPr>
        <w:t>The psychology of interpersonal relations.</w:t>
      </w:r>
      <w:r w:rsidRPr="001C025E">
        <w:rPr>
          <w:noProof/>
          <w:lang w:val="en-US"/>
        </w:rPr>
        <w:t xml:space="preserve"> John Wiley &amp; Sons Inc. https://doi.org/10.1037/10628-000</w:t>
      </w:r>
    </w:p>
    <w:p w14:paraId="0FE1A16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Herlitz, A., &amp; Yonker, J. E. (2002). Sex differences in episodic memory: the influence of intelligence. </w:t>
      </w:r>
      <w:r w:rsidRPr="001C025E">
        <w:rPr>
          <w:i/>
          <w:iCs/>
          <w:noProof/>
          <w:lang w:val="en-US"/>
        </w:rPr>
        <w:t>Journal of Clinical and Experimental Neuropsychology</w:t>
      </w:r>
      <w:r w:rsidRPr="001C025E">
        <w:rPr>
          <w:noProof/>
          <w:lang w:val="en-US"/>
        </w:rPr>
        <w:t xml:space="preserve">, </w:t>
      </w:r>
      <w:r w:rsidRPr="001C025E">
        <w:rPr>
          <w:i/>
          <w:iCs/>
          <w:noProof/>
          <w:lang w:val="en-US"/>
        </w:rPr>
        <w:t>24</w:t>
      </w:r>
      <w:r w:rsidRPr="001C025E">
        <w:rPr>
          <w:noProof/>
          <w:lang w:val="en-US"/>
        </w:rPr>
        <w:t>(1), 107–114. https://doi.org/10.1076/jcen.24.1.107.970</w:t>
      </w:r>
    </w:p>
    <w:p w14:paraId="5DF9043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Herrmann, E., Call, J., Hernandez-Lloreda, M. V., Hare, B., &amp; Tomasello, M. (2007). Humans Have Evolved Specialized Skills of Social Cognition: The Cultural Intelligence Hypothesis. </w:t>
      </w:r>
      <w:r w:rsidRPr="001C025E">
        <w:rPr>
          <w:i/>
          <w:iCs/>
          <w:noProof/>
          <w:lang w:val="en-US"/>
        </w:rPr>
        <w:t>Science</w:t>
      </w:r>
      <w:r w:rsidRPr="001C025E">
        <w:rPr>
          <w:noProof/>
          <w:lang w:val="en-US"/>
        </w:rPr>
        <w:t xml:space="preserve">, </w:t>
      </w:r>
      <w:r w:rsidRPr="001C025E">
        <w:rPr>
          <w:i/>
          <w:iCs/>
          <w:noProof/>
          <w:lang w:val="en-US"/>
        </w:rPr>
        <w:t>317</w:t>
      </w:r>
      <w:r w:rsidRPr="001C025E">
        <w:rPr>
          <w:noProof/>
          <w:lang w:val="en-US"/>
        </w:rPr>
        <w:t>(5843), 1360–1366. https://doi.org/10.1126/science.1146282</w:t>
      </w:r>
    </w:p>
    <w:p w14:paraId="3522B29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Hietanen, J. K., &amp; Leppänen, J. M. (2003). Does Facial Expression Affect Attention Orienting by Gaze Direction Cues? </w:t>
      </w:r>
      <w:r w:rsidRPr="001C025E">
        <w:rPr>
          <w:i/>
          <w:iCs/>
          <w:noProof/>
          <w:lang w:val="en-US"/>
        </w:rPr>
        <w:t>Journal of Experimental Psychology: Human Perception and Performance</w:t>
      </w:r>
      <w:r w:rsidRPr="001C025E">
        <w:rPr>
          <w:noProof/>
          <w:lang w:val="en-US"/>
        </w:rPr>
        <w:t xml:space="preserve">, </w:t>
      </w:r>
      <w:r w:rsidRPr="001C025E">
        <w:rPr>
          <w:i/>
          <w:iCs/>
          <w:noProof/>
          <w:lang w:val="en-US"/>
        </w:rPr>
        <w:t>29</w:t>
      </w:r>
      <w:r w:rsidRPr="001C025E">
        <w:rPr>
          <w:noProof/>
          <w:lang w:val="en-US"/>
        </w:rPr>
        <w:t>(6), 1228–1243. https://doi.org/10.1037/0096-1523.29.6.1228</w:t>
      </w:r>
    </w:p>
    <w:p w14:paraId="0F2A9FE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Hoekstra, R. A., Bartels, M., Cath, D. C., &amp; Boomsma, D. I. (2008). Factor Structure, Reliability and Criterion Validity of the Autism-Spectrum Quotient (AQ): A Study in Dutch Population and Patient Groups. </w:t>
      </w:r>
      <w:r w:rsidRPr="001C025E">
        <w:rPr>
          <w:i/>
          <w:iCs/>
          <w:noProof/>
          <w:lang w:val="en-US"/>
        </w:rPr>
        <w:t>Journal of Autism and Developmental Disorders</w:t>
      </w:r>
      <w:r w:rsidRPr="001C025E">
        <w:rPr>
          <w:noProof/>
          <w:lang w:val="en-US"/>
        </w:rPr>
        <w:t xml:space="preserve">, </w:t>
      </w:r>
      <w:r w:rsidRPr="001C025E">
        <w:rPr>
          <w:i/>
          <w:iCs/>
          <w:noProof/>
          <w:lang w:val="en-US"/>
        </w:rPr>
        <w:t>38</w:t>
      </w:r>
      <w:r w:rsidRPr="001C025E">
        <w:rPr>
          <w:noProof/>
          <w:lang w:val="en-US"/>
        </w:rPr>
        <w:t>(8), 1555–1566. https://doi.org/10.1007/s10803-008-0538-x</w:t>
      </w:r>
    </w:p>
    <w:p w14:paraId="71443DB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Hoffman, E., &amp; Haxby, J. (2000). Distinct representations of eye gaze and identity in the distributed human neural system for face perception. </w:t>
      </w:r>
      <w:r w:rsidRPr="001C025E">
        <w:rPr>
          <w:i/>
          <w:iCs/>
          <w:noProof/>
          <w:lang w:val="en-US"/>
        </w:rPr>
        <w:t>Nature Neuroscience</w:t>
      </w:r>
      <w:r w:rsidRPr="001C025E">
        <w:rPr>
          <w:noProof/>
          <w:lang w:val="en-US"/>
        </w:rPr>
        <w:t xml:space="preserve">, </w:t>
      </w:r>
      <w:r w:rsidRPr="001C025E">
        <w:rPr>
          <w:i/>
          <w:iCs/>
          <w:noProof/>
          <w:lang w:val="en-US"/>
        </w:rPr>
        <w:t>3</w:t>
      </w:r>
      <w:r w:rsidRPr="001C025E">
        <w:rPr>
          <w:noProof/>
          <w:lang w:val="en-US"/>
        </w:rPr>
        <w:t>(1), 80–84.</w:t>
      </w:r>
    </w:p>
    <w:p w14:paraId="6200CAE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Hommel, B., Pratt, J., Colzato, L., &amp; Godijn, R. (2001). Symbolic control of visual </w:t>
      </w:r>
      <w:r w:rsidRPr="001C025E">
        <w:rPr>
          <w:noProof/>
          <w:lang w:val="en-US"/>
        </w:rPr>
        <w:lastRenderedPageBreak/>
        <w:t xml:space="preserve">attention. </w:t>
      </w:r>
      <w:r w:rsidRPr="001C025E">
        <w:rPr>
          <w:i/>
          <w:iCs/>
          <w:noProof/>
          <w:lang w:val="en-US"/>
        </w:rPr>
        <w:t>Psychological Science</w:t>
      </w:r>
      <w:r w:rsidRPr="001C025E">
        <w:rPr>
          <w:noProof/>
          <w:lang w:val="en-US"/>
        </w:rPr>
        <w:t xml:space="preserve">, </w:t>
      </w:r>
      <w:r w:rsidRPr="001C025E">
        <w:rPr>
          <w:i/>
          <w:iCs/>
          <w:noProof/>
          <w:lang w:val="en-US"/>
        </w:rPr>
        <w:t>12</w:t>
      </w:r>
      <w:r w:rsidRPr="001C025E">
        <w:rPr>
          <w:noProof/>
          <w:lang w:val="en-US"/>
        </w:rPr>
        <w:t>(5), 360–365.</w:t>
      </w:r>
    </w:p>
    <w:p w14:paraId="5374108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Hooker, C. I., Paller, K. A., Gitelman, D. R., Parrish, T. B., Mesulam, M.-M., &amp; Reber, P. J. (2003). Brain networks for analyzing eye gaze. </w:t>
      </w:r>
      <w:r w:rsidRPr="001C025E">
        <w:rPr>
          <w:i/>
          <w:iCs/>
          <w:noProof/>
          <w:lang w:val="en-US"/>
        </w:rPr>
        <w:t>Cognitive Brain Research</w:t>
      </w:r>
      <w:r w:rsidRPr="001C025E">
        <w:rPr>
          <w:noProof/>
          <w:lang w:val="en-US"/>
        </w:rPr>
        <w:t xml:space="preserve">, </w:t>
      </w:r>
      <w:r w:rsidRPr="001C025E">
        <w:rPr>
          <w:i/>
          <w:iCs/>
          <w:noProof/>
          <w:lang w:val="en-US"/>
        </w:rPr>
        <w:t>17</w:t>
      </w:r>
      <w:r w:rsidRPr="001C025E">
        <w:rPr>
          <w:noProof/>
          <w:lang w:val="en-US"/>
        </w:rPr>
        <w:t>(2), 406–418. https://doi.org/10.1016/S0926-6410(03)00143-5</w:t>
      </w:r>
    </w:p>
    <w:p w14:paraId="26A9D48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Howitt, D., &amp; Cramer, D. (2005). </w:t>
      </w:r>
      <w:r w:rsidRPr="001C025E">
        <w:rPr>
          <w:i/>
          <w:iCs/>
          <w:noProof/>
          <w:lang w:val="en-US"/>
        </w:rPr>
        <w:t>Introduction to Research Methods in Psychology</w:t>
      </w:r>
      <w:r w:rsidRPr="001C025E">
        <w:rPr>
          <w:noProof/>
          <w:lang w:val="en-US"/>
        </w:rPr>
        <w:t>. Pearson/Prentice Hall. https://books.google.com.tr/books?id=10zC_e97GSMC</w:t>
      </w:r>
    </w:p>
    <w:p w14:paraId="5C4AB9D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Hudson, M., Nijboer, T. C. W., &amp; Jellema, T. (2012). Implicit social learning in relation to autistic-like traits. </w:t>
      </w:r>
      <w:r w:rsidRPr="001C025E">
        <w:rPr>
          <w:i/>
          <w:iCs/>
          <w:noProof/>
          <w:lang w:val="en-US"/>
        </w:rPr>
        <w:t>Journal of Autism and Developmental Disorders</w:t>
      </w:r>
      <w:r w:rsidRPr="001C025E">
        <w:rPr>
          <w:noProof/>
          <w:lang w:val="en-US"/>
        </w:rPr>
        <w:t xml:space="preserve">, </w:t>
      </w:r>
      <w:r w:rsidRPr="001C025E">
        <w:rPr>
          <w:i/>
          <w:iCs/>
          <w:noProof/>
          <w:lang w:val="en-US"/>
        </w:rPr>
        <w:t>42</w:t>
      </w:r>
      <w:r w:rsidRPr="001C025E">
        <w:rPr>
          <w:noProof/>
          <w:lang w:val="en-US"/>
        </w:rPr>
        <w:t>(12), 2534–2545. https://doi.org/10.1007/s10803-012-1510-3</w:t>
      </w:r>
    </w:p>
    <w:p w14:paraId="39C98BC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Humphrey, N., &amp; Lewis, S. (2008). “Make me normal”: the views and experiences of pupils on the autistic spectrum in mainstream secondary schools. </w:t>
      </w:r>
      <w:r w:rsidRPr="001C025E">
        <w:rPr>
          <w:i/>
          <w:iCs/>
          <w:noProof/>
          <w:lang w:val="en-US"/>
        </w:rPr>
        <w:t>Autism : The International Journal of Research and Practice</w:t>
      </w:r>
      <w:r w:rsidRPr="001C025E">
        <w:rPr>
          <w:noProof/>
          <w:lang w:val="en-US"/>
        </w:rPr>
        <w:t xml:space="preserve">, </w:t>
      </w:r>
      <w:r w:rsidRPr="001C025E">
        <w:rPr>
          <w:i/>
          <w:iCs/>
          <w:noProof/>
          <w:lang w:val="en-US"/>
        </w:rPr>
        <w:t>12</w:t>
      </w:r>
      <w:r w:rsidRPr="001C025E">
        <w:rPr>
          <w:noProof/>
          <w:lang w:val="en-US"/>
        </w:rPr>
        <w:t>(1), 23–46. https://doi.org/10.1177/1362361307085267</w:t>
      </w:r>
    </w:p>
    <w:p w14:paraId="040372F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Hungr, C. J., &amp; Hunt, A. R. (2012). Physical self-similarity enhances the gaze-cueing effect. </w:t>
      </w:r>
      <w:r w:rsidRPr="001C025E">
        <w:rPr>
          <w:i/>
          <w:iCs/>
          <w:noProof/>
          <w:lang w:val="en-US"/>
        </w:rPr>
        <w:t>Quarterly Journal of Experimental Psychology</w:t>
      </w:r>
      <w:r w:rsidRPr="001C025E">
        <w:rPr>
          <w:noProof/>
          <w:lang w:val="en-US"/>
        </w:rPr>
        <w:t xml:space="preserve">, </w:t>
      </w:r>
      <w:r w:rsidRPr="001C025E">
        <w:rPr>
          <w:i/>
          <w:iCs/>
          <w:noProof/>
          <w:lang w:val="en-US"/>
        </w:rPr>
        <w:t>65</w:t>
      </w:r>
      <w:r w:rsidRPr="001C025E">
        <w:rPr>
          <w:noProof/>
          <w:lang w:val="en-US"/>
        </w:rPr>
        <w:t>(7), 1250–1259. https://doi.org/10.1080/17470218.2012.690769</w:t>
      </w:r>
    </w:p>
    <w:p w14:paraId="135E06E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Hurley, R. S. E., Losh, M., Parlier, M., Reznick, J. S., &amp; Piven, J. (2007). The broad autism phenotype questionnaire. </w:t>
      </w:r>
      <w:r w:rsidRPr="001C025E">
        <w:rPr>
          <w:i/>
          <w:iCs/>
          <w:noProof/>
          <w:lang w:val="en-US"/>
        </w:rPr>
        <w:t>Journal of Autism and Developmental Disorders</w:t>
      </w:r>
      <w:r w:rsidRPr="001C025E">
        <w:rPr>
          <w:noProof/>
          <w:lang w:val="en-US"/>
        </w:rPr>
        <w:t xml:space="preserve">, </w:t>
      </w:r>
      <w:r w:rsidRPr="001C025E">
        <w:rPr>
          <w:i/>
          <w:iCs/>
          <w:noProof/>
          <w:lang w:val="en-US"/>
        </w:rPr>
        <w:t>37</w:t>
      </w:r>
      <w:r w:rsidRPr="001C025E">
        <w:rPr>
          <w:noProof/>
          <w:lang w:val="en-US"/>
        </w:rPr>
        <w:t>(9), 1679–1690. https://doi.org/10.1007/s10803-006-0299-3</w:t>
      </w:r>
    </w:p>
    <w:p w14:paraId="193BCD5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Hymel, S., Closson, L. M., Caravita, S. C. S., &amp; Vaillancourt, T. (2011). Social Status Among Peers: From Sociometric Attraction to Peer Acceptance to Perceived Popularity. In </w:t>
      </w:r>
      <w:r w:rsidRPr="001C025E">
        <w:rPr>
          <w:i/>
          <w:iCs/>
          <w:noProof/>
          <w:lang w:val="en-US"/>
        </w:rPr>
        <w:t>The Wiley-Blackwell Handbook of Childhood Social Development</w:t>
      </w:r>
      <w:r w:rsidRPr="001C025E">
        <w:rPr>
          <w:noProof/>
          <w:lang w:val="en-US"/>
        </w:rPr>
        <w:t xml:space="preserve"> (pp. 375–392). Wiley-Blackwell. https://doi.org/10.1002/9781444390933.ch20</w:t>
      </w:r>
    </w:p>
    <w:p w14:paraId="264090D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Iani, C., Anelli, F., Nicoletti, R., Arcuri, L., &amp; Rubichi, S. (2011). The role of group membership on the modulation of joint action. </w:t>
      </w:r>
      <w:r w:rsidRPr="001C025E">
        <w:rPr>
          <w:i/>
          <w:iCs/>
          <w:noProof/>
          <w:lang w:val="en-US"/>
        </w:rPr>
        <w:t>Experimental Brain Research</w:t>
      </w:r>
      <w:r w:rsidRPr="001C025E">
        <w:rPr>
          <w:noProof/>
          <w:lang w:val="en-US"/>
        </w:rPr>
        <w:t xml:space="preserve">, </w:t>
      </w:r>
      <w:r w:rsidRPr="001C025E">
        <w:rPr>
          <w:i/>
          <w:iCs/>
          <w:noProof/>
          <w:lang w:val="en-US"/>
        </w:rPr>
        <w:t>211</w:t>
      </w:r>
      <w:r w:rsidRPr="001C025E">
        <w:rPr>
          <w:noProof/>
          <w:lang w:val="en-US"/>
        </w:rPr>
        <w:t>(3–4), 439–445. https://doi.org/10.1007/s00221-011-2651-x</w:t>
      </w:r>
    </w:p>
    <w:p w14:paraId="1602527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Itier, R. J., Villate, C., &amp; Ryan, J. D. (2007). Eyes always attract attention but gaze orienting is task-dependent: Evidence from eye movement monitoring. </w:t>
      </w:r>
      <w:r w:rsidRPr="001C025E">
        <w:rPr>
          <w:i/>
          <w:iCs/>
          <w:noProof/>
          <w:lang w:val="en-US"/>
        </w:rPr>
        <w:lastRenderedPageBreak/>
        <w:t>Neuropsychologia</w:t>
      </w:r>
      <w:r w:rsidRPr="001C025E">
        <w:rPr>
          <w:noProof/>
          <w:lang w:val="en-US"/>
        </w:rPr>
        <w:t xml:space="preserve">, </w:t>
      </w:r>
      <w:r w:rsidRPr="001C025E">
        <w:rPr>
          <w:i/>
          <w:iCs/>
          <w:noProof/>
          <w:lang w:val="en-US"/>
        </w:rPr>
        <w:t>45</w:t>
      </w:r>
      <w:r w:rsidRPr="001C025E">
        <w:rPr>
          <w:noProof/>
          <w:lang w:val="en-US"/>
        </w:rPr>
        <w:t>(5), 1019–1028. https://doi.org/10.1016/j.neuropsychologia.2006.09.004</w:t>
      </w:r>
    </w:p>
    <w:p w14:paraId="7222737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Itti, L., &amp; Koch, C. (2001). Computational modelling of visual attention. </w:t>
      </w:r>
      <w:r w:rsidRPr="001C025E">
        <w:rPr>
          <w:i/>
          <w:iCs/>
          <w:noProof/>
          <w:lang w:val="en-US"/>
        </w:rPr>
        <w:t>Nature Reviews Neuroscience</w:t>
      </w:r>
      <w:r w:rsidRPr="001C025E">
        <w:rPr>
          <w:noProof/>
          <w:lang w:val="en-US"/>
        </w:rPr>
        <w:t xml:space="preserve">, </w:t>
      </w:r>
      <w:r w:rsidRPr="001C025E">
        <w:rPr>
          <w:i/>
          <w:iCs/>
          <w:noProof/>
          <w:lang w:val="en-US"/>
        </w:rPr>
        <w:t>2</w:t>
      </w:r>
      <w:r w:rsidRPr="001C025E">
        <w:rPr>
          <w:noProof/>
          <w:lang w:val="en-US"/>
        </w:rPr>
        <w:t>(3), 194–203. https://doi.org/10.1038/35058500</w:t>
      </w:r>
    </w:p>
    <w:p w14:paraId="2EB3E2E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James, W. (2007). The principles of psychology. In </w:t>
      </w:r>
      <w:r w:rsidRPr="001C025E">
        <w:rPr>
          <w:i/>
          <w:iCs/>
          <w:noProof/>
          <w:lang w:val="en-US"/>
        </w:rPr>
        <w:t>The principles of psychology, Vol I.</w:t>
      </w:r>
      <w:r w:rsidRPr="001C025E">
        <w:rPr>
          <w:noProof/>
          <w:lang w:val="en-US"/>
        </w:rPr>
        <w:t xml:space="preserve"> (Vol. 1). Henry Holt and Co. https://doi.org/10.1037/10538-000</w:t>
      </w:r>
    </w:p>
    <w:p w14:paraId="4614E04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Jenkins, R., Beaver, J. D., &amp; Calder, A. J. (2006). I Thought You Were Looking at Me. </w:t>
      </w:r>
      <w:r w:rsidRPr="001C025E">
        <w:rPr>
          <w:i/>
          <w:iCs/>
          <w:noProof/>
          <w:lang w:val="en-US"/>
        </w:rPr>
        <w:t>Psychological Science</w:t>
      </w:r>
      <w:r w:rsidRPr="001C025E">
        <w:rPr>
          <w:noProof/>
          <w:lang w:val="en-US"/>
        </w:rPr>
        <w:t xml:space="preserve">, </w:t>
      </w:r>
      <w:r w:rsidRPr="001C025E">
        <w:rPr>
          <w:i/>
          <w:iCs/>
          <w:noProof/>
          <w:lang w:val="en-US"/>
        </w:rPr>
        <w:t>17</w:t>
      </w:r>
      <w:r w:rsidRPr="001C025E">
        <w:rPr>
          <w:noProof/>
          <w:lang w:val="en-US"/>
        </w:rPr>
        <w:t>(6), 506–513. https://doi.org/10.1111/j.1467-9280.2006.01736.x</w:t>
      </w:r>
    </w:p>
    <w:p w14:paraId="29ED099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Jiang, Y., &amp; He, S. (2006). Cortical Responses to Invisible Faces: Dissociating Subsystems for Facial-Information Processing. </w:t>
      </w:r>
      <w:r w:rsidRPr="001C025E">
        <w:rPr>
          <w:i/>
          <w:iCs/>
          <w:noProof/>
          <w:lang w:val="en-US"/>
        </w:rPr>
        <w:t>Current Biology</w:t>
      </w:r>
      <w:r w:rsidRPr="001C025E">
        <w:rPr>
          <w:noProof/>
          <w:lang w:val="en-US"/>
        </w:rPr>
        <w:t xml:space="preserve">, </w:t>
      </w:r>
      <w:r w:rsidRPr="001C025E">
        <w:rPr>
          <w:i/>
          <w:iCs/>
          <w:noProof/>
          <w:lang w:val="en-US"/>
        </w:rPr>
        <w:t>16</w:t>
      </w:r>
      <w:r w:rsidRPr="001C025E">
        <w:rPr>
          <w:noProof/>
          <w:lang w:val="en-US"/>
        </w:rPr>
        <w:t>(20), 2023–2029. https://doi.org/10.1016/j.cub.2006.08.084</w:t>
      </w:r>
    </w:p>
    <w:p w14:paraId="0596B59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Jones, B. C., DeBruine, L. M., Main, J. C., Little, A. C., Welling, L. L. M., Feinberg, D. R., &amp; Tiddeman, B. P. (2010). Facial cues of dominance modulate the short-term gaze-cuing effect in human observers. </w:t>
      </w:r>
      <w:r w:rsidRPr="001C025E">
        <w:rPr>
          <w:i/>
          <w:iCs/>
          <w:noProof/>
          <w:lang w:val="en-US"/>
        </w:rPr>
        <w:t>Proceedings of the Royal Society B: Biological Sciences</w:t>
      </w:r>
      <w:r w:rsidRPr="001C025E">
        <w:rPr>
          <w:noProof/>
          <w:lang w:val="en-US"/>
        </w:rPr>
        <w:t xml:space="preserve">, </w:t>
      </w:r>
      <w:r w:rsidRPr="001C025E">
        <w:rPr>
          <w:i/>
          <w:iCs/>
          <w:noProof/>
          <w:lang w:val="en-US"/>
        </w:rPr>
        <w:t>277</w:t>
      </w:r>
      <w:r w:rsidRPr="001C025E">
        <w:rPr>
          <w:noProof/>
          <w:lang w:val="en-US"/>
        </w:rPr>
        <w:t>(1681), 617–624. https://doi.org/10.1098/rspb.2009.1575</w:t>
      </w:r>
    </w:p>
    <w:p w14:paraId="01C1F8E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Jones, B. C., Main, J. C., Little, A. C., &amp; DeBruine, L. M. (2011). Further Evidence That Facial Cues of Dominance Modulate Gaze Cuing in Human Observers. </w:t>
      </w:r>
      <w:r w:rsidRPr="001C025E">
        <w:rPr>
          <w:i/>
          <w:iCs/>
          <w:noProof/>
          <w:lang w:val="en-US"/>
        </w:rPr>
        <w:t>Swiss Journal of Psychology</w:t>
      </w:r>
      <w:r w:rsidRPr="001C025E">
        <w:rPr>
          <w:noProof/>
          <w:lang w:val="en-US"/>
        </w:rPr>
        <w:t xml:space="preserve">, </w:t>
      </w:r>
      <w:r w:rsidRPr="001C025E">
        <w:rPr>
          <w:i/>
          <w:iCs/>
          <w:noProof/>
          <w:lang w:val="en-US"/>
        </w:rPr>
        <w:t>70</w:t>
      </w:r>
      <w:r w:rsidRPr="001C025E">
        <w:rPr>
          <w:noProof/>
          <w:lang w:val="en-US"/>
        </w:rPr>
        <w:t>(4), 193–197. https://doi.org/10.1024/1421-0185/a000056</w:t>
      </w:r>
    </w:p>
    <w:p w14:paraId="097606C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Jones, E. E., &amp; Davis, K. E. (1965). </w:t>
      </w:r>
      <w:r w:rsidRPr="001C025E">
        <w:rPr>
          <w:i/>
          <w:iCs/>
          <w:noProof/>
          <w:lang w:val="en-US"/>
        </w:rPr>
        <w:t>From Acts To Dispositions The Attribution Process In Person Perception</w:t>
      </w:r>
      <w:r w:rsidRPr="001C025E">
        <w:rPr>
          <w:noProof/>
          <w:lang w:val="en-US"/>
        </w:rPr>
        <w:t xml:space="preserve"> (L. B. T.-A. in E. S. P. Berkowitz (Ed.); Vol. 2, pp. 219–266). Academic Press. https://doi.org/10.1016/S0065-2601(08)60107-0</w:t>
      </w:r>
    </w:p>
    <w:p w14:paraId="0FEF439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Jones, W., Carr, K., &amp; Klin, A. (2008). Absence of preferential looking to the eyes of approaching adults predicts level of social disability in 2- year- old toddlers with autism spectrum disorder. </w:t>
      </w:r>
      <w:r w:rsidRPr="001C025E">
        <w:rPr>
          <w:i/>
          <w:iCs/>
          <w:noProof/>
          <w:lang w:val="en-US"/>
        </w:rPr>
        <w:t>Archives Of General Psychiatry</w:t>
      </w:r>
      <w:r w:rsidRPr="001C025E">
        <w:rPr>
          <w:noProof/>
          <w:lang w:val="en-US"/>
        </w:rPr>
        <w:t xml:space="preserve">, </w:t>
      </w:r>
      <w:r w:rsidRPr="001C025E">
        <w:rPr>
          <w:i/>
          <w:iCs/>
          <w:noProof/>
          <w:lang w:val="en-US"/>
        </w:rPr>
        <w:t>65</w:t>
      </w:r>
      <w:r w:rsidRPr="001C025E">
        <w:rPr>
          <w:noProof/>
          <w:lang w:val="en-US"/>
        </w:rPr>
        <w:t>(8), 946–954.</w:t>
      </w:r>
    </w:p>
    <w:p w14:paraId="68FF9D0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Jonides, J. (1980). Towards a model of the mind’s eye’s movement. </w:t>
      </w:r>
      <w:r w:rsidRPr="001C025E">
        <w:rPr>
          <w:i/>
          <w:iCs/>
          <w:noProof/>
          <w:lang w:val="en-US"/>
        </w:rPr>
        <w:t>Canadian Journal of Psychology/Revue Canadienne de Psychologie</w:t>
      </w:r>
      <w:r w:rsidRPr="001C025E">
        <w:rPr>
          <w:noProof/>
          <w:lang w:val="en-US"/>
        </w:rPr>
        <w:t xml:space="preserve">, </w:t>
      </w:r>
      <w:r w:rsidRPr="001C025E">
        <w:rPr>
          <w:i/>
          <w:iCs/>
          <w:noProof/>
          <w:lang w:val="en-US"/>
        </w:rPr>
        <w:t>34</w:t>
      </w:r>
      <w:r w:rsidRPr="001C025E">
        <w:rPr>
          <w:noProof/>
          <w:lang w:val="en-US"/>
        </w:rPr>
        <w:t>(2), 103–112. https://doi.org/10.1037/h0081031</w:t>
      </w:r>
    </w:p>
    <w:p w14:paraId="3139040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Kawakami, K., Williams, A., Sidhu, D., Choma, B. L., Rodriguez-Bailon, R., Canadas, E., Chung, D., &amp; Hugenberg, K. (2014). An Eye for the I: Preferential Attention to the Eyes of Ingroup Members. </w:t>
      </w:r>
      <w:r w:rsidRPr="001C025E">
        <w:rPr>
          <w:i/>
          <w:iCs/>
          <w:noProof/>
          <w:lang w:val="en-US"/>
        </w:rPr>
        <w:t>Journal of Personality and Social Psychology</w:t>
      </w:r>
      <w:r w:rsidRPr="001C025E">
        <w:rPr>
          <w:noProof/>
          <w:lang w:val="en-US"/>
        </w:rPr>
        <w:t xml:space="preserve">, </w:t>
      </w:r>
      <w:r w:rsidRPr="001C025E">
        <w:rPr>
          <w:i/>
          <w:iCs/>
          <w:noProof/>
          <w:lang w:val="en-US"/>
        </w:rPr>
        <w:t>107</w:t>
      </w:r>
      <w:r w:rsidRPr="001C025E">
        <w:rPr>
          <w:noProof/>
          <w:lang w:val="en-US"/>
        </w:rPr>
        <w:t>(1), 1–20. https://doi.org/10.1037/a0036838</w:t>
      </w:r>
    </w:p>
    <w:p w14:paraId="735D66B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Kawashima, R., Sugiura, M., Kato, T., Nakamura, A., Hatano, K., Ito, K., Fukuda, H., Kojima, S., &amp; Nakamura, K. (1999). The human amygdala plays an important role in gaze monitoring: A PET study. </w:t>
      </w:r>
      <w:r w:rsidRPr="001C025E">
        <w:rPr>
          <w:i/>
          <w:iCs/>
          <w:noProof/>
          <w:lang w:val="en-US"/>
        </w:rPr>
        <w:t>Brain</w:t>
      </w:r>
      <w:r w:rsidRPr="001C025E">
        <w:rPr>
          <w:noProof/>
          <w:lang w:val="en-US"/>
        </w:rPr>
        <w:t xml:space="preserve">, </w:t>
      </w:r>
      <w:r w:rsidRPr="001C025E">
        <w:rPr>
          <w:i/>
          <w:iCs/>
          <w:noProof/>
          <w:lang w:val="en-US"/>
        </w:rPr>
        <w:t>122</w:t>
      </w:r>
      <w:r w:rsidRPr="001C025E">
        <w:rPr>
          <w:noProof/>
          <w:lang w:val="en-US"/>
        </w:rPr>
        <w:t>(4), 779–783. https://doi.org/10.1093/brain/122.4.779</w:t>
      </w:r>
    </w:p>
    <w:p w14:paraId="6139C42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Keating, C. F., &amp; et al. (1981). Culture and the perception of social dominance from facial expression. </w:t>
      </w:r>
      <w:r w:rsidRPr="001C025E">
        <w:rPr>
          <w:i/>
          <w:iCs/>
          <w:noProof/>
          <w:lang w:val="en-US"/>
        </w:rPr>
        <w:t>Journal of Personality and Social Psychology</w:t>
      </w:r>
      <w:r w:rsidRPr="001C025E">
        <w:rPr>
          <w:noProof/>
          <w:lang w:val="en-US"/>
        </w:rPr>
        <w:t xml:space="preserve">, </w:t>
      </w:r>
      <w:r w:rsidRPr="001C025E">
        <w:rPr>
          <w:i/>
          <w:iCs/>
          <w:noProof/>
          <w:lang w:val="en-US"/>
        </w:rPr>
        <w:t>40</w:t>
      </w:r>
      <w:r w:rsidRPr="001C025E">
        <w:rPr>
          <w:noProof/>
          <w:lang w:val="en-US"/>
        </w:rPr>
        <w:t>(4), 615–626. https://doi.org/10.1037/0022-3514.40.4.615</w:t>
      </w:r>
    </w:p>
    <w:p w14:paraId="0027185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Keltner, D., Van Kleef, G. A., Chen, S., &amp; Kraus, M. W. (2008). A Reciprocal Influence Model of Social Power: Emerging Principles and Lines of Inquiry. In </w:t>
      </w:r>
      <w:r w:rsidRPr="001C025E">
        <w:rPr>
          <w:i/>
          <w:iCs/>
          <w:noProof/>
          <w:lang w:val="en-US"/>
        </w:rPr>
        <w:t>Advances in Experimental Social Psychology</w:t>
      </w:r>
      <w:r w:rsidRPr="001C025E">
        <w:rPr>
          <w:noProof/>
          <w:lang w:val="en-US"/>
        </w:rPr>
        <w:t xml:space="preserve"> (Vol. 40, pp. 151–192). https://doi.org/10.1016/S0065-2601(07)00003-2</w:t>
      </w:r>
    </w:p>
    <w:p w14:paraId="76DE557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Kendall, L. N., Raffaelli, Q., Kingstone, A., &amp; Todd, R. M. (2016). Iconic faces are not real faces: enhanced emotion detection and altered neural processing as faces become more iconic. </w:t>
      </w:r>
      <w:r w:rsidRPr="001C025E">
        <w:rPr>
          <w:i/>
          <w:iCs/>
          <w:noProof/>
          <w:lang w:val="en-US"/>
        </w:rPr>
        <w:t>Cognitive Research: Principles and Implications</w:t>
      </w:r>
      <w:r w:rsidRPr="001C025E">
        <w:rPr>
          <w:noProof/>
          <w:lang w:val="en-US"/>
        </w:rPr>
        <w:t xml:space="preserve">, </w:t>
      </w:r>
      <w:r w:rsidRPr="001C025E">
        <w:rPr>
          <w:i/>
          <w:iCs/>
          <w:noProof/>
          <w:lang w:val="en-US"/>
        </w:rPr>
        <w:t>1</w:t>
      </w:r>
      <w:r w:rsidRPr="001C025E">
        <w:rPr>
          <w:noProof/>
          <w:lang w:val="en-US"/>
        </w:rPr>
        <w:t>(1), 19. https://doi.org/10.1186/s41235-016-0021-8</w:t>
      </w:r>
    </w:p>
    <w:p w14:paraId="4A8294F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King, A. J., Johnson, D. D. P., &amp; Van Vugt, M. (2009). The Origins and Evolution of Leadership. </w:t>
      </w:r>
      <w:r w:rsidRPr="001C025E">
        <w:rPr>
          <w:i/>
          <w:iCs/>
          <w:noProof/>
          <w:lang w:val="en-US"/>
        </w:rPr>
        <w:t>Current Biology</w:t>
      </w:r>
      <w:r w:rsidRPr="001C025E">
        <w:rPr>
          <w:noProof/>
          <w:lang w:val="en-US"/>
        </w:rPr>
        <w:t xml:space="preserve">, </w:t>
      </w:r>
      <w:r w:rsidRPr="001C025E">
        <w:rPr>
          <w:i/>
          <w:iCs/>
          <w:noProof/>
          <w:lang w:val="en-US"/>
        </w:rPr>
        <w:t>19</w:t>
      </w:r>
      <w:r w:rsidRPr="001C025E">
        <w:rPr>
          <w:noProof/>
          <w:lang w:val="en-US"/>
        </w:rPr>
        <w:t>(19), R911–R916. https://doi.org/10.1016/j.cub.2009.07.027</w:t>
      </w:r>
    </w:p>
    <w:p w14:paraId="0E99E05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Kingstone, A, Friesen, C., &amp; Gazzaniga, M. S. (2000). Reflexive joint attention depends on lateralized cortical connections. </w:t>
      </w:r>
      <w:r w:rsidRPr="001C025E">
        <w:rPr>
          <w:i/>
          <w:iCs/>
          <w:noProof/>
          <w:lang w:val="en-US"/>
        </w:rPr>
        <w:t>Psychological Science</w:t>
      </w:r>
      <w:r w:rsidRPr="001C025E">
        <w:rPr>
          <w:noProof/>
          <w:lang w:val="en-US"/>
        </w:rPr>
        <w:t xml:space="preserve">, </w:t>
      </w:r>
      <w:r w:rsidRPr="001C025E">
        <w:rPr>
          <w:i/>
          <w:iCs/>
          <w:noProof/>
          <w:lang w:val="en-US"/>
        </w:rPr>
        <w:t>11</w:t>
      </w:r>
      <w:r w:rsidRPr="001C025E">
        <w:rPr>
          <w:noProof/>
          <w:lang w:val="en-US"/>
        </w:rPr>
        <w:t>(2), 159–166.</w:t>
      </w:r>
    </w:p>
    <w:p w14:paraId="4041035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Kingstone, Alan, Tipper, C., Ristic, J., &amp; Ngan, E. (2004). The eyes have it!: An fMRI investigation. </w:t>
      </w:r>
      <w:r w:rsidRPr="001C025E">
        <w:rPr>
          <w:i/>
          <w:iCs/>
          <w:noProof/>
          <w:lang w:val="en-US"/>
        </w:rPr>
        <w:t>Brain and Cognition</w:t>
      </w:r>
      <w:r w:rsidRPr="001C025E">
        <w:rPr>
          <w:noProof/>
          <w:lang w:val="en-US"/>
        </w:rPr>
        <w:t xml:space="preserve">, </w:t>
      </w:r>
      <w:r w:rsidRPr="001C025E">
        <w:rPr>
          <w:i/>
          <w:iCs/>
          <w:noProof/>
          <w:lang w:val="en-US"/>
        </w:rPr>
        <w:t>55</w:t>
      </w:r>
      <w:r w:rsidRPr="001C025E">
        <w:rPr>
          <w:noProof/>
          <w:lang w:val="en-US"/>
        </w:rPr>
        <w:t>(2), 269–271. https://doi.org/10.1016/j.bandc.2004.02.037</w:t>
      </w:r>
    </w:p>
    <w:p w14:paraId="1929D2E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Kleinke, C. L. (1986). Gaze and eye contact: A research review. </w:t>
      </w:r>
      <w:r w:rsidRPr="001C025E">
        <w:rPr>
          <w:i/>
          <w:iCs/>
          <w:noProof/>
          <w:lang w:val="en-US"/>
        </w:rPr>
        <w:t>Psychological Bulletin</w:t>
      </w:r>
      <w:r w:rsidRPr="001C025E">
        <w:rPr>
          <w:noProof/>
          <w:lang w:val="en-US"/>
        </w:rPr>
        <w:t xml:space="preserve">, </w:t>
      </w:r>
      <w:r w:rsidRPr="001C025E">
        <w:rPr>
          <w:i/>
          <w:iCs/>
          <w:noProof/>
          <w:lang w:val="en-US"/>
        </w:rPr>
        <w:t>100</w:t>
      </w:r>
      <w:r w:rsidRPr="001C025E">
        <w:rPr>
          <w:noProof/>
          <w:lang w:val="en-US"/>
        </w:rPr>
        <w:t>(1), 78–100. https://doi.org/10.1037/0033-2909.100.1.78</w:t>
      </w:r>
    </w:p>
    <w:p w14:paraId="748BFD5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Kobayashi, H., &amp; Kohshima, S. (1997). Unique morphology of the human eye. </w:t>
      </w:r>
      <w:r w:rsidRPr="001C025E">
        <w:rPr>
          <w:i/>
          <w:iCs/>
          <w:noProof/>
          <w:lang w:val="en-US"/>
        </w:rPr>
        <w:t>Nature</w:t>
      </w:r>
      <w:r w:rsidRPr="001C025E">
        <w:rPr>
          <w:noProof/>
          <w:lang w:val="en-US"/>
        </w:rPr>
        <w:t xml:space="preserve">, </w:t>
      </w:r>
      <w:r w:rsidRPr="001C025E">
        <w:rPr>
          <w:i/>
          <w:iCs/>
          <w:noProof/>
          <w:lang w:val="en-US"/>
        </w:rPr>
        <w:t>387</w:t>
      </w:r>
      <w:r w:rsidRPr="001C025E">
        <w:rPr>
          <w:noProof/>
          <w:lang w:val="en-US"/>
        </w:rPr>
        <w:t>(6635), 767–768.</w:t>
      </w:r>
    </w:p>
    <w:p w14:paraId="3983F41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Kobayashi, H., &amp; Kohshima, S. (2001). Unique morphology of the human eye and its adaptive meaning: comparative studies on external morphology of the primate eye. </w:t>
      </w:r>
      <w:r w:rsidRPr="001C025E">
        <w:rPr>
          <w:i/>
          <w:iCs/>
          <w:noProof/>
          <w:lang w:val="en-US"/>
        </w:rPr>
        <w:t>Journal Of Human Evolution</w:t>
      </w:r>
      <w:r w:rsidRPr="001C025E">
        <w:rPr>
          <w:noProof/>
          <w:lang w:val="en-US"/>
        </w:rPr>
        <w:t xml:space="preserve">, </w:t>
      </w:r>
      <w:r w:rsidRPr="001C025E">
        <w:rPr>
          <w:i/>
          <w:iCs/>
          <w:noProof/>
          <w:lang w:val="en-US"/>
        </w:rPr>
        <w:t>40</w:t>
      </w:r>
      <w:r w:rsidRPr="001C025E">
        <w:rPr>
          <w:noProof/>
          <w:lang w:val="en-US"/>
        </w:rPr>
        <w:t>(5), 419–435.</w:t>
      </w:r>
    </w:p>
    <w:p w14:paraId="1638C4D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Koivisto, M., &amp; Grassini, S. (2016). Neural processing around 200 ms after stimulus-onset correlates with subjective visual awareness. </w:t>
      </w:r>
      <w:r w:rsidRPr="001C025E">
        <w:rPr>
          <w:i/>
          <w:iCs/>
          <w:noProof/>
          <w:lang w:val="en-US"/>
        </w:rPr>
        <w:t>Neuropsychologia</w:t>
      </w:r>
      <w:r w:rsidRPr="001C025E">
        <w:rPr>
          <w:noProof/>
          <w:lang w:val="en-US"/>
        </w:rPr>
        <w:t xml:space="preserve">, </w:t>
      </w:r>
      <w:r w:rsidRPr="001C025E">
        <w:rPr>
          <w:i/>
          <w:iCs/>
          <w:noProof/>
          <w:lang w:val="en-US"/>
        </w:rPr>
        <w:t>84</w:t>
      </w:r>
      <w:r w:rsidRPr="001C025E">
        <w:rPr>
          <w:noProof/>
          <w:lang w:val="en-US"/>
        </w:rPr>
        <w:t>, 235–243. https://doi.org/10.1016/j.neuropsychologia.2016.02.024</w:t>
      </w:r>
    </w:p>
    <w:p w14:paraId="1AE450D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Koski, J. E., Xie, H., &amp; Olson, I. R. (2015). Understanding social hierarchies: The neural and psychological foundations of status perception. </w:t>
      </w:r>
      <w:r w:rsidRPr="001C025E">
        <w:rPr>
          <w:i/>
          <w:iCs/>
          <w:noProof/>
          <w:lang w:val="en-US"/>
        </w:rPr>
        <w:t>Social Neuroscience</w:t>
      </w:r>
      <w:r w:rsidRPr="001C025E">
        <w:rPr>
          <w:noProof/>
          <w:lang w:val="en-US"/>
        </w:rPr>
        <w:t xml:space="preserve">, </w:t>
      </w:r>
      <w:r w:rsidRPr="001C025E">
        <w:rPr>
          <w:i/>
          <w:iCs/>
          <w:noProof/>
          <w:lang w:val="en-US"/>
        </w:rPr>
        <w:t>10</w:t>
      </w:r>
      <w:r w:rsidRPr="001C025E">
        <w:rPr>
          <w:noProof/>
          <w:lang w:val="en-US"/>
        </w:rPr>
        <w:t>(5), 527–550. https://doi.org/10.1080/17470919.2015.1013223</w:t>
      </w:r>
    </w:p>
    <w:p w14:paraId="43FCF3D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Krupp, D., Debruine, L., &amp; Barclay, P. (2008). A cue of kinship promotes cooperation for the public good. </w:t>
      </w:r>
      <w:r w:rsidRPr="001C025E">
        <w:rPr>
          <w:i/>
          <w:iCs/>
          <w:noProof/>
          <w:lang w:val="en-US"/>
        </w:rPr>
        <w:t>Evol. Hum. Behav.</w:t>
      </w:r>
      <w:r w:rsidRPr="001C025E">
        <w:rPr>
          <w:noProof/>
          <w:lang w:val="en-US"/>
        </w:rPr>
        <w:t xml:space="preserve">, </w:t>
      </w:r>
      <w:r w:rsidRPr="001C025E">
        <w:rPr>
          <w:i/>
          <w:iCs/>
          <w:noProof/>
          <w:lang w:val="en-US"/>
        </w:rPr>
        <w:t>29</w:t>
      </w:r>
      <w:r w:rsidRPr="001C025E">
        <w:rPr>
          <w:noProof/>
          <w:lang w:val="en-US"/>
        </w:rPr>
        <w:t>(1), 49–55. https://doi.org/10.1016/j.evolhumbehav.2007.08.002</w:t>
      </w:r>
    </w:p>
    <w:p w14:paraId="5A231C0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Kuhn, G., &amp; Kingstone, A. (2009). Look away! Eyes and arrows engage oculomotor responses automatically. </w:t>
      </w:r>
      <w:r w:rsidRPr="001C025E">
        <w:rPr>
          <w:i/>
          <w:iCs/>
          <w:noProof/>
          <w:lang w:val="en-US"/>
        </w:rPr>
        <w:t>Attention, Perception, and Psychophysics</w:t>
      </w:r>
      <w:r w:rsidRPr="001C025E">
        <w:rPr>
          <w:noProof/>
          <w:lang w:val="en-US"/>
        </w:rPr>
        <w:t xml:space="preserve">, </w:t>
      </w:r>
      <w:r w:rsidRPr="001C025E">
        <w:rPr>
          <w:i/>
          <w:iCs/>
          <w:noProof/>
          <w:lang w:val="en-US"/>
        </w:rPr>
        <w:t>71</w:t>
      </w:r>
      <w:r w:rsidRPr="001C025E">
        <w:rPr>
          <w:noProof/>
          <w:lang w:val="en-US"/>
        </w:rPr>
        <w:t>(2), 314–327. https://doi.org/10.3758/APP.71.2.314</w:t>
      </w:r>
    </w:p>
    <w:p w14:paraId="0FF716B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Kuhn, G., &amp; Tipples, J. (2011). Increased gaze following for fearful faces. It depends on what you’re looking for! </w:t>
      </w:r>
      <w:r w:rsidRPr="001C025E">
        <w:rPr>
          <w:i/>
          <w:iCs/>
          <w:noProof/>
          <w:lang w:val="en-US"/>
        </w:rPr>
        <w:t>Psychonomic Bulletin &amp; Review</w:t>
      </w:r>
      <w:r w:rsidRPr="001C025E">
        <w:rPr>
          <w:noProof/>
          <w:lang w:val="en-US"/>
        </w:rPr>
        <w:t xml:space="preserve">, </w:t>
      </w:r>
      <w:r w:rsidRPr="001C025E">
        <w:rPr>
          <w:i/>
          <w:iCs/>
          <w:noProof/>
          <w:lang w:val="en-US"/>
        </w:rPr>
        <w:t>18</w:t>
      </w:r>
      <w:r w:rsidRPr="001C025E">
        <w:rPr>
          <w:noProof/>
          <w:lang w:val="en-US"/>
        </w:rPr>
        <w:t>(1), 89–95. https://doi.org/10.3758/s13423-010-0033-1</w:t>
      </w:r>
    </w:p>
    <w:p w14:paraId="152FC3C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Kurzban, R., Tooby, J., &amp; Cosmides, L. (2001). Can race be erased? Coalitional computation and social categorization. </w:t>
      </w:r>
      <w:r w:rsidRPr="001C025E">
        <w:rPr>
          <w:i/>
          <w:iCs/>
          <w:noProof/>
          <w:lang w:val="en-US"/>
        </w:rPr>
        <w:t>Proceedings of the National Academy of Sciences</w:t>
      </w:r>
      <w:r w:rsidRPr="001C025E">
        <w:rPr>
          <w:noProof/>
          <w:lang w:val="en-US"/>
        </w:rPr>
        <w:t xml:space="preserve">, </w:t>
      </w:r>
      <w:r w:rsidRPr="001C025E">
        <w:rPr>
          <w:i/>
          <w:iCs/>
          <w:noProof/>
          <w:lang w:val="en-US"/>
        </w:rPr>
        <w:t>98</w:t>
      </w:r>
      <w:r w:rsidRPr="001C025E">
        <w:rPr>
          <w:noProof/>
          <w:lang w:val="en-US"/>
        </w:rPr>
        <w:t>(26), 15387–15392. https://doi.org/10.1073/pnas.251541498</w:t>
      </w:r>
    </w:p>
    <w:p w14:paraId="6476537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LaFrance, M., &amp; Mayo, C. (1978). Cultural aspects of nonverbal communication. </w:t>
      </w:r>
      <w:r w:rsidRPr="001C025E">
        <w:rPr>
          <w:i/>
          <w:iCs/>
          <w:noProof/>
          <w:lang w:val="en-US"/>
        </w:rPr>
        <w:t>International Journal of Intercultural Relations</w:t>
      </w:r>
      <w:r w:rsidRPr="001C025E">
        <w:rPr>
          <w:noProof/>
          <w:lang w:val="en-US"/>
        </w:rPr>
        <w:t xml:space="preserve">, </w:t>
      </w:r>
      <w:r w:rsidRPr="001C025E">
        <w:rPr>
          <w:i/>
          <w:iCs/>
          <w:noProof/>
          <w:lang w:val="en-US"/>
        </w:rPr>
        <w:t>2</w:t>
      </w:r>
      <w:r w:rsidRPr="001C025E">
        <w:rPr>
          <w:noProof/>
          <w:lang w:val="en-US"/>
        </w:rPr>
        <w:t>(1), 71–89. https://doi.org/10.1016/0147-1767(78)90029-9</w:t>
      </w:r>
    </w:p>
    <w:p w14:paraId="2A6D534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Laidlaw, K. E. W., Foulsham, T., Kuhn, G., &amp; Kingstone, A. (2011). Potential social interactions are important to social attention. </w:t>
      </w:r>
      <w:r w:rsidRPr="001C025E">
        <w:rPr>
          <w:i/>
          <w:iCs/>
          <w:noProof/>
          <w:lang w:val="en-US"/>
        </w:rPr>
        <w:t xml:space="preserve">Proceedings of the National Academy of </w:t>
      </w:r>
      <w:r w:rsidRPr="001C025E">
        <w:rPr>
          <w:i/>
          <w:iCs/>
          <w:noProof/>
          <w:lang w:val="en-US"/>
        </w:rPr>
        <w:lastRenderedPageBreak/>
        <w:t>Sciences</w:t>
      </w:r>
      <w:r w:rsidRPr="001C025E">
        <w:rPr>
          <w:noProof/>
          <w:lang w:val="en-US"/>
        </w:rPr>
        <w:t xml:space="preserve">, </w:t>
      </w:r>
      <w:r w:rsidRPr="001C025E">
        <w:rPr>
          <w:i/>
          <w:iCs/>
          <w:noProof/>
          <w:lang w:val="en-US"/>
        </w:rPr>
        <w:t>108</w:t>
      </w:r>
      <w:r w:rsidRPr="001C025E">
        <w:rPr>
          <w:noProof/>
          <w:lang w:val="en-US"/>
        </w:rPr>
        <w:t>(14), 5548–5553. https://doi.org/10.1073/pnas.1017022108</w:t>
      </w:r>
    </w:p>
    <w:p w14:paraId="3F208A1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Lammers, J., &amp; Stapel, D. A. (2009). How power influences moral thinking. </w:t>
      </w:r>
      <w:r w:rsidRPr="001C025E">
        <w:rPr>
          <w:i/>
          <w:iCs/>
          <w:noProof/>
          <w:lang w:val="en-US"/>
        </w:rPr>
        <w:t>Journal of Personality and Social Psychology</w:t>
      </w:r>
      <w:r w:rsidRPr="001C025E">
        <w:rPr>
          <w:noProof/>
          <w:lang w:val="en-US"/>
        </w:rPr>
        <w:t xml:space="preserve">, </w:t>
      </w:r>
      <w:r w:rsidRPr="001C025E">
        <w:rPr>
          <w:i/>
          <w:iCs/>
          <w:noProof/>
          <w:lang w:val="en-US"/>
        </w:rPr>
        <w:t>97</w:t>
      </w:r>
      <w:r w:rsidRPr="001C025E">
        <w:rPr>
          <w:noProof/>
          <w:lang w:val="en-US"/>
        </w:rPr>
        <w:t>(2), 279–289. https://doi.org/10.1037/a0015437</w:t>
      </w:r>
    </w:p>
    <w:p w14:paraId="5E5F1A4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Langdon, R., Seymour, K., Williams, T., &amp; Ward, P. B. (2016). Automatic attentional orienting to other people’s gaze in schizophrenia. </w:t>
      </w:r>
      <w:r w:rsidRPr="001C025E">
        <w:rPr>
          <w:i/>
          <w:iCs/>
          <w:noProof/>
          <w:lang w:val="en-US"/>
        </w:rPr>
        <w:t>The Quarterly Journal of Experimental Psychology</w:t>
      </w:r>
      <w:r w:rsidRPr="001C025E">
        <w:rPr>
          <w:noProof/>
          <w:lang w:val="en-US"/>
        </w:rPr>
        <w:t xml:space="preserve">, </w:t>
      </w:r>
      <w:r w:rsidRPr="001C025E">
        <w:rPr>
          <w:i/>
          <w:iCs/>
          <w:noProof/>
          <w:lang w:val="en-US"/>
        </w:rPr>
        <w:t>0</w:t>
      </w:r>
      <w:r w:rsidRPr="001C025E">
        <w:rPr>
          <w:noProof/>
          <w:lang w:val="en-US"/>
        </w:rPr>
        <w:t>(Advance online publication), 1–24. https://doi.org/10.1080/17470218.2016.1192658</w:t>
      </w:r>
    </w:p>
    <w:p w14:paraId="0180FCC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Langten, S. R. H., Watt, R. J., &amp; Bruce, V. (2000). Do the eyes have it? Cues to the direction of social attention. </w:t>
      </w:r>
      <w:r w:rsidRPr="001C025E">
        <w:rPr>
          <w:i/>
          <w:iCs/>
          <w:noProof/>
          <w:lang w:val="en-US"/>
        </w:rPr>
        <w:t>Trends in Cognitive Sciences</w:t>
      </w:r>
      <w:r w:rsidRPr="001C025E">
        <w:rPr>
          <w:noProof/>
          <w:lang w:val="en-US"/>
        </w:rPr>
        <w:t xml:space="preserve">, </w:t>
      </w:r>
      <w:r w:rsidRPr="001C025E">
        <w:rPr>
          <w:i/>
          <w:iCs/>
          <w:noProof/>
          <w:lang w:val="en-US"/>
        </w:rPr>
        <w:t>4</w:t>
      </w:r>
      <w:r w:rsidRPr="001C025E">
        <w:rPr>
          <w:noProof/>
          <w:lang w:val="en-US"/>
        </w:rPr>
        <w:t>(2), 50–59. https://doi.org/10.1016/S1364-6613(99)01436-9</w:t>
      </w:r>
    </w:p>
    <w:p w14:paraId="4C6E1AF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Langton, S., &amp; Bruce, V. (1999). Reflexive visual orienting in response to the social attention of others. </w:t>
      </w:r>
      <w:r w:rsidRPr="001C025E">
        <w:rPr>
          <w:i/>
          <w:iCs/>
          <w:noProof/>
          <w:lang w:val="en-US"/>
        </w:rPr>
        <w:t>Visual Cognition</w:t>
      </w:r>
      <w:r w:rsidRPr="001C025E">
        <w:rPr>
          <w:noProof/>
          <w:lang w:val="en-US"/>
        </w:rPr>
        <w:t xml:space="preserve">, </w:t>
      </w:r>
      <w:r w:rsidRPr="001C025E">
        <w:rPr>
          <w:i/>
          <w:iCs/>
          <w:noProof/>
          <w:lang w:val="en-US"/>
        </w:rPr>
        <w:t>6</w:t>
      </w:r>
      <w:r w:rsidRPr="001C025E">
        <w:rPr>
          <w:noProof/>
          <w:lang w:val="en-US"/>
        </w:rPr>
        <w:t>(5), 541–567.</w:t>
      </w:r>
    </w:p>
    <w:p w14:paraId="370E145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Langton, S. R. H. (2000). The mutual influence of gaze and head orientation in the analysis of social attention direction. </w:t>
      </w:r>
      <w:r w:rsidRPr="001C025E">
        <w:rPr>
          <w:i/>
          <w:iCs/>
          <w:noProof/>
          <w:lang w:val="en-US"/>
        </w:rPr>
        <w:t>The Quarterly Journal of Experimental Psychology</w:t>
      </w:r>
      <w:r w:rsidRPr="001C025E">
        <w:rPr>
          <w:noProof/>
          <w:lang w:val="en-US"/>
        </w:rPr>
        <w:t xml:space="preserve">, </w:t>
      </w:r>
      <w:r w:rsidRPr="001C025E">
        <w:rPr>
          <w:i/>
          <w:iCs/>
          <w:noProof/>
          <w:lang w:val="en-US"/>
        </w:rPr>
        <w:t>53A</w:t>
      </w:r>
      <w:r w:rsidRPr="001C025E">
        <w:rPr>
          <w:noProof/>
          <w:lang w:val="en-US"/>
        </w:rPr>
        <w:t>(3), 805–845. https://doi.org/10.1080/713755908</w:t>
      </w:r>
    </w:p>
    <w:p w14:paraId="322EDD9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Lassalle, A., &amp; Itier, R. J. (2015). Autistic traits influence gaze-oriented attention to happy but not fearful faces. </w:t>
      </w:r>
      <w:r w:rsidRPr="001C025E">
        <w:rPr>
          <w:i/>
          <w:iCs/>
          <w:noProof/>
          <w:lang w:val="en-US"/>
        </w:rPr>
        <w:t>Social Neuroscience</w:t>
      </w:r>
      <w:r w:rsidRPr="001C025E">
        <w:rPr>
          <w:noProof/>
          <w:lang w:val="en-US"/>
        </w:rPr>
        <w:t xml:space="preserve">, </w:t>
      </w:r>
      <w:r w:rsidRPr="001C025E">
        <w:rPr>
          <w:i/>
          <w:iCs/>
          <w:noProof/>
          <w:lang w:val="en-US"/>
        </w:rPr>
        <w:t>10</w:t>
      </w:r>
      <w:r w:rsidRPr="001C025E">
        <w:rPr>
          <w:noProof/>
          <w:lang w:val="en-US"/>
        </w:rPr>
        <w:t>(1), 70–88. https://doi.org/10.1080/17470919.2014.958616</w:t>
      </w:r>
    </w:p>
    <w:p w14:paraId="4AF6D19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Lin, G., Cui, Y., Zeng, J., &amp; Huang, L. (2020). The Effect of Autistic Traits on Social Orienting in Typically Developing Individuals. </w:t>
      </w:r>
      <w:r w:rsidRPr="001C025E">
        <w:rPr>
          <w:i/>
          <w:iCs/>
          <w:noProof/>
          <w:lang w:val="en-US"/>
        </w:rPr>
        <w:t>Frontiers in Psychology</w:t>
      </w:r>
      <w:r w:rsidRPr="001C025E">
        <w:rPr>
          <w:noProof/>
          <w:lang w:val="en-US"/>
        </w:rPr>
        <w:t xml:space="preserve">, </w:t>
      </w:r>
      <w:r w:rsidRPr="001C025E">
        <w:rPr>
          <w:i/>
          <w:iCs/>
          <w:noProof/>
          <w:lang w:val="en-US"/>
        </w:rPr>
        <w:t>11</w:t>
      </w:r>
      <w:r w:rsidRPr="001C025E">
        <w:rPr>
          <w:noProof/>
          <w:lang w:val="en-US"/>
        </w:rPr>
        <w:t>(April), 1–8. https://doi.org/10.3389/fpsyg.2020.00794</w:t>
      </w:r>
    </w:p>
    <w:p w14:paraId="79D3D72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Little, A. C., Burriss, R. P., Jones, B. C., &amp; Roberts, S. C. (2007). Facial appearance affects voting decisions. </w:t>
      </w:r>
      <w:r w:rsidRPr="001C025E">
        <w:rPr>
          <w:i/>
          <w:iCs/>
          <w:noProof/>
          <w:lang w:val="en-US"/>
        </w:rPr>
        <w:t>Evolution and Human Behavior</w:t>
      </w:r>
      <w:r w:rsidRPr="001C025E">
        <w:rPr>
          <w:noProof/>
          <w:lang w:val="en-US"/>
        </w:rPr>
        <w:t xml:space="preserve">, </w:t>
      </w:r>
      <w:r w:rsidRPr="001C025E">
        <w:rPr>
          <w:i/>
          <w:iCs/>
          <w:noProof/>
          <w:lang w:val="en-US"/>
        </w:rPr>
        <w:t>28</w:t>
      </w:r>
      <w:r w:rsidRPr="001C025E">
        <w:rPr>
          <w:noProof/>
          <w:lang w:val="en-US"/>
        </w:rPr>
        <w:t>(1), 18–27. https://doi.org/10.1016/j.evolhumbehav.2006.09.002</w:t>
      </w:r>
    </w:p>
    <w:p w14:paraId="4EF328E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Liuzza, M. T., Cazzato, V., Vecchione, M., Crostella, F., Caprara, G. V., &amp; Aglioti, S. M. (2011). Follow My Eyes: The Gaze of Politicians Reflexively Captures the Gaze of Ingroup Voters. </w:t>
      </w:r>
      <w:r w:rsidRPr="001C025E">
        <w:rPr>
          <w:i/>
          <w:iCs/>
          <w:noProof/>
          <w:lang w:val="en-US"/>
        </w:rPr>
        <w:t>Plos One</w:t>
      </w:r>
      <w:r w:rsidRPr="001C025E">
        <w:rPr>
          <w:noProof/>
          <w:lang w:val="en-US"/>
        </w:rPr>
        <w:t xml:space="preserve">, </w:t>
      </w:r>
      <w:r w:rsidRPr="001C025E">
        <w:rPr>
          <w:i/>
          <w:iCs/>
          <w:noProof/>
          <w:lang w:val="en-US"/>
        </w:rPr>
        <w:t>6</w:t>
      </w:r>
      <w:r w:rsidRPr="001C025E">
        <w:rPr>
          <w:noProof/>
          <w:lang w:val="en-US"/>
        </w:rPr>
        <w:t>(9). https://doi.org/10.1371/journal.pone.0025117</w:t>
      </w:r>
    </w:p>
    <w:p w14:paraId="6174DF1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Liuzza, M. T., Vecchione, M., Dentale, F., Crostella, F., Barbaranelli, C., Caprara, G. V., &amp; </w:t>
      </w:r>
      <w:r w:rsidRPr="001C025E">
        <w:rPr>
          <w:noProof/>
          <w:lang w:val="en-US"/>
        </w:rPr>
        <w:lastRenderedPageBreak/>
        <w:t xml:space="preserve">Aglioti, S. M. (2013). A look into the ballot box: Gaze following conveys information about implicit attitudes toward politicians. </w:t>
      </w:r>
      <w:r w:rsidRPr="001C025E">
        <w:rPr>
          <w:i/>
          <w:iCs/>
          <w:noProof/>
          <w:lang w:val="en-US"/>
        </w:rPr>
        <w:t>Quarterly Journal of Experimental Psychology</w:t>
      </w:r>
      <w:r w:rsidRPr="001C025E">
        <w:rPr>
          <w:noProof/>
          <w:lang w:val="en-US"/>
        </w:rPr>
        <w:t xml:space="preserve">, </w:t>
      </w:r>
      <w:r w:rsidRPr="001C025E">
        <w:rPr>
          <w:i/>
          <w:iCs/>
          <w:noProof/>
          <w:lang w:val="en-US"/>
        </w:rPr>
        <w:t>66</w:t>
      </w:r>
      <w:r w:rsidRPr="001C025E">
        <w:rPr>
          <w:noProof/>
          <w:lang w:val="en-US"/>
        </w:rPr>
        <w:t>(2), 209–216. https://doi.org/10.1080/17470218.2012.754909</w:t>
      </w:r>
    </w:p>
    <w:p w14:paraId="5B9F3F8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Lombard, J. (1998). Autism: a mitochondrial disorder? </w:t>
      </w:r>
      <w:r w:rsidRPr="001C025E">
        <w:rPr>
          <w:i/>
          <w:iCs/>
          <w:noProof/>
          <w:lang w:val="en-US"/>
        </w:rPr>
        <w:t>Medical Hypotheses</w:t>
      </w:r>
      <w:r w:rsidRPr="001C025E">
        <w:rPr>
          <w:noProof/>
          <w:lang w:val="en-US"/>
        </w:rPr>
        <w:t xml:space="preserve">, </w:t>
      </w:r>
      <w:r w:rsidRPr="001C025E">
        <w:rPr>
          <w:i/>
          <w:iCs/>
          <w:noProof/>
          <w:lang w:val="en-US"/>
        </w:rPr>
        <w:t>50</w:t>
      </w:r>
      <w:r w:rsidRPr="001C025E">
        <w:rPr>
          <w:noProof/>
          <w:lang w:val="en-US"/>
        </w:rPr>
        <w:t>(6), 497–500. https://doi.org/10.1016/S0306-9877(98)90270-5</w:t>
      </w:r>
    </w:p>
    <w:p w14:paraId="07553DD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Lundqvist, L.-O., &amp; Lindner, H. (2017). Is the Autism-Spectrum Quotient a Valid Measure of Traits Associated with the Autism Spectrum? A Rasch Validation in Adults with and Without Autism Spectrum Disorders. </w:t>
      </w:r>
      <w:r w:rsidRPr="001C025E">
        <w:rPr>
          <w:i/>
          <w:iCs/>
          <w:noProof/>
          <w:lang w:val="en-US"/>
        </w:rPr>
        <w:t>Journal of Autism and Developmental Disorders</w:t>
      </w:r>
      <w:r w:rsidRPr="001C025E">
        <w:rPr>
          <w:noProof/>
          <w:lang w:val="en-US"/>
        </w:rPr>
        <w:t xml:space="preserve">, </w:t>
      </w:r>
      <w:r w:rsidRPr="001C025E">
        <w:rPr>
          <w:i/>
          <w:iCs/>
          <w:noProof/>
          <w:lang w:val="en-US"/>
        </w:rPr>
        <w:t>47</w:t>
      </w:r>
      <w:r w:rsidRPr="001C025E">
        <w:rPr>
          <w:noProof/>
          <w:lang w:val="en-US"/>
        </w:rPr>
        <w:t>(7), 2080–2091. https://doi.org/10.1007/s10803-017-3128-y</w:t>
      </w:r>
    </w:p>
    <w:p w14:paraId="6C3331F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Macrae, C. N., &amp; Bodenhausen, G. V. (2000). Social cognition: Thinking categorically about others. </w:t>
      </w:r>
      <w:r w:rsidRPr="001C025E">
        <w:rPr>
          <w:i/>
          <w:iCs/>
          <w:noProof/>
          <w:lang w:val="en-US"/>
        </w:rPr>
        <w:t>Annual Review of Psychology</w:t>
      </w:r>
      <w:r w:rsidRPr="001C025E">
        <w:rPr>
          <w:noProof/>
          <w:lang w:val="en-US"/>
        </w:rPr>
        <w:t xml:space="preserve">, </w:t>
      </w:r>
      <w:r w:rsidRPr="001C025E">
        <w:rPr>
          <w:i/>
          <w:iCs/>
          <w:noProof/>
          <w:lang w:val="en-US"/>
        </w:rPr>
        <w:t>51</w:t>
      </w:r>
      <w:r w:rsidRPr="001C025E">
        <w:rPr>
          <w:noProof/>
          <w:lang w:val="en-US"/>
        </w:rPr>
        <w:t>, 93–120.</w:t>
      </w:r>
    </w:p>
    <w:p w14:paraId="03115D3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Magee, J. C., &amp; Galinsky, A. D. (2008). 8 Social Hierarchy: The Self‐Reinforcing Nature of Power and Status. </w:t>
      </w:r>
      <w:r w:rsidRPr="001C025E">
        <w:rPr>
          <w:i/>
          <w:iCs/>
          <w:noProof/>
          <w:lang w:val="en-US"/>
        </w:rPr>
        <w:t>Academy of Management Annals</w:t>
      </w:r>
      <w:r w:rsidRPr="001C025E">
        <w:rPr>
          <w:noProof/>
          <w:lang w:val="en-US"/>
        </w:rPr>
        <w:t xml:space="preserve">, </w:t>
      </w:r>
      <w:r w:rsidRPr="001C025E">
        <w:rPr>
          <w:i/>
          <w:iCs/>
          <w:noProof/>
          <w:lang w:val="en-US"/>
        </w:rPr>
        <w:t>2</w:t>
      </w:r>
      <w:r w:rsidRPr="001C025E">
        <w:rPr>
          <w:noProof/>
          <w:lang w:val="en-US"/>
        </w:rPr>
        <w:t>(1), 351–398. https://doi.org/10.5465/19416520802211628</w:t>
      </w:r>
    </w:p>
    <w:p w14:paraId="4C31407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Main, J. C., Jones, B. C., DeBruine, L. M., &amp; Little, A. C. (2009). Integrating Gaze Direction and Sexual Dimorphism of Face Shape When Perceiving the Dominance of Others. </w:t>
      </w:r>
      <w:r w:rsidRPr="001C025E">
        <w:rPr>
          <w:i/>
          <w:iCs/>
          <w:noProof/>
          <w:lang w:val="en-US"/>
        </w:rPr>
        <w:t>Perception</w:t>
      </w:r>
      <w:r w:rsidRPr="001C025E">
        <w:rPr>
          <w:noProof/>
          <w:lang w:val="en-US"/>
        </w:rPr>
        <w:t xml:space="preserve">, </w:t>
      </w:r>
      <w:r w:rsidRPr="001C025E">
        <w:rPr>
          <w:i/>
          <w:iCs/>
          <w:noProof/>
          <w:lang w:val="en-US"/>
        </w:rPr>
        <w:t>38</w:t>
      </w:r>
      <w:r w:rsidRPr="001C025E">
        <w:rPr>
          <w:noProof/>
          <w:lang w:val="en-US"/>
        </w:rPr>
        <w:t>(9), 1275–1283. https://doi.org/10.1068/p6347</w:t>
      </w:r>
    </w:p>
    <w:p w14:paraId="18833EB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Maloney, L., &amp; Dal Martello, M. (2006). Kin recognition and the perceived facial similarity of children. </w:t>
      </w:r>
      <w:r w:rsidRPr="001C025E">
        <w:rPr>
          <w:i/>
          <w:iCs/>
          <w:noProof/>
          <w:lang w:val="en-US"/>
        </w:rPr>
        <w:t>J. Vision</w:t>
      </w:r>
      <w:r w:rsidRPr="001C025E">
        <w:rPr>
          <w:noProof/>
          <w:lang w:val="en-US"/>
        </w:rPr>
        <w:t xml:space="preserve">, </w:t>
      </w:r>
      <w:r w:rsidRPr="001C025E">
        <w:rPr>
          <w:i/>
          <w:iCs/>
          <w:noProof/>
          <w:lang w:val="en-US"/>
        </w:rPr>
        <w:t>6</w:t>
      </w:r>
      <w:r w:rsidRPr="001C025E">
        <w:rPr>
          <w:noProof/>
          <w:lang w:val="en-US"/>
        </w:rPr>
        <w:t>(10), 1047–1056. https://doi.org/10.1167/6.10.4</w:t>
      </w:r>
    </w:p>
    <w:p w14:paraId="7E0A04B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Maner, J. K., DeWall, C. N., &amp; Gailliot, M. T. (2008). Selective Attention to Signs of Success: Social Dominance and Early Stage Interpersonal Perception. </w:t>
      </w:r>
      <w:r w:rsidRPr="001C025E">
        <w:rPr>
          <w:i/>
          <w:iCs/>
          <w:noProof/>
          <w:lang w:val="en-US"/>
        </w:rPr>
        <w:t>Personality and Social Psychology Bulletin</w:t>
      </w:r>
      <w:r w:rsidRPr="001C025E">
        <w:rPr>
          <w:noProof/>
          <w:lang w:val="en-US"/>
        </w:rPr>
        <w:t xml:space="preserve">, </w:t>
      </w:r>
      <w:r w:rsidRPr="001C025E">
        <w:rPr>
          <w:i/>
          <w:iCs/>
          <w:noProof/>
          <w:lang w:val="en-US"/>
        </w:rPr>
        <w:t>34</w:t>
      </w:r>
      <w:r w:rsidRPr="001C025E">
        <w:rPr>
          <w:noProof/>
          <w:lang w:val="en-US"/>
        </w:rPr>
        <w:t>(4), 488–501. https://doi.org/10.1177/0146167207311910</w:t>
      </w:r>
    </w:p>
    <w:p w14:paraId="6164B61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Mason, M. F., Tatkow, E. P., &amp; Macrae, C. N. (2005). The look of love: gaze shifts and person perception. </w:t>
      </w:r>
      <w:r w:rsidRPr="001C025E">
        <w:rPr>
          <w:i/>
          <w:iCs/>
          <w:noProof/>
          <w:lang w:val="en-US"/>
        </w:rPr>
        <w:t>Psychological Science</w:t>
      </w:r>
      <w:r w:rsidRPr="001C025E">
        <w:rPr>
          <w:noProof/>
          <w:lang w:val="en-US"/>
        </w:rPr>
        <w:t xml:space="preserve">, </w:t>
      </w:r>
      <w:r w:rsidRPr="001C025E">
        <w:rPr>
          <w:i/>
          <w:iCs/>
          <w:noProof/>
          <w:lang w:val="en-US"/>
        </w:rPr>
        <w:t>16</w:t>
      </w:r>
      <w:r w:rsidRPr="001C025E">
        <w:rPr>
          <w:noProof/>
          <w:lang w:val="en-US"/>
        </w:rPr>
        <w:t>(3), 236–239. https://doi.org/10.1111/j.0956-7976.2005.00809.x</w:t>
      </w:r>
    </w:p>
    <w:p w14:paraId="6FA9FB0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Masuda, T., Ellsworth, P. C., Mesquita, B., Leu, J., Tanida, S., &amp; Van de Veerdonk, E. (2008). Placing the face in context: Cultural differences in the perception of facial </w:t>
      </w:r>
      <w:r w:rsidRPr="001C025E">
        <w:rPr>
          <w:noProof/>
          <w:lang w:val="en-US"/>
        </w:rPr>
        <w:lastRenderedPageBreak/>
        <w:t xml:space="preserve">emotion. </w:t>
      </w:r>
      <w:r w:rsidRPr="001C025E">
        <w:rPr>
          <w:i/>
          <w:iCs/>
          <w:noProof/>
          <w:lang w:val="en-US"/>
        </w:rPr>
        <w:t>Journal of Personality and Social Psychology</w:t>
      </w:r>
      <w:r w:rsidRPr="001C025E">
        <w:rPr>
          <w:noProof/>
          <w:lang w:val="en-US"/>
        </w:rPr>
        <w:t xml:space="preserve">, </w:t>
      </w:r>
      <w:r w:rsidRPr="001C025E">
        <w:rPr>
          <w:i/>
          <w:iCs/>
          <w:noProof/>
          <w:lang w:val="en-US"/>
        </w:rPr>
        <w:t>94</w:t>
      </w:r>
      <w:r w:rsidRPr="001C025E">
        <w:rPr>
          <w:noProof/>
          <w:lang w:val="en-US"/>
        </w:rPr>
        <w:t>(3), 365–381. https://doi.org/10.1037/0022-3514.94.3.365</w:t>
      </w:r>
    </w:p>
    <w:p w14:paraId="670F11C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Merritt, P., Hirshman, E., Wharton, W., Stangl, B., Devlin, J., &amp; Lenz, A. (2007). Evidence for gender differences in visual selective attention. </w:t>
      </w:r>
      <w:r w:rsidRPr="001C025E">
        <w:rPr>
          <w:i/>
          <w:iCs/>
          <w:noProof/>
          <w:lang w:val="en-US"/>
        </w:rPr>
        <w:t>Personality and Individual Differences</w:t>
      </w:r>
      <w:r w:rsidRPr="001C025E">
        <w:rPr>
          <w:noProof/>
          <w:lang w:val="en-US"/>
        </w:rPr>
        <w:t xml:space="preserve">, </w:t>
      </w:r>
      <w:r w:rsidRPr="001C025E">
        <w:rPr>
          <w:i/>
          <w:iCs/>
          <w:noProof/>
          <w:lang w:val="en-US"/>
        </w:rPr>
        <w:t>43</w:t>
      </w:r>
      <w:r w:rsidRPr="001C025E">
        <w:rPr>
          <w:noProof/>
          <w:lang w:val="en-US"/>
        </w:rPr>
        <w:t>(3), 597–609. https://doi.org/10.1016/j.paid.2007.01.016</w:t>
      </w:r>
    </w:p>
    <w:p w14:paraId="4829028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Meyers-Levy, J., Loken, B., Baron-Cohen, S., Richler, J., Bisarya, D., Gurunathan, N., &amp; Wheelwright, S. (2015). Revisiting gender differences: What we know and what lies ahead. </w:t>
      </w:r>
      <w:r w:rsidRPr="001C025E">
        <w:rPr>
          <w:i/>
          <w:iCs/>
          <w:noProof/>
          <w:lang w:val="en-US"/>
        </w:rPr>
        <w:t>Journal of Consumer Psychology</w:t>
      </w:r>
      <w:r w:rsidRPr="001C025E">
        <w:rPr>
          <w:noProof/>
          <w:lang w:val="en-US"/>
        </w:rPr>
        <w:t xml:space="preserve">, </w:t>
      </w:r>
      <w:r w:rsidRPr="001C025E">
        <w:rPr>
          <w:i/>
          <w:iCs/>
          <w:noProof/>
          <w:lang w:val="en-US"/>
        </w:rPr>
        <w:t>25</w:t>
      </w:r>
      <w:r w:rsidRPr="001C025E">
        <w:rPr>
          <w:noProof/>
          <w:lang w:val="en-US"/>
        </w:rPr>
        <w:t>(1), 129–149. https://doi.org/https://doi.org/10.1016/j.jcps.2014.06.003</w:t>
      </w:r>
    </w:p>
    <w:p w14:paraId="6853316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Michotte, A. (1963). The perception of causality. In </w:t>
      </w:r>
      <w:r w:rsidRPr="001C025E">
        <w:rPr>
          <w:i/>
          <w:iCs/>
          <w:noProof/>
          <w:lang w:val="en-US"/>
        </w:rPr>
        <w:t>The perception of causality.</w:t>
      </w:r>
      <w:r w:rsidRPr="001C025E">
        <w:rPr>
          <w:noProof/>
          <w:lang w:val="en-US"/>
        </w:rPr>
        <w:t xml:space="preserve"> Basic Books.</w:t>
      </w:r>
    </w:p>
    <w:p w14:paraId="5A9B7BB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Moll, H., &amp; Tomasello, M. (2004). 12- and 18-month-old infants follow gaze to spaces behind barriers. </w:t>
      </w:r>
      <w:r w:rsidRPr="001C025E">
        <w:rPr>
          <w:i/>
          <w:iCs/>
          <w:noProof/>
          <w:lang w:val="en-US"/>
        </w:rPr>
        <w:t>Developmental Science</w:t>
      </w:r>
      <w:r w:rsidRPr="001C025E">
        <w:rPr>
          <w:noProof/>
          <w:lang w:val="en-US"/>
        </w:rPr>
        <w:t xml:space="preserve">, </w:t>
      </w:r>
      <w:r w:rsidRPr="001C025E">
        <w:rPr>
          <w:i/>
          <w:iCs/>
          <w:noProof/>
          <w:lang w:val="en-US"/>
        </w:rPr>
        <w:t>7</w:t>
      </w:r>
      <w:r w:rsidRPr="001C025E">
        <w:rPr>
          <w:noProof/>
          <w:lang w:val="en-US"/>
        </w:rPr>
        <w:t>(1), F1–F9. https://doi.org/10.1111/j.1467-7687.2004.00315.x</w:t>
      </w:r>
    </w:p>
    <w:p w14:paraId="19E5C48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Moors, A., &amp; De Houwer, J. (2005). Automatic Processing of Dominance and Submissiveness. </w:t>
      </w:r>
      <w:r w:rsidRPr="001C025E">
        <w:rPr>
          <w:i/>
          <w:iCs/>
          <w:noProof/>
          <w:lang w:val="en-US"/>
        </w:rPr>
        <w:t>Experimental Psychology</w:t>
      </w:r>
      <w:r w:rsidRPr="001C025E">
        <w:rPr>
          <w:noProof/>
          <w:lang w:val="en-US"/>
        </w:rPr>
        <w:t xml:space="preserve">, </w:t>
      </w:r>
      <w:r w:rsidRPr="001C025E">
        <w:rPr>
          <w:i/>
          <w:iCs/>
          <w:noProof/>
          <w:lang w:val="en-US"/>
        </w:rPr>
        <w:t>52</w:t>
      </w:r>
      <w:r w:rsidRPr="001C025E">
        <w:rPr>
          <w:noProof/>
          <w:lang w:val="en-US"/>
        </w:rPr>
        <w:t>(4), 296–302. https://doi.org/10.1027/1618-3169.52.4.296</w:t>
      </w:r>
    </w:p>
    <w:p w14:paraId="1EB1D0A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Morgan, E. J., Freeth, M., &amp; Smith, D. T. (2018). Mental State Attributions Mediate the Gaze Cueing Effect. </w:t>
      </w:r>
      <w:r w:rsidRPr="001C025E">
        <w:rPr>
          <w:i/>
          <w:iCs/>
          <w:noProof/>
          <w:lang w:val="en-US"/>
        </w:rPr>
        <w:t>Vision</w:t>
      </w:r>
      <w:r w:rsidRPr="001C025E">
        <w:rPr>
          <w:noProof/>
          <w:lang w:val="en-US"/>
        </w:rPr>
        <w:t xml:space="preserve">, </w:t>
      </w:r>
      <w:r w:rsidRPr="001C025E">
        <w:rPr>
          <w:i/>
          <w:iCs/>
          <w:noProof/>
          <w:lang w:val="en-US"/>
        </w:rPr>
        <w:t>2</w:t>
      </w:r>
      <w:r w:rsidRPr="001C025E">
        <w:rPr>
          <w:noProof/>
          <w:lang w:val="en-US"/>
        </w:rPr>
        <w:t>(1), 11. https://doi.org/10.3390/vision2010011</w:t>
      </w:r>
    </w:p>
    <w:p w14:paraId="269E6D7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Morgan, E. J., Smith, D. T., &amp; Freeth, M. (2021). Gaze cueing, mental States, and the effect of autistic traits. </w:t>
      </w:r>
      <w:r w:rsidRPr="001C025E">
        <w:rPr>
          <w:i/>
          <w:iCs/>
          <w:noProof/>
          <w:lang w:val="en-US"/>
        </w:rPr>
        <w:t>Attention, Perception, &amp; Psychophysics</w:t>
      </w:r>
      <w:r w:rsidRPr="001C025E">
        <w:rPr>
          <w:noProof/>
          <w:lang w:val="en-US"/>
        </w:rPr>
        <w:t xml:space="preserve">, </w:t>
      </w:r>
      <w:r w:rsidRPr="001C025E">
        <w:rPr>
          <w:i/>
          <w:iCs/>
          <w:noProof/>
          <w:lang w:val="en-US"/>
        </w:rPr>
        <w:t>August</w:t>
      </w:r>
      <w:r w:rsidRPr="001C025E">
        <w:rPr>
          <w:noProof/>
          <w:lang w:val="en-US"/>
        </w:rPr>
        <w:t>. https://doi.org/10.3758/s13414-021-02368-0</w:t>
      </w:r>
    </w:p>
    <w:p w14:paraId="26D9223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Mueller, U., &amp; Mazur, A. (1996). Facial Dominance of West Point Cadets as a Predictor of Later Military Rank. </w:t>
      </w:r>
      <w:r w:rsidRPr="001C025E">
        <w:rPr>
          <w:i/>
          <w:iCs/>
          <w:noProof/>
          <w:lang w:val="en-US"/>
        </w:rPr>
        <w:t>Social Forces</w:t>
      </w:r>
      <w:r w:rsidRPr="001C025E">
        <w:rPr>
          <w:noProof/>
          <w:lang w:val="en-US"/>
        </w:rPr>
        <w:t xml:space="preserve">, </w:t>
      </w:r>
      <w:r w:rsidRPr="001C025E">
        <w:rPr>
          <w:i/>
          <w:iCs/>
          <w:noProof/>
          <w:lang w:val="en-US"/>
        </w:rPr>
        <w:t>74</w:t>
      </w:r>
      <w:r w:rsidRPr="001C025E">
        <w:rPr>
          <w:noProof/>
          <w:lang w:val="en-US"/>
        </w:rPr>
        <w:t>(3), 823–850. https://doi.org/10.1093/sf/74.3.823</w:t>
      </w:r>
    </w:p>
    <w:p w14:paraId="7301E76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Muhle, R., Trentacoste, S. V, &amp; Rapin, I. (2004). The genetics of autism. </w:t>
      </w:r>
      <w:r w:rsidRPr="001C025E">
        <w:rPr>
          <w:i/>
          <w:iCs/>
          <w:noProof/>
          <w:lang w:val="en-US"/>
        </w:rPr>
        <w:t>Pediatrics</w:t>
      </w:r>
      <w:r w:rsidRPr="001C025E">
        <w:rPr>
          <w:noProof/>
          <w:lang w:val="en-US"/>
        </w:rPr>
        <w:t xml:space="preserve">, </w:t>
      </w:r>
      <w:r w:rsidRPr="001C025E">
        <w:rPr>
          <w:i/>
          <w:iCs/>
          <w:noProof/>
          <w:lang w:val="en-US"/>
        </w:rPr>
        <w:t>113</w:t>
      </w:r>
      <w:r w:rsidRPr="001C025E">
        <w:rPr>
          <w:noProof/>
          <w:lang w:val="en-US"/>
        </w:rPr>
        <w:t>(5), e472-86.</w:t>
      </w:r>
    </w:p>
    <w:p w14:paraId="2B1825D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Müller, H. J., &amp; Findlay, J. M. (1988). The effect of visual attention of peripheral </w:t>
      </w:r>
      <w:r w:rsidRPr="001C025E">
        <w:rPr>
          <w:noProof/>
          <w:lang w:val="en-US"/>
        </w:rPr>
        <w:lastRenderedPageBreak/>
        <w:t xml:space="preserve">discrimination thresholds in single and multiple element displays. </w:t>
      </w:r>
      <w:r w:rsidRPr="001C025E">
        <w:rPr>
          <w:i/>
          <w:iCs/>
          <w:noProof/>
          <w:lang w:val="en-US"/>
        </w:rPr>
        <w:t>Acta Psychologica</w:t>
      </w:r>
      <w:r w:rsidRPr="001C025E">
        <w:rPr>
          <w:noProof/>
          <w:lang w:val="en-US"/>
        </w:rPr>
        <w:t xml:space="preserve">, </w:t>
      </w:r>
      <w:r w:rsidRPr="001C025E">
        <w:rPr>
          <w:i/>
          <w:iCs/>
          <w:noProof/>
          <w:lang w:val="en-US"/>
        </w:rPr>
        <w:t>69</w:t>
      </w:r>
      <w:r w:rsidRPr="001C025E">
        <w:rPr>
          <w:noProof/>
          <w:lang w:val="en-US"/>
        </w:rPr>
        <w:t>(2), 129–155. https://doi.org/10.1016/0001-6918(88)90003-0</w:t>
      </w:r>
    </w:p>
    <w:p w14:paraId="586FF8C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Müller, H. J., &amp; Rabbitt, P. M. (1989). Reflexive and voluntary orienting of visual attention: Time course of activation and resistance to interruption. </w:t>
      </w:r>
      <w:r w:rsidRPr="001C025E">
        <w:rPr>
          <w:i/>
          <w:iCs/>
          <w:noProof/>
          <w:lang w:val="en-US"/>
        </w:rPr>
        <w:t>Journal of Experimental Psychology: Human Perception and Performance</w:t>
      </w:r>
      <w:r w:rsidRPr="001C025E">
        <w:rPr>
          <w:noProof/>
          <w:lang w:val="en-US"/>
        </w:rPr>
        <w:t xml:space="preserve">, </w:t>
      </w:r>
      <w:r w:rsidRPr="001C025E">
        <w:rPr>
          <w:i/>
          <w:iCs/>
          <w:noProof/>
          <w:lang w:val="en-US"/>
        </w:rPr>
        <w:t>15</w:t>
      </w:r>
      <w:r w:rsidRPr="001C025E">
        <w:rPr>
          <w:noProof/>
          <w:lang w:val="en-US"/>
        </w:rPr>
        <w:t>(2), 315–330. https://doi.org/10.1037/0096-1523.15.2.315</w:t>
      </w:r>
    </w:p>
    <w:p w14:paraId="5AA7BE1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Muscatell, K. A., Morelli, S. A., Falk, E. B., Way, B. M., Pfeifer, J. H., Galinsky, A. D., Lieberman, M. D., Dapretto, M., &amp; Eisenberger, N. I. (2012). Social status modulates neural activity in the mentalizing network. </w:t>
      </w:r>
      <w:r w:rsidRPr="001C025E">
        <w:rPr>
          <w:i/>
          <w:iCs/>
          <w:noProof/>
          <w:lang w:val="en-US"/>
        </w:rPr>
        <w:t>NeuroImage</w:t>
      </w:r>
      <w:r w:rsidRPr="001C025E">
        <w:rPr>
          <w:noProof/>
          <w:lang w:val="en-US"/>
        </w:rPr>
        <w:t xml:space="preserve">, </w:t>
      </w:r>
      <w:r w:rsidRPr="001C025E">
        <w:rPr>
          <w:i/>
          <w:iCs/>
          <w:noProof/>
          <w:lang w:val="en-US"/>
        </w:rPr>
        <w:t>60</w:t>
      </w:r>
      <w:r w:rsidRPr="001C025E">
        <w:rPr>
          <w:noProof/>
          <w:lang w:val="en-US"/>
        </w:rPr>
        <w:t>(3), 1771–1777. https://doi.org/10.1016/j.neuroimage.2012.01.080</w:t>
      </w:r>
    </w:p>
    <w:p w14:paraId="7033487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Nakayama, K., &amp; Mackeben, M. (1989). Sustained and transient components of focal visual attention. </w:t>
      </w:r>
      <w:r w:rsidRPr="001C025E">
        <w:rPr>
          <w:i/>
          <w:iCs/>
          <w:noProof/>
          <w:lang w:val="en-US"/>
        </w:rPr>
        <w:t>Vision Research</w:t>
      </w:r>
      <w:r w:rsidRPr="001C025E">
        <w:rPr>
          <w:noProof/>
          <w:lang w:val="en-US"/>
        </w:rPr>
        <w:t xml:space="preserve">, </w:t>
      </w:r>
      <w:r w:rsidRPr="001C025E">
        <w:rPr>
          <w:i/>
          <w:iCs/>
          <w:noProof/>
          <w:lang w:val="en-US"/>
        </w:rPr>
        <w:t>29</w:t>
      </w:r>
      <w:r w:rsidRPr="001C025E">
        <w:rPr>
          <w:noProof/>
          <w:lang w:val="en-US"/>
        </w:rPr>
        <w:t>(11), 1631–1647. https://doi.org/10.1016/0042-6989(89)90144-2</w:t>
      </w:r>
    </w:p>
    <w:p w14:paraId="7A71246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Neil Macrae, C., B. Milne, A., &amp; Bodenhausen, G. (1994). Stereotypes as Energy-Saving Devices: A Peek Inside the Cognitive Toolbox. In </w:t>
      </w:r>
      <w:r w:rsidRPr="001C025E">
        <w:rPr>
          <w:i/>
          <w:iCs/>
          <w:noProof/>
          <w:lang w:val="en-US"/>
        </w:rPr>
        <w:t>Journal of Personality and Social Psychology</w:t>
      </w:r>
      <w:r w:rsidRPr="001C025E">
        <w:rPr>
          <w:noProof/>
          <w:lang w:val="en-US"/>
        </w:rPr>
        <w:t xml:space="preserve"> (Vol. 66). https://doi.org/10.1037/0022-3514.66.1.37</w:t>
      </w:r>
    </w:p>
    <w:p w14:paraId="618F3FD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Nichols, K. A., &amp; Champness, B. G. (1971). Eye gaze and the GSR. </w:t>
      </w:r>
      <w:r w:rsidRPr="001C025E">
        <w:rPr>
          <w:i/>
          <w:iCs/>
          <w:noProof/>
          <w:lang w:val="en-US"/>
        </w:rPr>
        <w:t>Journal of Experimental Social Psychology</w:t>
      </w:r>
      <w:r w:rsidRPr="001C025E">
        <w:rPr>
          <w:noProof/>
          <w:lang w:val="en-US"/>
        </w:rPr>
        <w:t xml:space="preserve">, </w:t>
      </w:r>
      <w:r w:rsidRPr="001C025E">
        <w:rPr>
          <w:i/>
          <w:iCs/>
          <w:noProof/>
          <w:lang w:val="en-US"/>
        </w:rPr>
        <w:t>7</w:t>
      </w:r>
      <w:r w:rsidRPr="001C025E">
        <w:rPr>
          <w:noProof/>
          <w:lang w:val="en-US"/>
        </w:rPr>
        <w:t>(6), 623–626. https://doi.org/10.1016/0022-1031(71)90024-2</w:t>
      </w:r>
    </w:p>
    <w:p w14:paraId="4F90F7A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Nisbett, R. E., Peng, K., Choi, I., &amp; Norenzayan, A. (2001). Culture and systems of thought: Holistic versus analytic cognition. </w:t>
      </w:r>
      <w:r w:rsidRPr="001C025E">
        <w:rPr>
          <w:i/>
          <w:iCs/>
          <w:noProof/>
          <w:lang w:val="en-US"/>
        </w:rPr>
        <w:t>Psychological Review</w:t>
      </w:r>
      <w:r w:rsidRPr="001C025E">
        <w:rPr>
          <w:noProof/>
          <w:lang w:val="en-US"/>
        </w:rPr>
        <w:t xml:space="preserve">, </w:t>
      </w:r>
      <w:r w:rsidRPr="001C025E">
        <w:rPr>
          <w:i/>
          <w:iCs/>
          <w:noProof/>
          <w:lang w:val="en-US"/>
        </w:rPr>
        <w:t>108</w:t>
      </w:r>
      <w:r w:rsidRPr="001C025E">
        <w:rPr>
          <w:noProof/>
          <w:lang w:val="en-US"/>
        </w:rPr>
        <w:t>(2), 291–310. https://doi.org/10.1037/0033-295X.108.2.291</w:t>
      </w:r>
    </w:p>
    <w:p w14:paraId="077934E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Nobre, A. (1997). Functional localization of the system for visuospatial attention using positron emission tomography. </w:t>
      </w:r>
      <w:r w:rsidRPr="001C025E">
        <w:rPr>
          <w:i/>
          <w:iCs/>
          <w:noProof/>
          <w:lang w:val="en-US"/>
        </w:rPr>
        <w:t>Brain</w:t>
      </w:r>
      <w:r w:rsidRPr="001C025E">
        <w:rPr>
          <w:noProof/>
          <w:lang w:val="en-US"/>
        </w:rPr>
        <w:t xml:space="preserve">, </w:t>
      </w:r>
      <w:r w:rsidRPr="001C025E">
        <w:rPr>
          <w:i/>
          <w:iCs/>
          <w:noProof/>
          <w:lang w:val="en-US"/>
        </w:rPr>
        <w:t>120</w:t>
      </w:r>
      <w:r w:rsidRPr="001C025E">
        <w:rPr>
          <w:noProof/>
          <w:lang w:val="en-US"/>
        </w:rPr>
        <w:t>(3), 515–533. https://doi.org/10.1093/brain/120.3.515</w:t>
      </w:r>
    </w:p>
    <w:p w14:paraId="4FF06CF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Nosek, B. A., Banaji, M., &amp; Greenwald, A. G. (2002). Harvesting implicit group attitudes and beliefs from a demonstration web site. </w:t>
      </w:r>
      <w:r w:rsidRPr="001C025E">
        <w:rPr>
          <w:i/>
          <w:iCs/>
          <w:noProof/>
          <w:lang w:val="en-US"/>
        </w:rPr>
        <w:t>Group Dynamics: Theory, Research, and Practice</w:t>
      </w:r>
      <w:r w:rsidRPr="001C025E">
        <w:rPr>
          <w:noProof/>
          <w:lang w:val="en-US"/>
        </w:rPr>
        <w:t xml:space="preserve">, </w:t>
      </w:r>
      <w:r w:rsidRPr="001C025E">
        <w:rPr>
          <w:i/>
          <w:iCs/>
          <w:noProof/>
          <w:lang w:val="en-US"/>
        </w:rPr>
        <w:t>6</w:t>
      </w:r>
      <w:r w:rsidRPr="001C025E">
        <w:rPr>
          <w:noProof/>
          <w:lang w:val="en-US"/>
        </w:rPr>
        <w:t>(1), 101–115. https://doi.org/10.1037//1089-2699.6.1.101</w:t>
      </w:r>
    </w:p>
    <w:p w14:paraId="55905BA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Nuku, P., &amp; Bekkering, H. (2008). Joint attention: Inferring what others perceive (and don’t perceive). </w:t>
      </w:r>
      <w:r w:rsidRPr="001C025E">
        <w:rPr>
          <w:i/>
          <w:iCs/>
          <w:noProof/>
          <w:lang w:val="en-US"/>
        </w:rPr>
        <w:t>Consciousness and Cognition</w:t>
      </w:r>
      <w:r w:rsidRPr="001C025E">
        <w:rPr>
          <w:noProof/>
          <w:lang w:val="en-US"/>
        </w:rPr>
        <w:t xml:space="preserve">, </w:t>
      </w:r>
      <w:r w:rsidRPr="001C025E">
        <w:rPr>
          <w:i/>
          <w:iCs/>
          <w:noProof/>
          <w:lang w:val="en-US"/>
        </w:rPr>
        <w:t>17</w:t>
      </w:r>
      <w:r w:rsidRPr="001C025E">
        <w:rPr>
          <w:noProof/>
          <w:lang w:val="en-US"/>
        </w:rPr>
        <w:t>(1), 339–349. https://doi.org/10.1016/j.concog.2007.06.014</w:t>
      </w:r>
    </w:p>
    <w:p w14:paraId="1E17EF8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Nummenmaa, L, Passamonti, L., Rowe, J., Engell, A. D., &amp; Calder, A. (2010). Connectivity Analysis Reveals a Cortical Network for Eye Gaze Perception. </w:t>
      </w:r>
      <w:r w:rsidRPr="001C025E">
        <w:rPr>
          <w:i/>
          <w:iCs/>
          <w:noProof/>
          <w:lang w:val="en-US"/>
        </w:rPr>
        <w:t>Cereb. Cortex</w:t>
      </w:r>
      <w:r w:rsidRPr="001C025E">
        <w:rPr>
          <w:noProof/>
          <w:lang w:val="en-US"/>
        </w:rPr>
        <w:t xml:space="preserve">, </w:t>
      </w:r>
      <w:r w:rsidRPr="001C025E">
        <w:rPr>
          <w:i/>
          <w:iCs/>
          <w:noProof/>
          <w:lang w:val="en-US"/>
        </w:rPr>
        <w:t>20</w:t>
      </w:r>
      <w:r w:rsidRPr="001C025E">
        <w:rPr>
          <w:noProof/>
          <w:lang w:val="en-US"/>
        </w:rPr>
        <w:t>(8), 1780–1787. https://doi.org/10.1093/cercor/bhp244</w:t>
      </w:r>
    </w:p>
    <w:p w14:paraId="174DD9A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Nummenmaa, Lauri, &amp; Calder, A. J. (2009). Neural mechanisms of social attention. </w:t>
      </w:r>
      <w:r w:rsidRPr="001C025E">
        <w:rPr>
          <w:i/>
          <w:iCs/>
          <w:noProof/>
          <w:lang w:val="en-US"/>
        </w:rPr>
        <w:t>Trends in Cognitive Sciences</w:t>
      </w:r>
      <w:r w:rsidRPr="001C025E">
        <w:rPr>
          <w:noProof/>
          <w:lang w:val="en-US"/>
        </w:rPr>
        <w:t xml:space="preserve">, </w:t>
      </w:r>
      <w:r w:rsidRPr="001C025E">
        <w:rPr>
          <w:i/>
          <w:iCs/>
          <w:noProof/>
          <w:lang w:val="en-US"/>
        </w:rPr>
        <w:t>13</w:t>
      </w:r>
      <w:r w:rsidRPr="001C025E">
        <w:rPr>
          <w:noProof/>
          <w:lang w:val="en-US"/>
        </w:rPr>
        <w:t>(3), 135–143. https://doi.org/10.1016/j.tics.2008.12.006</w:t>
      </w:r>
    </w:p>
    <w:p w14:paraId="20A4997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O’Connor, K., &amp; Robillard, S. (1995). Inference processes in obsessive-compulsive disorder: some clinical observations. </w:t>
      </w:r>
      <w:r w:rsidRPr="001C025E">
        <w:rPr>
          <w:i/>
          <w:iCs/>
          <w:noProof/>
          <w:lang w:val="en-US"/>
        </w:rPr>
        <w:t>Behaviour Research and Therapy</w:t>
      </w:r>
      <w:r w:rsidRPr="001C025E">
        <w:rPr>
          <w:noProof/>
          <w:lang w:val="en-US"/>
        </w:rPr>
        <w:t xml:space="preserve">, </w:t>
      </w:r>
      <w:r w:rsidRPr="001C025E">
        <w:rPr>
          <w:i/>
          <w:iCs/>
          <w:noProof/>
          <w:lang w:val="en-US"/>
        </w:rPr>
        <w:t>33</w:t>
      </w:r>
      <w:r w:rsidRPr="001C025E">
        <w:rPr>
          <w:noProof/>
          <w:lang w:val="en-US"/>
        </w:rPr>
        <w:t>(8), 887–896.</w:t>
      </w:r>
    </w:p>
    <w:p w14:paraId="659F447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Ohlsen, G., van Zoest, W., &amp; van Vugt, M. (2013). Gender and Facial Dominance in Gaze Cuing: Emotional Context Matters in the Eyes That We Follow. </w:t>
      </w:r>
      <w:r w:rsidRPr="001C025E">
        <w:rPr>
          <w:i/>
          <w:iCs/>
          <w:noProof/>
          <w:lang w:val="en-US"/>
        </w:rPr>
        <w:t>PLoS ONE</w:t>
      </w:r>
      <w:r w:rsidRPr="001C025E">
        <w:rPr>
          <w:noProof/>
          <w:lang w:val="en-US"/>
        </w:rPr>
        <w:t xml:space="preserve">, </w:t>
      </w:r>
      <w:r w:rsidRPr="001C025E">
        <w:rPr>
          <w:i/>
          <w:iCs/>
          <w:noProof/>
          <w:lang w:val="en-US"/>
        </w:rPr>
        <w:t>8</w:t>
      </w:r>
      <w:r w:rsidRPr="001C025E">
        <w:rPr>
          <w:noProof/>
          <w:lang w:val="en-US"/>
        </w:rPr>
        <w:t>(4), e59471. https://doi.org/10.1371/journal.pone.0059471</w:t>
      </w:r>
    </w:p>
    <w:p w14:paraId="2A13515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Okumura, Y., Kanakogi, Y., Kanda, T., Ishiguro, H., &amp; Itakura, S. (2013). Infants understand the referential nature of human gaze but not robot gaze. </w:t>
      </w:r>
      <w:r w:rsidRPr="001C025E">
        <w:rPr>
          <w:i/>
          <w:iCs/>
          <w:noProof/>
          <w:lang w:val="en-US"/>
        </w:rPr>
        <w:t>Journal of Experimental Child Psychology</w:t>
      </w:r>
      <w:r w:rsidRPr="001C025E">
        <w:rPr>
          <w:noProof/>
          <w:lang w:val="en-US"/>
        </w:rPr>
        <w:t xml:space="preserve">, </w:t>
      </w:r>
      <w:r w:rsidRPr="001C025E">
        <w:rPr>
          <w:i/>
          <w:iCs/>
          <w:noProof/>
          <w:lang w:val="en-US"/>
        </w:rPr>
        <w:t>116</w:t>
      </w:r>
      <w:r w:rsidRPr="001C025E">
        <w:rPr>
          <w:noProof/>
          <w:lang w:val="en-US"/>
        </w:rPr>
        <w:t>(1), 86–95. https://doi.org/10.1016/j.jecp.2013.02.007</w:t>
      </w:r>
    </w:p>
    <w:p w14:paraId="42245FF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Olafsen, K. S., Ronning, J. A., Kaaresen, P. I., Ulvund, S. E., Handegard, B. H., &amp; Dahl, L. B. (2006). Joint attention in term and preterm infants at 12 months corrected age: the significance of gender and intervention based on a randomized controlled trial. </w:t>
      </w:r>
      <w:r w:rsidRPr="001C025E">
        <w:rPr>
          <w:i/>
          <w:iCs/>
          <w:noProof/>
          <w:lang w:val="en-US"/>
        </w:rPr>
        <w:t>Infant Behavior &amp; Development</w:t>
      </w:r>
      <w:r w:rsidRPr="001C025E">
        <w:rPr>
          <w:noProof/>
          <w:lang w:val="en-US"/>
        </w:rPr>
        <w:t xml:space="preserve">, </w:t>
      </w:r>
      <w:r w:rsidRPr="001C025E">
        <w:rPr>
          <w:i/>
          <w:iCs/>
          <w:noProof/>
          <w:lang w:val="en-US"/>
        </w:rPr>
        <w:t>29</w:t>
      </w:r>
      <w:r w:rsidRPr="001C025E">
        <w:rPr>
          <w:noProof/>
          <w:lang w:val="en-US"/>
        </w:rPr>
        <w:t>(4), 554–563. https://doi.org/10.1016/j.infbeh.2006.07.004</w:t>
      </w:r>
    </w:p>
    <w:p w14:paraId="0881FC5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Olsen, A., Smolentzov, L., &amp; Strandvall, T. (2010). Comparing different eye tracking cues when using theretrospective think aloud method in usability testing. </w:t>
      </w:r>
      <w:r w:rsidRPr="001C025E">
        <w:rPr>
          <w:i/>
          <w:iCs/>
          <w:noProof/>
          <w:lang w:val="en-US"/>
        </w:rPr>
        <w:t>Proceedings of the 2010 British Computer Society Conference on Human-Computer Interaction, BCS-HCI 2010</w:t>
      </w:r>
      <w:r w:rsidRPr="001C025E">
        <w:rPr>
          <w:noProof/>
          <w:lang w:val="en-US"/>
        </w:rPr>
        <w:t xml:space="preserve">, </w:t>
      </w:r>
      <w:r w:rsidRPr="001C025E">
        <w:rPr>
          <w:i/>
          <w:iCs/>
          <w:noProof/>
          <w:lang w:val="en-US"/>
        </w:rPr>
        <w:t>July</w:t>
      </w:r>
      <w:r w:rsidRPr="001C025E">
        <w:rPr>
          <w:noProof/>
          <w:lang w:val="en-US"/>
        </w:rPr>
        <w:t>, 45–53. https://doi.org/10.14236/ewic/HCI2010.8</w:t>
      </w:r>
    </w:p>
    <w:p w14:paraId="7DB97FB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Ostrom, T. M., &amp; Sedikides, C. (1992). Out- group homogeneity effects in natural and minimal groups. </w:t>
      </w:r>
      <w:r w:rsidRPr="001C025E">
        <w:rPr>
          <w:i/>
          <w:iCs/>
          <w:noProof/>
          <w:lang w:val="en-US"/>
        </w:rPr>
        <w:t>Psychological Bulletin</w:t>
      </w:r>
      <w:r w:rsidRPr="001C025E">
        <w:rPr>
          <w:noProof/>
          <w:lang w:val="en-US"/>
        </w:rPr>
        <w:t xml:space="preserve">, </w:t>
      </w:r>
      <w:r w:rsidRPr="001C025E">
        <w:rPr>
          <w:i/>
          <w:iCs/>
          <w:noProof/>
          <w:lang w:val="en-US"/>
        </w:rPr>
        <w:t>112</w:t>
      </w:r>
      <w:r w:rsidRPr="001C025E">
        <w:rPr>
          <w:noProof/>
          <w:lang w:val="en-US"/>
        </w:rPr>
        <w:t>(3), 536–552.</w:t>
      </w:r>
    </w:p>
    <w:p w14:paraId="5066B7C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Ozonoff, S., Rogers, S. J., Farnham, J. M., &amp; Pennington, B. F. (1993). Can standard measures identify subclinical markers of autism? </w:t>
      </w:r>
      <w:r w:rsidRPr="001C025E">
        <w:rPr>
          <w:i/>
          <w:iCs/>
          <w:noProof/>
          <w:lang w:val="en-US"/>
        </w:rPr>
        <w:t>Journal of Autism and Developmental Disorders</w:t>
      </w:r>
      <w:r w:rsidRPr="001C025E">
        <w:rPr>
          <w:noProof/>
          <w:lang w:val="en-US"/>
        </w:rPr>
        <w:t xml:space="preserve">, </w:t>
      </w:r>
      <w:r w:rsidRPr="001C025E">
        <w:rPr>
          <w:i/>
          <w:iCs/>
          <w:noProof/>
          <w:lang w:val="en-US"/>
        </w:rPr>
        <w:t>23</w:t>
      </w:r>
      <w:r w:rsidRPr="001C025E">
        <w:rPr>
          <w:noProof/>
          <w:lang w:val="en-US"/>
        </w:rPr>
        <w:t>(3), 429–441.</w:t>
      </w:r>
    </w:p>
    <w:p w14:paraId="0FA5FF3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Pashler, H., &amp; Harris, C. R. (2001). Spontaneous allocation of visual attention: Dominant role of uniqueness. </w:t>
      </w:r>
      <w:r w:rsidRPr="001C025E">
        <w:rPr>
          <w:i/>
          <w:iCs/>
          <w:noProof/>
          <w:lang w:val="en-US"/>
        </w:rPr>
        <w:t>Psychonomic Bulletin &amp; Review</w:t>
      </w:r>
      <w:r w:rsidRPr="001C025E">
        <w:rPr>
          <w:noProof/>
          <w:lang w:val="en-US"/>
        </w:rPr>
        <w:t xml:space="preserve">, </w:t>
      </w:r>
      <w:r w:rsidRPr="001C025E">
        <w:rPr>
          <w:i/>
          <w:iCs/>
          <w:noProof/>
          <w:lang w:val="en-US"/>
        </w:rPr>
        <w:t>8</w:t>
      </w:r>
      <w:r w:rsidRPr="001C025E">
        <w:rPr>
          <w:noProof/>
          <w:lang w:val="en-US"/>
        </w:rPr>
        <w:t>(4), 747–752. https://doi.org/10.3758/BF03196213</w:t>
      </w:r>
    </w:p>
    <w:p w14:paraId="6E3D200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Paula-Pérez, I. (2013). Differential diagnosis between obsessive compulsive disorder and restrictive and repetitive behavioural patterns, activities and interests in autism spectrum disorders. </w:t>
      </w:r>
      <w:r w:rsidRPr="001C025E">
        <w:rPr>
          <w:i/>
          <w:iCs/>
          <w:noProof/>
          <w:lang w:val="en-US"/>
        </w:rPr>
        <w:t>Revista de Psiquiatría y Salud Mental (English Edition)</w:t>
      </w:r>
      <w:r w:rsidRPr="001C025E">
        <w:rPr>
          <w:noProof/>
          <w:lang w:val="en-US"/>
        </w:rPr>
        <w:t xml:space="preserve">, </w:t>
      </w:r>
      <w:r w:rsidRPr="001C025E">
        <w:rPr>
          <w:i/>
          <w:iCs/>
          <w:noProof/>
          <w:lang w:val="en-US"/>
        </w:rPr>
        <w:t>6</w:t>
      </w:r>
      <w:r w:rsidRPr="001C025E">
        <w:rPr>
          <w:noProof/>
          <w:lang w:val="en-US"/>
        </w:rPr>
        <w:t>(4), 178–186. https://doi.org/https://doi.org/10.1016/j.rpsmen.2012.07.006</w:t>
      </w:r>
    </w:p>
    <w:p w14:paraId="3A034D3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Pavan, G., Dalmaso, M., Galfano, G., &amp; Castelli, L. (2011). Racial Group Membership Is Associated to Gaze-Mediated Orienting in Italy. </w:t>
      </w:r>
      <w:r w:rsidRPr="001C025E">
        <w:rPr>
          <w:i/>
          <w:iCs/>
          <w:noProof/>
          <w:lang w:val="en-US"/>
        </w:rPr>
        <w:t>Plos One</w:t>
      </w:r>
      <w:r w:rsidRPr="001C025E">
        <w:rPr>
          <w:noProof/>
          <w:lang w:val="en-US"/>
        </w:rPr>
        <w:t xml:space="preserve">, </w:t>
      </w:r>
      <w:r w:rsidRPr="001C025E">
        <w:rPr>
          <w:i/>
          <w:iCs/>
          <w:noProof/>
          <w:lang w:val="en-US"/>
        </w:rPr>
        <w:t>6</w:t>
      </w:r>
      <w:r w:rsidRPr="001C025E">
        <w:rPr>
          <w:noProof/>
          <w:lang w:val="en-US"/>
        </w:rPr>
        <w:t>(10). https://doi.org/10.1371/journal.pone.0025608</w:t>
      </w:r>
    </w:p>
    <w:p w14:paraId="2BB7181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Peirce, J. W. (2007). PsychoPy—Psychophysics software in Python. </w:t>
      </w:r>
      <w:r w:rsidRPr="001C025E">
        <w:rPr>
          <w:i/>
          <w:iCs/>
          <w:noProof/>
          <w:lang w:val="en-US"/>
        </w:rPr>
        <w:t>Journal of Neuroscience Methods</w:t>
      </w:r>
      <w:r w:rsidRPr="001C025E">
        <w:rPr>
          <w:noProof/>
          <w:lang w:val="en-US"/>
        </w:rPr>
        <w:t xml:space="preserve">, </w:t>
      </w:r>
      <w:r w:rsidRPr="001C025E">
        <w:rPr>
          <w:i/>
          <w:iCs/>
          <w:noProof/>
          <w:lang w:val="en-US"/>
        </w:rPr>
        <w:t>162</w:t>
      </w:r>
      <w:r w:rsidRPr="001C025E">
        <w:rPr>
          <w:noProof/>
          <w:lang w:val="en-US"/>
        </w:rPr>
        <w:t>(1–2), 8–13. https://doi.org/http://dx.doi.org/10.1016/j.jneumeth.2006.11.017</w:t>
      </w:r>
    </w:p>
    <w:p w14:paraId="2A25138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Pelphrey, K. A., Singerman, J. D., Allison, T., &amp; McCarthy, G. (2003). Brain activation evoked by perception of gaze shifts: the influence of context. </w:t>
      </w:r>
      <w:r w:rsidRPr="001C025E">
        <w:rPr>
          <w:i/>
          <w:iCs/>
          <w:noProof/>
          <w:lang w:val="en-US"/>
        </w:rPr>
        <w:t>Neuropsychologia</w:t>
      </w:r>
      <w:r w:rsidRPr="001C025E">
        <w:rPr>
          <w:noProof/>
          <w:lang w:val="en-US"/>
        </w:rPr>
        <w:t xml:space="preserve">, </w:t>
      </w:r>
      <w:r w:rsidRPr="001C025E">
        <w:rPr>
          <w:i/>
          <w:iCs/>
          <w:noProof/>
          <w:lang w:val="en-US"/>
        </w:rPr>
        <w:t>41</w:t>
      </w:r>
      <w:r w:rsidRPr="001C025E">
        <w:rPr>
          <w:noProof/>
          <w:lang w:val="en-US"/>
        </w:rPr>
        <w:t>(2), 156–170. https://doi.org/10.1016/S0028-3932(02)00146-X</w:t>
      </w:r>
    </w:p>
    <w:p w14:paraId="6B6A4F8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Pennington, D. C. (2000). </w:t>
      </w:r>
      <w:r w:rsidRPr="001C025E">
        <w:rPr>
          <w:i/>
          <w:iCs/>
          <w:noProof/>
          <w:lang w:val="en-US"/>
        </w:rPr>
        <w:t>Social Cognition</w:t>
      </w:r>
      <w:r w:rsidRPr="001C025E">
        <w:rPr>
          <w:noProof/>
          <w:lang w:val="en-US"/>
        </w:rPr>
        <w:t>. Routledge. https://books.google.com.tr/books?id=nV84sNkG2aUC</w:t>
      </w:r>
    </w:p>
    <w:p w14:paraId="687A883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Perrett, D. I., Harris, M. H., Mistlin, A. J., Hietanen, J. K., Benson, P. J., Bevan, R., Thomas, S., Oram, M. W., Ortega, J., &amp; Brierly, K. (1990). </w:t>
      </w:r>
      <w:r w:rsidRPr="001C025E">
        <w:rPr>
          <w:i/>
          <w:iCs/>
          <w:noProof/>
          <w:lang w:val="en-US"/>
        </w:rPr>
        <w:t>Social Signals Analyzed at the Single Cell Level: Someone is Looking at Me, Something Moved!</w:t>
      </w:r>
    </w:p>
    <w:p w14:paraId="3FC8CEF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Perrett, D. I., Lee, K. J., Penton-Voak, I., Rowland, D., Yoshikawa, S., Burt, D. M., Henzi, S. P., Castles, D. L., &amp; Akamatsu, S. (1998). Effects of sexual dimorphism on facial attractiveness. </w:t>
      </w:r>
      <w:r w:rsidRPr="001C025E">
        <w:rPr>
          <w:i/>
          <w:iCs/>
          <w:noProof/>
          <w:lang w:val="en-US"/>
        </w:rPr>
        <w:t>Nature</w:t>
      </w:r>
      <w:r w:rsidRPr="001C025E">
        <w:rPr>
          <w:noProof/>
          <w:lang w:val="en-US"/>
        </w:rPr>
        <w:t xml:space="preserve">, </w:t>
      </w:r>
      <w:r w:rsidRPr="001C025E">
        <w:rPr>
          <w:i/>
          <w:iCs/>
          <w:noProof/>
          <w:lang w:val="en-US"/>
        </w:rPr>
        <w:t>394</w:t>
      </w:r>
      <w:r w:rsidRPr="001C025E">
        <w:rPr>
          <w:noProof/>
          <w:lang w:val="en-US"/>
        </w:rPr>
        <w:t>(6696), 884. https://doi.org/10.1038/29772</w:t>
      </w:r>
    </w:p>
    <w:p w14:paraId="15B7E46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Perrett, D. I., Smith, P. A. J., Mistlin, A. J., Chitty, A. J., Head, A. S., Potter, D. D., </w:t>
      </w:r>
      <w:r w:rsidRPr="001C025E">
        <w:rPr>
          <w:noProof/>
          <w:lang w:val="en-US"/>
        </w:rPr>
        <w:lastRenderedPageBreak/>
        <w:t xml:space="preserve">Broennimann, R., Milner, A. D., &amp; Jeeves, M. A. (1985). Visual analysis of body movements by neurones in the temporal cortex of the macaque monkey: A preliminary report. </w:t>
      </w:r>
      <w:r w:rsidRPr="001C025E">
        <w:rPr>
          <w:i/>
          <w:iCs/>
          <w:noProof/>
          <w:lang w:val="en-US"/>
        </w:rPr>
        <w:t>Behavioural Brain Research</w:t>
      </w:r>
      <w:r w:rsidRPr="001C025E">
        <w:rPr>
          <w:noProof/>
          <w:lang w:val="en-US"/>
        </w:rPr>
        <w:t xml:space="preserve">, </w:t>
      </w:r>
      <w:r w:rsidRPr="001C025E">
        <w:rPr>
          <w:i/>
          <w:iCs/>
          <w:noProof/>
          <w:lang w:val="en-US"/>
        </w:rPr>
        <w:t>16</w:t>
      </w:r>
      <w:r w:rsidRPr="001C025E">
        <w:rPr>
          <w:noProof/>
          <w:lang w:val="en-US"/>
        </w:rPr>
        <w:t>(2–3), 153–170. https://doi.org/10.1016/0166-4328(85)90089-0</w:t>
      </w:r>
    </w:p>
    <w:p w14:paraId="4AC1BF4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Pfeiffer, U. J., Schilbach, L., Jording, M., Timmermans, B., Bente, G., &amp; Vogeley, K. (2012). Eyes on the mind: investigating the influence of gaze dynamics on the perception of others in real-time social interaction. </w:t>
      </w:r>
      <w:r w:rsidRPr="001C025E">
        <w:rPr>
          <w:i/>
          <w:iCs/>
          <w:noProof/>
          <w:lang w:val="en-US"/>
        </w:rPr>
        <w:t>Frontiers in Psychology</w:t>
      </w:r>
      <w:r w:rsidRPr="001C025E">
        <w:rPr>
          <w:noProof/>
          <w:lang w:val="en-US"/>
        </w:rPr>
        <w:t xml:space="preserve">, </w:t>
      </w:r>
      <w:r w:rsidRPr="001C025E">
        <w:rPr>
          <w:i/>
          <w:iCs/>
          <w:noProof/>
          <w:lang w:val="en-US"/>
        </w:rPr>
        <w:t>3</w:t>
      </w:r>
      <w:r w:rsidRPr="001C025E">
        <w:rPr>
          <w:noProof/>
          <w:lang w:val="en-US"/>
        </w:rPr>
        <w:t>. https://doi.org/10.3389/fpsyg.2012.00537</w:t>
      </w:r>
    </w:p>
    <w:p w14:paraId="05D4A0D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Pierno, A., MARI, M., GLOVER, S., GEORGIOU, I., &amp; CASTIELLO, U. (2006). Failure to read motor intentions from gaze in children with autism. </w:t>
      </w:r>
      <w:r w:rsidRPr="001C025E">
        <w:rPr>
          <w:i/>
          <w:iCs/>
          <w:noProof/>
          <w:lang w:val="en-US"/>
        </w:rPr>
        <w:t>Neuropsychologia</w:t>
      </w:r>
      <w:r w:rsidRPr="001C025E">
        <w:rPr>
          <w:noProof/>
          <w:lang w:val="en-US"/>
        </w:rPr>
        <w:t xml:space="preserve">, </w:t>
      </w:r>
      <w:r w:rsidRPr="001C025E">
        <w:rPr>
          <w:i/>
          <w:iCs/>
          <w:noProof/>
          <w:lang w:val="en-US"/>
        </w:rPr>
        <w:t>44</w:t>
      </w:r>
      <w:r w:rsidRPr="001C025E">
        <w:rPr>
          <w:noProof/>
          <w:lang w:val="en-US"/>
        </w:rPr>
        <w:t>(8), 1483–1488. https://doi.org/10.1016/j.neuropsychologia.2005.11.013</w:t>
      </w:r>
    </w:p>
    <w:p w14:paraId="492A8CC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Pletti, C., Dalmaso, M., Sarlo, M., &amp; Galfano, G. (2015). Gaze cuing of attention in snake phobic women: the influence of facial expression. </w:t>
      </w:r>
      <w:r w:rsidRPr="001C025E">
        <w:rPr>
          <w:i/>
          <w:iCs/>
          <w:noProof/>
          <w:lang w:val="en-US"/>
        </w:rPr>
        <w:t>Frontiers In Psychology</w:t>
      </w:r>
      <w:r w:rsidRPr="001C025E">
        <w:rPr>
          <w:noProof/>
          <w:lang w:val="en-US"/>
        </w:rPr>
        <w:t xml:space="preserve">, </w:t>
      </w:r>
      <w:r w:rsidRPr="001C025E">
        <w:rPr>
          <w:i/>
          <w:iCs/>
          <w:noProof/>
          <w:lang w:val="en-US"/>
        </w:rPr>
        <w:t>6</w:t>
      </w:r>
      <w:r w:rsidRPr="001C025E">
        <w:rPr>
          <w:noProof/>
          <w:lang w:val="en-US"/>
        </w:rPr>
        <w:t>. https://doi.org/10.3389/fpsyg.2015.00454</w:t>
      </w:r>
    </w:p>
    <w:p w14:paraId="00687FA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Ponari, M., Trojano, L., Grossi, D., &amp; Conson, M. (2013). “Avoiding or approaching eyes”? Introversion/extraversion affects the gaze- cueing effect. </w:t>
      </w:r>
      <w:r w:rsidRPr="001C025E">
        <w:rPr>
          <w:i/>
          <w:iCs/>
          <w:noProof/>
          <w:lang w:val="en-US"/>
        </w:rPr>
        <w:t>Cogn Process</w:t>
      </w:r>
      <w:r w:rsidRPr="001C025E">
        <w:rPr>
          <w:noProof/>
          <w:lang w:val="en-US"/>
        </w:rPr>
        <w:t xml:space="preserve">, </w:t>
      </w:r>
      <w:r w:rsidRPr="001C025E">
        <w:rPr>
          <w:i/>
          <w:iCs/>
          <w:noProof/>
          <w:lang w:val="en-US"/>
        </w:rPr>
        <w:t>14</w:t>
      </w:r>
      <w:r w:rsidRPr="001C025E">
        <w:rPr>
          <w:noProof/>
          <w:lang w:val="en-US"/>
        </w:rPr>
        <w:t>(3), 293–299. https://doi.org/10.1007/s10339-013-0559-z</w:t>
      </w:r>
    </w:p>
    <w:p w14:paraId="43F4C6D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Porciello, G., Holmes, B. S., Liuzza, M. T., Crostella, F., Aglioti, S. M., &amp; Bufalari, I. (2014). Interpersonal Multisensory Stimulation reduces the overwhelming distracting power of self-gaze: psychophysical evidence for “engazement.” </w:t>
      </w:r>
      <w:r w:rsidRPr="001C025E">
        <w:rPr>
          <w:i/>
          <w:iCs/>
          <w:noProof/>
          <w:lang w:val="en-US"/>
        </w:rPr>
        <w:t>Scientific Reports</w:t>
      </w:r>
      <w:r w:rsidRPr="001C025E">
        <w:rPr>
          <w:noProof/>
          <w:lang w:val="en-US"/>
        </w:rPr>
        <w:t xml:space="preserve">, </w:t>
      </w:r>
      <w:r w:rsidRPr="001C025E">
        <w:rPr>
          <w:i/>
          <w:iCs/>
          <w:noProof/>
          <w:lang w:val="en-US"/>
        </w:rPr>
        <w:t>4</w:t>
      </w:r>
      <w:r w:rsidRPr="001C025E">
        <w:rPr>
          <w:noProof/>
          <w:lang w:val="en-US"/>
        </w:rPr>
        <w:t>(6669), 1–7. https://doi.org/10.1038/srep06669</w:t>
      </w:r>
    </w:p>
    <w:p w14:paraId="207DC66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Porciello, G., Liuzza, M., Minio-Paluello, I., Caprara, G., &amp; Aglioti, S. (2016). Fortunes and misfortunes of political leaders reflected in the eyes of their electors. </w:t>
      </w:r>
      <w:r w:rsidRPr="001C025E">
        <w:rPr>
          <w:i/>
          <w:iCs/>
          <w:noProof/>
          <w:lang w:val="en-US"/>
        </w:rPr>
        <w:t>Exp Brain Res</w:t>
      </w:r>
      <w:r w:rsidRPr="001C025E">
        <w:rPr>
          <w:noProof/>
          <w:lang w:val="en-US"/>
        </w:rPr>
        <w:t xml:space="preserve">, </w:t>
      </w:r>
      <w:r w:rsidRPr="001C025E">
        <w:rPr>
          <w:i/>
          <w:iCs/>
          <w:noProof/>
          <w:lang w:val="en-US"/>
        </w:rPr>
        <w:t>234</w:t>
      </w:r>
      <w:r w:rsidRPr="001C025E">
        <w:rPr>
          <w:noProof/>
          <w:lang w:val="en-US"/>
        </w:rPr>
        <w:t>(3), 733–740. https://doi.org/10.1007/s00221-015-4496-1</w:t>
      </w:r>
    </w:p>
    <w:p w14:paraId="1432506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Posner, M. I. (1980). Orienting of attention. </w:t>
      </w:r>
      <w:r w:rsidRPr="001C025E">
        <w:rPr>
          <w:i/>
          <w:iCs/>
          <w:noProof/>
          <w:lang w:val="en-US"/>
        </w:rPr>
        <w:t>Quarterly Journal of Experimental Psychology</w:t>
      </w:r>
      <w:r w:rsidRPr="001C025E">
        <w:rPr>
          <w:noProof/>
          <w:lang w:val="en-US"/>
        </w:rPr>
        <w:t xml:space="preserve">, </w:t>
      </w:r>
      <w:r w:rsidRPr="001C025E">
        <w:rPr>
          <w:i/>
          <w:iCs/>
          <w:noProof/>
          <w:lang w:val="en-US"/>
        </w:rPr>
        <w:t>32</w:t>
      </w:r>
      <w:r w:rsidRPr="001C025E">
        <w:rPr>
          <w:noProof/>
          <w:lang w:val="en-US"/>
        </w:rPr>
        <w:t>(1), 3–25. https://doi.org/10.1080/00335558008248231</w:t>
      </w:r>
    </w:p>
    <w:p w14:paraId="6942CB6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Posner, M. I. (2014). Orienting of attention: Then and now. </w:t>
      </w:r>
      <w:r w:rsidRPr="001C025E">
        <w:rPr>
          <w:i/>
          <w:iCs/>
          <w:noProof/>
          <w:lang w:val="en-US"/>
        </w:rPr>
        <w:t>Quarterly Journal of Experimental Psychology (2006)</w:t>
      </w:r>
      <w:r w:rsidRPr="001C025E">
        <w:rPr>
          <w:noProof/>
          <w:lang w:val="en-US"/>
        </w:rPr>
        <w:t xml:space="preserve">, </w:t>
      </w:r>
      <w:r w:rsidRPr="001C025E">
        <w:rPr>
          <w:i/>
          <w:iCs/>
          <w:noProof/>
          <w:lang w:val="en-US"/>
        </w:rPr>
        <w:t>0218</w:t>
      </w:r>
      <w:r w:rsidRPr="001C025E">
        <w:rPr>
          <w:noProof/>
          <w:lang w:val="en-US"/>
        </w:rPr>
        <w:t>(September), 1–12. https://doi.org/10.1080/17470218.2014.937446</w:t>
      </w:r>
    </w:p>
    <w:p w14:paraId="42829F7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Posner, M. I., &amp; Petersen, S. E. (1990). The Attention System of the Human Brain. </w:t>
      </w:r>
      <w:r w:rsidRPr="001C025E">
        <w:rPr>
          <w:i/>
          <w:iCs/>
          <w:noProof/>
          <w:lang w:val="en-US"/>
        </w:rPr>
        <w:t>Annual Review of Neuroscience</w:t>
      </w:r>
      <w:r w:rsidRPr="001C025E">
        <w:rPr>
          <w:noProof/>
          <w:lang w:val="en-US"/>
        </w:rPr>
        <w:t xml:space="preserve">, </w:t>
      </w:r>
      <w:r w:rsidRPr="001C025E">
        <w:rPr>
          <w:i/>
          <w:iCs/>
          <w:noProof/>
          <w:lang w:val="en-US"/>
        </w:rPr>
        <w:t>13</w:t>
      </w:r>
      <w:r w:rsidRPr="001C025E">
        <w:rPr>
          <w:noProof/>
          <w:lang w:val="en-US"/>
        </w:rPr>
        <w:t>(1), 25–42. https://doi.org/10.1146/annurev.ne.13.030190.000325</w:t>
      </w:r>
    </w:p>
    <w:p w14:paraId="282C58A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Posner, M. I., Rafal, R. D., Choate, L. S., &amp; Vaughan, J. (1985). Inhibition of return: Neural basis and function. In </w:t>
      </w:r>
      <w:r w:rsidRPr="001C025E">
        <w:rPr>
          <w:i/>
          <w:iCs/>
          <w:noProof/>
          <w:lang w:val="en-US"/>
        </w:rPr>
        <w:t>Cognitive Neuropsychology</w:t>
      </w:r>
      <w:r w:rsidRPr="001C025E">
        <w:rPr>
          <w:noProof/>
          <w:lang w:val="en-US"/>
        </w:rPr>
        <w:t xml:space="preserve"> (Vol. 2, Issue 3, pp. 211–228). Taylor &amp; Francis. https://doi.org/10.1080/02643298508252866</w:t>
      </w:r>
    </w:p>
    <w:p w14:paraId="48527A0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Posner, M., Walker, J., Friedrich, F., &amp; Rafal, R. (1984). Effects of parietal injury on covert orienting of attention. </w:t>
      </w:r>
      <w:r w:rsidRPr="001C025E">
        <w:rPr>
          <w:i/>
          <w:iCs/>
          <w:noProof/>
          <w:lang w:val="en-US"/>
        </w:rPr>
        <w:t>The Journal of Neuroscience</w:t>
      </w:r>
      <w:r w:rsidRPr="001C025E">
        <w:rPr>
          <w:noProof/>
          <w:lang w:val="en-US"/>
        </w:rPr>
        <w:t xml:space="preserve">, </w:t>
      </w:r>
      <w:r w:rsidRPr="001C025E">
        <w:rPr>
          <w:i/>
          <w:iCs/>
          <w:noProof/>
          <w:lang w:val="en-US"/>
        </w:rPr>
        <w:t>4</w:t>
      </w:r>
      <w:r w:rsidRPr="001C025E">
        <w:rPr>
          <w:noProof/>
          <w:lang w:val="en-US"/>
        </w:rPr>
        <w:t>(7), 1863–1874. https://doi.org/10.1523/JNEUROSCI.04-07-01863.1984</w:t>
      </w:r>
    </w:p>
    <w:p w14:paraId="1F212E1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Pratt, J., &amp; Hommel, B. (2003). Symbolic Control of Visual Attention: The Role of Working Memory and Attentional Control Settings. </w:t>
      </w:r>
      <w:r w:rsidRPr="001C025E">
        <w:rPr>
          <w:i/>
          <w:iCs/>
          <w:noProof/>
          <w:lang w:val="en-US"/>
        </w:rPr>
        <w:t>Journal of Experimental Psychology: Human Perception and Performance</w:t>
      </w:r>
      <w:r w:rsidRPr="001C025E">
        <w:rPr>
          <w:noProof/>
          <w:lang w:val="en-US"/>
        </w:rPr>
        <w:t xml:space="preserve">, </w:t>
      </w:r>
      <w:r w:rsidRPr="001C025E">
        <w:rPr>
          <w:i/>
          <w:iCs/>
          <w:noProof/>
          <w:lang w:val="en-US"/>
        </w:rPr>
        <w:t>29</w:t>
      </w:r>
      <w:r w:rsidRPr="001C025E">
        <w:rPr>
          <w:noProof/>
          <w:lang w:val="en-US"/>
        </w:rPr>
        <w:t>(5), 835–845. https://doi.org/10.1037/0096-1523.29.5.835</w:t>
      </w:r>
    </w:p>
    <w:p w14:paraId="56F1513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Puurtinen, M., &amp; Mappes, T. (2009). Between-group competition and human cooperation. </w:t>
      </w:r>
      <w:r w:rsidRPr="001C025E">
        <w:rPr>
          <w:i/>
          <w:iCs/>
          <w:noProof/>
          <w:lang w:val="en-US"/>
        </w:rPr>
        <w:t>Proceedings of the Royal Society B: Biological Sciences</w:t>
      </w:r>
      <w:r w:rsidRPr="001C025E">
        <w:rPr>
          <w:noProof/>
          <w:lang w:val="en-US"/>
        </w:rPr>
        <w:t xml:space="preserve">, </w:t>
      </w:r>
      <w:r w:rsidRPr="001C025E">
        <w:rPr>
          <w:i/>
          <w:iCs/>
          <w:noProof/>
          <w:lang w:val="en-US"/>
        </w:rPr>
        <w:t>276</w:t>
      </w:r>
      <w:r w:rsidRPr="001C025E">
        <w:rPr>
          <w:noProof/>
          <w:lang w:val="en-US"/>
        </w:rPr>
        <w:t>(1655), 355–360. https://doi.org/10.1098/rspb.2008.1060</w:t>
      </w:r>
    </w:p>
    <w:p w14:paraId="02C57B4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Ratcliff, N. J., Hugenberg, K., Shriver, E. R., &amp; Bernstein, M. J. (2011). The Allure of Status: High-Status Targets Are Privileged in Face Processing and Memory. </w:t>
      </w:r>
      <w:r w:rsidRPr="001C025E">
        <w:rPr>
          <w:i/>
          <w:iCs/>
          <w:noProof/>
          <w:lang w:val="en-US"/>
        </w:rPr>
        <w:t>Personality and Social Psychology Bulletin</w:t>
      </w:r>
      <w:r w:rsidRPr="001C025E">
        <w:rPr>
          <w:noProof/>
          <w:lang w:val="en-US"/>
        </w:rPr>
        <w:t xml:space="preserve">, </w:t>
      </w:r>
      <w:r w:rsidRPr="001C025E">
        <w:rPr>
          <w:i/>
          <w:iCs/>
          <w:noProof/>
          <w:lang w:val="en-US"/>
        </w:rPr>
        <w:t>37</w:t>
      </w:r>
      <w:r w:rsidRPr="001C025E">
        <w:rPr>
          <w:noProof/>
          <w:lang w:val="en-US"/>
        </w:rPr>
        <w:t>(8), 1003–1015. https://doi.org/10.1177/0146167211407210</w:t>
      </w:r>
    </w:p>
    <w:p w14:paraId="6D182E6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Redcay, E., Dodell-Feder, D., Pearrow, M. J., Mavros, P. L., Kleiner, M., Gabrieli, J. D. E., &amp; Saxe, R. (2010). Live face-to-face interaction during fMRI: A new tool for social cognitive neuroscience. </w:t>
      </w:r>
      <w:r w:rsidRPr="001C025E">
        <w:rPr>
          <w:i/>
          <w:iCs/>
          <w:noProof/>
          <w:lang w:val="en-US"/>
        </w:rPr>
        <w:t>NeuroImage</w:t>
      </w:r>
      <w:r w:rsidRPr="001C025E">
        <w:rPr>
          <w:noProof/>
          <w:lang w:val="en-US"/>
        </w:rPr>
        <w:t xml:space="preserve">, </w:t>
      </w:r>
      <w:r w:rsidRPr="001C025E">
        <w:rPr>
          <w:i/>
          <w:iCs/>
          <w:noProof/>
          <w:lang w:val="en-US"/>
        </w:rPr>
        <w:t>50</w:t>
      </w:r>
      <w:r w:rsidRPr="001C025E">
        <w:rPr>
          <w:noProof/>
          <w:lang w:val="en-US"/>
        </w:rPr>
        <w:t>(4), 1639–1647. https://doi.org/10.1016/j.neuroimage.2010.01.052</w:t>
      </w:r>
    </w:p>
    <w:p w14:paraId="53B857A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Risko, E. F., &amp; Kingstone, A. (2011). Eyes wide shut: implied social presence, eye tracking and attention. </w:t>
      </w:r>
      <w:r w:rsidRPr="001C025E">
        <w:rPr>
          <w:i/>
          <w:iCs/>
          <w:noProof/>
          <w:lang w:val="en-US"/>
        </w:rPr>
        <w:t>Attention, Perception, &amp; Psychophysics</w:t>
      </w:r>
      <w:r w:rsidRPr="001C025E">
        <w:rPr>
          <w:noProof/>
          <w:lang w:val="en-US"/>
        </w:rPr>
        <w:t xml:space="preserve">, </w:t>
      </w:r>
      <w:r w:rsidRPr="001C025E">
        <w:rPr>
          <w:i/>
          <w:iCs/>
          <w:noProof/>
          <w:lang w:val="en-US"/>
        </w:rPr>
        <w:t>73</w:t>
      </w:r>
      <w:r w:rsidRPr="001C025E">
        <w:rPr>
          <w:noProof/>
          <w:lang w:val="en-US"/>
        </w:rPr>
        <w:t>(2), 291–296. https://doi.org/10.3758/s13414-010-0042-1</w:t>
      </w:r>
    </w:p>
    <w:p w14:paraId="6207310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Risko, E. F., Laidlaw, K., Freeth, M., Foulsham, T., &amp; Kingstone, A. (2012). Social attention with real versus reel stimuli: toward an empirical approach to concerns about </w:t>
      </w:r>
      <w:r w:rsidRPr="001C025E">
        <w:rPr>
          <w:noProof/>
          <w:lang w:val="en-US"/>
        </w:rPr>
        <w:lastRenderedPageBreak/>
        <w:t xml:space="preserve">ecological validity. </w:t>
      </w:r>
      <w:r w:rsidRPr="001C025E">
        <w:rPr>
          <w:i/>
          <w:iCs/>
          <w:noProof/>
          <w:lang w:val="en-US"/>
        </w:rPr>
        <w:t>Frontiers in Human Neuroscience</w:t>
      </w:r>
      <w:r w:rsidRPr="001C025E">
        <w:rPr>
          <w:noProof/>
          <w:lang w:val="en-US"/>
        </w:rPr>
        <w:t xml:space="preserve">, </w:t>
      </w:r>
      <w:r w:rsidRPr="001C025E">
        <w:rPr>
          <w:i/>
          <w:iCs/>
          <w:noProof/>
          <w:lang w:val="en-US"/>
        </w:rPr>
        <w:t>6</w:t>
      </w:r>
      <w:r w:rsidRPr="001C025E">
        <w:rPr>
          <w:noProof/>
          <w:lang w:val="en-US"/>
        </w:rPr>
        <w:t>, 143. https://doi.org/10.3389/fnhum.2012.00143</w:t>
      </w:r>
    </w:p>
    <w:p w14:paraId="48F0BC7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Risko, E. F., Richardson, D. C., &amp; Kingstone, A. (2016). Breaking the Fourth Wall of Cognitive Science. </w:t>
      </w:r>
      <w:r w:rsidRPr="001C025E">
        <w:rPr>
          <w:i/>
          <w:iCs/>
          <w:noProof/>
          <w:lang w:val="en-US"/>
        </w:rPr>
        <w:t>Current Directions in Psychological Science</w:t>
      </w:r>
      <w:r w:rsidRPr="001C025E">
        <w:rPr>
          <w:noProof/>
          <w:lang w:val="en-US"/>
        </w:rPr>
        <w:t xml:space="preserve">, </w:t>
      </w:r>
      <w:r w:rsidRPr="001C025E">
        <w:rPr>
          <w:i/>
          <w:iCs/>
          <w:noProof/>
          <w:lang w:val="en-US"/>
        </w:rPr>
        <w:t>25</w:t>
      </w:r>
      <w:r w:rsidRPr="001C025E">
        <w:rPr>
          <w:noProof/>
          <w:lang w:val="en-US"/>
        </w:rPr>
        <w:t>(1), 70–74. https://doi.org/10.1177/0963721415617806</w:t>
      </w:r>
    </w:p>
    <w:p w14:paraId="567A58A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Ristic, J, Friesen, C. K., &amp; Kingstone, A. (2002). Are eyes special? It depends on how you look at it. </w:t>
      </w:r>
      <w:r w:rsidRPr="001C025E">
        <w:rPr>
          <w:i/>
          <w:iCs/>
          <w:noProof/>
          <w:lang w:val="en-US"/>
        </w:rPr>
        <w:t>Psychonomic Bulletin &amp; Review</w:t>
      </w:r>
      <w:r w:rsidRPr="001C025E">
        <w:rPr>
          <w:noProof/>
          <w:lang w:val="en-US"/>
        </w:rPr>
        <w:t xml:space="preserve">, </w:t>
      </w:r>
      <w:r w:rsidRPr="001C025E">
        <w:rPr>
          <w:i/>
          <w:iCs/>
          <w:noProof/>
          <w:lang w:val="en-US"/>
        </w:rPr>
        <w:t>9</w:t>
      </w:r>
      <w:r w:rsidRPr="001C025E">
        <w:rPr>
          <w:noProof/>
          <w:lang w:val="en-US"/>
        </w:rPr>
        <w:t>(3), 507–513. https://doi.org/10.3758/bf03196306</w:t>
      </w:r>
    </w:p>
    <w:p w14:paraId="2EA6CB9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Ristic, Jelena, &amp; Kingstone, A. (2005). Taking control of reflexive social attention. </w:t>
      </w:r>
      <w:r w:rsidRPr="001C025E">
        <w:rPr>
          <w:i/>
          <w:iCs/>
          <w:noProof/>
          <w:lang w:val="en-US"/>
        </w:rPr>
        <w:t>Cognition</w:t>
      </w:r>
      <w:r w:rsidRPr="001C025E">
        <w:rPr>
          <w:noProof/>
          <w:lang w:val="en-US"/>
        </w:rPr>
        <w:t xml:space="preserve">, </w:t>
      </w:r>
      <w:r w:rsidRPr="001C025E">
        <w:rPr>
          <w:i/>
          <w:iCs/>
          <w:noProof/>
          <w:lang w:val="en-US"/>
        </w:rPr>
        <w:t>94</w:t>
      </w:r>
      <w:r w:rsidRPr="001C025E">
        <w:rPr>
          <w:noProof/>
          <w:lang w:val="en-US"/>
        </w:rPr>
        <w:t>(3), B55–B65. https://doi.org/10.1016/j.cognition.2004.04.005</w:t>
      </w:r>
    </w:p>
    <w:p w14:paraId="4FDD350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Ristic, Jelena, &amp; Kingstone, A. (2012). A new form of human spatial attention: Automated symbolic orienting. </w:t>
      </w:r>
      <w:r w:rsidRPr="001C025E">
        <w:rPr>
          <w:i/>
          <w:iCs/>
          <w:noProof/>
          <w:lang w:val="en-US"/>
        </w:rPr>
        <w:t>Visual Cognition</w:t>
      </w:r>
      <w:r w:rsidRPr="001C025E">
        <w:rPr>
          <w:noProof/>
          <w:lang w:val="en-US"/>
        </w:rPr>
        <w:t xml:space="preserve">, </w:t>
      </w:r>
      <w:r w:rsidRPr="001C025E">
        <w:rPr>
          <w:i/>
          <w:iCs/>
          <w:noProof/>
          <w:lang w:val="en-US"/>
        </w:rPr>
        <w:t>20</w:t>
      </w:r>
      <w:r w:rsidRPr="001C025E">
        <w:rPr>
          <w:noProof/>
          <w:lang w:val="en-US"/>
        </w:rPr>
        <w:t>(3), 244–264. https://doi.org/10.1080/13506285.2012.658101</w:t>
      </w:r>
    </w:p>
    <w:p w14:paraId="7448FB5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Ronay, R., Greenaway, K., Anicich, E. M., &amp; Galinsky, A. D. (2012). The Path to Glory Is Paved With Hierarchy. </w:t>
      </w:r>
      <w:r w:rsidRPr="001C025E">
        <w:rPr>
          <w:i/>
          <w:iCs/>
          <w:noProof/>
          <w:lang w:val="en-US"/>
        </w:rPr>
        <w:t>Psychological Science</w:t>
      </w:r>
      <w:r w:rsidRPr="001C025E">
        <w:rPr>
          <w:noProof/>
          <w:lang w:val="en-US"/>
        </w:rPr>
        <w:t xml:space="preserve">, </w:t>
      </w:r>
      <w:r w:rsidRPr="001C025E">
        <w:rPr>
          <w:i/>
          <w:iCs/>
          <w:noProof/>
          <w:lang w:val="en-US"/>
        </w:rPr>
        <w:t>23</w:t>
      </w:r>
      <w:r w:rsidRPr="001C025E">
        <w:rPr>
          <w:noProof/>
          <w:lang w:val="en-US"/>
        </w:rPr>
        <w:t>(6), 669–677. https://doi.org/10.1177/0956797611433876</w:t>
      </w:r>
    </w:p>
    <w:p w14:paraId="2EDF9E6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Rozzi, S., &amp; Fogassi, L. (2017). Neural Coding for Action Execution and Action Observation in the Prefrontal Cortex and Its Role in the Organization of Socially Driven Behavior. </w:t>
      </w:r>
      <w:r w:rsidRPr="001C025E">
        <w:rPr>
          <w:i/>
          <w:iCs/>
          <w:noProof/>
          <w:lang w:val="en-US"/>
        </w:rPr>
        <w:t>Frontiers in Neuroscience</w:t>
      </w:r>
      <w:r w:rsidRPr="001C025E">
        <w:rPr>
          <w:noProof/>
          <w:lang w:val="en-US"/>
        </w:rPr>
        <w:t xml:space="preserve">, </w:t>
      </w:r>
      <w:r w:rsidRPr="001C025E">
        <w:rPr>
          <w:i/>
          <w:iCs/>
          <w:noProof/>
          <w:lang w:val="en-US"/>
        </w:rPr>
        <w:t>11</w:t>
      </w:r>
      <w:r w:rsidRPr="001C025E">
        <w:rPr>
          <w:noProof/>
          <w:lang w:val="en-US"/>
        </w:rPr>
        <w:t>(SEP), 1–9. https://doi.org/10.3389/fnins.2017.00492</w:t>
      </w:r>
    </w:p>
    <w:p w14:paraId="53CCFF9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Ruzich, E., Allison, C., Smith, P., Watson, P., Auyeung, B., Ring, H., &amp; Baron-Cohen, S. (2015). Measuring autistic traits in the general population: a systematic review of the Autism-Spectrum Quotient (AQ) in a nonclinical population sample of 6,900 typical adult males and females. </w:t>
      </w:r>
      <w:r w:rsidRPr="001C025E">
        <w:rPr>
          <w:i/>
          <w:iCs/>
          <w:noProof/>
          <w:lang w:val="en-US"/>
        </w:rPr>
        <w:t>Molecular Autism</w:t>
      </w:r>
      <w:r w:rsidRPr="001C025E">
        <w:rPr>
          <w:noProof/>
          <w:lang w:val="en-US"/>
        </w:rPr>
        <w:t xml:space="preserve">, </w:t>
      </w:r>
      <w:r w:rsidRPr="001C025E">
        <w:rPr>
          <w:i/>
          <w:iCs/>
          <w:noProof/>
          <w:lang w:val="en-US"/>
        </w:rPr>
        <w:t>6</w:t>
      </w:r>
      <w:r w:rsidRPr="001C025E">
        <w:rPr>
          <w:noProof/>
          <w:lang w:val="en-US"/>
        </w:rPr>
        <w:t>(1), 2. https://doi.org/10.1186/2040-2392-6-2</w:t>
      </w:r>
    </w:p>
    <w:p w14:paraId="7A75BE0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Sato, W., Kochiyama, T., Uono, S., &amp; Yoshikawa, S. (2009). Commonalities in the neural mechanisms underlying automatic attentional shifts by gaze, gestures, and symbols. </w:t>
      </w:r>
      <w:r w:rsidRPr="001C025E">
        <w:rPr>
          <w:i/>
          <w:iCs/>
          <w:noProof/>
          <w:lang w:val="en-US"/>
        </w:rPr>
        <w:t>NeuroImage</w:t>
      </w:r>
      <w:r w:rsidRPr="001C025E">
        <w:rPr>
          <w:noProof/>
          <w:lang w:val="en-US"/>
        </w:rPr>
        <w:t xml:space="preserve">, </w:t>
      </w:r>
      <w:r w:rsidRPr="001C025E">
        <w:rPr>
          <w:i/>
          <w:iCs/>
          <w:noProof/>
          <w:lang w:val="en-US"/>
        </w:rPr>
        <w:t>45</w:t>
      </w:r>
      <w:r w:rsidRPr="001C025E">
        <w:rPr>
          <w:noProof/>
          <w:lang w:val="en-US"/>
        </w:rPr>
        <w:t>(3), 984–992. https://doi.org/10.1016/j.neuroimage.2008.12.052</w:t>
      </w:r>
    </w:p>
    <w:p w14:paraId="12074C7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Seymour, K., Rhodes, G., McGuire, J., Williams, N., Jeffery, L., &amp; Langdon, R. (2017). Assessing early processing of eye gaze in schizophrenia: measuring the cone of direct gaze and reflexive orienting of attention. </w:t>
      </w:r>
      <w:r w:rsidRPr="001C025E">
        <w:rPr>
          <w:i/>
          <w:iCs/>
          <w:noProof/>
          <w:lang w:val="en-US"/>
        </w:rPr>
        <w:t>Cognitive Neuropsychiatry</w:t>
      </w:r>
      <w:r w:rsidRPr="001C025E">
        <w:rPr>
          <w:noProof/>
          <w:lang w:val="en-US"/>
        </w:rPr>
        <w:t xml:space="preserve">, </w:t>
      </w:r>
      <w:r w:rsidRPr="001C025E">
        <w:rPr>
          <w:i/>
          <w:iCs/>
          <w:noProof/>
          <w:lang w:val="en-US"/>
        </w:rPr>
        <w:t>0</w:t>
      </w:r>
      <w:r w:rsidRPr="001C025E">
        <w:rPr>
          <w:noProof/>
          <w:lang w:val="en-US"/>
        </w:rPr>
        <w:t>(0), 1–15. https://doi.org/10.1080/13546805.2017.1285755</w:t>
      </w:r>
    </w:p>
    <w:p w14:paraId="3D0E115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Shepherd, S V, Deaner, R. O., &amp; Platt, M. L. (2006). Social status gates social attention in monkeys. </w:t>
      </w:r>
      <w:r w:rsidRPr="001C025E">
        <w:rPr>
          <w:i/>
          <w:iCs/>
          <w:noProof/>
          <w:lang w:val="en-US"/>
        </w:rPr>
        <w:t>Current Biology</w:t>
      </w:r>
      <w:r w:rsidRPr="001C025E">
        <w:rPr>
          <w:noProof/>
          <w:lang w:val="en-US"/>
        </w:rPr>
        <w:t xml:space="preserve">, </w:t>
      </w:r>
      <w:r w:rsidRPr="001C025E">
        <w:rPr>
          <w:i/>
          <w:iCs/>
          <w:noProof/>
          <w:lang w:val="en-US"/>
        </w:rPr>
        <w:t>16</w:t>
      </w:r>
      <w:r w:rsidRPr="001C025E">
        <w:rPr>
          <w:noProof/>
          <w:lang w:val="en-US"/>
        </w:rPr>
        <w:t>(4), R119–R120. https://doi.org/10.1016/j.cub.2006.02.013</w:t>
      </w:r>
    </w:p>
    <w:p w14:paraId="5FBBAD0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Shepherd, Stephen V. (2010). Following gaze: Gaze- following behavior as a window into social cognition. </w:t>
      </w:r>
      <w:r w:rsidRPr="001C025E">
        <w:rPr>
          <w:i/>
          <w:iCs/>
          <w:noProof/>
          <w:lang w:val="en-US"/>
        </w:rPr>
        <w:t>Frontiers in Integrative Neuroscience</w:t>
      </w:r>
      <w:r w:rsidRPr="001C025E">
        <w:rPr>
          <w:noProof/>
          <w:lang w:val="en-US"/>
        </w:rPr>
        <w:t xml:space="preserve">, </w:t>
      </w:r>
      <w:r w:rsidRPr="001C025E">
        <w:rPr>
          <w:i/>
          <w:iCs/>
          <w:noProof/>
          <w:lang w:val="en-US"/>
        </w:rPr>
        <w:t>2010</w:t>
      </w:r>
      <w:r w:rsidRPr="001C025E">
        <w:rPr>
          <w:noProof/>
          <w:lang w:val="en-US"/>
        </w:rPr>
        <w:t>. https://doi.org/10.3389/fnint.2010.00005</w:t>
      </w:r>
    </w:p>
    <w:p w14:paraId="3DE942B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Sidanius, J., &amp; Pratto, F. (1999). Social Dominance. In </w:t>
      </w:r>
      <w:r w:rsidRPr="001C025E">
        <w:rPr>
          <w:i/>
          <w:iCs/>
          <w:noProof/>
          <w:lang w:val="en-US"/>
        </w:rPr>
        <w:t>Social dominance: An intergroup theory of social hierarchy and oppression.</w:t>
      </w:r>
      <w:r w:rsidRPr="001C025E">
        <w:rPr>
          <w:noProof/>
          <w:lang w:val="en-US"/>
        </w:rPr>
        <w:t xml:space="preserve"> Cambridge University Press. https://doi.org/10.1017/CBO9781139175043</w:t>
      </w:r>
    </w:p>
    <w:p w14:paraId="38B0BB7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Slessor, G., Finnerty, A., Papp, J., Smith, D. T., &amp; Martin, D. (2019). Gaze-cueing and endogenous attention operate in parallel. </w:t>
      </w:r>
      <w:r w:rsidRPr="001C025E">
        <w:rPr>
          <w:i/>
          <w:iCs/>
          <w:noProof/>
          <w:lang w:val="en-US"/>
        </w:rPr>
        <w:t>Acta Psychologica</w:t>
      </w:r>
      <w:r w:rsidRPr="001C025E">
        <w:rPr>
          <w:noProof/>
          <w:lang w:val="en-US"/>
        </w:rPr>
        <w:t xml:space="preserve">, </w:t>
      </w:r>
      <w:r w:rsidRPr="001C025E">
        <w:rPr>
          <w:i/>
          <w:iCs/>
          <w:noProof/>
          <w:lang w:val="en-US"/>
        </w:rPr>
        <w:t>192</w:t>
      </w:r>
      <w:r w:rsidRPr="001C025E">
        <w:rPr>
          <w:noProof/>
          <w:lang w:val="en-US"/>
        </w:rPr>
        <w:t>(May 2018), 172–180. https://doi.org/10.1016/j.actpsy.2018.11.006</w:t>
      </w:r>
    </w:p>
    <w:p w14:paraId="6F14E0C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Slessor, G., Laird, G., Phillips, L. H., Bull, R., &amp; Filippou, D. (2010). Age-related differences in gaze following: does the age of the face matter? </w:t>
      </w:r>
      <w:r w:rsidRPr="001C025E">
        <w:rPr>
          <w:i/>
          <w:iCs/>
          <w:noProof/>
          <w:lang w:val="en-US"/>
        </w:rPr>
        <w:t>J GERONTOL B-PSYCHOL</w:t>
      </w:r>
      <w:r w:rsidRPr="001C025E">
        <w:rPr>
          <w:noProof/>
          <w:lang w:val="en-US"/>
        </w:rPr>
        <w:t xml:space="preserve">, </w:t>
      </w:r>
      <w:r w:rsidRPr="001C025E">
        <w:rPr>
          <w:i/>
          <w:iCs/>
          <w:noProof/>
          <w:lang w:val="en-US"/>
        </w:rPr>
        <w:t>65</w:t>
      </w:r>
      <w:r w:rsidRPr="001C025E">
        <w:rPr>
          <w:noProof/>
          <w:lang w:val="en-US"/>
        </w:rPr>
        <w:t>(5), 536–541. https://doi.org/10.1093/geronb/gbq038</w:t>
      </w:r>
    </w:p>
    <w:p w14:paraId="0EFF371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Slessor, G., Phillips, L. H., &amp; Bull, R. (2008). Age-related declines in basic social perception: evidence from tasks assessing eye-gaze processing. </w:t>
      </w:r>
      <w:r w:rsidRPr="001C025E">
        <w:rPr>
          <w:i/>
          <w:iCs/>
          <w:noProof/>
          <w:lang w:val="en-US"/>
        </w:rPr>
        <w:t>PSYCHOL AGING</w:t>
      </w:r>
      <w:r w:rsidRPr="001C025E">
        <w:rPr>
          <w:noProof/>
          <w:lang w:val="en-US"/>
        </w:rPr>
        <w:t xml:space="preserve">, </w:t>
      </w:r>
      <w:r w:rsidRPr="001C025E">
        <w:rPr>
          <w:i/>
          <w:iCs/>
          <w:noProof/>
          <w:lang w:val="en-US"/>
        </w:rPr>
        <w:t>23</w:t>
      </w:r>
      <w:r w:rsidRPr="001C025E">
        <w:rPr>
          <w:noProof/>
          <w:lang w:val="en-US"/>
        </w:rPr>
        <w:t>(4), 812–822. https://doi.org/10.1037/a0014348</w:t>
      </w:r>
    </w:p>
    <w:p w14:paraId="6FF215B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Spisak, B. R., Dekker, P. H., Krüger, M., &amp; van Vugt, M. (2012). Warriors and Peacekeepers: Testing a Biosocial Implicit Leadership Hypothesis of Intergroup Relations Using Masculine and Feminine Faces. </w:t>
      </w:r>
      <w:r w:rsidRPr="001C025E">
        <w:rPr>
          <w:i/>
          <w:iCs/>
          <w:noProof/>
          <w:lang w:val="en-US"/>
        </w:rPr>
        <w:t>PLoS ONE</w:t>
      </w:r>
      <w:r w:rsidRPr="001C025E">
        <w:rPr>
          <w:noProof/>
          <w:lang w:val="en-US"/>
        </w:rPr>
        <w:t xml:space="preserve">, </w:t>
      </w:r>
      <w:r w:rsidRPr="001C025E">
        <w:rPr>
          <w:i/>
          <w:iCs/>
          <w:noProof/>
          <w:lang w:val="en-US"/>
        </w:rPr>
        <w:t>7</w:t>
      </w:r>
      <w:r w:rsidRPr="001C025E">
        <w:rPr>
          <w:noProof/>
          <w:lang w:val="en-US"/>
        </w:rPr>
        <w:t>(1), e30399. https://doi.org/10.1371/journal.pone.0030399</w:t>
      </w:r>
    </w:p>
    <w:p w14:paraId="3537366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Spisak, B. R., Homan, A. C., Grabo, A., &amp; Van Vugt, M. (2012). Facing the situation: Testing a biosocial contingency model of leadership in intergroup relations using masculine and feminine faces. </w:t>
      </w:r>
      <w:r w:rsidRPr="001C025E">
        <w:rPr>
          <w:i/>
          <w:iCs/>
          <w:noProof/>
          <w:lang w:val="en-US"/>
        </w:rPr>
        <w:t>The Leadership Quarterly</w:t>
      </w:r>
      <w:r w:rsidRPr="001C025E">
        <w:rPr>
          <w:noProof/>
          <w:lang w:val="en-US"/>
        </w:rPr>
        <w:t xml:space="preserve">, </w:t>
      </w:r>
      <w:r w:rsidRPr="001C025E">
        <w:rPr>
          <w:i/>
          <w:iCs/>
          <w:noProof/>
          <w:lang w:val="en-US"/>
        </w:rPr>
        <w:t>23</w:t>
      </w:r>
      <w:r w:rsidRPr="001C025E">
        <w:rPr>
          <w:noProof/>
          <w:lang w:val="en-US"/>
        </w:rPr>
        <w:t xml:space="preserve">(2), 273–280. </w:t>
      </w:r>
      <w:r w:rsidRPr="001C025E">
        <w:rPr>
          <w:noProof/>
          <w:lang w:val="en-US"/>
        </w:rPr>
        <w:lastRenderedPageBreak/>
        <w:t>https://doi.org/10.1016/j.leaqua.2011.08.006</w:t>
      </w:r>
    </w:p>
    <w:p w14:paraId="222F57F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Sporer, S. L. (2001). Recognizing faces of other ethnic groups - An integration of theories. </w:t>
      </w:r>
      <w:r w:rsidRPr="001C025E">
        <w:rPr>
          <w:i/>
          <w:iCs/>
          <w:noProof/>
          <w:lang w:val="en-US"/>
        </w:rPr>
        <w:t>Psychology Public Policy and Law</w:t>
      </w:r>
      <w:r w:rsidRPr="001C025E">
        <w:rPr>
          <w:noProof/>
          <w:lang w:val="en-US"/>
        </w:rPr>
        <w:t xml:space="preserve">, </w:t>
      </w:r>
      <w:r w:rsidRPr="001C025E">
        <w:rPr>
          <w:i/>
          <w:iCs/>
          <w:noProof/>
          <w:lang w:val="en-US"/>
        </w:rPr>
        <w:t>7</w:t>
      </w:r>
      <w:r w:rsidRPr="001C025E">
        <w:rPr>
          <w:noProof/>
          <w:lang w:val="en-US"/>
        </w:rPr>
        <w:t>(1), 36–97. https://doi.org/10.1038//1076-8971.7.1.36</w:t>
      </w:r>
    </w:p>
    <w:p w14:paraId="0D4DDE2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Stephenson, L. J., Edwards, S. G., &amp; Bayliss, A. P. (2021). From Gaze Perception to Social Cognition: The Shared-Attention System. </w:t>
      </w:r>
      <w:r w:rsidRPr="001C025E">
        <w:rPr>
          <w:i/>
          <w:iCs/>
          <w:noProof/>
          <w:lang w:val="en-US"/>
        </w:rPr>
        <w:t>Perspectives on Psychological Science</w:t>
      </w:r>
      <w:r w:rsidRPr="001C025E">
        <w:rPr>
          <w:noProof/>
          <w:lang w:val="en-US"/>
        </w:rPr>
        <w:t xml:space="preserve">, </w:t>
      </w:r>
      <w:r w:rsidRPr="001C025E">
        <w:rPr>
          <w:i/>
          <w:iCs/>
          <w:noProof/>
          <w:lang w:val="en-US"/>
        </w:rPr>
        <w:t>16</w:t>
      </w:r>
      <w:r w:rsidRPr="001C025E">
        <w:rPr>
          <w:noProof/>
          <w:lang w:val="en-US"/>
        </w:rPr>
        <w:t>(3), 553–576. https://doi.org/10.1177/1745691620953773</w:t>
      </w:r>
    </w:p>
    <w:p w14:paraId="7F4FF53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Stevens, S. A., West, G. L., Al-Aidroos, N., Weger, U. W., &amp; Pratt, J. (2008). Testing whether gaze cues and arrow cues produce reflexive or volitional shifts of attention. </w:t>
      </w:r>
      <w:r w:rsidRPr="001C025E">
        <w:rPr>
          <w:i/>
          <w:iCs/>
          <w:noProof/>
          <w:lang w:val="en-US"/>
        </w:rPr>
        <w:t>Psychonomic Bulletin &amp; Review</w:t>
      </w:r>
      <w:r w:rsidRPr="001C025E">
        <w:rPr>
          <w:noProof/>
          <w:lang w:val="en-US"/>
        </w:rPr>
        <w:t xml:space="preserve">, </w:t>
      </w:r>
      <w:r w:rsidRPr="001C025E">
        <w:rPr>
          <w:i/>
          <w:iCs/>
          <w:noProof/>
          <w:lang w:val="en-US"/>
        </w:rPr>
        <w:t>15</w:t>
      </w:r>
      <w:r w:rsidRPr="001C025E">
        <w:rPr>
          <w:noProof/>
          <w:lang w:val="en-US"/>
        </w:rPr>
        <w:t>(6), 1148–1153. https://doi.org/10.3758/PBR.15.6.1148</w:t>
      </w:r>
    </w:p>
    <w:p w14:paraId="398080D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Süßenbach, F., &amp; Schönbrodt, F. (2014). Not afraid to trust you: Trustworthiness moderates gaze cueing but not in highly anxious participants. </w:t>
      </w:r>
      <w:r w:rsidRPr="001C025E">
        <w:rPr>
          <w:i/>
          <w:iCs/>
          <w:noProof/>
          <w:lang w:val="en-US"/>
        </w:rPr>
        <w:t>Journal of Cognitive Psychology</w:t>
      </w:r>
      <w:r w:rsidRPr="001C025E">
        <w:rPr>
          <w:noProof/>
          <w:lang w:val="en-US"/>
        </w:rPr>
        <w:t xml:space="preserve">, </w:t>
      </w:r>
      <w:r w:rsidRPr="001C025E">
        <w:rPr>
          <w:i/>
          <w:iCs/>
          <w:noProof/>
          <w:lang w:val="en-US"/>
        </w:rPr>
        <w:t>26</w:t>
      </w:r>
      <w:r w:rsidRPr="001C025E">
        <w:rPr>
          <w:noProof/>
          <w:lang w:val="en-US"/>
        </w:rPr>
        <w:t>(6), 670–678. https://doi.org/10.1080/20445911.2014.945457</w:t>
      </w:r>
    </w:p>
    <w:p w14:paraId="11DBF48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Tajfel, H. (1979). Individuals and groups in social psychology*. </w:t>
      </w:r>
      <w:r w:rsidRPr="001C025E">
        <w:rPr>
          <w:i/>
          <w:iCs/>
          <w:noProof/>
          <w:lang w:val="en-US"/>
        </w:rPr>
        <w:t>British Journal of Social and Clinical Psychology</w:t>
      </w:r>
      <w:r w:rsidRPr="001C025E">
        <w:rPr>
          <w:noProof/>
          <w:lang w:val="en-US"/>
        </w:rPr>
        <w:t xml:space="preserve">, </w:t>
      </w:r>
      <w:r w:rsidRPr="001C025E">
        <w:rPr>
          <w:i/>
          <w:iCs/>
          <w:noProof/>
          <w:lang w:val="en-US"/>
        </w:rPr>
        <w:t>18</w:t>
      </w:r>
      <w:r w:rsidRPr="001C025E">
        <w:rPr>
          <w:noProof/>
          <w:lang w:val="en-US"/>
        </w:rPr>
        <w:t>(2), 183–190. https://doi.org/10.1111/j.2044-8260.1979.tb00324.x</w:t>
      </w:r>
    </w:p>
    <w:p w14:paraId="3E41986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Tajfel, H., Billig, M. G., Bundy, R. P., &amp; Flament, C. (1971). Social categorization and intergroup behaviour. </w:t>
      </w:r>
      <w:r w:rsidRPr="001C025E">
        <w:rPr>
          <w:i/>
          <w:iCs/>
          <w:noProof/>
          <w:lang w:val="en-US"/>
        </w:rPr>
        <w:t>European Journal of Social Psychology</w:t>
      </w:r>
      <w:r w:rsidRPr="001C025E">
        <w:rPr>
          <w:noProof/>
          <w:lang w:val="en-US"/>
        </w:rPr>
        <w:t xml:space="preserve">, </w:t>
      </w:r>
      <w:r w:rsidRPr="001C025E">
        <w:rPr>
          <w:i/>
          <w:iCs/>
          <w:noProof/>
          <w:lang w:val="en-US"/>
        </w:rPr>
        <w:t>1</w:t>
      </w:r>
      <w:r w:rsidRPr="001C025E">
        <w:rPr>
          <w:noProof/>
          <w:lang w:val="en-US"/>
        </w:rPr>
        <w:t>(2), 149–178. https://doi.org/10.1002/ejsp.2420010202</w:t>
      </w:r>
    </w:p>
    <w:p w14:paraId="758025FE"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Takahashi, K., &amp; Watanabe, K. (2013). Gaze Cueing by Pareidolia Faces. </w:t>
      </w:r>
      <w:r w:rsidRPr="001C025E">
        <w:rPr>
          <w:i/>
          <w:iCs/>
          <w:noProof/>
          <w:lang w:val="en-US"/>
        </w:rPr>
        <w:t>I-Perception</w:t>
      </w:r>
      <w:r w:rsidRPr="001C025E">
        <w:rPr>
          <w:noProof/>
          <w:lang w:val="en-US"/>
        </w:rPr>
        <w:t xml:space="preserve">, </w:t>
      </w:r>
      <w:r w:rsidRPr="001C025E">
        <w:rPr>
          <w:i/>
          <w:iCs/>
          <w:noProof/>
          <w:lang w:val="en-US"/>
        </w:rPr>
        <w:t>4</w:t>
      </w:r>
      <w:r w:rsidRPr="001C025E">
        <w:rPr>
          <w:noProof/>
          <w:lang w:val="en-US"/>
        </w:rPr>
        <w:t>(8), 490–492. https://doi.org/10.1068/i0617sas</w:t>
      </w:r>
    </w:p>
    <w:p w14:paraId="503E702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Takao, S., Yamani, Y., &amp; Ariga, A. (2018). The Gaze-Cueing Effect in the United States and Japan: Influence of Cultural Differences in Cognitive Strategies on Control of Attention. </w:t>
      </w:r>
      <w:r w:rsidRPr="001C025E">
        <w:rPr>
          <w:i/>
          <w:iCs/>
          <w:noProof/>
          <w:lang w:val="en-US"/>
        </w:rPr>
        <w:t>Frontiers in Psychology</w:t>
      </w:r>
      <w:r w:rsidRPr="001C025E">
        <w:rPr>
          <w:noProof/>
          <w:lang w:val="en-US"/>
        </w:rPr>
        <w:t xml:space="preserve">, </w:t>
      </w:r>
      <w:r w:rsidRPr="001C025E">
        <w:rPr>
          <w:i/>
          <w:iCs/>
          <w:noProof/>
          <w:lang w:val="en-US"/>
        </w:rPr>
        <w:t>8</w:t>
      </w:r>
      <w:r w:rsidRPr="001C025E">
        <w:rPr>
          <w:noProof/>
          <w:lang w:val="en-US"/>
        </w:rPr>
        <w:t>(JAN), 1–8. https://doi.org/10.3389/fpsyg.2017.02343</w:t>
      </w:r>
    </w:p>
    <w:p w14:paraId="0661F4D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Theeuwes, J. (2010). Top–down and bottom–up control of visual selection. </w:t>
      </w:r>
      <w:r w:rsidRPr="001C025E">
        <w:rPr>
          <w:i/>
          <w:iCs/>
          <w:noProof/>
          <w:lang w:val="en-US"/>
        </w:rPr>
        <w:t>Acta Psychologica</w:t>
      </w:r>
      <w:r w:rsidRPr="001C025E">
        <w:rPr>
          <w:noProof/>
          <w:lang w:val="en-US"/>
        </w:rPr>
        <w:t xml:space="preserve">, </w:t>
      </w:r>
      <w:r w:rsidRPr="001C025E">
        <w:rPr>
          <w:i/>
          <w:iCs/>
          <w:noProof/>
          <w:lang w:val="en-US"/>
        </w:rPr>
        <w:t>135</w:t>
      </w:r>
      <w:r w:rsidRPr="001C025E">
        <w:rPr>
          <w:noProof/>
          <w:lang w:val="en-US"/>
        </w:rPr>
        <w:t>(2), 77–99. https://doi.org/10.1016/j.actpsy.2010.02.006</w:t>
      </w:r>
    </w:p>
    <w:p w14:paraId="76FBBAEB"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Theeuwes, J. (2018). Visual Selection: Usually Fast and Automatic; Seldom Slow and Volitional. </w:t>
      </w:r>
      <w:r w:rsidRPr="001C025E">
        <w:rPr>
          <w:i/>
          <w:iCs/>
          <w:noProof/>
          <w:lang w:val="en-US"/>
        </w:rPr>
        <w:t>Journal of Cognition</w:t>
      </w:r>
      <w:r w:rsidRPr="001C025E">
        <w:rPr>
          <w:noProof/>
          <w:lang w:val="en-US"/>
        </w:rPr>
        <w:t xml:space="preserve">, </w:t>
      </w:r>
      <w:r w:rsidRPr="001C025E">
        <w:rPr>
          <w:i/>
          <w:iCs/>
          <w:noProof/>
          <w:lang w:val="en-US"/>
        </w:rPr>
        <w:t>1</w:t>
      </w:r>
      <w:r w:rsidRPr="001C025E">
        <w:rPr>
          <w:noProof/>
          <w:lang w:val="en-US"/>
        </w:rPr>
        <w:t>(1), 1–15. https://doi.org/10.5334/joc.13</w:t>
      </w:r>
    </w:p>
    <w:p w14:paraId="323EB42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Thibaut, J. W., &amp; Kelley, H. H. (1959). The social psychology of groups. In </w:t>
      </w:r>
      <w:r w:rsidRPr="001C025E">
        <w:rPr>
          <w:i/>
          <w:iCs/>
          <w:noProof/>
          <w:lang w:val="en-US"/>
        </w:rPr>
        <w:t>The social psychology of groups.</w:t>
      </w:r>
      <w:r w:rsidRPr="001C025E">
        <w:rPr>
          <w:noProof/>
          <w:lang w:val="en-US"/>
        </w:rPr>
        <w:t xml:space="preserve"> John Wiley.</w:t>
      </w:r>
    </w:p>
    <w:p w14:paraId="2A91C323"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Tipples, J. (2002). Eye gaze is not unique: Automatic orienting in response to uninformative arrows. </w:t>
      </w:r>
      <w:r w:rsidRPr="001C025E">
        <w:rPr>
          <w:i/>
          <w:iCs/>
          <w:noProof/>
          <w:lang w:val="en-US"/>
        </w:rPr>
        <w:t>Psychonomic Bulletin &amp;amp; Review</w:t>
      </w:r>
      <w:r w:rsidRPr="001C025E">
        <w:rPr>
          <w:noProof/>
          <w:lang w:val="en-US"/>
        </w:rPr>
        <w:t xml:space="preserve">, </w:t>
      </w:r>
      <w:r w:rsidRPr="001C025E">
        <w:rPr>
          <w:i/>
          <w:iCs/>
          <w:noProof/>
          <w:lang w:val="en-US"/>
        </w:rPr>
        <w:t>9</w:t>
      </w:r>
      <w:r w:rsidRPr="001C025E">
        <w:rPr>
          <w:noProof/>
          <w:lang w:val="en-US"/>
        </w:rPr>
        <w:t>(2), 314–318.</w:t>
      </w:r>
    </w:p>
    <w:p w14:paraId="34F7EB6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Tipples, J. (2006). Fear and fearfulness potentiate automatic orienting to eye gaze. </w:t>
      </w:r>
      <w:r w:rsidRPr="001C025E">
        <w:rPr>
          <w:i/>
          <w:iCs/>
          <w:noProof/>
          <w:lang w:val="en-US"/>
        </w:rPr>
        <w:t>Cognition &amp; Emotion</w:t>
      </w:r>
      <w:r w:rsidRPr="001C025E">
        <w:rPr>
          <w:noProof/>
          <w:lang w:val="en-US"/>
        </w:rPr>
        <w:t xml:space="preserve">, </w:t>
      </w:r>
      <w:r w:rsidRPr="001C025E">
        <w:rPr>
          <w:i/>
          <w:iCs/>
          <w:noProof/>
          <w:lang w:val="en-US"/>
        </w:rPr>
        <w:t>20</w:t>
      </w:r>
      <w:r w:rsidRPr="001C025E">
        <w:rPr>
          <w:noProof/>
          <w:lang w:val="en-US"/>
        </w:rPr>
        <w:t>(2), 309–320. https://doi.org/10.1080/02699930500405550</w:t>
      </w:r>
    </w:p>
    <w:p w14:paraId="260FD35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Tipples, J. (2008). Orienting to counterpredictive gaze and arrow cues. </w:t>
      </w:r>
      <w:r w:rsidRPr="001C025E">
        <w:rPr>
          <w:i/>
          <w:iCs/>
          <w:noProof/>
          <w:lang w:val="en-US"/>
        </w:rPr>
        <w:t>Perception &amp; Psychophysics</w:t>
      </w:r>
      <w:r w:rsidRPr="001C025E">
        <w:rPr>
          <w:noProof/>
          <w:lang w:val="en-US"/>
        </w:rPr>
        <w:t xml:space="preserve">, </w:t>
      </w:r>
      <w:r w:rsidRPr="001C025E">
        <w:rPr>
          <w:i/>
          <w:iCs/>
          <w:noProof/>
          <w:lang w:val="en-US"/>
        </w:rPr>
        <w:t>70</w:t>
      </w:r>
      <w:r w:rsidRPr="001C025E">
        <w:rPr>
          <w:noProof/>
          <w:lang w:val="en-US"/>
        </w:rPr>
        <w:t>(1), 77–87. https://doi.org/10.3758/PP.70.1.77</w:t>
      </w:r>
    </w:p>
    <w:p w14:paraId="482CB96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Tollenaar, M. S., Chatzimanoli, M., van Der Wee, N. J. A., &amp; Putman, P. (2013). Enhanced orienting of attention in response to emotional gaze cues after oxytocin administration in healthy young men. </w:t>
      </w:r>
      <w:r w:rsidRPr="001C025E">
        <w:rPr>
          <w:i/>
          <w:iCs/>
          <w:noProof/>
          <w:lang w:val="en-US"/>
        </w:rPr>
        <w:t>Psychoneuroendocrinology</w:t>
      </w:r>
      <w:r w:rsidRPr="001C025E">
        <w:rPr>
          <w:noProof/>
          <w:lang w:val="en-US"/>
        </w:rPr>
        <w:t xml:space="preserve">, </w:t>
      </w:r>
      <w:r w:rsidRPr="001C025E">
        <w:rPr>
          <w:i/>
          <w:iCs/>
          <w:noProof/>
          <w:lang w:val="en-US"/>
        </w:rPr>
        <w:t>38</w:t>
      </w:r>
      <w:r w:rsidRPr="001C025E">
        <w:rPr>
          <w:noProof/>
          <w:lang w:val="en-US"/>
        </w:rPr>
        <w:t>(9), 1797–1802. https://doi.org/10.1016/j.psyneuen.2013.02.018</w:t>
      </w:r>
    </w:p>
    <w:p w14:paraId="76D09E38"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Toma, C., Yzerbyt, V., &amp; Corneille, O. (2010). Anticipated cooperation vs. competition moderates interpersonal projection. </w:t>
      </w:r>
      <w:r w:rsidRPr="001C025E">
        <w:rPr>
          <w:i/>
          <w:iCs/>
          <w:noProof/>
          <w:lang w:val="en-US"/>
        </w:rPr>
        <w:t>Journal of Experimental Social Psychology</w:t>
      </w:r>
      <w:r w:rsidRPr="001C025E">
        <w:rPr>
          <w:noProof/>
          <w:lang w:val="en-US"/>
        </w:rPr>
        <w:t xml:space="preserve">, </w:t>
      </w:r>
      <w:r w:rsidRPr="001C025E">
        <w:rPr>
          <w:i/>
          <w:iCs/>
          <w:noProof/>
          <w:lang w:val="en-US"/>
        </w:rPr>
        <w:t>46</w:t>
      </w:r>
      <w:r w:rsidRPr="001C025E">
        <w:rPr>
          <w:noProof/>
          <w:lang w:val="en-US"/>
        </w:rPr>
        <w:t>(2), 375–381. https://doi.org/10.1016/j.jesp.2009.11.005</w:t>
      </w:r>
    </w:p>
    <w:p w14:paraId="3C52BE55"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Tomasello, M., HARE, B., &amp; AGNETTA, B. (1999). Chimpanzees, Pan troglodytes, follow gaze direction geometrically. </w:t>
      </w:r>
      <w:r w:rsidRPr="001C025E">
        <w:rPr>
          <w:i/>
          <w:iCs/>
          <w:noProof/>
          <w:lang w:val="en-US"/>
        </w:rPr>
        <w:t>Animal Behaviour</w:t>
      </w:r>
      <w:r w:rsidRPr="001C025E">
        <w:rPr>
          <w:noProof/>
          <w:lang w:val="en-US"/>
        </w:rPr>
        <w:t xml:space="preserve">, </w:t>
      </w:r>
      <w:r w:rsidRPr="001C025E">
        <w:rPr>
          <w:i/>
          <w:iCs/>
          <w:noProof/>
          <w:lang w:val="en-US"/>
        </w:rPr>
        <w:t>58</w:t>
      </w:r>
      <w:r w:rsidRPr="001C025E">
        <w:rPr>
          <w:noProof/>
          <w:lang w:val="en-US"/>
        </w:rPr>
        <w:t>(4), 769–777. https://doi.org/10.1006/anbe.1999.1192</w:t>
      </w:r>
    </w:p>
    <w:p w14:paraId="4D5CA39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Turner, R. J. (1981). Social Support as a Contingency in Psychological Well-Being. </w:t>
      </w:r>
      <w:r w:rsidRPr="001C025E">
        <w:rPr>
          <w:i/>
          <w:iCs/>
          <w:noProof/>
          <w:lang w:val="en-US"/>
        </w:rPr>
        <w:t>Journal of Health and Social Behavior</w:t>
      </w:r>
      <w:r w:rsidRPr="001C025E">
        <w:rPr>
          <w:noProof/>
          <w:lang w:val="en-US"/>
        </w:rPr>
        <w:t xml:space="preserve">, </w:t>
      </w:r>
      <w:r w:rsidRPr="001C025E">
        <w:rPr>
          <w:i/>
          <w:iCs/>
          <w:noProof/>
          <w:lang w:val="en-US"/>
        </w:rPr>
        <w:t>22</w:t>
      </w:r>
      <w:r w:rsidRPr="001C025E">
        <w:rPr>
          <w:noProof/>
          <w:lang w:val="en-US"/>
        </w:rPr>
        <w:t>(4), 357. https://doi.org/10.2307/2136677</w:t>
      </w:r>
    </w:p>
    <w:p w14:paraId="75FD849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Turpin, G., &amp; Fensom, P. (2004). Widening access within undergraduate psychology education and its implications for professional psychology: Gender, disability and ethnic diversity. </w:t>
      </w:r>
      <w:r w:rsidRPr="001C025E">
        <w:rPr>
          <w:i/>
          <w:iCs/>
          <w:noProof/>
          <w:lang w:val="en-US"/>
        </w:rPr>
        <w:t>Report Published by The British Psychological Society, Division of Clinical Psychology</w:t>
      </w:r>
      <w:r w:rsidRPr="001C025E">
        <w:rPr>
          <w:noProof/>
          <w:lang w:val="en-US"/>
        </w:rPr>
        <w:t>.</w:t>
      </w:r>
    </w:p>
    <w:p w14:paraId="19D57F49"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van Leeuwen, E., van Knippenberg, D., &amp; Ellemers, N. (2003). Continuing and changing group identities: The effects of merging on social identification and ingroup bias. </w:t>
      </w:r>
      <w:r w:rsidRPr="001C025E">
        <w:rPr>
          <w:i/>
          <w:iCs/>
          <w:noProof/>
          <w:lang w:val="en-US"/>
        </w:rPr>
        <w:t xml:space="preserve">Pers. </w:t>
      </w:r>
      <w:r w:rsidRPr="001C025E">
        <w:rPr>
          <w:i/>
          <w:iCs/>
          <w:noProof/>
          <w:lang w:val="en-US"/>
        </w:rPr>
        <w:lastRenderedPageBreak/>
        <w:t>Soc. Psychol. Bull.</w:t>
      </w:r>
      <w:r w:rsidRPr="001C025E">
        <w:rPr>
          <w:noProof/>
          <w:lang w:val="en-US"/>
        </w:rPr>
        <w:t xml:space="preserve">, </w:t>
      </w:r>
      <w:r w:rsidRPr="001C025E">
        <w:rPr>
          <w:i/>
          <w:iCs/>
          <w:noProof/>
          <w:lang w:val="en-US"/>
        </w:rPr>
        <w:t>29</w:t>
      </w:r>
      <w:r w:rsidRPr="001C025E">
        <w:rPr>
          <w:noProof/>
          <w:lang w:val="en-US"/>
        </w:rPr>
        <w:t>(6), 679–690. https://doi.org/10.1177/0146167203251210</w:t>
      </w:r>
    </w:p>
    <w:p w14:paraId="2E80DDE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van Nunspeet, F., Ellemers, N., Derks, B., &amp; Nieuwenhuis, S. (2014). Moral concerns increase attention and response monitoring during IAT performance: ERP evidence. </w:t>
      </w:r>
      <w:r w:rsidRPr="001C025E">
        <w:rPr>
          <w:i/>
          <w:iCs/>
          <w:noProof/>
          <w:lang w:val="en-US"/>
        </w:rPr>
        <w:t>Soc. Cogn. Affect. Neurosci.</w:t>
      </w:r>
      <w:r w:rsidRPr="001C025E">
        <w:rPr>
          <w:noProof/>
          <w:lang w:val="en-US"/>
        </w:rPr>
        <w:t xml:space="preserve">, </w:t>
      </w:r>
      <w:r w:rsidRPr="001C025E">
        <w:rPr>
          <w:i/>
          <w:iCs/>
          <w:noProof/>
          <w:lang w:val="en-US"/>
        </w:rPr>
        <w:t>9</w:t>
      </w:r>
      <w:r w:rsidRPr="001C025E">
        <w:rPr>
          <w:noProof/>
          <w:lang w:val="en-US"/>
        </w:rPr>
        <w:t>(2), 141–149. https://doi.org/10.1093/scan/nss118</w:t>
      </w:r>
    </w:p>
    <w:p w14:paraId="20CE8EB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Van Vugt, M. (2006). Evolutionary Origins of Leadership and Followership. </w:t>
      </w:r>
      <w:r w:rsidRPr="001C025E">
        <w:rPr>
          <w:i/>
          <w:iCs/>
          <w:noProof/>
          <w:lang w:val="en-US"/>
        </w:rPr>
        <w:t>Personality and Social Psychology Review</w:t>
      </w:r>
      <w:r w:rsidRPr="001C025E">
        <w:rPr>
          <w:noProof/>
          <w:lang w:val="en-US"/>
        </w:rPr>
        <w:t xml:space="preserve">, </w:t>
      </w:r>
      <w:r w:rsidRPr="001C025E">
        <w:rPr>
          <w:i/>
          <w:iCs/>
          <w:noProof/>
          <w:lang w:val="en-US"/>
        </w:rPr>
        <w:t>10</w:t>
      </w:r>
      <w:r w:rsidRPr="001C025E">
        <w:rPr>
          <w:noProof/>
          <w:lang w:val="en-US"/>
        </w:rPr>
        <w:t>(4), 354–371. https://doi.org/10.1207/s15327957pspr1004_5</w:t>
      </w:r>
    </w:p>
    <w:p w14:paraId="2F46A0A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Van Vugt, M., Hogan, R., &amp; Kaiser, R. B. (2008). Leadership, followership, and evolution: Some lessons from the past. </w:t>
      </w:r>
      <w:r w:rsidRPr="001C025E">
        <w:rPr>
          <w:i/>
          <w:iCs/>
          <w:noProof/>
          <w:lang w:val="en-US"/>
        </w:rPr>
        <w:t>American Psychologist</w:t>
      </w:r>
      <w:r w:rsidRPr="001C025E">
        <w:rPr>
          <w:noProof/>
          <w:lang w:val="en-US"/>
        </w:rPr>
        <w:t xml:space="preserve">, </w:t>
      </w:r>
      <w:r w:rsidRPr="001C025E">
        <w:rPr>
          <w:i/>
          <w:iCs/>
          <w:noProof/>
          <w:lang w:val="en-US"/>
        </w:rPr>
        <w:t>63</w:t>
      </w:r>
      <w:r w:rsidRPr="001C025E">
        <w:rPr>
          <w:noProof/>
          <w:lang w:val="en-US"/>
        </w:rPr>
        <w:t>(3), 182–196. https://doi.org/10.1037/0003-066X.63.3.182</w:t>
      </w:r>
    </w:p>
    <w:p w14:paraId="438D34A1"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Vecera, S. P., &amp; Rizzo, M. (2004). What are you looking at? Impaired “social attention” following frontal-lobe damage. </w:t>
      </w:r>
      <w:r w:rsidRPr="001C025E">
        <w:rPr>
          <w:i/>
          <w:iCs/>
          <w:noProof/>
          <w:lang w:val="en-US"/>
        </w:rPr>
        <w:t>Neuropsychologia</w:t>
      </w:r>
      <w:r w:rsidRPr="001C025E">
        <w:rPr>
          <w:noProof/>
          <w:lang w:val="en-US"/>
        </w:rPr>
        <w:t xml:space="preserve">, </w:t>
      </w:r>
      <w:r w:rsidRPr="001C025E">
        <w:rPr>
          <w:i/>
          <w:iCs/>
          <w:noProof/>
          <w:lang w:val="en-US"/>
        </w:rPr>
        <w:t>42</w:t>
      </w:r>
      <w:r w:rsidRPr="001C025E">
        <w:rPr>
          <w:noProof/>
          <w:lang w:val="en-US"/>
        </w:rPr>
        <w:t>(12), 1657–1665. https://doi.org/10.1016/j.neuropsychologia.2004.04.009</w:t>
      </w:r>
    </w:p>
    <w:p w14:paraId="1B28CCC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Vecera, S. P., &amp; Rizzo, M. (2006). Eye gaze does not produce reflexive shifts of attention: Evidence from frontal-lobe damage. </w:t>
      </w:r>
      <w:r w:rsidRPr="001C025E">
        <w:rPr>
          <w:i/>
          <w:iCs/>
          <w:noProof/>
          <w:lang w:val="en-US"/>
        </w:rPr>
        <w:t>Neuropsychologia</w:t>
      </w:r>
      <w:r w:rsidRPr="001C025E">
        <w:rPr>
          <w:noProof/>
          <w:lang w:val="en-US"/>
        </w:rPr>
        <w:t xml:space="preserve">, </w:t>
      </w:r>
      <w:r w:rsidRPr="001C025E">
        <w:rPr>
          <w:i/>
          <w:iCs/>
          <w:noProof/>
          <w:lang w:val="en-US"/>
        </w:rPr>
        <w:t>44</w:t>
      </w:r>
      <w:r w:rsidRPr="001C025E">
        <w:rPr>
          <w:noProof/>
          <w:lang w:val="en-US"/>
        </w:rPr>
        <w:t>(1), 150–159. https://doi.org/10.1016/j.neuropsychologia.2005.04.010</w:t>
      </w:r>
    </w:p>
    <w:p w14:paraId="07456C74"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VONRUEDEN, C., Gurven, M., &amp; Kaplan, H. (2008). The multiple dimensions of male social status in an Amazonian society</w:t>
      </w:r>
      <w:r w:rsidRPr="001C025E">
        <w:rPr>
          <w:rFonts w:ascii="Segoe UI Symbol" w:hAnsi="Segoe UI Symbol" w:cs="Segoe UI Symbol"/>
          <w:noProof/>
          <w:lang w:val="en-US"/>
        </w:rPr>
        <w:t>☆</w:t>
      </w:r>
      <w:r w:rsidRPr="001C025E">
        <w:rPr>
          <w:noProof/>
          <w:lang w:val="en-US"/>
        </w:rPr>
        <w:t xml:space="preserve">. </w:t>
      </w:r>
      <w:r w:rsidRPr="001C025E">
        <w:rPr>
          <w:i/>
          <w:iCs/>
          <w:noProof/>
          <w:lang w:val="en-US"/>
        </w:rPr>
        <w:t>Evolution and Human Behavior</w:t>
      </w:r>
      <w:r w:rsidRPr="001C025E">
        <w:rPr>
          <w:noProof/>
          <w:lang w:val="en-US"/>
        </w:rPr>
        <w:t xml:space="preserve">, </w:t>
      </w:r>
      <w:r w:rsidRPr="001C025E">
        <w:rPr>
          <w:i/>
          <w:iCs/>
          <w:noProof/>
          <w:lang w:val="en-US"/>
        </w:rPr>
        <w:t>29</w:t>
      </w:r>
      <w:r w:rsidRPr="001C025E">
        <w:rPr>
          <w:noProof/>
          <w:lang w:val="en-US"/>
        </w:rPr>
        <w:t>(6), 402–415. https://doi.org/10.1016/j.evolhumbehav.2008.05.001</w:t>
      </w:r>
    </w:p>
    <w:p w14:paraId="0D5E566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Voss, J. L., Federmeier, K. D., &amp; Paller, K. A. (2012). The Potato Chip Really Does Look Like Elvis! Neural Hallmarks of Conceptual Processing Associated with Finding Novel Shapes Subjectively Meaningful. </w:t>
      </w:r>
      <w:r w:rsidRPr="001C025E">
        <w:rPr>
          <w:i/>
          <w:iCs/>
          <w:noProof/>
          <w:lang w:val="en-US"/>
        </w:rPr>
        <w:t>Cerebral Cortex</w:t>
      </w:r>
      <w:r w:rsidRPr="001C025E">
        <w:rPr>
          <w:noProof/>
          <w:lang w:val="en-US"/>
        </w:rPr>
        <w:t xml:space="preserve">, </w:t>
      </w:r>
      <w:r w:rsidRPr="001C025E">
        <w:rPr>
          <w:i/>
          <w:iCs/>
          <w:noProof/>
          <w:lang w:val="en-US"/>
        </w:rPr>
        <w:t>22</w:t>
      </w:r>
      <w:r w:rsidRPr="001C025E">
        <w:rPr>
          <w:noProof/>
          <w:lang w:val="en-US"/>
        </w:rPr>
        <w:t>(10), 2354–2364. https://doi.org/10.1093/cercor/bhr315</w:t>
      </w:r>
    </w:p>
    <w:p w14:paraId="7725E3CA"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W. Alba, J. (1984). Nature of Inference Representation. In </w:t>
      </w:r>
      <w:r w:rsidRPr="001C025E">
        <w:rPr>
          <w:i/>
          <w:iCs/>
          <w:noProof/>
          <w:lang w:val="en-US"/>
        </w:rPr>
        <w:t>The American Journal of Psychology</w:t>
      </w:r>
      <w:r w:rsidRPr="001C025E">
        <w:rPr>
          <w:noProof/>
          <w:lang w:val="en-US"/>
        </w:rPr>
        <w:t xml:space="preserve"> (Vol. 97). https://doi.org/10.2307/1422597</w:t>
      </w:r>
    </w:p>
    <w:p w14:paraId="03A0C0E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Watkins, C. D., Fraccaro, P. J., Smith, F. G., Vukovic, J., Feinberg, D. R., DeBruine, L. M., &amp; Jones, B. C. (2010). Taller men are less sensitive to cues of dominance in other men. </w:t>
      </w:r>
      <w:r w:rsidRPr="001C025E">
        <w:rPr>
          <w:i/>
          <w:iCs/>
          <w:noProof/>
          <w:lang w:val="en-US"/>
        </w:rPr>
        <w:t>Behavioral Ecology</w:t>
      </w:r>
      <w:r w:rsidRPr="001C025E">
        <w:rPr>
          <w:noProof/>
          <w:lang w:val="en-US"/>
        </w:rPr>
        <w:t xml:space="preserve">, </w:t>
      </w:r>
      <w:r w:rsidRPr="001C025E">
        <w:rPr>
          <w:i/>
          <w:iCs/>
          <w:noProof/>
          <w:lang w:val="en-US"/>
        </w:rPr>
        <w:t>21</w:t>
      </w:r>
      <w:r w:rsidRPr="001C025E">
        <w:rPr>
          <w:noProof/>
          <w:lang w:val="en-US"/>
        </w:rPr>
        <w:t>(5), 943–947. https://doi.org/10.1093/beheco/arq091</w:t>
      </w:r>
    </w:p>
    <w:p w14:paraId="491650BD"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lastRenderedPageBreak/>
        <w:t xml:space="preserve">Weisbuch, M., Pauker, K., Adams, Jr., R. B., Lamer, S. A., &amp; Ambady, N. (2017). Race, power, and reflexive gaze following. </w:t>
      </w:r>
      <w:r w:rsidRPr="001C025E">
        <w:rPr>
          <w:i/>
          <w:iCs/>
          <w:noProof/>
          <w:lang w:val="en-US"/>
        </w:rPr>
        <w:t>Social Cognition</w:t>
      </w:r>
      <w:r w:rsidRPr="001C025E">
        <w:rPr>
          <w:noProof/>
          <w:lang w:val="en-US"/>
        </w:rPr>
        <w:t xml:space="preserve">, </w:t>
      </w:r>
      <w:r w:rsidRPr="001C025E">
        <w:rPr>
          <w:i/>
          <w:iCs/>
          <w:noProof/>
          <w:lang w:val="en-US"/>
        </w:rPr>
        <w:t>35</w:t>
      </w:r>
      <w:r w:rsidRPr="001C025E">
        <w:rPr>
          <w:noProof/>
          <w:lang w:val="en-US"/>
        </w:rPr>
        <w:t>(6), 619–638. https://doi.org/10.1521/soco.2017.35.6.619</w:t>
      </w:r>
    </w:p>
    <w:p w14:paraId="78243A2C"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Wicker, B., Michel, F., Henaff, M. A., &amp; Decety, J. (1998). Brain regions involved in the perception of gaze: A PET study. </w:t>
      </w:r>
      <w:r w:rsidRPr="001C025E">
        <w:rPr>
          <w:i/>
          <w:iCs/>
          <w:noProof/>
          <w:lang w:val="en-US"/>
        </w:rPr>
        <w:t>Neuroimage</w:t>
      </w:r>
      <w:r w:rsidRPr="001C025E">
        <w:rPr>
          <w:noProof/>
          <w:lang w:val="en-US"/>
        </w:rPr>
        <w:t xml:space="preserve">, </w:t>
      </w:r>
      <w:r w:rsidRPr="001C025E">
        <w:rPr>
          <w:i/>
          <w:iCs/>
          <w:noProof/>
          <w:lang w:val="en-US"/>
        </w:rPr>
        <w:t>8</w:t>
      </w:r>
      <w:r w:rsidRPr="001C025E">
        <w:rPr>
          <w:noProof/>
          <w:lang w:val="en-US"/>
        </w:rPr>
        <w:t>(2), 221–227.</w:t>
      </w:r>
    </w:p>
    <w:p w14:paraId="20D8B02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Wilkowski, B. M., Robinson, M. D., &amp; Friesen, C. K. (2009). Gaze-Triggered Orienting as a Tool of the Belongingness Self-Regulation System. </w:t>
      </w:r>
      <w:r w:rsidRPr="001C025E">
        <w:rPr>
          <w:i/>
          <w:iCs/>
          <w:noProof/>
          <w:lang w:val="en-US"/>
        </w:rPr>
        <w:t>Psychological Science</w:t>
      </w:r>
      <w:r w:rsidRPr="001C025E">
        <w:rPr>
          <w:noProof/>
          <w:lang w:val="en-US"/>
        </w:rPr>
        <w:t xml:space="preserve">, </w:t>
      </w:r>
      <w:r w:rsidRPr="001C025E">
        <w:rPr>
          <w:i/>
          <w:iCs/>
          <w:noProof/>
          <w:lang w:val="en-US"/>
        </w:rPr>
        <w:t>20</w:t>
      </w:r>
      <w:r w:rsidRPr="001C025E">
        <w:rPr>
          <w:noProof/>
          <w:lang w:val="en-US"/>
        </w:rPr>
        <w:t>(4), 495–501. https://doi.org/10.1111/j.1467-9280.2009.02321.x</w:t>
      </w:r>
    </w:p>
    <w:p w14:paraId="33EBBAD7"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Willer, R. (2009). Groups Reward Individual Sacrifice: The Status Solution to the Collective Action Problem. </w:t>
      </w:r>
      <w:r w:rsidRPr="001C025E">
        <w:rPr>
          <w:i/>
          <w:iCs/>
          <w:noProof/>
          <w:lang w:val="en-US"/>
        </w:rPr>
        <w:t>American Sociological Review</w:t>
      </w:r>
      <w:r w:rsidRPr="001C025E">
        <w:rPr>
          <w:noProof/>
          <w:lang w:val="en-US"/>
        </w:rPr>
        <w:t xml:space="preserve">, </w:t>
      </w:r>
      <w:r w:rsidRPr="001C025E">
        <w:rPr>
          <w:i/>
          <w:iCs/>
          <w:noProof/>
          <w:lang w:val="en-US"/>
        </w:rPr>
        <w:t>74</w:t>
      </w:r>
      <w:r w:rsidRPr="001C025E">
        <w:rPr>
          <w:noProof/>
          <w:lang w:val="en-US"/>
        </w:rPr>
        <w:t>(1), 23–43. https://doi.org/10.1177/000312240907400102</w:t>
      </w:r>
    </w:p>
    <w:p w14:paraId="756B93AF"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Yokoyama, T., Noguchi, Y., &amp; Kita, S. (2013). Unconscious processing of direct gaze: Evidence from an ERP study. </w:t>
      </w:r>
      <w:r w:rsidRPr="001C025E">
        <w:rPr>
          <w:i/>
          <w:iCs/>
          <w:noProof/>
          <w:lang w:val="en-US"/>
        </w:rPr>
        <w:t>Neuropsychologia</w:t>
      </w:r>
      <w:r w:rsidRPr="001C025E">
        <w:rPr>
          <w:noProof/>
          <w:lang w:val="en-US"/>
        </w:rPr>
        <w:t xml:space="preserve">, </w:t>
      </w:r>
      <w:r w:rsidRPr="001C025E">
        <w:rPr>
          <w:i/>
          <w:iCs/>
          <w:noProof/>
          <w:lang w:val="en-US"/>
        </w:rPr>
        <w:t>51</w:t>
      </w:r>
      <w:r w:rsidRPr="001C025E">
        <w:rPr>
          <w:noProof/>
          <w:lang w:val="en-US"/>
        </w:rPr>
        <w:t>(7), 1161–1168. https://doi.org/10.1016/j.neuropsychologia.2013.04.002</w:t>
      </w:r>
    </w:p>
    <w:p w14:paraId="3B0D88A6"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Yoshizaki, K., &amp; Kato, K. (2011). Contrast polarity of eyes modulates gaze-cueing effect. </w:t>
      </w:r>
      <w:r w:rsidRPr="001C025E">
        <w:rPr>
          <w:i/>
          <w:iCs/>
          <w:noProof/>
          <w:lang w:val="en-US"/>
        </w:rPr>
        <w:t>Japanese Psychological Research</w:t>
      </w:r>
      <w:r w:rsidRPr="001C025E">
        <w:rPr>
          <w:noProof/>
          <w:lang w:val="en-US"/>
        </w:rPr>
        <w:t xml:space="preserve">, </w:t>
      </w:r>
      <w:r w:rsidRPr="001C025E">
        <w:rPr>
          <w:i/>
          <w:iCs/>
          <w:noProof/>
          <w:lang w:val="en-US"/>
        </w:rPr>
        <w:t>53</w:t>
      </w:r>
      <w:r w:rsidRPr="001C025E">
        <w:rPr>
          <w:noProof/>
          <w:lang w:val="en-US"/>
        </w:rPr>
        <w:t>(3), 333–340. https://doi.org/10.1111/j.1468-5884.2011.00474.x</w:t>
      </w:r>
    </w:p>
    <w:p w14:paraId="11402DB0"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Young, A. W., Aggleton, J. P., Hellawell, D. J., Johnson, M., Broks, P., &amp; Hanley, J. R. (1995). Face processing impairments after amygdalotomy. </w:t>
      </w:r>
      <w:r w:rsidRPr="001C025E">
        <w:rPr>
          <w:i/>
          <w:iCs/>
          <w:noProof/>
          <w:lang w:val="en-US"/>
        </w:rPr>
        <w:t>Brain</w:t>
      </w:r>
      <w:r w:rsidRPr="001C025E">
        <w:rPr>
          <w:noProof/>
          <w:lang w:val="en-US"/>
        </w:rPr>
        <w:t xml:space="preserve">, </w:t>
      </w:r>
      <w:r w:rsidRPr="001C025E">
        <w:rPr>
          <w:i/>
          <w:iCs/>
          <w:noProof/>
          <w:lang w:val="en-US"/>
        </w:rPr>
        <w:t>118</w:t>
      </w:r>
      <w:r w:rsidRPr="001C025E">
        <w:rPr>
          <w:noProof/>
          <w:lang w:val="en-US"/>
        </w:rPr>
        <w:t>(1), 15–24. https://doi.org/10.1093/brain/118.1.15</w:t>
      </w:r>
    </w:p>
    <w:p w14:paraId="66256332" w14:textId="77777777" w:rsidR="001C025E" w:rsidRPr="001C025E" w:rsidRDefault="001C025E" w:rsidP="001C025E">
      <w:pPr>
        <w:widowControl w:val="0"/>
        <w:autoSpaceDE w:val="0"/>
        <w:autoSpaceDN w:val="0"/>
        <w:adjustRightInd w:val="0"/>
        <w:ind w:left="480" w:hanging="480"/>
        <w:rPr>
          <w:noProof/>
          <w:lang w:val="en-US"/>
        </w:rPr>
      </w:pPr>
      <w:r w:rsidRPr="001C025E">
        <w:rPr>
          <w:noProof/>
          <w:lang w:val="en-US"/>
        </w:rPr>
        <w:t xml:space="preserve">Zebrowitz, L. A., &amp; Montepare, J. M. (2008). Social Psychological Face Perception: Why Appearance Matters. In </w:t>
      </w:r>
      <w:r w:rsidRPr="001C025E">
        <w:rPr>
          <w:i/>
          <w:iCs/>
          <w:noProof/>
          <w:lang w:val="en-US"/>
        </w:rPr>
        <w:t>Social and Personality Psychology Compass</w:t>
      </w:r>
      <w:r w:rsidRPr="001C025E">
        <w:rPr>
          <w:noProof/>
          <w:lang w:val="en-US"/>
        </w:rPr>
        <w:t xml:space="preserve"> (Vol. 2, Issue 3). Wiley/Blackwell (10.1111). https://doi.org/10.1111/j.1751-9004.2008.00109.x</w:t>
      </w:r>
    </w:p>
    <w:p w14:paraId="435B6016" w14:textId="77777777" w:rsidR="001C025E" w:rsidRPr="001C025E" w:rsidRDefault="001C025E" w:rsidP="001C025E">
      <w:pPr>
        <w:widowControl w:val="0"/>
        <w:autoSpaceDE w:val="0"/>
        <w:autoSpaceDN w:val="0"/>
        <w:adjustRightInd w:val="0"/>
        <w:ind w:left="480" w:hanging="480"/>
        <w:rPr>
          <w:noProof/>
        </w:rPr>
      </w:pPr>
      <w:r w:rsidRPr="001C025E">
        <w:rPr>
          <w:noProof/>
          <w:lang w:val="en-US"/>
        </w:rPr>
        <w:t xml:space="preserve">Zink, C. F., Tong, Y., Chen, Q., Bassett, D. S., Stein, J. L., &amp; Meyer-Lindenberg, A. (2008). Know Your Place: Neural Processing of Social Hierarchy in Humans. </w:t>
      </w:r>
      <w:r w:rsidRPr="001C025E">
        <w:rPr>
          <w:i/>
          <w:iCs/>
          <w:noProof/>
          <w:lang w:val="en-US"/>
        </w:rPr>
        <w:t>Neuron</w:t>
      </w:r>
      <w:r w:rsidRPr="001C025E">
        <w:rPr>
          <w:noProof/>
          <w:lang w:val="en-US"/>
        </w:rPr>
        <w:t xml:space="preserve">, </w:t>
      </w:r>
      <w:r w:rsidRPr="001C025E">
        <w:rPr>
          <w:i/>
          <w:iCs/>
          <w:noProof/>
          <w:lang w:val="en-US"/>
        </w:rPr>
        <w:t>58</w:t>
      </w:r>
      <w:r w:rsidRPr="001C025E">
        <w:rPr>
          <w:noProof/>
          <w:lang w:val="en-US"/>
        </w:rPr>
        <w:t>(2), 273–283. https://doi.org/10.1016/j.neuron.2008.01.025</w:t>
      </w:r>
    </w:p>
    <w:p w14:paraId="65C49E27" w14:textId="23820D8D" w:rsidR="008B43B8" w:rsidRPr="00BD14B0" w:rsidRDefault="003E38F0" w:rsidP="001C025E">
      <w:pPr>
        <w:widowControl w:val="0"/>
        <w:autoSpaceDE w:val="0"/>
        <w:autoSpaceDN w:val="0"/>
        <w:adjustRightInd w:val="0"/>
        <w:ind w:left="480" w:hanging="480"/>
      </w:pPr>
      <w:r w:rsidRPr="00BD14B0">
        <w:fldChar w:fldCharType="end"/>
      </w:r>
    </w:p>
    <w:p w14:paraId="2EB917CE" w14:textId="0DD31387" w:rsidR="008B43B8" w:rsidRPr="00BD14B0" w:rsidRDefault="008B43B8" w:rsidP="00553E01"/>
    <w:p w14:paraId="0E0DBA67" w14:textId="696E170D" w:rsidR="0015082F" w:rsidRPr="00BD14B0" w:rsidRDefault="0015082F" w:rsidP="003E38F0">
      <w:pPr>
        <w:widowControl w:val="0"/>
        <w:autoSpaceDE w:val="0"/>
        <w:autoSpaceDN w:val="0"/>
        <w:adjustRightInd w:val="0"/>
        <w:ind w:left="480" w:hanging="480"/>
      </w:pPr>
    </w:p>
    <w:p w14:paraId="12BD91F2" w14:textId="0D94B7CD" w:rsidR="00072C99" w:rsidRPr="00BD14B0" w:rsidRDefault="00072C99" w:rsidP="00553E01"/>
    <w:p w14:paraId="2B699592" w14:textId="1BA4836D" w:rsidR="00072C99" w:rsidRPr="00BD14B0" w:rsidRDefault="00072C99" w:rsidP="00072C99">
      <w:pPr>
        <w:rPr>
          <w:b/>
          <w:sz w:val="32"/>
          <w:szCs w:val="32"/>
        </w:rPr>
      </w:pPr>
      <w:r w:rsidRPr="00BD14B0">
        <w:rPr>
          <w:b/>
          <w:sz w:val="32"/>
          <w:szCs w:val="32"/>
        </w:rPr>
        <w:t>Appendix A</w:t>
      </w:r>
    </w:p>
    <w:p w14:paraId="0EBE9827" w14:textId="77777777" w:rsidR="00072C99" w:rsidRPr="00BD14B0" w:rsidRDefault="00072C99" w:rsidP="00072C99">
      <w:pPr>
        <w:rPr>
          <w:b/>
          <w:bCs/>
          <w:sz w:val="28"/>
          <w:szCs w:val="28"/>
        </w:rPr>
      </w:pPr>
      <w:r w:rsidRPr="00BD14B0">
        <w:rPr>
          <w:b/>
        </w:rPr>
        <w:lastRenderedPageBreak/>
        <w:t>Ethical approval form for the study 1</w:t>
      </w:r>
      <w:r w:rsidRPr="00BD14B0">
        <w:rPr>
          <w:b/>
          <w:bCs/>
          <w:noProof/>
          <w:sz w:val="28"/>
          <w:szCs w:val="28"/>
        </w:rPr>
        <w:drawing>
          <wp:inline distT="0" distB="0" distL="0" distR="0" wp14:anchorId="4C6DEB11" wp14:editId="2FDFC1A5">
            <wp:extent cx="5467350" cy="7174762"/>
            <wp:effectExtent l="0" t="0" r="0" b="7620"/>
            <wp:docPr id="690751495" name="Picture 690751495" descr="\\stfdata08\home\PC\Pcp13na\ManW7\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fdata08\home\PC\Pcp13na\ManW7\Desktop\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71922" cy="7180762"/>
                    </a:xfrm>
                    <a:prstGeom prst="rect">
                      <a:avLst/>
                    </a:prstGeom>
                    <a:noFill/>
                    <a:ln>
                      <a:noFill/>
                    </a:ln>
                  </pic:spPr>
                </pic:pic>
              </a:graphicData>
            </a:graphic>
          </wp:inline>
        </w:drawing>
      </w:r>
      <w:r w:rsidRPr="00BD14B0">
        <w:rPr>
          <w:b/>
          <w:bCs/>
          <w:noProof/>
          <w:sz w:val="28"/>
          <w:szCs w:val="28"/>
        </w:rPr>
        <w:lastRenderedPageBreak/>
        <w:drawing>
          <wp:inline distT="0" distB="0" distL="0" distR="0" wp14:anchorId="3614A1F2" wp14:editId="509593EF">
            <wp:extent cx="5734050" cy="7439025"/>
            <wp:effectExtent l="0" t="0" r="0" b="9525"/>
            <wp:docPr id="690751496" name="Picture 690751496" descr="\\stfdata08\home\PC\Pcp13na\ManW7\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fdata08\home\PC\Pcp13na\ManW7\Desktop\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4050" cy="7439025"/>
                    </a:xfrm>
                    <a:prstGeom prst="rect">
                      <a:avLst/>
                    </a:prstGeom>
                    <a:noFill/>
                    <a:ln>
                      <a:noFill/>
                    </a:ln>
                  </pic:spPr>
                </pic:pic>
              </a:graphicData>
            </a:graphic>
          </wp:inline>
        </w:drawing>
      </w:r>
      <w:r w:rsidRPr="00BD14B0">
        <w:rPr>
          <w:b/>
          <w:bCs/>
          <w:noProof/>
          <w:sz w:val="28"/>
          <w:szCs w:val="28"/>
        </w:rPr>
        <w:lastRenderedPageBreak/>
        <w:drawing>
          <wp:inline distT="0" distB="0" distL="0" distR="0" wp14:anchorId="15591B8F" wp14:editId="1682E75D">
            <wp:extent cx="5724525" cy="7486650"/>
            <wp:effectExtent l="0" t="0" r="9525" b="0"/>
            <wp:docPr id="690751497" name="Picture 690751497" descr="\\stfdata08\home\PC\Pcp13na\ManW7\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fdata08\home\PC\Pcp13na\ManW7\Desktop\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525" cy="7486650"/>
                    </a:xfrm>
                    <a:prstGeom prst="rect">
                      <a:avLst/>
                    </a:prstGeom>
                    <a:noFill/>
                    <a:ln>
                      <a:noFill/>
                    </a:ln>
                  </pic:spPr>
                </pic:pic>
              </a:graphicData>
            </a:graphic>
          </wp:inline>
        </w:drawing>
      </w:r>
      <w:r w:rsidRPr="00BD14B0">
        <w:rPr>
          <w:b/>
          <w:bCs/>
          <w:noProof/>
          <w:sz w:val="28"/>
          <w:szCs w:val="28"/>
        </w:rPr>
        <w:lastRenderedPageBreak/>
        <w:drawing>
          <wp:inline distT="0" distB="0" distL="0" distR="0" wp14:anchorId="36F286EB" wp14:editId="112EBEB0">
            <wp:extent cx="5734050" cy="7400925"/>
            <wp:effectExtent l="0" t="0" r="0" b="9525"/>
            <wp:docPr id="26" name="Picture 26" descr="\\stfdata08\home\PC\Pcp13na\ManW7\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fdata08\home\PC\Pcp13na\ManW7\Desktop\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4050" cy="7400925"/>
                    </a:xfrm>
                    <a:prstGeom prst="rect">
                      <a:avLst/>
                    </a:prstGeom>
                    <a:noFill/>
                    <a:ln>
                      <a:noFill/>
                    </a:ln>
                  </pic:spPr>
                </pic:pic>
              </a:graphicData>
            </a:graphic>
          </wp:inline>
        </w:drawing>
      </w:r>
    </w:p>
    <w:p w14:paraId="40DFDB79" w14:textId="77777777" w:rsidR="00072C99" w:rsidRPr="00BD14B0" w:rsidRDefault="00072C99" w:rsidP="00072C99"/>
    <w:p w14:paraId="012F964F" w14:textId="77777777" w:rsidR="00072C99" w:rsidRPr="00BD14B0" w:rsidRDefault="00072C99" w:rsidP="00072C99"/>
    <w:p w14:paraId="19A5F2C0" w14:textId="77777777" w:rsidR="00072C99" w:rsidRPr="00BD14B0" w:rsidRDefault="00072C99" w:rsidP="00072C99">
      <w:r w:rsidRPr="00BD14B0">
        <w:rPr>
          <w:noProof/>
        </w:rPr>
        <w:lastRenderedPageBreak/>
        <w:drawing>
          <wp:inline distT="0" distB="0" distL="0" distR="0" wp14:anchorId="49562D32" wp14:editId="0A10A70B">
            <wp:extent cx="5724525" cy="7429500"/>
            <wp:effectExtent l="0" t="0" r="9525" b="0"/>
            <wp:docPr id="6" name="Picture 6" descr="\\stfdata08\home\PC\Pcp13na\ManW7\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fdata08\home\PC\Pcp13na\ManW7\Desktop\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4525" cy="7429500"/>
                    </a:xfrm>
                    <a:prstGeom prst="rect">
                      <a:avLst/>
                    </a:prstGeom>
                    <a:noFill/>
                    <a:ln>
                      <a:noFill/>
                    </a:ln>
                  </pic:spPr>
                </pic:pic>
              </a:graphicData>
            </a:graphic>
          </wp:inline>
        </w:drawing>
      </w:r>
      <w:r w:rsidRPr="00BD14B0">
        <w:rPr>
          <w:noProof/>
        </w:rPr>
        <w:lastRenderedPageBreak/>
        <w:drawing>
          <wp:inline distT="0" distB="0" distL="0" distR="0" wp14:anchorId="3BE4F63C" wp14:editId="59C74033">
            <wp:extent cx="5724525" cy="7477125"/>
            <wp:effectExtent l="0" t="0" r="9525" b="9525"/>
            <wp:docPr id="27" name="Picture 27" descr="\\stfdata08\home\PC\Pcp13na\ManW7\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tfdata08\home\PC\Pcp13na\ManW7\Desktop\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4525" cy="7477125"/>
                    </a:xfrm>
                    <a:prstGeom prst="rect">
                      <a:avLst/>
                    </a:prstGeom>
                    <a:noFill/>
                    <a:ln>
                      <a:noFill/>
                    </a:ln>
                  </pic:spPr>
                </pic:pic>
              </a:graphicData>
            </a:graphic>
          </wp:inline>
        </w:drawing>
      </w:r>
      <w:r w:rsidRPr="00BD14B0">
        <w:rPr>
          <w:noProof/>
        </w:rPr>
        <w:lastRenderedPageBreak/>
        <w:drawing>
          <wp:inline distT="0" distB="0" distL="0" distR="0" wp14:anchorId="4BF6CDA7" wp14:editId="563C5370">
            <wp:extent cx="5724525" cy="7439025"/>
            <wp:effectExtent l="0" t="0" r="9525" b="9525"/>
            <wp:docPr id="690751498" name="Picture 690751498" descr="\\stfdata08\home\PC\Pcp13na\ManW7\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fdata08\home\PC\Pcp13na\ManW7\Desktop\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4525" cy="7439025"/>
                    </a:xfrm>
                    <a:prstGeom prst="rect">
                      <a:avLst/>
                    </a:prstGeom>
                    <a:noFill/>
                    <a:ln>
                      <a:noFill/>
                    </a:ln>
                  </pic:spPr>
                </pic:pic>
              </a:graphicData>
            </a:graphic>
          </wp:inline>
        </w:drawing>
      </w:r>
      <w:r w:rsidRPr="00BD14B0">
        <w:rPr>
          <w:noProof/>
        </w:rPr>
        <w:lastRenderedPageBreak/>
        <w:drawing>
          <wp:inline distT="0" distB="0" distL="0" distR="0" wp14:anchorId="6359CC5F" wp14:editId="07024CCE">
            <wp:extent cx="5724525" cy="7496175"/>
            <wp:effectExtent l="0" t="0" r="9525" b="9525"/>
            <wp:docPr id="28" name="Picture 28" descr="\\stfdata08\home\PC\Pcp13na\ManW7\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fdata08\home\PC\Pcp13na\ManW7\Desktop\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4525" cy="7496175"/>
                    </a:xfrm>
                    <a:prstGeom prst="rect">
                      <a:avLst/>
                    </a:prstGeom>
                    <a:noFill/>
                    <a:ln>
                      <a:noFill/>
                    </a:ln>
                  </pic:spPr>
                </pic:pic>
              </a:graphicData>
            </a:graphic>
          </wp:inline>
        </w:drawing>
      </w:r>
      <w:r w:rsidRPr="00BD14B0">
        <w:rPr>
          <w:noProof/>
        </w:rPr>
        <w:lastRenderedPageBreak/>
        <w:drawing>
          <wp:inline distT="0" distB="0" distL="0" distR="0" wp14:anchorId="7E492AB6" wp14:editId="57F88AF1">
            <wp:extent cx="5734050" cy="7429500"/>
            <wp:effectExtent l="0" t="0" r="0" b="0"/>
            <wp:docPr id="10" name="Picture 10" descr="\\stfdata08\home\PC\Pcp13na\ManW7\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tfdata08\home\PC\Pcp13na\ManW7\Desktop\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4050" cy="7429500"/>
                    </a:xfrm>
                    <a:prstGeom prst="rect">
                      <a:avLst/>
                    </a:prstGeom>
                    <a:noFill/>
                    <a:ln>
                      <a:noFill/>
                    </a:ln>
                  </pic:spPr>
                </pic:pic>
              </a:graphicData>
            </a:graphic>
          </wp:inline>
        </w:drawing>
      </w:r>
    </w:p>
    <w:p w14:paraId="0E5E5D03" w14:textId="77777777" w:rsidR="00072C99" w:rsidRPr="00BD14B0" w:rsidRDefault="00072C99" w:rsidP="00072C99"/>
    <w:p w14:paraId="69D2F915" w14:textId="77777777" w:rsidR="00072C99" w:rsidRPr="00BD14B0" w:rsidRDefault="00072C99" w:rsidP="00072C99"/>
    <w:p w14:paraId="5DAA7A9C" w14:textId="77777777" w:rsidR="00072C99" w:rsidRPr="00BD14B0" w:rsidRDefault="00072C99" w:rsidP="00072C99"/>
    <w:p w14:paraId="702EA6A9" w14:textId="77777777" w:rsidR="00072C99" w:rsidRPr="00BD14B0" w:rsidRDefault="00072C99" w:rsidP="00072C99">
      <w:r w:rsidRPr="00BD14B0">
        <w:rPr>
          <w:noProof/>
        </w:rPr>
        <w:drawing>
          <wp:inline distT="0" distB="0" distL="0" distR="0" wp14:anchorId="74F71F15" wp14:editId="4770592C">
            <wp:extent cx="5724525" cy="7458075"/>
            <wp:effectExtent l="0" t="0" r="9525" b="9525"/>
            <wp:docPr id="690751499" name="Picture 690751499" descr="\\stfdata08\home\PC\Pcp13na\ManW7\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tfdata08\home\PC\Pcp13na\ManW7\Desktop\1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4525" cy="7458075"/>
                    </a:xfrm>
                    <a:prstGeom prst="rect">
                      <a:avLst/>
                    </a:prstGeom>
                    <a:noFill/>
                    <a:ln>
                      <a:noFill/>
                    </a:ln>
                  </pic:spPr>
                </pic:pic>
              </a:graphicData>
            </a:graphic>
          </wp:inline>
        </w:drawing>
      </w:r>
    </w:p>
    <w:p w14:paraId="48BC8220" w14:textId="77777777" w:rsidR="00072C99" w:rsidRPr="00BD14B0" w:rsidRDefault="00072C99" w:rsidP="00072C99"/>
    <w:p w14:paraId="02D8F2A6" w14:textId="77777777" w:rsidR="00072C99" w:rsidRPr="00BD14B0" w:rsidRDefault="00072C99" w:rsidP="00072C99">
      <w:r w:rsidRPr="00BD14B0">
        <w:rPr>
          <w:noProof/>
        </w:rPr>
        <w:lastRenderedPageBreak/>
        <w:drawing>
          <wp:inline distT="0" distB="0" distL="0" distR="0" wp14:anchorId="3C19C03B" wp14:editId="42F069B4">
            <wp:extent cx="5724525" cy="7496175"/>
            <wp:effectExtent l="0" t="0" r="9525" b="9525"/>
            <wp:docPr id="29" name="Picture 29" descr="\\stfdata08\home\PC\Pcp13na\ManW7\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tfdata08\home\PC\Pcp13na\ManW7\Desktop\1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4525" cy="7496175"/>
                    </a:xfrm>
                    <a:prstGeom prst="rect">
                      <a:avLst/>
                    </a:prstGeom>
                    <a:noFill/>
                    <a:ln>
                      <a:noFill/>
                    </a:ln>
                  </pic:spPr>
                </pic:pic>
              </a:graphicData>
            </a:graphic>
          </wp:inline>
        </w:drawing>
      </w:r>
    </w:p>
    <w:p w14:paraId="57E188CB" w14:textId="77777777" w:rsidR="00072C99" w:rsidRPr="00BD14B0" w:rsidRDefault="00072C99" w:rsidP="00072C99"/>
    <w:p w14:paraId="0249C053" w14:textId="77777777" w:rsidR="00072C99" w:rsidRPr="00BD14B0" w:rsidRDefault="00072C99" w:rsidP="00072C99"/>
    <w:p w14:paraId="221B58F5" w14:textId="77777777" w:rsidR="00072C99" w:rsidRPr="00BD14B0" w:rsidRDefault="00072C99" w:rsidP="00072C99"/>
    <w:p w14:paraId="7512C17B" w14:textId="64D93B4D" w:rsidR="00072C99" w:rsidRPr="00BD14B0" w:rsidRDefault="000E2705" w:rsidP="00072C99">
      <w:r w:rsidRPr="00CA40C1">
        <w:rPr>
          <w:noProof/>
        </w:rPr>
        <w:object w:dxaOrig="4320" w:dyaOrig="4320" w14:anchorId="7B4711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ext, application, letter&#13;&#13;&#13;&#13;&#13;&#13;&#13;&#13;&#13;&#13;&#13;&#13;&#13;&#13;&#13;&#13;&#13;&#13;&#13;&#13;&#13;&#13;&#13;&#13;&#13;&#13;&#13;&#13;&#13;&#13;&#13;&#13;&#13;&#13;&#13;&#13;&#13;&#13;&#13;&#13;&#13;&#13;&#13;&#13;&#13;&#13;&#13;&#13;&#13;&#13;&#13;&#13;&#10;&#13;&#13;&#13;&#13;&#13;&#13;&#13;&#13;&#13;&#13;&#13;&#13;&#13;&#13;&#13;&#13;&#13;&#13;&#13;&#13;&#13;&#13;&#13;&#13;&#13;&#13;&#13;&#13;&#13;&#13;&#13;&#13;&#13;&#13;&#13;&#13;&#13;&#13;&#13;&#13;&#13;&#13;&#13;&#13;&#13;&#13;&#13;&#13;&#13;&#13;&#13;&#13;&#10;Description automatically generated" style="width:453.15pt;height:569.75pt;mso-width-percent:0;mso-height-percent:0;mso-width-percent:0;mso-height-percent:0" o:ole="">
            <v:imagedata r:id="rId52" o:title=""/>
          </v:shape>
          <o:OLEObject Type="Embed" ProgID="FoxitReader.Document" ShapeID="_x0000_i1025" DrawAspect="Content" ObjectID="_1723281446" r:id="rId53"/>
        </w:object>
      </w:r>
    </w:p>
    <w:p w14:paraId="6B958165" w14:textId="77777777" w:rsidR="00072C99" w:rsidRPr="00BD14B0" w:rsidRDefault="00072C99" w:rsidP="00072C99"/>
    <w:p w14:paraId="6191E751" w14:textId="77777777" w:rsidR="00072C99" w:rsidRPr="00BD14B0" w:rsidRDefault="00072C99" w:rsidP="00072C99">
      <w:pPr>
        <w:rPr>
          <w:b/>
        </w:rPr>
      </w:pPr>
      <w:r w:rsidRPr="00BD14B0">
        <w:rPr>
          <w:b/>
        </w:rPr>
        <w:lastRenderedPageBreak/>
        <w:t>Recruitment e-mail for stimuli preparation study</w:t>
      </w:r>
    </w:p>
    <w:p w14:paraId="3563F05C" w14:textId="77777777" w:rsidR="00072C99" w:rsidRPr="00BD14B0" w:rsidRDefault="00072C99" w:rsidP="00072C99">
      <w:r w:rsidRPr="00BD14B0">
        <w:rPr>
          <w:noProof/>
        </w:rPr>
        <w:drawing>
          <wp:inline distT="0" distB="0" distL="0" distR="0" wp14:anchorId="54F47D7D" wp14:editId="427EFA94">
            <wp:extent cx="5724525" cy="7439025"/>
            <wp:effectExtent l="0" t="0" r="9525" b="9525"/>
            <wp:docPr id="31" name="Picture 31" descr="\\stfdata08\home\PC\Pcp13na\ManW7\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tfdata08\home\PC\Pcp13na\ManW7\Desktop\1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4525" cy="7439025"/>
                    </a:xfrm>
                    <a:prstGeom prst="rect">
                      <a:avLst/>
                    </a:prstGeom>
                    <a:noFill/>
                    <a:ln>
                      <a:noFill/>
                    </a:ln>
                  </pic:spPr>
                </pic:pic>
              </a:graphicData>
            </a:graphic>
          </wp:inline>
        </w:drawing>
      </w:r>
    </w:p>
    <w:p w14:paraId="2830CA75" w14:textId="77777777" w:rsidR="00072C99" w:rsidRPr="00BD14B0" w:rsidRDefault="00072C99" w:rsidP="00072C99"/>
    <w:p w14:paraId="3FB32611" w14:textId="77777777" w:rsidR="00072C99" w:rsidRPr="00BD14B0" w:rsidRDefault="00072C99" w:rsidP="00072C99">
      <w:r w:rsidRPr="00BD14B0">
        <w:rPr>
          <w:b/>
        </w:rPr>
        <w:lastRenderedPageBreak/>
        <w:t>Recruitment e-mail for the behavioural study</w:t>
      </w:r>
      <w:r w:rsidRPr="00BD14B0">
        <w:rPr>
          <w:noProof/>
        </w:rPr>
        <w:drawing>
          <wp:inline distT="0" distB="0" distL="0" distR="0" wp14:anchorId="1C5FD543" wp14:editId="2385287C">
            <wp:extent cx="5724525" cy="7477125"/>
            <wp:effectExtent l="0" t="0" r="9525" b="9525"/>
            <wp:docPr id="32" name="Picture 32" descr="\\stfdata08\home\PC\Pcp13na\ManW7\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tfdata08\home\PC\Pcp13na\ManW7\Desktop\1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4525" cy="7477125"/>
                    </a:xfrm>
                    <a:prstGeom prst="rect">
                      <a:avLst/>
                    </a:prstGeom>
                    <a:noFill/>
                    <a:ln>
                      <a:noFill/>
                    </a:ln>
                  </pic:spPr>
                </pic:pic>
              </a:graphicData>
            </a:graphic>
          </wp:inline>
        </w:drawing>
      </w:r>
    </w:p>
    <w:p w14:paraId="56C825ED" w14:textId="77777777" w:rsidR="00072C99" w:rsidRPr="00BD14B0" w:rsidRDefault="00072C99" w:rsidP="00072C99"/>
    <w:p w14:paraId="13FA7990" w14:textId="2CB0C999" w:rsidR="00072C99" w:rsidRPr="00BD14B0" w:rsidRDefault="00072C99" w:rsidP="00072C99">
      <w:pPr>
        <w:rPr>
          <w:b/>
        </w:rPr>
      </w:pPr>
      <w:proofErr w:type="spellStart"/>
      <w:r w:rsidRPr="00BD14B0">
        <w:rPr>
          <w:b/>
        </w:rPr>
        <w:lastRenderedPageBreak/>
        <w:t>Informaton</w:t>
      </w:r>
      <w:proofErr w:type="spellEnd"/>
      <w:r w:rsidRPr="00BD14B0">
        <w:rPr>
          <w:b/>
        </w:rPr>
        <w:t xml:space="preserve"> sheet for study 1:</w:t>
      </w:r>
    </w:p>
    <w:p w14:paraId="0B163899" w14:textId="77777777" w:rsidR="00072C99" w:rsidRPr="00BD14B0" w:rsidRDefault="00072C99" w:rsidP="00072C99">
      <w:r w:rsidRPr="00BD14B0">
        <w:rPr>
          <w:noProof/>
        </w:rPr>
        <w:drawing>
          <wp:inline distT="0" distB="0" distL="0" distR="0" wp14:anchorId="466ED8EA" wp14:editId="258467DE">
            <wp:extent cx="5724525" cy="7429500"/>
            <wp:effectExtent l="0" t="0" r="9525" b="0"/>
            <wp:docPr id="15" name="Picture 15" descr="\\stfdata08\home\PC\Pcp13na\ManW7\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fdata08\home\PC\Pcp13na\ManW7\Desktop\1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4525" cy="7429500"/>
                    </a:xfrm>
                    <a:prstGeom prst="rect">
                      <a:avLst/>
                    </a:prstGeom>
                    <a:noFill/>
                    <a:ln>
                      <a:noFill/>
                    </a:ln>
                  </pic:spPr>
                </pic:pic>
              </a:graphicData>
            </a:graphic>
          </wp:inline>
        </w:drawing>
      </w:r>
    </w:p>
    <w:p w14:paraId="6E85EA4B" w14:textId="77777777" w:rsidR="00072C99" w:rsidRPr="00BD14B0" w:rsidRDefault="00072C99" w:rsidP="00072C99"/>
    <w:p w14:paraId="46E6B044" w14:textId="77777777" w:rsidR="00072C99" w:rsidRPr="00BD14B0" w:rsidRDefault="00072C99" w:rsidP="00072C99"/>
    <w:p w14:paraId="1B04F8D2" w14:textId="77777777" w:rsidR="00072C99" w:rsidRPr="00BD14B0" w:rsidRDefault="00072C99" w:rsidP="00072C99">
      <w:r w:rsidRPr="00BD14B0">
        <w:rPr>
          <w:noProof/>
        </w:rPr>
        <w:drawing>
          <wp:inline distT="0" distB="0" distL="0" distR="0" wp14:anchorId="639187D6" wp14:editId="611514ED">
            <wp:extent cx="5724525" cy="7419975"/>
            <wp:effectExtent l="0" t="0" r="9525" b="9525"/>
            <wp:docPr id="33" name="Picture 33" descr="\\stfdata08\home\PC\Pcp13na\ManW7\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tfdata08\home\PC\Pcp13na\ManW7\Desktop\1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4525" cy="7419975"/>
                    </a:xfrm>
                    <a:prstGeom prst="rect">
                      <a:avLst/>
                    </a:prstGeom>
                    <a:noFill/>
                    <a:ln>
                      <a:noFill/>
                    </a:ln>
                  </pic:spPr>
                </pic:pic>
              </a:graphicData>
            </a:graphic>
          </wp:inline>
        </w:drawing>
      </w:r>
    </w:p>
    <w:p w14:paraId="28CA5B25" w14:textId="77777777" w:rsidR="00072C99" w:rsidRPr="00BD14B0" w:rsidRDefault="00072C99" w:rsidP="00072C99"/>
    <w:p w14:paraId="1D42D8CA" w14:textId="77777777" w:rsidR="00072C99" w:rsidRPr="00BD14B0" w:rsidRDefault="00072C99" w:rsidP="00072C99">
      <w:pPr>
        <w:rPr>
          <w:b/>
        </w:rPr>
      </w:pPr>
      <w:r w:rsidRPr="00BD14B0">
        <w:rPr>
          <w:b/>
        </w:rPr>
        <w:lastRenderedPageBreak/>
        <w:t>Consent form for study 1</w:t>
      </w:r>
    </w:p>
    <w:p w14:paraId="28837608" w14:textId="77777777" w:rsidR="00072C99" w:rsidRPr="00BD14B0" w:rsidRDefault="00072C99" w:rsidP="00072C99">
      <w:r w:rsidRPr="00BD14B0">
        <w:rPr>
          <w:noProof/>
        </w:rPr>
        <w:drawing>
          <wp:inline distT="0" distB="0" distL="0" distR="0" wp14:anchorId="00D0AF6E" wp14:editId="60E6AE94">
            <wp:extent cx="5734050" cy="7448550"/>
            <wp:effectExtent l="0" t="0" r="0" b="0"/>
            <wp:docPr id="34" name="Picture 34" descr="\\stfdata08\home\PC\Pcp13na\ManW7\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fdata08\home\PC\Pcp13na\ManW7\Desktop\1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4050" cy="7448550"/>
                    </a:xfrm>
                    <a:prstGeom prst="rect">
                      <a:avLst/>
                    </a:prstGeom>
                    <a:noFill/>
                    <a:ln>
                      <a:noFill/>
                    </a:ln>
                  </pic:spPr>
                </pic:pic>
              </a:graphicData>
            </a:graphic>
          </wp:inline>
        </w:drawing>
      </w:r>
    </w:p>
    <w:p w14:paraId="5653D0AB" w14:textId="77777777" w:rsidR="00072C99" w:rsidRPr="00BD14B0" w:rsidRDefault="00072C99" w:rsidP="00072C99"/>
    <w:p w14:paraId="08E602C6" w14:textId="667E818F" w:rsidR="00072C99" w:rsidRPr="00BD14B0" w:rsidRDefault="00072C99" w:rsidP="00072C99">
      <w:pPr>
        <w:rPr>
          <w:b/>
        </w:rPr>
      </w:pPr>
      <w:r w:rsidRPr="00BD14B0">
        <w:rPr>
          <w:b/>
        </w:rPr>
        <w:lastRenderedPageBreak/>
        <w:t xml:space="preserve">Demographic </w:t>
      </w:r>
      <w:r w:rsidR="00AB593F" w:rsidRPr="00BD14B0">
        <w:rPr>
          <w:b/>
        </w:rPr>
        <w:t>information</w:t>
      </w:r>
      <w:r w:rsidRPr="00BD14B0">
        <w:rPr>
          <w:b/>
        </w:rPr>
        <w:t xml:space="preserve"> form for behavioural study from Chapter 2</w:t>
      </w:r>
    </w:p>
    <w:p w14:paraId="417A0E93" w14:textId="1E3D4B3B" w:rsidR="00072C99" w:rsidRPr="00BD14B0" w:rsidRDefault="00072C99" w:rsidP="00072C99">
      <w:r w:rsidRPr="00BD14B0">
        <w:rPr>
          <w:noProof/>
        </w:rPr>
        <w:drawing>
          <wp:inline distT="0" distB="0" distL="0" distR="0" wp14:anchorId="0CC456A3" wp14:editId="633C553F">
            <wp:extent cx="5730875" cy="7400290"/>
            <wp:effectExtent l="0" t="0" r="3175" b="0"/>
            <wp:docPr id="35" name="Picture 35" descr="\\stfdata08\home\PC\Pcp13na\ManW7\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fdata08\home\PC\Pcp13na\ManW7\Desktop\1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0875" cy="7400290"/>
                    </a:xfrm>
                    <a:prstGeom prst="rect">
                      <a:avLst/>
                    </a:prstGeom>
                    <a:noFill/>
                    <a:ln>
                      <a:noFill/>
                    </a:ln>
                  </pic:spPr>
                </pic:pic>
              </a:graphicData>
            </a:graphic>
          </wp:inline>
        </w:drawing>
      </w:r>
    </w:p>
    <w:p w14:paraId="028E00B0" w14:textId="77777777" w:rsidR="00072C99" w:rsidRPr="00BD14B0" w:rsidRDefault="00072C99" w:rsidP="00072C99">
      <w:r w:rsidRPr="00BD14B0">
        <w:rPr>
          <w:b/>
        </w:rPr>
        <w:lastRenderedPageBreak/>
        <w:t>Debriefing form for behavioural study</w:t>
      </w:r>
      <w:r w:rsidRPr="00BD14B0">
        <w:rPr>
          <w:noProof/>
        </w:rPr>
        <w:drawing>
          <wp:inline distT="0" distB="0" distL="0" distR="0" wp14:anchorId="1C9F4E45" wp14:editId="268A74A0">
            <wp:extent cx="5730875" cy="7453630"/>
            <wp:effectExtent l="0" t="0" r="3175" b="0"/>
            <wp:docPr id="19" name="Picture 19" descr="\\stfdata08\home\PC\Pcp13na\ManW7\Desk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fdata08\home\PC\Pcp13na\ManW7\Desktop\1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0875" cy="7453630"/>
                    </a:xfrm>
                    <a:prstGeom prst="rect">
                      <a:avLst/>
                    </a:prstGeom>
                    <a:noFill/>
                    <a:ln>
                      <a:noFill/>
                    </a:ln>
                  </pic:spPr>
                </pic:pic>
              </a:graphicData>
            </a:graphic>
          </wp:inline>
        </w:drawing>
      </w:r>
    </w:p>
    <w:p w14:paraId="7211931A" w14:textId="77777777" w:rsidR="00072C99" w:rsidRPr="00BD14B0" w:rsidRDefault="00072C99" w:rsidP="00072C99"/>
    <w:p w14:paraId="27454C0D" w14:textId="77777777" w:rsidR="00072C99" w:rsidRPr="00BD14B0" w:rsidRDefault="00072C99" w:rsidP="00072C99">
      <w:pPr>
        <w:rPr>
          <w:b/>
        </w:rPr>
      </w:pPr>
      <w:r w:rsidRPr="00BD14B0">
        <w:rPr>
          <w:b/>
        </w:rPr>
        <w:lastRenderedPageBreak/>
        <w:t>Questionnaire from online study</w:t>
      </w:r>
    </w:p>
    <w:p w14:paraId="28834F16" w14:textId="77777777" w:rsidR="00072C99" w:rsidRPr="00BD14B0" w:rsidRDefault="00072C99" w:rsidP="00072C99"/>
    <w:p w14:paraId="507DD9F4" w14:textId="77777777" w:rsidR="00072C99" w:rsidRPr="00BD14B0" w:rsidRDefault="00072C99" w:rsidP="00072C99">
      <w:r w:rsidRPr="00BD14B0">
        <w:rPr>
          <w:noProof/>
        </w:rPr>
        <w:drawing>
          <wp:inline distT="0" distB="0" distL="0" distR="0" wp14:anchorId="28A8E383" wp14:editId="722CD3B5">
            <wp:extent cx="4370070" cy="5082540"/>
            <wp:effectExtent l="0" t="0" r="0" b="3810"/>
            <wp:docPr id="36" name="Picture 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0070" cy="5082540"/>
                    </a:xfrm>
                    <a:prstGeom prst="rect">
                      <a:avLst/>
                    </a:prstGeom>
                    <a:noFill/>
                    <a:ln>
                      <a:noFill/>
                    </a:ln>
                  </pic:spPr>
                </pic:pic>
              </a:graphicData>
            </a:graphic>
          </wp:inline>
        </w:drawing>
      </w:r>
    </w:p>
    <w:p w14:paraId="071F531D" w14:textId="77777777" w:rsidR="00072C99" w:rsidRPr="00BD14B0" w:rsidRDefault="00072C99" w:rsidP="00072C99"/>
    <w:p w14:paraId="57C44179" w14:textId="77777777" w:rsidR="00072C99" w:rsidRPr="00BD14B0" w:rsidRDefault="00072C99" w:rsidP="00072C99"/>
    <w:p w14:paraId="1F1092CE" w14:textId="77777777" w:rsidR="00072C99" w:rsidRPr="00BD14B0" w:rsidRDefault="00072C99" w:rsidP="00072C99"/>
    <w:p w14:paraId="59DCA620" w14:textId="77777777" w:rsidR="00072C99" w:rsidRPr="00BD14B0" w:rsidRDefault="00072C99" w:rsidP="00072C99"/>
    <w:p w14:paraId="00DE09CC" w14:textId="77777777" w:rsidR="00072C99" w:rsidRPr="00BD14B0" w:rsidRDefault="00072C99" w:rsidP="00072C99"/>
    <w:p w14:paraId="612A875D" w14:textId="77777777" w:rsidR="00072C99" w:rsidRPr="00BD14B0" w:rsidRDefault="00072C99" w:rsidP="00072C99"/>
    <w:p w14:paraId="56A25CD0" w14:textId="77777777" w:rsidR="00072C99" w:rsidRPr="00BD14B0" w:rsidRDefault="00072C99" w:rsidP="00072C99"/>
    <w:p w14:paraId="26E71BEC" w14:textId="18877B91" w:rsidR="00072C99" w:rsidRPr="00BD14B0" w:rsidRDefault="00072C99" w:rsidP="00072C99">
      <w:pPr>
        <w:rPr>
          <w:b/>
          <w:sz w:val="32"/>
          <w:szCs w:val="32"/>
        </w:rPr>
      </w:pPr>
      <w:r w:rsidRPr="00BD14B0">
        <w:rPr>
          <w:b/>
          <w:sz w:val="32"/>
          <w:szCs w:val="32"/>
        </w:rPr>
        <w:lastRenderedPageBreak/>
        <w:t>Appendix B</w:t>
      </w:r>
    </w:p>
    <w:p w14:paraId="0B26E1B6" w14:textId="77777777" w:rsidR="00072C99" w:rsidRPr="00BD14B0" w:rsidRDefault="00072C99" w:rsidP="00072C99">
      <w:r w:rsidRPr="00BD14B0">
        <w:rPr>
          <w:b/>
        </w:rPr>
        <w:t>Ethical approval for study 2</w:t>
      </w:r>
      <w:r w:rsidRPr="00BD14B0">
        <w:rPr>
          <w:noProof/>
        </w:rPr>
        <w:drawing>
          <wp:inline distT="0" distB="0" distL="0" distR="0" wp14:anchorId="5EE5749D" wp14:editId="23B78F37">
            <wp:extent cx="5029200" cy="7134225"/>
            <wp:effectExtent l="0" t="0" r="0" b="9525"/>
            <wp:docPr id="30727" name="Picture 30727" descr="Approval Letter-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pproval Letter-page-00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29200" cy="7134225"/>
                    </a:xfrm>
                    <a:prstGeom prst="rect">
                      <a:avLst/>
                    </a:prstGeom>
                    <a:noFill/>
                    <a:ln>
                      <a:noFill/>
                    </a:ln>
                  </pic:spPr>
                </pic:pic>
              </a:graphicData>
            </a:graphic>
          </wp:inline>
        </w:drawing>
      </w:r>
    </w:p>
    <w:p w14:paraId="6DADC6B3" w14:textId="77777777" w:rsidR="00072C99" w:rsidRPr="00BD14B0" w:rsidRDefault="00072C99" w:rsidP="00072C99">
      <w:pPr>
        <w:rPr>
          <w:b/>
        </w:rPr>
      </w:pPr>
    </w:p>
    <w:p w14:paraId="3EACBB16" w14:textId="77777777" w:rsidR="00072C99" w:rsidRPr="00BD14B0" w:rsidRDefault="00072C99" w:rsidP="00072C99">
      <w:pPr>
        <w:rPr>
          <w:b/>
        </w:rPr>
      </w:pPr>
      <w:r w:rsidRPr="00BD14B0">
        <w:rPr>
          <w:b/>
        </w:rPr>
        <w:lastRenderedPageBreak/>
        <w:t>Information sheet for study 2</w:t>
      </w:r>
    </w:p>
    <w:p w14:paraId="039210CA" w14:textId="77777777" w:rsidR="00072C99" w:rsidRPr="00BD14B0" w:rsidRDefault="00072C99" w:rsidP="00072C99">
      <w:r w:rsidRPr="00BD14B0">
        <w:rPr>
          <w:noProof/>
        </w:rPr>
        <w:drawing>
          <wp:inline distT="0" distB="0" distL="0" distR="0" wp14:anchorId="53FE0533" wp14:editId="531A55A9">
            <wp:extent cx="5210175" cy="7410450"/>
            <wp:effectExtent l="0" t="0" r="9525" b="0"/>
            <wp:docPr id="30726" name="Picture 30726" descr="infostudy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nfostudy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10175" cy="7410450"/>
                    </a:xfrm>
                    <a:prstGeom prst="rect">
                      <a:avLst/>
                    </a:prstGeom>
                    <a:noFill/>
                    <a:ln>
                      <a:noFill/>
                    </a:ln>
                  </pic:spPr>
                </pic:pic>
              </a:graphicData>
            </a:graphic>
          </wp:inline>
        </w:drawing>
      </w:r>
    </w:p>
    <w:p w14:paraId="159AC80A" w14:textId="77777777" w:rsidR="00072C99" w:rsidRPr="00BD14B0" w:rsidRDefault="00072C99" w:rsidP="00072C99"/>
    <w:p w14:paraId="6DF8D304" w14:textId="77777777" w:rsidR="00072C99" w:rsidRPr="00BD14B0" w:rsidRDefault="00072C99" w:rsidP="00072C99"/>
    <w:p w14:paraId="606A2E7A" w14:textId="209C31E9" w:rsidR="00072C99" w:rsidRPr="00BD14B0" w:rsidRDefault="00072C99" w:rsidP="00072C99">
      <w:r w:rsidRPr="00BD14B0">
        <w:rPr>
          <w:noProof/>
        </w:rPr>
        <w:drawing>
          <wp:inline distT="0" distB="0" distL="0" distR="0" wp14:anchorId="34550FF5" wp14:editId="3E52027F">
            <wp:extent cx="5305425" cy="7496175"/>
            <wp:effectExtent l="0" t="0" r="9525" b="9525"/>
            <wp:docPr id="30725" name="Picture 30725" descr="infostudy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nfostudy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05425" cy="7496175"/>
                    </a:xfrm>
                    <a:prstGeom prst="rect">
                      <a:avLst/>
                    </a:prstGeom>
                    <a:noFill/>
                    <a:ln>
                      <a:noFill/>
                    </a:ln>
                  </pic:spPr>
                </pic:pic>
              </a:graphicData>
            </a:graphic>
          </wp:inline>
        </w:drawing>
      </w:r>
    </w:p>
    <w:p w14:paraId="237F229D" w14:textId="77777777" w:rsidR="00106B3C" w:rsidRPr="00BD14B0" w:rsidRDefault="00106B3C" w:rsidP="00072C99">
      <w:pPr>
        <w:rPr>
          <w:b/>
        </w:rPr>
      </w:pPr>
    </w:p>
    <w:p w14:paraId="6485DBFB" w14:textId="3D5C92F9" w:rsidR="00072C99" w:rsidRPr="00BD14B0" w:rsidRDefault="00072C99" w:rsidP="00072C99">
      <w:pPr>
        <w:rPr>
          <w:b/>
        </w:rPr>
      </w:pPr>
      <w:r w:rsidRPr="00BD14B0">
        <w:rPr>
          <w:b/>
        </w:rPr>
        <w:lastRenderedPageBreak/>
        <w:t>Debriefing form for study 2</w:t>
      </w:r>
    </w:p>
    <w:p w14:paraId="4F3D2EFD" w14:textId="1AC8B8D1" w:rsidR="00072C99" w:rsidRPr="00BD14B0" w:rsidRDefault="00072C99" w:rsidP="00072C99">
      <w:r w:rsidRPr="00BD14B0">
        <w:rPr>
          <w:noProof/>
        </w:rPr>
        <w:drawing>
          <wp:inline distT="0" distB="0" distL="0" distR="0" wp14:anchorId="6B368977" wp14:editId="26449770">
            <wp:extent cx="5210175" cy="7410450"/>
            <wp:effectExtent l="0" t="0" r="9525" b="0"/>
            <wp:docPr id="30722" name="Picture 30722" descr="debrifingstud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brifingstudy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10175" cy="7410450"/>
                    </a:xfrm>
                    <a:prstGeom prst="rect">
                      <a:avLst/>
                    </a:prstGeom>
                    <a:noFill/>
                    <a:ln>
                      <a:noFill/>
                    </a:ln>
                  </pic:spPr>
                </pic:pic>
              </a:graphicData>
            </a:graphic>
          </wp:inline>
        </w:drawing>
      </w:r>
    </w:p>
    <w:p w14:paraId="0736CF36" w14:textId="77777777" w:rsidR="00AB593F" w:rsidRPr="00BD14B0" w:rsidRDefault="00AB593F" w:rsidP="00072C99">
      <w:pPr>
        <w:rPr>
          <w:b/>
        </w:rPr>
      </w:pPr>
    </w:p>
    <w:p w14:paraId="79408330" w14:textId="23336F05" w:rsidR="00072C99" w:rsidRPr="00BD14B0" w:rsidRDefault="00072C99" w:rsidP="00072C99">
      <w:pPr>
        <w:rPr>
          <w:b/>
        </w:rPr>
      </w:pPr>
      <w:r w:rsidRPr="00BD14B0">
        <w:rPr>
          <w:b/>
        </w:rPr>
        <w:lastRenderedPageBreak/>
        <w:t>Consent form study 2</w:t>
      </w:r>
    </w:p>
    <w:p w14:paraId="003F02DA" w14:textId="77777777" w:rsidR="00072C99" w:rsidRPr="00BD14B0" w:rsidRDefault="00072C99" w:rsidP="00072C99">
      <w:pPr>
        <w:rPr>
          <w:b/>
        </w:rPr>
      </w:pPr>
    </w:p>
    <w:p w14:paraId="0C5D15E7" w14:textId="77777777" w:rsidR="00072C99" w:rsidRPr="00BD14B0" w:rsidRDefault="00072C99" w:rsidP="00072C99">
      <w:pPr>
        <w:rPr>
          <w:b/>
        </w:rPr>
      </w:pPr>
      <w:r w:rsidRPr="00BD14B0">
        <w:rPr>
          <w:b/>
          <w:noProof/>
        </w:rPr>
        <w:drawing>
          <wp:inline distT="0" distB="0" distL="0" distR="0" wp14:anchorId="30726B3F" wp14:editId="30891546">
            <wp:extent cx="6080166" cy="6899008"/>
            <wp:effectExtent l="0" t="0" r="0" b="0"/>
            <wp:docPr id="37" name="Picture 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7088" cy="6940902"/>
                    </a:xfrm>
                    <a:prstGeom prst="rect">
                      <a:avLst/>
                    </a:prstGeom>
                    <a:noFill/>
                    <a:ln>
                      <a:noFill/>
                    </a:ln>
                  </pic:spPr>
                </pic:pic>
              </a:graphicData>
            </a:graphic>
          </wp:inline>
        </w:drawing>
      </w:r>
    </w:p>
    <w:p w14:paraId="1BEBD5C1" w14:textId="77777777" w:rsidR="00AB593F" w:rsidRPr="00BD14B0" w:rsidRDefault="00AB593F" w:rsidP="00072C99">
      <w:pPr>
        <w:rPr>
          <w:b/>
        </w:rPr>
      </w:pPr>
    </w:p>
    <w:p w14:paraId="6A891049" w14:textId="19787BD7" w:rsidR="00072C99" w:rsidRPr="00BD14B0" w:rsidRDefault="00072C99" w:rsidP="00072C99">
      <w:pPr>
        <w:rPr>
          <w:b/>
        </w:rPr>
      </w:pPr>
      <w:r w:rsidRPr="00BD14B0">
        <w:rPr>
          <w:b/>
        </w:rPr>
        <w:lastRenderedPageBreak/>
        <w:t>Priming ta</w:t>
      </w:r>
      <w:r w:rsidR="00AB593F" w:rsidRPr="00BD14B0">
        <w:rPr>
          <w:b/>
        </w:rPr>
        <w:t>s</w:t>
      </w:r>
      <w:r w:rsidRPr="00BD14B0">
        <w:rPr>
          <w:b/>
        </w:rPr>
        <w:t>k participants’ writings</w:t>
      </w:r>
    </w:p>
    <w:p w14:paraId="2742A5E6" w14:textId="77777777" w:rsidR="00072C99" w:rsidRPr="00BD14B0" w:rsidRDefault="00072C99" w:rsidP="00072C99">
      <w:r w:rsidRPr="00BD14B0">
        <w:rPr>
          <w:noProof/>
        </w:rPr>
        <w:drawing>
          <wp:inline distT="0" distB="0" distL="0" distR="0" wp14:anchorId="1601D98D" wp14:editId="1E48B340">
            <wp:extent cx="5370749" cy="7708605"/>
            <wp:effectExtent l="0" t="0" r="1905" b="635"/>
            <wp:docPr id="30721" name="Picture 30721" descr="1-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page-00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81087" cy="7723443"/>
                    </a:xfrm>
                    <a:prstGeom prst="rect">
                      <a:avLst/>
                    </a:prstGeom>
                    <a:noFill/>
                    <a:ln>
                      <a:noFill/>
                    </a:ln>
                  </pic:spPr>
                </pic:pic>
              </a:graphicData>
            </a:graphic>
          </wp:inline>
        </w:drawing>
      </w:r>
    </w:p>
    <w:p w14:paraId="22155E46" w14:textId="66116A9A" w:rsidR="00072C99" w:rsidRPr="00BD14B0" w:rsidRDefault="00072C99" w:rsidP="00072C99">
      <w:r w:rsidRPr="00BD14B0">
        <w:rPr>
          <w:noProof/>
        </w:rPr>
        <w:lastRenderedPageBreak/>
        <w:drawing>
          <wp:inline distT="0" distB="0" distL="0" distR="0" wp14:anchorId="0960D4E2" wp14:editId="62D389D0">
            <wp:extent cx="5667375" cy="8134350"/>
            <wp:effectExtent l="0" t="0" r="9525" b="0"/>
            <wp:docPr id="30720" name="Picture 30720" descr="2-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page-00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1010E6A3" w14:textId="4533734E" w:rsidR="00072C99" w:rsidRPr="00BD14B0" w:rsidRDefault="00072C99" w:rsidP="00072C99">
      <w:r w:rsidRPr="00BD14B0">
        <w:rPr>
          <w:noProof/>
        </w:rPr>
        <w:lastRenderedPageBreak/>
        <w:drawing>
          <wp:inline distT="0" distB="0" distL="0" distR="0" wp14:anchorId="685AD4BD" wp14:editId="7FA0513D">
            <wp:extent cx="5667375" cy="8134350"/>
            <wp:effectExtent l="0" t="0" r="9525" b="0"/>
            <wp:docPr id="7199" name="Picture 7199" descr="3-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page-00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B067305" w14:textId="61DB5D9C" w:rsidR="00072C99" w:rsidRPr="00BD14B0" w:rsidRDefault="00072C99" w:rsidP="00072C99">
      <w:r w:rsidRPr="00BD14B0">
        <w:rPr>
          <w:noProof/>
        </w:rPr>
        <w:lastRenderedPageBreak/>
        <w:drawing>
          <wp:inline distT="0" distB="0" distL="0" distR="0" wp14:anchorId="445997A8" wp14:editId="3C1BE3AB">
            <wp:extent cx="5667375" cy="8134350"/>
            <wp:effectExtent l="0" t="0" r="9525" b="0"/>
            <wp:docPr id="7198" name="Picture 7198" descr="4-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4-page-0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470C9505" w14:textId="37A3278D" w:rsidR="00072C99" w:rsidRPr="00BD14B0" w:rsidRDefault="00072C99" w:rsidP="00072C99">
      <w:r w:rsidRPr="00BD14B0">
        <w:rPr>
          <w:noProof/>
        </w:rPr>
        <w:lastRenderedPageBreak/>
        <w:drawing>
          <wp:inline distT="0" distB="0" distL="0" distR="0" wp14:anchorId="14F9F695" wp14:editId="54757557">
            <wp:extent cx="5667375" cy="8134350"/>
            <wp:effectExtent l="0" t="0" r="9525" b="0"/>
            <wp:docPr id="7197" name="Picture 7197" descr="5-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page-0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48BDBEB4" w14:textId="77777777" w:rsidR="00072C99" w:rsidRPr="00BD14B0" w:rsidRDefault="00072C99" w:rsidP="00072C99">
      <w:r w:rsidRPr="00BD14B0">
        <w:rPr>
          <w:noProof/>
        </w:rPr>
        <w:lastRenderedPageBreak/>
        <w:drawing>
          <wp:inline distT="0" distB="0" distL="0" distR="0" wp14:anchorId="392361D3" wp14:editId="1D6C9F9D">
            <wp:extent cx="5667375" cy="8134350"/>
            <wp:effectExtent l="0" t="0" r="9525" b="0"/>
            <wp:docPr id="7196" name="Picture 7196" descr="6-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6-page-00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3249C9B8" w14:textId="77777777" w:rsidR="00072C99" w:rsidRPr="00BD14B0" w:rsidRDefault="00072C99" w:rsidP="00072C99">
      <w:r w:rsidRPr="00BD14B0">
        <w:rPr>
          <w:noProof/>
        </w:rPr>
        <w:lastRenderedPageBreak/>
        <w:drawing>
          <wp:inline distT="0" distB="0" distL="0" distR="0" wp14:anchorId="6B341A35" wp14:editId="48DE4ABB">
            <wp:extent cx="5667375" cy="8134350"/>
            <wp:effectExtent l="0" t="0" r="9525" b="0"/>
            <wp:docPr id="7195" name="Picture 7195" descr="7-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7-page-00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53CC78E0" w14:textId="77777777" w:rsidR="00072C99" w:rsidRPr="00BD14B0" w:rsidRDefault="00072C99" w:rsidP="00072C99">
      <w:r w:rsidRPr="00BD14B0">
        <w:rPr>
          <w:noProof/>
        </w:rPr>
        <w:lastRenderedPageBreak/>
        <w:drawing>
          <wp:inline distT="0" distB="0" distL="0" distR="0" wp14:anchorId="12E5BBEE" wp14:editId="126764B1">
            <wp:extent cx="5667375" cy="8134350"/>
            <wp:effectExtent l="0" t="0" r="9525" b="0"/>
            <wp:docPr id="7194" name="Picture 7194" descr="8-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8-page-00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66460BD4" w14:textId="77777777" w:rsidR="00072C99" w:rsidRPr="00BD14B0" w:rsidRDefault="00072C99" w:rsidP="00072C99">
      <w:r w:rsidRPr="00BD14B0">
        <w:rPr>
          <w:noProof/>
        </w:rPr>
        <w:lastRenderedPageBreak/>
        <w:drawing>
          <wp:inline distT="0" distB="0" distL="0" distR="0" wp14:anchorId="238E9BDD" wp14:editId="30FE44A7">
            <wp:extent cx="5667375" cy="8134350"/>
            <wp:effectExtent l="0" t="0" r="9525" b="0"/>
            <wp:docPr id="7193" name="Picture 7193" descr="9-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9-page-00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840B7C8" w14:textId="77777777" w:rsidR="00072C99" w:rsidRPr="00BD14B0" w:rsidRDefault="00072C99" w:rsidP="00072C99">
      <w:r w:rsidRPr="00BD14B0">
        <w:rPr>
          <w:noProof/>
        </w:rPr>
        <w:lastRenderedPageBreak/>
        <w:drawing>
          <wp:inline distT="0" distB="0" distL="0" distR="0" wp14:anchorId="259C8C91" wp14:editId="01C95E9C">
            <wp:extent cx="5667375" cy="8134350"/>
            <wp:effectExtent l="0" t="0" r="9525" b="0"/>
            <wp:docPr id="7192" name="Picture 7192" descr="10-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0-page-00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55D73F7C" w14:textId="77777777" w:rsidR="00072C99" w:rsidRPr="00BD14B0" w:rsidRDefault="00072C99" w:rsidP="00072C99">
      <w:r w:rsidRPr="00BD14B0">
        <w:rPr>
          <w:noProof/>
        </w:rPr>
        <w:lastRenderedPageBreak/>
        <w:drawing>
          <wp:inline distT="0" distB="0" distL="0" distR="0" wp14:anchorId="253F4889" wp14:editId="07CE7CA7">
            <wp:extent cx="5667375" cy="8134350"/>
            <wp:effectExtent l="0" t="0" r="9525" b="0"/>
            <wp:docPr id="7191" name="Picture 7191" descr="11-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1-page-00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3DAB4AFE" w14:textId="77777777" w:rsidR="00072C99" w:rsidRPr="00BD14B0" w:rsidRDefault="00072C99" w:rsidP="00072C99">
      <w:r w:rsidRPr="00BD14B0">
        <w:rPr>
          <w:noProof/>
        </w:rPr>
        <w:lastRenderedPageBreak/>
        <w:drawing>
          <wp:inline distT="0" distB="0" distL="0" distR="0" wp14:anchorId="1790C4B9" wp14:editId="27D7AD92">
            <wp:extent cx="5667375" cy="8134350"/>
            <wp:effectExtent l="0" t="0" r="9525" b="0"/>
            <wp:docPr id="7190" name="Picture 7190" descr="12-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2-page-00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6F68CF08" w14:textId="77777777" w:rsidR="00072C99" w:rsidRPr="00BD14B0" w:rsidRDefault="00072C99" w:rsidP="00072C99">
      <w:r w:rsidRPr="00BD14B0">
        <w:rPr>
          <w:noProof/>
        </w:rPr>
        <w:lastRenderedPageBreak/>
        <w:drawing>
          <wp:inline distT="0" distB="0" distL="0" distR="0" wp14:anchorId="182A9501" wp14:editId="34A30E79">
            <wp:extent cx="5667375" cy="8134350"/>
            <wp:effectExtent l="0" t="0" r="9525" b="0"/>
            <wp:docPr id="7189" name="Picture 7189" descr="13-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3-page-0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2DB612A" w14:textId="77777777" w:rsidR="00072C99" w:rsidRPr="00BD14B0" w:rsidRDefault="00072C99" w:rsidP="00072C99">
      <w:r w:rsidRPr="00BD14B0">
        <w:rPr>
          <w:noProof/>
        </w:rPr>
        <w:lastRenderedPageBreak/>
        <w:drawing>
          <wp:inline distT="0" distB="0" distL="0" distR="0" wp14:anchorId="6E6EF9E4" wp14:editId="32759A0A">
            <wp:extent cx="5667375" cy="8134350"/>
            <wp:effectExtent l="0" t="0" r="9525" b="0"/>
            <wp:docPr id="7188" name="Picture 7188" descr="14-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4-page-00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552B5A74" w14:textId="77777777" w:rsidR="00072C99" w:rsidRPr="00BD14B0" w:rsidRDefault="00072C99" w:rsidP="00072C99">
      <w:r w:rsidRPr="00BD14B0">
        <w:rPr>
          <w:noProof/>
        </w:rPr>
        <w:lastRenderedPageBreak/>
        <w:drawing>
          <wp:inline distT="0" distB="0" distL="0" distR="0" wp14:anchorId="64A32EFF" wp14:editId="634EE3C5">
            <wp:extent cx="5667375" cy="8134350"/>
            <wp:effectExtent l="0" t="0" r="9525" b="0"/>
            <wp:docPr id="7187" name="Picture 7187" descr="15-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5-page-00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7B39F7F1" w14:textId="77777777" w:rsidR="00072C99" w:rsidRPr="00BD14B0" w:rsidRDefault="00072C99" w:rsidP="00072C99">
      <w:r w:rsidRPr="00BD14B0">
        <w:rPr>
          <w:noProof/>
        </w:rPr>
        <w:lastRenderedPageBreak/>
        <w:drawing>
          <wp:inline distT="0" distB="0" distL="0" distR="0" wp14:anchorId="6484F56D" wp14:editId="5BC82FE9">
            <wp:extent cx="5667375" cy="8134350"/>
            <wp:effectExtent l="0" t="0" r="9525" b="0"/>
            <wp:docPr id="7186" name="Picture 7186" descr="16-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6-page-00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1ADCB97C" w14:textId="09312C0F" w:rsidR="00072C99" w:rsidRPr="00BD14B0" w:rsidRDefault="00072C99" w:rsidP="00072C99">
      <w:r w:rsidRPr="00BD14B0">
        <w:rPr>
          <w:noProof/>
        </w:rPr>
        <w:lastRenderedPageBreak/>
        <w:drawing>
          <wp:inline distT="0" distB="0" distL="0" distR="0" wp14:anchorId="29E2EB44" wp14:editId="01685F95">
            <wp:extent cx="5667375" cy="8134350"/>
            <wp:effectExtent l="0" t="0" r="9525" b="0"/>
            <wp:docPr id="7185" name="Picture 7185" descr="17-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7-page-00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E18C374" w14:textId="3E73FB24" w:rsidR="00072C99" w:rsidRPr="00BD14B0" w:rsidRDefault="00072C99" w:rsidP="00072C99">
      <w:r w:rsidRPr="00BD14B0">
        <w:rPr>
          <w:noProof/>
        </w:rPr>
        <w:lastRenderedPageBreak/>
        <w:drawing>
          <wp:inline distT="0" distB="0" distL="0" distR="0" wp14:anchorId="1C277C5F" wp14:editId="31DB068E">
            <wp:extent cx="5667375" cy="8134350"/>
            <wp:effectExtent l="0" t="0" r="9525" b="0"/>
            <wp:docPr id="7184" name="Picture 7184" descr="18-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8-page-00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68F331DF" w14:textId="027656B2" w:rsidR="00072C99" w:rsidRPr="00BD14B0" w:rsidRDefault="00072C99" w:rsidP="00072C99">
      <w:r w:rsidRPr="00BD14B0">
        <w:rPr>
          <w:noProof/>
        </w:rPr>
        <w:lastRenderedPageBreak/>
        <w:drawing>
          <wp:inline distT="0" distB="0" distL="0" distR="0" wp14:anchorId="3A9743D9" wp14:editId="5812BE40">
            <wp:extent cx="5667375" cy="8134350"/>
            <wp:effectExtent l="0" t="0" r="9525" b="0"/>
            <wp:docPr id="7183" name="Picture 7183" descr="19-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9-page-00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5B469D73" w14:textId="10E88A23" w:rsidR="00072C99" w:rsidRPr="00BD14B0" w:rsidRDefault="00072C99" w:rsidP="00072C99">
      <w:r w:rsidRPr="00BD14B0">
        <w:rPr>
          <w:noProof/>
        </w:rPr>
        <w:lastRenderedPageBreak/>
        <w:drawing>
          <wp:inline distT="0" distB="0" distL="0" distR="0" wp14:anchorId="62197A4F" wp14:editId="06761978">
            <wp:extent cx="5667375" cy="8134350"/>
            <wp:effectExtent l="0" t="0" r="9525" b="0"/>
            <wp:docPr id="7182" name="Picture 7182" descr="20-2-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2-page-00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5F6CF852" w14:textId="44081F48" w:rsidR="00072C99" w:rsidRPr="00BD14B0" w:rsidRDefault="00072C99" w:rsidP="00072C99">
      <w:r w:rsidRPr="00BD14B0">
        <w:rPr>
          <w:noProof/>
        </w:rPr>
        <w:lastRenderedPageBreak/>
        <w:drawing>
          <wp:inline distT="0" distB="0" distL="0" distR="0" wp14:anchorId="7BBBD23A" wp14:editId="6F7CFFC4">
            <wp:extent cx="5667375" cy="8134350"/>
            <wp:effectExtent l="0" t="0" r="9525" b="0"/>
            <wp:docPr id="7181" name="Picture 7181" descr="20-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0-page-00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727F5B18" w14:textId="77777777" w:rsidR="00072C99" w:rsidRPr="00BD14B0" w:rsidRDefault="00072C99" w:rsidP="00072C99">
      <w:r w:rsidRPr="00BD14B0">
        <w:rPr>
          <w:noProof/>
        </w:rPr>
        <w:lastRenderedPageBreak/>
        <w:drawing>
          <wp:inline distT="0" distB="0" distL="0" distR="0" wp14:anchorId="296CF66B" wp14:editId="54363638">
            <wp:extent cx="5667375" cy="8134350"/>
            <wp:effectExtent l="0" t="0" r="9525" b="0"/>
            <wp:docPr id="7180" name="Picture 7180" descr="21-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1-page-0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3864F583" w14:textId="06A4F157" w:rsidR="00072C99" w:rsidRPr="00BD14B0" w:rsidRDefault="00072C99" w:rsidP="00072C99">
      <w:r w:rsidRPr="00BD14B0">
        <w:rPr>
          <w:noProof/>
        </w:rPr>
        <w:lastRenderedPageBreak/>
        <w:drawing>
          <wp:inline distT="0" distB="0" distL="0" distR="0" wp14:anchorId="3ECAE9E5" wp14:editId="097BD115">
            <wp:extent cx="5667375" cy="8134350"/>
            <wp:effectExtent l="0" t="0" r="9525" b="0"/>
            <wp:docPr id="7179" name="Picture 7179" descr="22-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2-page-0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3BCCA2C" w14:textId="00CB4477" w:rsidR="00072C99" w:rsidRPr="00BD14B0" w:rsidRDefault="00072C99" w:rsidP="00072C99">
      <w:r w:rsidRPr="00BD14B0">
        <w:rPr>
          <w:noProof/>
        </w:rPr>
        <w:lastRenderedPageBreak/>
        <w:drawing>
          <wp:inline distT="0" distB="0" distL="0" distR="0" wp14:anchorId="6E10D2C4" wp14:editId="167295A1">
            <wp:extent cx="5667375" cy="8134350"/>
            <wp:effectExtent l="0" t="0" r="9525" b="0"/>
            <wp:docPr id="7178" name="Picture 7178" descr="23-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3-page-00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72EAA039" w14:textId="30BD473D" w:rsidR="00072C99" w:rsidRPr="00BD14B0" w:rsidRDefault="00072C99" w:rsidP="00072C99">
      <w:r w:rsidRPr="00BD14B0">
        <w:rPr>
          <w:noProof/>
        </w:rPr>
        <w:lastRenderedPageBreak/>
        <w:drawing>
          <wp:inline distT="0" distB="0" distL="0" distR="0" wp14:anchorId="44E2EEAC" wp14:editId="50EB0444">
            <wp:extent cx="5667375" cy="8134350"/>
            <wp:effectExtent l="0" t="0" r="9525" b="0"/>
            <wp:docPr id="7177" name="Picture 7177" descr="24-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4-page-00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E119B8D" w14:textId="77777777" w:rsidR="00072C99" w:rsidRPr="00BD14B0" w:rsidRDefault="00072C99" w:rsidP="00072C99">
      <w:r w:rsidRPr="00BD14B0">
        <w:rPr>
          <w:noProof/>
        </w:rPr>
        <w:lastRenderedPageBreak/>
        <w:drawing>
          <wp:inline distT="0" distB="0" distL="0" distR="0" wp14:anchorId="630F7EFD" wp14:editId="6487AB64">
            <wp:extent cx="5667375" cy="8134350"/>
            <wp:effectExtent l="0" t="0" r="9525" b="0"/>
            <wp:docPr id="7176" name="Picture 7176" descr="25-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5-page-00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748938FA" w14:textId="77777777" w:rsidR="00072C99" w:rsidRPr="00BD14B0" w:rsidRDefault="00072C99" w:rsidP="00072C99">
      <w:r w:rsidRPr="00BD14B0">
        <w:rPr>
          <w:noProof/>
        </w:rPr>
        <w:lastRenderedPageBreak/>
        <w:drawing>
          <wp:inline distT="0" distB="0" distL="0" distR="0" wp14:anchorId="43C7025B" wp14:editId="44B22D88">
            <wp:extent cx="5667375" cy="8134350"/>
            <wp:effectExtent l="0" t="0" r="9525" b="0"/>
            <wp:docPr id="7175" name="Picture 7175" descr="26-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6-page-00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C873485" w14:textId="6862C879" w:rsidR="00072C99" w:rsidRPr="00BD14B0" w:rsidRDefault="00072C99" w:rsidP="00072C99">
      <w:r w:rsidRPr="00BD14B0">
        <w:rPr>
          <w:noProof/>
        </w:rPr>
        <w:lastRenderedPageBreak/>
        <w:drawing>
          <wp:inline distT="0" distB="0" distL="0" distR="0" wp14:anchorId="02899765" wp14:editId="7381C120">
            <wp:extent cx="5667375" cy="8134350"/>
            <wp:effectExtent l="0" t="0" r="9525" b="0"/>
            <wp:docPr id="7174" name="Picture 7174" descr="27-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7-page-00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40833969" w14:textId="30B1B794" w:rsidR="00072C99" w:rsidRPr="00BD14B0" w:rsidRDefault="00072C99" w:rsidP="00072C99">
      <w:r w:rsidRPr="00BD14B0">
        <w:rPr>
          <w:noProof/>
        </w:rPr>
        <w:lastRenderedPageBreak/>
        <w:drawing>
          <wp:inline distT="0" distB="0" distL="0" distR="0" wp14:anchorId="53DAD4BF" wp14:editId="0D20985A">
            <wp:extent cx="5667375" cy="8134350"/>
            <wp:effectExtent l="0" t="0" r="9525" b="0"/>
            <wp:docPr id="7173" name="Picture 7173" descr="28-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8-page-00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427ECF54" w14:textId="2CDC78A4" w:rsidR="00072C99" w:rsidRPr="00BD14B0" w:rsidRDefault="00072C99" w:rsidP="00072C99">
      <w:r w:rsidRPr="00BD14B0">
        <w:rPr>
          <w:noProof/>
        </w:rPr>
        <w:lastRenderedPageBreak/>
        <w:drawing>
          <wp:inline distT="0" distB="0" distL="0" distR="0" wp14:anchorId="36817CED" wp14:editId="20A26DD6">
            <wp:extent cx="5667375" cy="8134350"/>
            <wp:effectExtent l="0" t="0" r="9525" b="0"/>
            <wp:docPr id="7172" name="Picture 7172" descr="29-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9-page-00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1DCAEE5" w14:textId="210CF72F" w:rsidR="00072C99" w:rsidRPr="00BD14B0" w:rsidRDefault="00072C99" w:rsidP="00072C99">
      <w:r w:rsidRPr="00BD14B0">
        <w:rPr>
          <w:noProof/>
        </w:rPr>
        <w:lastRenderedPageBreak/>
        <w:drawing>
          <wp:inline distT="0" distB="0" distL="0" distR="0" wp14:anchorId="125C6723" wp14:editId="7DED6C9F">
            <wp:extent cx="5667375" cy="8134350"/>
            <wp:effectExtent l="0" t="0" r="9525" b="0"/>
            <wp:docPr id="7170" name="Picture 7170" descr="30-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0-page-00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ABE6199" w14:textId="0973841E" w:rsidR="00072C99" w:rsidRPr="00BD14B0" w:rsidRDefault="00072C99" w:rsidP="00072C99">
      <w:r w:rsidRPr="00BD14B0">
        <w:rPr>
          <w:noProof/>
        </w:rPr>
        <w:lastRenderedPageBreak/>
        <w:drawing>
          <wp:inline distT="0" distB="0" distL="0" distR="0" wp14:anchorId="186D17D6" wp14:editId="2C381AD3">
            <wp:extent cx="5667375" cy="8134350"/>
            <wp:effectExtent l="0" t="0" r="9525" b="0"/>
            <wp:docPr id="7169" name="Picture 7169" descr="31-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31-page-00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415E68B6" w14:textId="2FA035A9" w:rsidR="00072C99" w:rsidRPr="00BD14B0" w:rsidRDefault="00072C99" w:rsidP="00072C99">
      <w:r w:rsidRPr="00BD14B0">
        <w:rPr>
          <w:noProof/>
        </w:rPr>
        <w:lastRenderedPageBreak/>
        <w:drawing>
          <wp:inline distT="0" distB="0" distL="0" distR="0" wp14:anchorId="7F69DF53" wp14:editId="1BA968B8">
            <wp:extent cx="5667375" cy="8134350"/>
            <wp:effectExtent l="0" t="0" r="9525" b="0"/>
            <wp:docPr id="7168" name="Picture 7168" descr="32-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32-page-00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9272C1F" w14:textId="3037682A" w:rsidR="00072C99" w:rsidRPr="00BD14B0" w:rsidRDefault="00072C99" w:rsidP="00072C99">
      <w:r w:rsidRPr="00BD14B0">
        <w:rPr>
          <w:noProof/>
        </w:rPr>
        <w:lastRenderedPageBreak/>
        <w:drawing>
          <wp:inline distT="0" distB="0" distL="0" distR="0" wp14:anchorId="4D230E2B" wp14:editId="54E371B8">
            <wp:extent cx="5667375" cy="8134350"/>
            <wp:effectExtent l="0" t="0" r="9525" b="0"/>
            <wp:docPr id="50589311" name="Picture 50589311" descr="33-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33-page-0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746FF50F" w14:textId="58A3EFF1" w:rsidR="00072C99" w:rsidRPr="00BD14B0" w:rsidRDefault="00072C99" w:rsidP="00072C99">
      <w:r w:rsidRPr="00BD14B0">
        <w:rPr>
          <w:noProof/>
        </w:rPr>
        <w:lastRenderedPageBreak/>
        <w:drawing>
          <wp:inline distT="0" distB="0" distL="0" distR="0" wp14:anchorId="348E817A" wp14:editId="5A09F2CB">
            <wp:extent cx="5667375" cy="8134350"/>
            <wp:effectExtent l="0" t="0" r="9525" b="0"/>
            <wp:docPr id="50589310" name="Picture 50589310" descr="34-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34-page-00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11B839A8" w14:textId="2438E4D7" w:rsidR="00072C99" w:rsidRPr="00BD14B0" w:rsidRDefault="00072C99" w:rsidP="00072C99">
      <w:r w:rsidRPr="00BD14B0">
        <w:rPr>
          <w:noProof/>
        </w:rPr>
        <w:lastRenderedPageBreak/>
        <w:drawing>
          <wp:inline distT="0" distB="0" distL="0" distR="0" wp14:anchorId="4AB44EE8" wp14:editId="0243E91C">
            <wp:extent cx="5667375" cy="8134350"/>
            <wp:effectExtent l="0" t="0" r="9525" b="0"/>
            <wp:docPr id="50589309" name="Picture 50589309" descr="35-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5-page-0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BB0F8D2" w14:textId="35AFE259" w:rsidR="00072C99" w:rsidRPr="00BD14B0" w:rsidRDefault="00072C99" w:rsidP="00072C99">
      <w:r w:rsidRPr="00BD14B0">
        <w:rPr>
          <w:noProof/>
        </w:rPr>
        <w:lastRenderedPageBreak/>
        <w:drawing>
          <wp:inline distT="0" distB="0" distL="0" distR="0" wp14:anchorId="02528DF3" wp14:editId="341C4E4A">
            <wp:extent cx="5667375" cy="8134350"/>
            <wp:effectExtent l="0" t="0" r="9525" b="0"/>
            <wp:docPr id="50589308" name="Picture 50589308" descr="36-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6-page-00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6862C830" w14:textId="378B4CCB" w:rsidR="00072C99" w:rsidRPr="00BD14B0" w:rsidRDefault="00072C99" w:rsidP="00072C99">
      <w:r w:rsidRPr="00BD14B0">
        <w:rPr>
          <w:noProof/>
        </w:rPr>
        <w:lastRenderedPageBreak/>
        <w:drawing>
          <wp:inline distT="0" distB="0" distL="0" distR="0" wp14:anchorId="3CF44166" wp14:editId="017DB40F">
            <wp:extent cx="5667375" cy="8134350"/>
            <wp:effectExtent l="0" t="0" r="9525" b="0"/>
            <wp:docPr id="50589307" name="Picture 50589307" descr="37-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7-page-00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A12701C" w14:textId="760DE720" w:rsidR="00072C99" w:rsidRPr="00BD14B0" w:rsidRDefault="00072C99" w:rsidP="00072C99">
      <w:r w:rsidRPr="00BD14B0">
        <w:rPr>
          <w:noProof/>
        </w:rPr>
        <w:lastRenderedPageBreak/>
        <w:drawing>
          <wp:inline distT="0" distB="0" distL="0" distR="0" wp14:anchorId="4E715A4C" wp14:editId="6DA1EDF3">
            <wp:extent cx="5667375" cy="8134350"/>
            <wp:effectExtent l="0" t="0" r="9525" b="0"/>
            <wp:docPr id="50589306" name="Picture 50589306" descr="38-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38-page-00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842A98A" w14:textId="0E68BF99" w:rsidR="00072C99" w:rsidRPr="00BD14B0" w:rsidRDefault="00072C99" w:rsidP="00072C99">
      <w:r w:rsidRPr="00BD14B0">
        <w:rPr>
          <w:noProof/>
        </w:rPr>
        <w:lastRenderedPageBreak/>
        <w:drawing>
          <wp:inline distT="0" distB="0" distL="0" distR="0" wp14:anchorId="78326E7F" wp14:editId="41C5FBA4">
            <wp:extent cx="5667375" cy="8134350"/>
            <wp:effectExtent l="0" t="0" r="9525" b="0"/>
            <wp:docPr id="50589304" name="Picture 50589304" descr="39-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39-page-00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359DC506" w14:textId="638B058E" w:rsidR="00072C99" w:rsidRPr="00BD14B0" w:rsidRDefault="00072C99" w:rsidP="00072C99">
      <w:r w:rsidRPr="00BD14B0">
        <w:rPr>
          <w:noProof/>
        </w:rPr>
        <w:lastRenderedPageBreak/>
        <w:drawing>
          <wp:inline distT="0" distB="0" distL="0" distR="0" wp14:anchorId="6353A602" wp14:editId="1B1475FE">
            <wp:extent cx="5667375" cy="8134350"/>
            <wp:effectExtent l="0" t="0" r="9525" b="0"/>
            <wp:docPr id="50589303" name="Picture 50589303" descr="40-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40-page-00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477251A" w14:textId="67610288" w:rsidR="00072C99" w:rsidRPr="00BD14B0" w:rsidRDefault="00072C99" w:rsidP="00072C99">
      <w:r w:rsidRPr="00BD14B0">
        <w:rPr>
          <w:noProof/>
        </w:rPr>
        <w:lastRenderedPageBreak/>
        <w:drawing>
          <wp:inline distT="0" distB="0" distL="0" distR="0" wp14:anchorId="7AFF4DE3" wp14:editId="2F5BFBA5">
            <wp:extent cx="5667375" cy="8134350"/>
            <wp:effectExtent l="0" t="0" r="9525" b="0"/>
            <wp:docPr id="50589302" name="Picture 50589302" descr="41-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41-page-00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7B6D8B56" w14:textId="0FAB1578" w:rsidR="00072C99" w:rsidRPr="00BD14B0" w:rsidRDefault="00072C99" w:rsidP="00072C99">
      <w:r w:rsidRPr="00BD14B0">
        <w:rPr>
          <w:noProof/>
        </w:rPr>
        <w:lastRenderedPageBreak/>
        <w:drawing>
          <wp:inline distT="0" distB="0" distL="0" distR="0" wp14:anchorId="76D1BE48" wp14:editId="677DCC16">
            <wp:extent cx="5667375" cy="8134350"/>
            <wp:effectExtent l="0" t="0" r="9525" b="0"/>
            <wp:docPr id="50589301" name="Picture 50589301" descr="42-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42-page-0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495F9B28" w14:textId="31634BF3" w:rsidR="00072C99" w:rsidRPr="00BD14B0" w:rsidRDefault="00072C99" w:rsidP="00072C99">
      <w:r w:rsidRPr="00BD14B0">
        <w:rPr>
          <w:noProof/>
        </w:rPr>
        <w:lastRenderedPageBreak/>
        <w:drawing>
          <wp:inline distT="0" distB="0" distL="0" distR="0" wp14:anchorId="600B529D" wp14:editId="2D6D3D15">
            <wp:extent cx="5667375" cy="8134350"/>
            <wp:effectExtent l="0" t="0" r="9525" b="0"/>
            <wp:docPr id="50589300" name="Picture 50589300" descr="43-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43-page-00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1540C524" w14:textId="49657B53" w:rsidR="00072C99" w:rsidRPr="00BD14B0" w:rsidRDefault="00072C99" w:rsidP="00072C99">
      <w:r w:rsidRPr="00BD14B0">
        <w:rPr>
          <w:noProof/>
        </w:rPr>
        <w:lastRenderedPageBreak/>
        <w:drawing>
          <wp:inline distT="0" distB="0" distL="0" distR="0" wp14:anchorId="52CD259F" wp14:editId="23291A2F">
            <wp:extent cx="5667375" cy="8134350"/>
            <wp:effectExtent l="0" t="0" r="9525" b="0"/>
            <wp:docPr id="50589299" name="Picture 50589299" descr="44-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44-page-00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1E84A7C2" w14:textId="5538F505" w:rsidR="00072C99" w:rsidRPr="00BD14B0" w:rsidRDefault="00072C99" w:rsidP="00072C99">
      <w:r w:rsidRPr="00BD14B0">
        <w:rPr>
          <w:noProof/>
        </w:rPr>
        <w:lastRenderedPageBreak/>
        <w:drawing>
          <wp:inline distT="0" distB="0" distL="0" distR="0" wp14:anchorId="7ADE333E" wp14:editId="3960DE3D">
            <wp:extent cx="5667375" cy="8134350"/>
            <wp:effectExtent l="0" t="0" r="9525" b="0"/>
            <wp:docPr id="50589298" name="Picture 50589298" descr="45-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5-page-00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CC2FEA8" w14:textId="051CA0CE" w:rsidR="00072C99" w:rsidRPr="00BD14B0" w:rsidRDefault="00072C99" w:rsidP="00072C99">
      <w:r w:rsidRPr="00BD14B0">
        <w:rPr>
          <w:noProof/>
        </w:rPr>
        <w:lastRenderedPageBreak/>
        <w:drawing>
          <wp:inline distT="0" distB="0" distL="0" distR="0" wp14:anchorId="543AA8CB" wp14:editId="696A5D65">
            <wp:extent cx="5667375" cy="8134350"/>
            <wp:effectExtent l="0" t="0" r="9525" b="0"/>
            <wp:docPr id="50589297" name="Picture 50589297" descr="46-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46-page-00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378DAF30" w14:textId="3651A619" w:rsidR="00072C99" w:rsidRPr="00BD14B0" w:rsidRDefault="00072C99" w:rsidP="00072C99">
      <w:r w:rsidRPr="00BD14B0">
        <w:rPr>
          <w:noProof/>
        </w:rPr>
        <w:lastRenderedPageBreak/>
        <w:drawing>
          <wp:inline distT="0" distB="0" distL="0" distR="0" wp14:anchorId="308DC9E1" wp14:editId="4A867C94">
            <wp:extent cx="5667375" cy="8134350"/>
            <wp:effectExtent l="0" t="0" r="9525" b="0"/>
            <wp:docPr id="50589296" name="Picture 50589296" descr="47-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47-page-00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329B70AD" w14:textId="755DEDD0" w:rsidR="00072C99" w:rsidRPr="00BD14B0" w:rsidRDefault="00072C99" w:rsidP="00072C99">
      <w:r w:rsidRPr="00BD14B0">
        <w:rPr>
          <w:noProof/>
        </w:rPr>
        <w:lastRenderedPageBreak/>
        <w:drawing>
          <wp:inline distT="0" distB="0" distL="0" distR="0" wp14:anchorId="24660A51" wp14:editId="79A68303">
            <wp:extent cx="5667375" cy="8134350"/>
            <wp:effectExtent l="0" t="0" r="9525" b="0"/>
            <wp:docPr id="50589295" name="Picture 50589295" descr="48-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8-page-00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451769BC" w14:textId="2F793182" w:rsidR="00072C99" w:rsidRPr="00BD14B0" w:rsidRDefault="00072C99" w:rsidP="00072C99">
      <w:r w:rsidRPr="00BD14B0">
        <w:rPr>
          <w:noProof/>
        </w:rPr>
        <w:lastRenderedPageBreak/>
        <w:drawing>
          <wp:inline distT="0" distB="0" distL="0" distR="0" wp14:anchorId="03FD1623" wp14:editId="1F46DC90">
            <wp:extent cx="5667375" cy="8134350"/>
            <wp:effectExtent l="0" t="0" r="9525" b="0"/>
            <wp:docPr id="50589294" name="Picture 50589294" descr="49-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49-page-00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6CF7C414" w14:textId="576D2643" w:rsidR="00072C99" w:rsidRPr="00BD14B0" w:rsidRDefault="00072C99" w:rsidP="00072C99">
      <w:r w:rsidRPr="00BD14B0">
        <w:rPr>
          <w:noProof/>
        </w:rPr>
        <w:lastRenderedPageBreak/>
        <w:drawing>
          <wp:inline distT="0" distB="0" distL="0" distR="0" wp14:anchorId="7C883B5A" wp14:editId="1159F0FF">
            <wp:extent cx="5667375" cy="8134350"/>
            <wp:effectExtent l="0" t="0" r="9525" b="0"/>
            <wp:docPr id="50589293" name="Picture 50589293" descr="50-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50-page-00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1484AEC" w14:textId="1161B09C" w:rsidR="00072C99" w:rsidRPr="00BD14B0" w:rsidRDefault="00072C99" w:rsidP="00072C99">
      <w:r w:rsidRPr="00BD14B0">
        <w:rPr>
          <w:noProof/>
        </w:rPr>
        <w:lastRenderedPageBreak/>
        <w:drawing>
          <wp:inline distT="0" distB="0" distL="0" distR="0" wp14:anchorId="427F1F82" wp14:editId="21E892E6">
            <wp:extent cx="5667375" cy="8134350"/>
            <wp:effectExtent l="0" t="0" r="9525" b="0"/>
            <wp:docPr id="50589292" name="Picture 50589292" descr="51-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51-page-0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319B1124" w14:textId="6BC10319" w:rsidR="00072C99" w:rsidRPr="00BD14B0" w:rsidRDefault="00072C99" w:rsidP="00072C99">
      <w:r w:rsidRPr="00BD14B0">
        <w:rPr>
          <w:noProof/>
        </w:rPr>
        <w:lastRenderedPageBreak/>
        <w:drawing>
          <wp:inline distT="0" distB="0" distL="0" distR="0" wp14:anchorId="72583EC5" wp14:editId="3E6CF4C4">
            <wp:extent cx="5667375" cy="8134350"/>
            <wp:effectExtent l="0" t="0" r="9525" b="0"/>
            <wp:docPr id="50589291" name="Picture 50589291" descr="52-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52-page-00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40DC645E" w14:textId="66A0B949" w:rsidR="00072C99" w:rsidRPr="00BD14B0" w:rsidRDefault="00072C99" w:rsidP="00072C99">
      <w:r w:rsidRPr="00BD14B0">
        <w:rPr>
          <w:noProof/>
        </w:rPr>
        <w:lastRenderedPageBreak/>
        <w:drawing>
          <wp:inline distT="0" distB="0" distL="0" distR="0" wp14:anchorId="74F6DDF0" wp14:editId="3DAD3F1E">
            <wp:extent cx="5667375" cy="8134350"/>
            <wp:effectExtent l="0" t="0" r="9525" b="0"/>
            <wp:docPr id="50589290" name="Picture 50589290" descr="53-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53-page-00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F8852C9" w14:textId="3EF1123E" w:rsidR="00072C99" w:rsidRPr="00BD14B0" w:rsidRDefault="00072C99" w:rsidP="00072C99">
      <w:r w:rsidRPr="00BD14B0">
        <w:rPr>
          <w:noProof/>
        </w:rPr>
        <w:lastRenderedPageBreak/>
        <w:drawing>
          <wp:inline distT="0" distB="0" distL="0" distR="0" wp14:anchorId="3A5B3059" wp14:editId="575AA6FD">
            <wp:extent cx="5667375" cy="8134350"/>
            <wp:effectExtent l="0" t="0" r="9525" b="0"/>
            <wp:docPr id="50589289" name="Picture 50589289" descr="54-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54-page-00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7DA8350D" w14:textId="41559D81" w:rsidR="00072C99" w:rsidRPr="00BD14B0" w:rsidRDefault="00072C99" w:rsidP="00072C99">
      <w:r w:rsidRPr="00BD14B0">
        <w:rPr>
          <w:noProof/>
        </w:rPr>
        <w:lastRenderedPageBreak/>
        <w:drawing>
          <wp:inline distT="0" distB="0" distL="0" distR="0" wp14:anchorId="4BC51DE3" wp14:editId="64186F78">
            <wp:extent cx="5667375" cy="8134350"/>
            <wp:effectExtent l="0" t="0" r="9525" b="0"/>
            <wp:docPr id="50589288" name="Picture 50589288" descr="55-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55-page-00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7CE9EAD" w14:textId="0C88348F" w:rsidR="00072C99" w:rsidRPr="00BD14B0" w:rsidRDefault="00072C99" w:rsidP="00072C99">
      <w:r w:rsidRPr="00BD14B0">
        <w:rPr>
          <w:noProof/>
        </w:rPr>
        <w:lastRenderedPageBreak/>
        <w:drawing>
          <wp:inline distT="0" distB="0" distL="0" distR="0" wp14:anchorId="18793EEA" wp14:editId="7E6F5532">
            <wp:extent cx="5667375" cy="8134350"/>
            <wp:effectExtent l="0" t="0" r="9525" b="0"/>
            <wp:docPr id="50589287" name="Picture 50589287" descr="56-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56-page-00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1CAA153D" w14:textId="77777777" w:rsidR="00072C99" w:rsidRPr="00BD14B0" w:rsidRDefault="00072C99" w:rsidP="00072C99">
      <w:r w:rsidRPr="00BD14B0">
        <w:rPr>
          <w:noProof/>
        </w:rPr>
        <w:lastRenderedPageBreak/>
        <w:drawing>
          <wp:inline distT="0" distB="0" distL="0" distR="0" wp14:anchorId="1024563A" wp14:editId="5D0CBAAC">
            <wp:extent cx="5667375" cy="8134350"/>
            <wp:effectExtent l="0" t="0" r="9525" b="0"/>
            <wp:docPr id="50589286" name="Picture 50589286" descr="57-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57-page-00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6DA81B48" w14:textId="60550B7E" w:rsidR="00072C99" w:rsidRPr="00BD14B0" w:rsidRDefault="00072C99" w:rsidP="00072C99">
      <w:r w:rsidRPr="00BD14B0">
        <w:rPr>
          <w:noProof/>
        </w:rPr>
        <w:lastRenderedPageBreak/>
        <w:drawing>
          <wp:inline distT="0" distB="0" distL="0" distR="0" wp14:anchorId="4C623CE3" wp14:editId="6FC6B996">
            <wp:extent cx="5667375" cy="8134350"/>
            <wp:effectExtent l="0" t="0" r="9525" b="0"/>
            <wp:docPr id="50589285" name="Picture 50589285" descr="58-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58-page-00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652B8B92" w14:textId="77777777" w:rsidR="00072C99" w:rsidRPr="00BD14B0" w:rsidRDefault="00072C99" w:rsidP="00072C99">
      <w:r w:rsidRPr="00BD14B0">
        <w:rPr>
          <w:noProof/>
        </w:rPr>
        <w:lastRenderedPageBreak/>
        <w:drawing>
          <wp:inline distT="0" distB="0" distL="0" distR="0" wp14:anchorId="35CAA9A0" wp14:editId="3ADA3BF6">
            <wp:extent cx="5667375" cy="8134350"/>
            <wp:effectExtent l="0" t="0" r="9525" b="0"/>
            <wp:docPr id="50589284" name="Picture 50589284" descr="59-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59-page-00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6A53A618" w14:textId="39A6CDCB" w:rsidR="00072C99" w:rsidRPr="00BD14B0" w:rsidRDefault="00072C99" w:rsidP="00072C99">
      <w:r w:rsidRPr="00BD14B0">
        <w:rPr>
          <w:noProof/>
        </w:rPr>
        <w:lastRenderedPageBreak/>
        <w:drawing>
          <wp:inline distT="0" distB="0" distL="0" distR="0" wp14:anchorId="613B283A" wp14:editId="35832D6F">
            <wp:extent cx="5667375" cy="8134350"/>
            <wp:effectExtent l="0" t="0" r="9525" b="0"/>
            <wp:docPr id="50589283" name="Picture 50589283" descr="60-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60-page-00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7CD20B1D" w14:textId="4F31C999" w:rsidR="00072C99" w:rsidRPr="00BD14B0" w:rsidRDefault="00072C99" w:rsidP="00072C99">
      <w:r w:rsidRPr="00BD14B0">
        <w:rPr>
          <w:noProof/>
        </w:rPr>
        <w:lastRenderedPageBreak/>
        <w:drawing>
          <wp:inline distT="0" distB="0" distL="0" distR="0" wp14:anchorId="0472D88A" wp14:editId="44E9D81C">
            <wp:extent cx="5667375" cy="8134350"/>
            <wp:effectExtent l="0" t="0" r="9525" b="0"/>
            <wp:docPr id="50589282" name="Picture 50589282" descr="61-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61-page-00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47F7E8CB" w14:textId="440FDF27" w:rsidR="00072C99" w:rsidRPr="00BD14B0" w:rsidRDefault="00072C99" w:rsidP="00072C99">
      <w:r w:rsidRPr="00BD14B0">
        <w:rPr>
          <w:noProof/>
        </w:rPr>
        <w:lastRenderedPageBreak/>
        <w:drawing>
          <wp:inline distT="0" distB="0" distL="0" distR="0" wp14:anchorId="5A1489EE" wp14:editId="60FC4E8B">
            <wp:extent cx="5667375" cy="8134350"/>
            <wp:effectExtent l="0" t="0" r="9525" b="0"/>
            <wp:docPr id="50589281" name="Picture 50589281" descr="62-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62-page-00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368C34D" w14:textId="2FF0BC93" w:rsidR="00072C99" w:rsidRPr="00BD14B0" w:rsidRDefault="00072C99" w:rsidP="00072C99">
      <w:r w:rsidRPr="00BD14B0">
        <w:rPr>
          <w:noProof/>
        </w:rPr>
        <w:lastRenderedPageBreak/>
        <w:drawing>
          <wp:inline distT="0" distB="0" distL="0" distR="0" wp14:anchorId="4A5E1797" wp14:editId="16BBE7AE">
            <wp:extent cx="5667375" cy="8134350"/>
            <wp:effectExtent l="0" t="0" r="9525" b="0"/>
            <wp:docPr id="50589280" name="Picture 50589280" descr="63-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63-page-00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E4C304A" w14:textId="417F3256" w:rsidR="00072C99" w:rsidRPr="00BD14B0" w:rsidRDefault="00072C99" w:rsidP="00072C99">
      <w:r w:rsidRPr="00BD14B0">
        <w:rPr>
          <w:noProof/>
        </w:rPr>
        <w:lastRenderedPageBreak/>
        <w:drawing>
          <wp:inline distT="0" distB="0" distL="0" distR="0" wp14:anchorId="41B3C04C" wp14:editId="27E50565">
            <wp:extent cx="5667375" cy="8134350"/>
            <wp:effectExtent l="0" t="0" r="9525" b="0"/>
            <wp:docPr id="690751519" name="Picture 690751519" descr="64-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64-page-00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441C4BAC" w14:textId="47BAEC67" w:rsidR="00072C99" w:rsidRPr="00BD14B0" w:rsidRDefault="00072C99" w:rsidP="00072C99">
      <w:r w:rsidRPr="00BD14B0">
        <w:rPr>
          <w:noProof/>
        </w:rPr>
        <w:lastRenderedPageBreak/>
        <w:drawing>
          <wp:inline distT="0" distB="0" distL="0" distR="0" wp14:anchorId="180CA8BE" wp14:editId="38B24B94">
            <wp:extent cx="5667375" cy="8134350"/>
            <wp:effectExtent l="0" t="0" r="9525" b="0"/>
            <wp:docPr id="690751518" name="Picture 690751518" descr="65-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65-page-00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55AB1A2" w14:textId="690BF91E" w:rsidR="00072C99" w:rsidRPr="00BD14B0" w:rsidRDefault="00072C99" w:rsidP="00072C99">
      <w:r w:rsidRPr="00BD14B0">
        <w:rPr>
          <w:noProof/>
        </w:rPr>
        <w:lastRenderedPageBreak/>
        <w:drawing>
          <wp:inline distT="0" distB="0" distL="0" distR="0" wp14:anchorId="2B0A3C57" wp14:editId="42B9ABB3">
            <wp:extent cx="5667375" cy="8134350"/>
            <wp:effectExtent l="0" t="0" r="9525" b="0"/>
            <wp:docPr id="690751517" name="Picture 690751517" descr="66-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66-page-00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A5B6C26" w14:textId="0B60DB9A" w:rsidR="00072C99" w:rsidRPr="00BD14B0" w:rsidRDefault="00072C99" w:rsidP="00072C99">
      <w:r w:rsidRPr="00BD14B0">
        <w:rPr>
          <w:noProof/>
        </w:rPr>
        <w:lastRenderedPageBreak/>
        <w:drawing>
          <wp:inline distT="0" distB="0" distL="0" distR="0" wp14:anchorId="67FCC08D" wp14:editId="6673C8D9">
            <wp:extent cx="5667375" cy="8134350"/>
            <wp:effectExtent l="0" t="0" r="9525" b="0"/>
            <wp:docPr id="690751516" name="Picture 690751516" descr="67-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67-page-00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046CC91C" w14:textId="1DD56569" w:rsidR="00072C99" w:rsidRPr="00BD14B0" w:rsidRDefault="00072C99" w:rsidP="00072C99">
      <w:r w:rsidRPr="00BD14B0">
        <w:rPr>
          <w:noProof/>
        </w:rPr>
        <w:lastRenderedPageBreak/>
        <w:drawing>
          <wp:inline distT="0" distB="0" distL="0" distR="0" wp14:anchorId="02ED0EB1" wp14:editId="5B595851">
            <wp:extent cx="5667375" cy="8134350"/>
            <wp:effectExtent l="0" t="0" r="9525" b="0"/>
            <wp:docPr id="690751515" name="Picture 690751515" descr="68-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68-page-00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35183CD4" w14:textId="1EA0250B" w:rsidR="00072C99" w:rsidRPr="00BD14B0" w:rsidRDefault="00072C99" w:rsidP="00072C99">
      <w:r w:rsidRPr="00BD14B0">
        <w:rPr>
          <w:noProof/>
        </w:rPr>
        <w:lastRenderedPageBreak/>
        <w:drawing>
          <wp:inline distT="0" distB="0" distL="0" distR="0" wp14:anchorId="0D9E083A" wp14:editId="02AE59AA">
            <wp:extent cx="5667375" cy="8134350"/>
            <wp:effectExtent l="0" t="0" r="9525" b="0"/>
            <wp:docPr id="690751514" name="Picture 690751514" descr="69-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69-page-00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70C89523" w14:textId="00B9DDCF" w:rsidR="00072C99" w:rsidRPr="00BD14B0" w:rsidRDefault="00072C99" w:rsidP="00072C99">
      <w:r w:rsidRPr="00BD14B0">
        <w:rPr>
          <w:noProof/>
        </w:rPr>
        <w:lastRenderedPageBreak/>
        <w:drawing>
          <wp:inline distT="0" distB="0" distL="0" distR="0" wp14:anchorId="75B271E5" wp14:editId="59C865AA">
            <wp:extent cx="5667375" cy="8134350"/>
            <wp:effectExtent l="0" t="0" r="9525" b="0"/>
            <wp:docPr id="690751513" name="Picture 690751513" descr="70-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70-page-00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6FEDC0E1" w14:textId="757EF443" w:rsidR="00072C99" w:rsidRPr="00BD14B0" w:rsidRDefault="00072C99" w:rsidP="00072C99">
      <w:r w:rsidRPr="00BD14B0">
        <w:rPr>
          <w:noProof/>
        </w:rPr>
        <w:lastRenderedPageBreak/>
        <w:drawing>
          <wp:inline distT="0" distB="0" distL="0" distR="0" wp14:anchorId="77F104E5" wp14:editId="7455B2BC">
            <wp:extent cx="5667375" cy="8134350"/>
            <wp:effectExtent l="0" t="0" r="9525" b="0"/>
            <wp:docPr id="690751512" name="Picture 690751512" descr="71-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71-page-00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12BC4A81" w14:textId="226D92AC" w:rsidR="00072C99" w:rsidRPr="00BD14B0" w:rsidRDefault="00072C99" w:rsidP="00072C99">
      <w:r w:rsidRPr="00BD14B0">
        <w:rPr>
          <w:noProof/>
        </w:rPr>
        <w:lastRenderedPageBreak/>
        <w:drawing>
          <wp:inline distT="0" distB="0" distL="0" distR="0" wp14:anchorId="16B6C5B8" wp14:editId="7CCBDB36">
            <wp:extent cx="5667375" cy="8134350"/>
            <wp:effectExtent l="0" t="0" r="9525" b="0"/>
            <wp:docPr id="690751511" name="Picture 690751511" descr="72-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72-page-00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8085EE3" w14:textId="60A097E4" w:rsidR="00072C99" w:rsidRPr="00BD14B0" w:rsidRDefault="00072C99" w:rsidP="00072C99">
      <w:r w:rsidRPr="00BD14B0">
        <w:rPr>
          <w:noProof/>
        </w:rPr>
        <w:lastRenderedPageBreak/>
        <w:drawing>
          <wp:inline distT="0" distB="0" distL="0" distR="0" wp14:anchorId="33A5AFBD" wp14:editId="7653A8B8">
            <wp:extent cx="5667375" cy="8134350"/>
            <wp:effectExtent l="0" t="0" r="9525" b="0"/>
            <wp:docPr id="690751510" name="Picture 690751510" descr="73-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73-page-00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C9266F3" w14:textId="0BEFE3A4" w:rsidR="00072C99" w:rsidRPr="00BD14B0" w:rsidRDefault="00072C99" w:rsidP="00072C99">
      <w:r w:rsidRPr="00BD14B0">
        <w:rPr>
          <w:noProof/>
        </w:rPr>
        <w:lastRenderedPageBreak/>
        <w:drawing>
          <wp:inline distT="0" distB="0" distL="0" distR="0" wp14:anchorId="027C8A7E" wp14:editId="7ED9A9C2">
            <wp:extent cx="5667375" cy="8134350"/>
            <wp:effectExtent l="0" t="0" r="9525" b="0"/>
            <wp:docPr id="690751509" name="Picture 690751509" descr="74-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74-page-00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7AA8368F" w14:textId="0CFCCDF1" w:rsidR="00072C99" w:rsidRPr="00BD14B0" w:rsidRDefault="00072C99" w:rsidP="00072C99">
      <w:r w:rsidRPr="00BD14B0">
        <w:rPr>
          <w:noProof/>
        </w:rPr>
        <w:lastRenderedPageBreak/>
        <w:drawing>
          <wp:inline distT="0" distB="0" distL="0" distR="0" wp14:anchorId="7F527B33" wp14:editId="1A4D50E3">
            <wp:extent cx="5667375" cy="8134350"/>
            <wp:effectExtent l="0" t="0" r="9525" b="0"/>
            <wp:docPr id="690751508" name="Picture 690751508" descr="75-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75-page-00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2241FF0B" w14:textId="77777777" w:rsidR="00072C99" w:rsidRPr="00BD14B0" w:rsidRDefault="00072C99" w:rsidP="00072C99">
      <w:r w:rsidRPr="00BD14B0">
        <w:rPr>
          <w:noProof/>
        </w:rPr>
        <w:lastRenderedPageBreak/>
        <w:drawing>
          <wp:inline distT="0" distB="0" distL="0" distR="0" wp14:anchorId="2324C399" wp14:editId="547081B9">
            <wp:extent cx="5667375" cy="8134350"/>
            <wp:effectExtent l="0" t="0" r="9525" b="0"/>
            <wp:docPr id="690751507" name="Picture 690751507" descr="76-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76-page-00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67375" cy="8134350"/>
                    </a:xfrm>
                    <a:prstGeom prst="rect">
                      <a:avLst/>
                    </a:prstGeom>
                    <a:noFill/>
                    <a:ln>
                      <a:noFill/>
                    </a:ln>
                  </pic:spPr>
                </pic:pic>
              </a:graphicData>
            </a:graphic>
          </wp:inline>
        </w:drawing>
      </w:r>
    </w:p>
    <w:p w14:paraId="31F01CE1" w14:textId="59755557" w:rsidR="00072C99" w:rsidRPr="00BD14B0" w:rsidRDefault="00072C99" w:rsidP="00072C99">
      <w:r w:rsidRPr="00BD14B0">
        <w:rPr>
          <w:noProof/>
        </w:rPr>
        <w:lastRenderedPageBreak/>
        <w:drawing>
          <wp:inline distT="0" distB="0" distL="0" distR="0" wp14:anchorId="7B2D786F" wp14:editId="36B0C5A2">
            <wp:extent cx="5511500" cy="7910623"/>
            <wp:effectExtent l="0" t="0" r="635" b="1905"/>
            <wp:docPr id="690751506" name="Picture 690751506" descr="77-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77-page-00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19856" cy="7922616"/>
                    </a:xfrm>
                    <a:prstGeom prst="rect">
                      <a:avLst/>
                    </a:prstGeom>
                    <a:noFill/>
                    <a:ln>
                      <a:noFill/>
                    </a:ln>
                  </pic:spPr>
                </pic:pic>
              </a:graphicData>
            </a:graphic>
          </wp:inline>
        </w:drawing>
      </w:r>
      <w:r w:rsidRPr="00BD14B0">
        <w:t>*</w:t>
      </w:r>
      <w:proofErr w:type="gramStart"/>
      <w:r w:rsidRPr="00BD14B0">
        <w:t>the</w:t>
      </w:r>
      <w:proofErr w:type="gramEnd"/>
      <w:r w:rsidRPr="00BD14B0">
        <w:t xml:space="preserve"> identifiable information is redacted. </w:t>
      </w:r>
    </w:p>
    <w:p w14:paraId="410AFC5B" w14:textId="2A06BF3F" w:rsidR="00072C99" w:rsidRPr="00BD14B0" w:rsidRDefault="00072C99" w:rsidP="00072C99">
      <w:pPr>
        <w:rPr>
          <w:b/>
          <w:sz w:val="32"/>
          <w:szCs w:val="32"/>
        </w:rPr>
      </w:pPr>
      <w:r w:rsidRPr="00BD14B0">
        <w:rPr>
          <w:b/>
          <w:sz w:val="32"/>
          <w:szCs w:val="32"/>
        </w:rPr>
        <w:lastRenderedPageBreak/>
        <w:t>Appendix C</w:t>
      </w:r>
    </w:p>
    <w:p w14:paraId="5D7FF6EA" w14:textId="77777777" w:rsidR="00072C99" w:rsidRPr="00BD14B0" w:rsidRDefault="00072C99" w:rsidP="00072C99">
      <w:pPr>
        <w:rPr>
          <w:b/>
        </w:rPr>
      </w:pPr>
      <w:r w:rsidRPr="00BD14B0">
        <w:rPr>
          <w:b/>
        </w:rPr>
        <w:t>Ethical approval form for the study 3</w:t>
      </w:r>
    </w:p>
    <w:p w14:paraId="11305045" w14:textId="77777777" w:rsidR="00072C99" w:rsidRPr="00BD14B0" w:rsidRDefault="00072C99" w:rsidP="00072C99">
      <w:r w:rsidRPr="00BD14B0">
        <w:rPr>
          <w:noProof/>
        </w:rPr>
        <w:drawing>
          <wp:inline distT="0" distB="0" distL="0" distR="0" wp14:anchorId="62ECA99A" wp14:editId="2C33660B">
            <wp:extent cx="5029200" cy="7134225"/>
            <wp:effectExtent l="0" t="0" r="0" b="9525"/>
            <wp:docPr id="690751505" name="Picture 690751505" descr="Approval Letter-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pproval Letter-page-00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029200" cy="7134225"/>
                    </a:xfrm>
                    <a:prstGeom prst="rect">
                      <a:avLst/>
                    </a:prstGeom>
                    <a:noFill/>
                    <a:ln>
                      <a:noFill/>
                    </a:ln>
                  </pic:spPr>
                </pic:pic>
              </a:graphicData>
            </a:graphic>
          </wp:inline>
        </w:drawing>
      </w:r>
    </w:p>
    <w:p w14:paraId="058411B4" w14:textId="77777777" w:rsidR="00072C99" w:rsidRPr="00BD14B0" w:rsidRDefault="00072C99" w:rsidP="00072C99"/>
    <w:p w14:paraId="36A7E76E" w14:textId="77777777" w:rsidR="00072C99" w:rsidRPr="00BD14B0" w:rsidRDefault="00072C99" w:rsidP="00072C99">
      <w:pPr>
        <w:rPr>
          <w:b/>
        </w:rPr>
      </w:pPr>
      <w:r w:rsidRPr="00BD14B0">
        <w:rPr>
          <w:b/>
        </w:rPr>
        <w:t>Information sheet for study 3</w:t>
      </w:r>
    </w:p>
    <w:p w14:paraId="626633E9" w14:textId="77777777" w:rsidR="00072C99" w:rsidRPr="00BD14B0" w:rsidRDefault="00072C99" w:rsidP="00072C99">
      <w:r w:rsidRPr="00BD14B0">
        <w:rPr>
          <w:noProof/>
        </w:rPr>
        <w:drawing>
          <wp:inline distT="0" distB="0" distL="0" distR="0" wp14:anchorId="4ADE7974" wp14:editId="53E63F97">
            <wp:extent cx="5210175" cy="7410450"/>
            <wp:effectExtent l="0" t="0" r="9525" b="0"/>
            <wp:docPr id="690751504" name="Picture 690751504" descr="informationsheet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nformationsheet3-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10175" cy="7410450"/>
                    </a:xfrm>
                    <a:prstGeom prst="rect">
                      <a:avLst/>
                    </a:prstGeom>
                    <a:noFill/>
                    <a:ln>
                      <a:noFill/>
                    </a:ln>
                  </pic:spPr>
                </pic:pic>
              </a:graphicData>
            </a:graphic>
          </wp:inline>
        </w:drawing>
      </w:r>
    </w:p>
    <w:p w14:paraId="05E26064" w14:textId="77777777" w:rsidR="00072C99" w:rsidRPr="00BD14B0" w:rsidRDefault="00072C99" w:rsidP="00072C99">
      <w:r w:rsidRPr="00BD14B0">
        <w:rPr>
          <w:noProof/>
        </w:rPr>
        <w:lastRenderedPageBreak/>
        <w:drawing>
          <wp:inline distT="0" distB="0" distL="0" distR="0" wp14:anchorId="432265A3" wp14:editId="19A1F9A1">
            <wp:extent cx="5210175" cy="7400925"/>
            <wp:effectExtent l="0" t="0" r="9525" b="9525"/>
            <wp:docPr id="690751503" name="Picture 690751503" descr="informationsheet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nformationsheet3-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10175" cy="7400925"/>
                    </a:xfrm>
                    <a:prstGeom prst="rect">
                      <a:avLst/>
                    </a:prstGeom>
                    <a:noFill/>
                    <a:ln>
                      <a:noFill/>
                    </a:ln>
                  </pic:spPr>
                </pic:pic>
              </a:graphicData>
            </a:graphic>
          </wp:inline>
        </w:drawing>
      </w:r>
    </w:p>
    <w:p w14:paraId="5898A1A3" w14:textId="77777777" w:rsidR="00072C99" w:rsidRPr="00BD14B0" w:rsidRDefault="00072C99" w:rsidP="00072C99"/>
    <w:p w14:paraId="727DC4BA" w14:textId="77777777" w:rsidR="00072C99" w:rsidRPr="00BD14B0" w:rsidRDefault="00072C99" w:rsidP="00072C99"/>
    <w:p w14:paraId="5DF0FD98" w14:textId="77777777" w:rsidR="00072C99" w:rsidRPr="00BD14B0" w:rsidRDefault="00072C99" w:rsidP="00072C99"/>
    <w:p w14:paraId="3108B192" w14:textId="77777777" w:rsidR="00072C99" w:rsidRPr="00BD14B0" w:rsidRDefault="00072C99" w:rsidP="00072C99">
      <w:pPr>
        <w:rPr>
          <w:b/>
        </w:rPr>
      </w:pPr>
      <w:r w:rsidRPr="00BD14B0">
        <w:rPr>
          <w:b/>
        </w:rPr>
        <w:t>Consent form for study 3</w:t>
      </w:r>
    </w:p>
    <w:p w14:paraId="3590FC57" w14:textId="77777777" w:rsidR="00072C99" w:rsidRPr="00BD14B0" w:rsidRDefault="00072C99" w:rsidP="00072C99">
      <w:r w:rsidRPr="00BD14B0">
        <w:rPr>
          <w:noProof/>
        </w:rPr>
        <w:drawing>
          <wp:inline distT="0" distB="0" distL="0" distR="0" wp14:anchorId="75F2600A" wp14:editId="6E5B5591">
            <wp:extent cx="5210175" cy="7410450"/>
            <wp:effectExtent l="0" t="0" r="9525" b="0"/>
            <wp:docPr id="690751501" name="Picture 690751501" descr="consen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onsent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10175" cy="7410450"/>
                    </a:xfrm>
                    <a:prstGeom prst="rect">
                      <a:avLst/>
                    </a:prstGeom>
                    <a:noFill/>
                    <a:ln>
                      <a:noFill/>
                    </a:ln>
                  </pic:spPr>
                </pic:pic>
              </a:graphicData>
            </a:graphic>
          </wp:inline>
        </w:drawing>
      </w:r>
    </w:p>
    <w:p w14:paraId="40E497BE" w14:textId="77777777" w:rsidR="00072C99" w:rsidRPr="00BD14B0" w:rsidRDefault="00072C99" w:rsidP="00072C99">
      <w:pPr>
        <w:rPr>
          <w:b/>
        </w:rPr>
      </w:pPr>
      <w:r w:rsidRPr="00BD14B0">
        <w:rPr>
          <w:b/>
        </w:rPr>
        <w:lastRenderedPageBreak/>
        <w:t xml:space="preserve">Debriefing form for study 3 </w:t>
      </w:r>
    </w:p>
    <w:p w14:paraId="559923C1" w14:textId="2D2E1E27" w:rsidR="00072C99" w:rsidRPr="00BD14B0" w:rsidRDefault="00072C99" w:rsidP="00072C99">
      <w:r w:rsidRPr="00BD14B0">
        <w:rPr>
          <w:noProof/>
        </w:rPr>
        <w:drawing>
          <wp:inline distT="0" distB="0" distL="0" distR="0" wp14:anchorId="40EE9848" wp14:editId="1C54DEB2">
            <wp:extent cx="5210175" cy="7400925"/>
            <wp:effectExtent l="0" t="0" r="9525" b="9525"/>
            <wp:docPr id="690751500" name="Picture 690751500" descr="de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b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10175" cy="7400925"/>
                    </a:xfrm>
                    <a:prstGeom prst="rect">
                      <a:avLst/>
                    </a:prstGeom>
                    <a:noFill/>
                    <a:ln>
                      <a:noFill/>
                    </a:ln>
                  </pic:spPr>
                </pic:pic>
              </a:graphicData>
            </a:graphic>
          </wp:inline>
        </w:drawing>
      </w:r>
    </w:p>
    <w:p w14:paraId="3C16AF8C" w14:textId="77777777" w:rsidR="00B26001" w:rsidRPr="00BD14B0" w:rsidRDefault="00B26001" w:rsidP="00072C99">
      <w:pPr>
        <w:rPr>
          <w:b/>
        </w:rPr>
      </w:pPr>
    </w:p>
    <w:p w14:paraId="6EFD97C6" w14:textId="5FE3AAA7" w:rsidR="00072C99" w:rsidRPr="00BD14B0" w:rsidRDefault="00072C99" w:rsidP="00072C99">
      <w:pPr>
        <w:rPr>
          <w:b/>
        </w:rPr>
      </w:pPr>
      <w:r w:rsidRPr="00BD14B0">
        <w:rPr>
          <w:b/>
        </w:rPr>
        <w:lastRenderedPageBreak/>
        <w:t>Questionnaires used in study 3</w:t>
      </w:r>
    </w:p>
    <w:p w14:paraId="11B48004" w14:textId="77777777" w:rsidR="00072C99" w:rsidRPr="00BD14B0" w:rsidRDefault="00072C99" w:rsidP="00072C99">
      <w:pPr>
        <w:rPr>
          <w:b/>
          <w:bCs/>
        </w:rPr>
      </w:pPr>
      <w:r w:rsidRPr="00BD14B0">
        <w:rPr>
          <w:b/>
          <w:bCs/>
        </w:rPr>
        <w:t>The Autistic-Spectrum Quotient</w:t>
      </w:r>
    </w:p>
    <w:tbl>
      <w:tblPr>
        <w:tblpPr w:leftFromText="180" w:rightFromText="180" w:vertAnchor="text" w:horzAnchor="margin" w:tblpY="519"/>
        <w:tblW w:w="9073" w:type="dxa"/>
        <w:tblBorders>
          <w:top w:val="single" w:sz="6" w:space="0" w:color="D0D0D0"/>
          <w:left w:val="single" w:sz="6" w:space="0" w:color="D0D0D0"/>
          <w:bottom w:val="single" w:sz="6" w:space="0" w:color="D0D0D0"/>
          <w:right w:val="single" w:sz="6" w:space="0" w:color="D0D0D0"/>
        </w:tblBorders>
        <w:shd w:val="clear" w:color="auto" w:fill="FFFFFF"/>
        <w:tblCellMar>
          <w:top w:w="15" w:type="dxa"/>
          <w:left w:w="15" w:type="dxa"/>
          <w:bottom w:w="15" w:type="dxa"/>
          <w:right w:w="15" w:type="dxa"/>
        </w:tblCellMar>
        <w:tblLook w:val="04A0" w:firstRow="1" w:lastRow="0" w:firstColumn="1" w:lastColumn="0" w:noHBand="0" w:noVBand="1"/>
      </w:tblPr>
      <w:tblGrid>
        <w:gridCol w:w="3759"/>
        <w:gridCol w:w="2511"/>
        <w:gridCol w:w="2803"/>
      </w:tblGrid>
      <w:tr w:rsidR="00695B36" w:rsidRPr="00BD14B0" w14:paraId="66A56366" w14:textId="77777777" w:rsidTr="00BD7278">
        <w:tc>
          <w:tcPr>
            <w:tcW w:w="3759" w:type="dxa"/>
            <w:tcBorders>
              <w:bottom w:val="single" w:sz="6" w:space="0" w:color="D0D0D0"/>
            </w:tcBorders>
            <w:shd w:val="clear" w:color="auto" w:fill="FFFFFF"/>
            <w:tcMar>
              <w:top w:w="120" w:type="dxa"/>
              <w:left w:w="150" w:type="dxa"/>
              <w:bottom w:w="120" w:type="dxa"/>
              <w:right w:w="150" w:type="dxa"/>
            </w:tcMar>
            <w:hideMark/>
          </w:tcPr>
          <w:p w14:paraId="549FE14F" w14:textId="77777777" w:rsidR="00072C99" w:rsidRPr="00BD14B0" w:rsidRDefault="00072C99" w:rsidP="00BD7278">
            <w:pPr>
              <w:rPr>
                <w:b/>
                <w:bCs/>
              </w:rPr>
            </w:pPr>
            <w:r w:rsidRPr="00BD14B0">
              <w:rPr>
                <w:b/>
                <w:bCs/>
              </w:rPr>
              <w:t>1—Very rarely</w:t>
            </w:r>
          </w:p>
        </w:tc>
        <w:tc>
          <w:tcPr>
            <w:tcW w:w="0" w:type="auto"/>
            <w:tcBorders>
              <w:bottom w:val="single" w:sz="6" w:space="0" w:color="D0D0D0"/>
            </w:tcBorders>
            <w:shd w:val="clear" w:color="auto" w:fill="FFFFFF"/>
            <w:tcMar>
              <w:top w:w="120" w:type="dxa"/>
              <w:left w:w="150" w:type="dxa"/>
              <w:bottom w:w="120" w:type="dxa"/>
              <w:right w:w="150" w:type="dxa"/>
            </w:tcMar>
            <w:hideMark/>
          </w:tcPr>
          <w:p w14:paraId="149374F6" w14:textId="77777777" w:rsidR="00072C99" w:rsidRPr="00BD14B0" w:rsidRDefault="00072C99" w:rsidP="00BD7278">
            <w:pPr>
              <w:rPr>
                <w:b/>
                <w:bCs/>
              </w:rPr>
            </w:pPr>
            <w:r w:rsidRPr="00BD14B0">
              <w:rPr>
                <w:b/>
                <w:bCs/>
              </w:rPr>
              <w:t>2—Rarely</w:t>
            </w:r>
          </w:p>
        </w:tc>
        <w:tc>
          <w:tcPr>
            <w:tcW w:w="2803" w:type="dxa"/>
            <w:tcBorders>
              <w:bottom w:val="single" w:sz="6" w:space="0" w:color="D0D0D0"/>
            </w:tcBorders>
            <w:shd w:val="clear" w:color="auto" w:fill="FFFFFF"/>
            <w:tcMar>
              <w:top w:w="120" w:type="dxa"/>
              <w:left w:w="150" w:type="dxa"/>
              <w:bottom w:w="120" w:type="dxa"/>
              <w:right w:w="150" w:type="dxa"/>
            </w:tcMar>
            <w:hideMark/>
          </w:tcPr>
          <w:p w14:paraId="77FAAC00" w14:textId="77777777" w:rsidR="00072C99" w:rsidRPr="00BD14B0" w:rsidRDefault="00072C99" w:rsidP="00BD7278">
            <w:pPr>
              <w:rPr>
                <w:b/>
                <w:bCs/>
              </w:rPr>
            </w:pPr>
            <w:r w:rsidRPr="00BD14B0">
              <w:rPr>
                <w:b/>
                <w:bCs/>
              </w:rPr>
              <w:t>3—Occasionally</w:t>
            </w:r>
          </w:p>
        </w:tc>
      </w:tr>
      <w:tr w:rsidR="00695B36" w:rsidRPr="00BD14B0" w14:paraId="70F6E9C1" w14:textId="77777777" w:rsidTr="00BD7278">
        <w:tc>
          <w:tcPr>
            <w:tcW w:w="3759" w:type="dxa"/>
            <w:tcBorders>
              <w:bottom w:val="single" w:sz="6" w:space="0" w:color="D0D0D0"/>
            </w:tcBorders>
            <w:shd w:val="clear" w:color="auto" w:fill="FFFFFF"/>
            <w:tcMar>
              <w:top w:w="120" w:type="dxa"/>
              <w:left w:w="150" w:type="dxa"/>
              <w:bottom w:w="120" w:type="dxa"/>
              <w:right w:w="150" w:type="dxa"/>
            </w:tcMar>
            <w:hideMark/>
          </w:tcPr>
          <w:p w14:paraId="71E3335E" w14:textId="77777777" w:rsidR="00072C99" w:rsidRPr="00BD14B0" w:rsidRDefault="00072C99" w:rsidP="00BD7278">
            <w:pPr>
              <w:rPr>
                <w:b/>
                <w:bCs/>
              </w:rPr>
            </w:pPr>
            <w:r w:rsidRPr="00BD14B0">
              <w:rPr>
                <w:b/>
                <w:bCs/>
              </w:rPr>
              <w:t>4—Somewhat often</w:t>
            </w:r>
          </w:p>
        </w:tc>
        <w:tc>
          <w:tcPr>
            <w:tcW w:w="0" w:type="auto"/>
            <w:tcBorders>
              <w:bottom w:val="single" w:sz="6" w:space="0" w:color="D0D0D0"/>
            </w:tcBorders>
            <w:shd w:val="clear" w:color="auto" w:fill="FFFFFF"/>
            <w:tcMar>
              <w:top w:w="120" w:type="dxa"/>
              <w:left w:w="150" w:type="dxa"/>
              <w:bottom w:w="120" w:type="dxa"/>
              <w:right w:w="150" w:type="dxa"/>
            </w:tcMar>
            <w:hideMark/>
          </w:tcPr>
          <w:p w14:paraId="34368BE5" w14:textId="77777777" w:rsidR="00072C99" w:rsidRPr="00BD14B0" w:rsidRDefault="00072C99" w:rsidP="00BD7278">
            <w:pPr>
              <w:rPr>
                <w:b/>
                <w:bCs/>
              </w:rPr>
            </w:pPr>
            <w:r w:rsidRPr="00BD14B0">
              <w:rPr>
                <w:b/>
                <w:bCs/>
              </w:rPr>
              <w:t>5—Often</w:t>
            </w:r>
          </w:p>
        </w:tc>
        <w:tc>
          <w:tcPr>
            <w:tcW w:w="2803" w:type="dxa"/>
            <w:tcBorders>
              <w:bottom w:val="single" w:sz="6" w:space="0" w:color="D0D0D0"/>
            </w:tcBorders>
            <w:shd w:val="clear" w:color="auto" w:fill="FFFFFF"/>
            <w:tcMar>
              <w:top w:w="120" w:type="dxa"/>
              <w:left w:w="150" w:type="dxa"/>
              <w:bottom w:w="120" w:type="dxa"/>
              <w:right w:w="150" w:type="dxa"/>
            </w:tcMar>
            <w:hideMark/>
          </w:tcPr>
          <w:p w14:paraId="2BA195A7" w14:textId="77777777" w:rsidR="00072C99" w:rsidRPr="00BD14B0" w:rsidRDefault="00072C99" w:rsidP="00BD7278">
            <w:pPr>
              <w:rPr>
                <w:b/>
                <w:bCs/>
              </w:rPr>
            </w:pPr>
            <w:r w:rsidRPr="00BD14B0">
              <w:rPr>
                <w:b/>
                <w:bCs/>
              </w:rPr>
              <w:t>6—Very often</w:t>
            </w:r>
          </w:p>
        </w:tc>
      </w:tr>
    </w:tbl>
    <w:p w14:paraId="4B7272E5" w14:textId="77777777" w:rsidR="00072C99" w:rsidRPr="00BD14B0" w:rsidRDefault="00072C99" w:rsidP="00072C99">
      <w:pPr>
        <w:rPr>
          <w:b/>
          <w:bCs/>
        </w:rPr>
      </w:pPr>
    </w:p>
    <w:p w14:paraId="00AE96AF" w14:textId="77777777" w:rsidR="00072C99" w:rsidRPr="00BD14B0" w:rsidRDefault="00072C99" w:rsidP="00072C99"/>
    <w:p w14:paraId="44D762BC" w14:textId="77777777" w:rsidR="00072C99" w:rsidRPr="00BD14B0" w:rsidRDefault="00072C99" w:rsidP="00072C99">
      <w:r w:rsidRPr="00BD14B0">
        <w:t>1. I prefer to do things with others rather than on my own.</w:t>
      </w:r>
    </w:p>
    <w:p w14:paraId="15F391C1" w14:textId="77777777" w:rsidR="00072C99" w:rsidRPr="00BD14B0" w:rsidRDefault="00072C99" w:rsidP="00072C99">
      <w:r w:rsidRPr="00BD14B0">
        <w:t>2. I prefer to do things the same way over and over again.</w:t>
      </w:r>
    </w:p>
    <w:p w14:paraId="3C2B54AF" w14:textId="77777777" w:rsidR="00072C99" w:rsidRPr="00BD14B0" w:rsidRDefault="00072C99" w:rsidP="00072C99">
      <w:r w:rsidRPr="00BD14B0">
        <w:t>3. If I try to imagine something, I find it easy to create a picture in my mind.</w:t>
      </w:r>
    </w:p>
    <w:p w14:paraId="655C808F" w14:textId="77777777" w:rsidR="00072C99" w:rsidRPr="00BD14B0" w:rsidRDefault="00072C99" w:rsidP="00072C99">
      <w:r w:rsidRPr="00BD14B0">
        <w:t>4. I frequently get so strongly absorbed in one thing that I lose sight of other things.</w:t>
      </w:r>
    </w:p>
    <w:p w14:paraId="28BCD6A0" w14:textId="77777777" w:rsidR="00072C99" w:rsidRPr="00BD14B0" w:rsidRDefault="00072C99" w:rsidP="00072C99">
      <w:r w:rsidRPr="00BD14B0">
        <w:t xml:space="preserve">5. I often notice small sounds when others do not. </w:t>
      </w:r>
    </w:p>
    <w:p w14:paraId="6F828872" w14:textId="77777777" w:rsidR="00072C99" w:rsidRPr="00BD14B0" w:rsidRDefault="00072C99" w:rsidP="00072C99">
      <w:r w:rsidRPr="00BD14B0">
        <w:t>6. I usually notice car number plates or similar strings of information.</w:t>
      </w:r>
    </w:p>
    <w:p w14:paraId="7DB972D3" w14:textId="77777777" w:rsidR="00072C99" w:rsidRPr="00BD14B0" w:rsidRDefault="00072C99" w:rsidP="00072C99">
      <w:r w:rsidRPr="00BD14B0">
        <w:t>7. Other people frequently tell me that what I’ve said is impolite, even though I think it is polite.</w:t>
      </w:r>
    </w:p>
    <w:p w14:paraId="4E76FAC5" w14:textId="77777777" w:rsidR="00072C99" w:rsidRPr="00BD14B0" w:rsidRDefault="00072C99" w:rsidP="00072C99">
      <w:r w:rsidRPr="00BD14B0">
        <w:t>8. When I’m reading a story, I can easily imagine what the characters might look like.</w:t>
      </w:r>
    </w:p>
    <w:p w14:paraId="457F239E" w14:textId="77777777" w:rsidR="00072C99" w:rsidRPr="00BD14B0" w:rsidRDefault="00072C99" w:rsidP="00072C99">
      <w:r w:rsidRPr="00BD14B0">
        <w:t xml:space="preserve">9. I am fascinated by dates. </w:t>
      </w:r>
    </w:p>
    <w:p w14:paraId="39864C40" w14:textId="77777777" w:rsidR="00072C99" w:rsidRPr="00BD14B0" w:rsidRDefault="00072C99" w:rsidP="00072C99">
      <w:r w:rsidRPr="00BD14B0">
        <w:t>10. In a social group, I can easily keep track of several different people’s conversations.</w:t>
      </w:r>
    </w:p>
    <w:p w14:paraId="702803A5" w14:textId="77777777" w:rsidR="00072C99" w:rsidRPr="00BD14B0" w:rsidRDefault="00072C99" w:rsidP="00072C99">
      <w:r w:rsidRPr="00BD14B0">
        <w:t xml:space="preserve">11. I find social situations easy. </w:t>
      </w:r>
    </w:p>
    <w:p w14:paraId="4A20CD52" w14:textId="77777777" w:rsidR="00072C99" w:rsidRPr="00BD14B0" w:rsidRDefault="00072C99" w:rsidP="00072C99">
      <w:r w:rsidRPr="00BD14B0">
        <w:t xml:space="preserve">12. I tend to notice details that others do not. </w:t>
      </w:r>
    </w:p>
    <w:p w14:paraId="6771B0B5" w14:textId="77777777" w:rsidR="00072C99" w:rsidRPr="00BD14B0" w:rsidRDefault="00072C99" w:rsidP="00072C99">
      <w:r w:rsidRPr="00BD14B0">
        <w:t xml:space="preserve">13. I would rather go to a library than a party. </w:t>
      </w:r>
    </w:p>
    <w:p w14:paraId="0F94FB81" w14:textId="77777777" w:rsidR="00072C99" w:rsidRPr="00BD14B0" w:rsidRDefault="00072C99" w:rsidP="00072C99">
      <w:r w:rsidRPr="00BD14B0">
        <w:t xml:space="preserve">14. I find making up stories easy. </w:t>
      </w:r>
    </w:p>
    <w:p w14:paraId="61813EFB" w14:textId="77777777" w:rsidR="00072C99" w:rsidRPr="00BD14B0" w:rsidRDefault="00072C99" w:rsidP="00072C99">
      <w:r w:rsidRPr="00BD14B0">
        <w:t>15. I find myself drawn more strongly to people than to things.</w:t>
      </w:r>
    </w:p>
    <w:p w14:paraId="365A0916" w14:textId="77777777" w:rsidR="00072C99" w:rsidRPr="00BD14B0" w:rsidRDefault="00072C99" w:rsidP="00072C99">
      <w:r w:rsidRPr="00BD14B0">
        <w:t>16. I tend to have very strong interests, which I get upset about if I can’t pursue.</w:t>
      </w:r>
    </w:p>
    <w:p w14:paraId="371B6C08" w14:textId="77777777" w:rsidR="00072C99" w:rsidRPr="00BD14B0" w:rsidRDefault="00072C99" w:rsidP="00072C99">
      <w:r w:rsidRPr="00BD14B0">
        <w:lastRenderedPageBreak/>
        <w:t xml:space="preserve">17. I enjoy social chit-chat. </w:t>
      </w:r>
    </w:p>
    <w:p w14:paraId="320C3CFC" w14:textId="77777777" w:rsidR="00072C99" w:rsidRPr="00BD14B0" w:rsidRDefault="00072C99" w:rsidP="00072C99">
      <w:r w:rsidRPr="00BD14B0">
        <w:t>18. When I talk, it isn’t always easy for others to get a word in edgeways.</w:t>
      </w:r>
    </w:p>
    <w:p w14:paraId="1A8C4D5E" w14:textId="77777777" w:rsidR="00072C99" w:rsidRPr="00BD14B0" w:rsidRDefault="00072C99" w:rsidP="00072C99">
      <w:r w:rsidRPr="00BD14B0">
        <w:t xml:space="preserve">19. I am fascinated by numbers. </w:t>
      </w:r>
    </w:p>
    <w:p w14:paraId="1380BD02" w14:textId="77777777" w:rsidR="00072C99" w:rsidRPr="00BD14B0" w:rsidRDefault="00072C99" w:rsidP="00072C99">
      <w:r w:rsidRPr="00BD14B0">
        <w:t>20. When I’m reading a story, I find it difficult to work out the characters’ intentions.</w:t>
      </w:r>
    </w:p>
    <w:p w14:paraId="4CDFAF7F" w14:textId="77777777" w:rsidR="00072C99" w:rsidRPr="00BD14B0" w:rsidRDefault="00072C99" w:rsidP="00072C99">
      <w:r w:rsidRPr="00BD14B0">
        <w:t xml:space="preserve">21. I don’t particularly enjoy reading fiction. </w:t>
      </w:r>
    </w:p>
    <w:p w14:paraId="3C5C76B3" w14:textId="77777777" w:rsidR="00072C99" w:rsidRPr="00BD14B0" w:rsidRDefault="00072C99" w:rsidP="00072C99">
      <w:r w:rsidRPr="00BD14B0">
        <w:t xml:space="preserve">22. I find it hard to make new friends. </w:t>
      </w:r>
    </w:p>
    <w:p w14:paraId="42428985" w14:textId="77777777" w:rsidR="00072C99" w:rsidRPr="00BD14B0" w:rsidRDefault="00072C99" w:rsidP="00072C99">
      <w:r w:rsidRPr="00BD14B0">
        <w:t xml:space="preserve">23. I notice patterns in things all the time. </w:t>
      </w:r>
    </w:p>
    <w:p w14:paraId="0DA27AA7" w14:textId="77777777" w:rsidR="00072C99" w:rsidRPr="00BD14B0" w:rsidRDefault="00072C99" w:rsidP="00072C99">
      <w:r w:rsidRPr="00BD14B0">
        <w:t xml:space="preserve">24. I would rather go to the theatre than a museum. </w:t>
      </w:r>
    </w:p>
    <w:p w14:paraId="2D480926" w14:textId="77777777" w:rsidR="00072C99" w:rsidRPr="00BD14B0" w:rsidRDefault="00072C99" w:rsidP="00072C99">
      <w:r w:rsidRPr="00BD14B0">
        <w:t>25. It does not upset me if my daily routine is disturbed.</w:t>
      </w:r>
    </w:p>
    <w:p w14:paraId="3F93BE49" w14:textId="77777777" w:rsidR="00072C99" w:rsidRPr="00BD14B0" w:rsidRDefault="00072C99" w:rsidP="00072C99">
      <w:r w:rsidRPr="00BD14B0">
        <w:t>26. I frequently find that I don’t know how to keep a conversation going.</w:t>
      </w:r>
    </w:p>
    <w:p w14:paraId="21F7DB4D" w14:textId="77777777" w:rsidR="00072C99" w:rsidRPr="00BD14B0" w:rsidRDefault="00072C99" w:rsidP="00072C99">
      <w:r w:rsidRPr="00BD14B0">
        <w:t>27. I find it easy to “read between the lines” when someone is talking to me.</w:t>
      </w:r>
    </w:p>
    <w:p w14:paraId="3CA4D836" w14:textId="77777777" w:rsidR="00072C99" w:rsidRPr="00BD14B0" w:rsidRDefault="00072C99" w:rsidP="00072C99">
      <w:r w:rsidRPr="00BD14B0">
        <w:t>28. I usually concentrate more on the whole picture, rather than the small details.</w:t>
      </w:r>
    </w:p>
    <w:p w14:paraId="1B077526" w14:textId="77777777" w:rsidR="00072C99" w:rsidRPr="00BD14B0" w:rsidRDefault="00072C99" w:rsidP="00072C99">
      <w:r w:rsidRPr="00BD14B0">
        <w:t xml:space="preserve">29. I am not very good at remembering phone numbers. </w:t>
      </w:r>
    </w:p>
    <w:p w14:paraId="0825EB01" w14:textId="77777777" w:rsidR="00072C99" w:rsidRPr="00BD14B0" w:rsidRDefault="00072C99" w:rsidP="00072C99">
      <w:r w:rsidRPr="00BD14B0">
        <w:t>30. I don’t usually notice small changes in a situation, or a person’s appearance.</w:t>
      </w:r>
    </w:p>
    <w:p w14:paraId="31B541AF" w14:textId="77777777" w:rsidR="00072C99" w:rsidRPr="00BD14B0" w:rsidRDefault="00072C99" w:rsidP="00072C99">
      <w:r w:rsidRPr="00BD14B0">
        <w:t>31. I know how to tell if someone listening to me is getting bored.</w:t>
      </w:r>
    </w:p>
    <w:p w14:paraId="11A59285" w14:textId="77777777" w:rsidR="00072C99" w:rsidRPr="00BD14B0" w:rsidRDefault="00072C99" w:rsidP="00072C99">
      <w:r w:rsidRPr="00BD14B0">
        <w:t xml:space="preserve">32. I find it easy to do more than one thing at once. </w:t>
      </w:r>
    </w:p>
    <w:p w14:paraId="17F2B7C9" w14:textId="77777777" w:rsidR="00072C99" w:rsidRPr="00BD14B0" w:rsidRDefault="00072C99" w:rsidP="00072C99">
      <w:r w:rsidRPr="00BD14B0">
        <w:t>33. When I talk on the phone, I’m not sure when it’s my turn to speak.</w:t>
      </w:r>
    </w:p>
    <w:p w14:paraId="558147BA" w14:textId="77777777" w:rsidR="00072C99" w:rsidRPr="00BD14B0" w:rsidRDefault="00072C99" w:rsidP="00072C99">
      <w:r w:rsidRPr="00BD14B0">
        <w:t xml:space="preserve">34. I enjoy doing things spontaneously. </w:t>
      </w:r>
    </w:p>
    <w:p w14:paraId="5BA97CC4" w14:textId="77777777" w:rsidR="00072C99" w:rsidRPr="00BD14B0" w:rsidRDefault="00072C99" w:rsidP="00072C99">
      <w:r w:rsidRPr="00BD14B0">
        <w:t xml:space="preserve">35. I am often the last to understand the point of a joke. </w:t>
      </w:r>
    </w:p>
    <w:p w14:paraId="10244F03" w14:textId="77777777" w:rsidR="00072C99" w:rsidRPr="00BD14B0" w:rsidRDefault="00072C99" w:rsidP="00072C99">
      <w:r w:rsidRPr="00BD14B0">
        <w:t>36. I find it easy to work out what someone is thinking or feeling just by looking at their face.</w:t>
      </w:r>
    </w:p>
    <w:p w14:paraId="5BF7D777" w14:textId="77777777" w:rsidR="00072C99" w:rsidRPr="00BD14B0" w:rsidRDefault="00072C99" w:rsidP="00072C99">
      <w:r w:rsidRPr="00BD14B0">
        <w:t>37. If there is an interruption, I can switch back to what I was doing very quickly.</w:t>
      </w:r>
    </w:p>
    <w:p w14:paraId="4E11E4F8" w14:textId="77777777" w:rsidR="00072C99" w:rsidRPr="00BD14B0" w:rsidRDefault="00072C99" w:rsidP="00072C99">
      <w:r w:rsidRPr="00BD14B0">
        <w:t xml:space="preserve">38. I am good at social chit-chat. </w:t>
      </w:r>
    </w:p>
    <w:p w14:paraId="1F89D7C9" w14:textId="77777777" w:rsidR="00072C99" w:rsidRPr="00BD14B0" w:rsidRDefault="00072C99" w:rsidP="00072C99">
      <w:r w:rsidRPr="00BD14B0">
        <w:t>39. People often tell me that I keep going on and on about the same thing.</w:t>
      </w:r>
    </w:p>
    <w:p w14:paraId="0627FDC2" w14:textId="77777777" w:rsidR="00072C99" w:rsidRPr="00BD14B0" w:rsidRDefault="00072C99" w:rsidP="00072C99">
      <w:r w:rsidRPr="00BD14B0">
        <w:lastRenderedPageBreak/>
        <w:t>40. When I was young, I used to enjoy playing games involving pretending with other children.</w:t>
      </w:r>
    </w:p>
    <w:p w14:paraId="473EB6BF" w14:textId="77777777" w:rsidR="00072C99" w:rsidRPr="00BD14B0" w:rsidRDefault="00072C99" w:rsidP="00072C99">
      <w:r w:rsidRPr="00BD14B0">
        <w:t>41. I like to collect information about categories of things (</w:t>
      </w:r>
      <w:proofErr w:type="gramStart"/>
      <w:r w:rsidRPr="00BD14B0">
        <w:t>e.g.</w:t>
      </w:r>
      <w:proofErr w:type="gramEnd"/>
      <w:r w:rsidRPr="00BD14B0">
        <w:t xml:space="preserve"> types of car, types of bird, types of train, types of plant, etc.).</w:t>
      </w:r>
    </w:p>
    <w:p w14:paraId="4BF58ADD" w14:textId="77777777" w:rsidR="00072C99" w:rsidRPr="00BD14B0" w:rsidRDefault="00072C99" w:rsidP="00072C99">
      <w:r w:rsidRPr="00BD14B0">
        <w:t>42. I find it difficult to imagine what it would be like to be someone else.</w:t>
      </w:r>
    </w:p>
    <w:p w14:paraId="25DD1315" w14:textId="77777777" w:rsidR="00072C99" w:rsidRPr="00BD14B0" w:rsidRDefault="00072C99" w:rsidP="00072C99">
      <w:r w:rsidRPr="00BD14B0">
        <w:t>43. I like to plan any activities I participate in carefully.</w:t>
      </w:r>
    </w:p>
    <w:p w14:paraId="2D31DB74" w14:textId="77777777" w:rsidR="00072C99" w:rsidRPr="00BD14B0" w:rsidRDefault="00072C99" w:rsidP="00072C99">
      <w:r w:rsidRPr="00BD14B0">
        <w:t xml:space="preserve">44. I enjoy social occasions. </w:t>
      </w:r>
    </w:p>
    <w:p w14:paraId="6CBCCE46" w14:textId="77777777" w:rsidR="00072C99" w:rsidRPr="00BD14B0" w:rsidRDefault="00072C99" w:rsidP="00072C99">
      <w:r w:rsidRPr="00BD14B0">
        <w:t xml:space="preserve">45. I find it difficult to work out people’s intentions. </w:t>
      </w:r>
    </w:p>
    <w:p w14:paraId="22424B2B" w14:textId="77777777" w:rsidR="00072C99" w:rsidRPr="00BD14B0" w:rsidRDefault="00072C99" w:rsidP="00072C99">
      <w:r w:rsidRPr="00BD14B0">
        <w:t xml:space="preserve">46. New situations make me anxious. </w:t>
      </w:r>
    </w:p>
    <w:p w14:paraId="644A6E49" w14:textId="77777777" w:rsidR="00072C99" w:rsidRPr="00BD14B0" w:rsidRDefault="00072C99" w:rsidP="00072C99">
      <w:r w:rsidRPr="00BD14B0">
        <w:t xml:space="preserve">47. I enjoy meeting new people. </w:t>
      </w:r>
    </w:p>
    <w:p w14:paraId="1675D32B" w14:textId="77777777" w:rsidR="00072C99" w:rsidRPr="00BD14B0" w:rsidRDefault="00072C99" w:rsidP="00072C99">
      <w:r w:rsidRPr="00BD14B0">
        <w:t xml:space="preserve">48. I am a good diplomat. </w:t>
      </w:r>
    </w:p>
    <w:p w14:paraId="4132DAA2" w14:textId="77777777" w:rsidR="00072C99" w:rsidRPr="00BD14B0" w:rsidRDefault="00072C99" w:rsidP="00072C99">
      <w:r w:rsidRPr="00BD14B0">
        <w:t>49. I am not very good at remembering people’s date of birth.</w:t>
      </w:r>
    </w:p>
    <w:p w14:paraId="56FA53AA" w14:textId="77777777" w:rsidR="00072C99" w:rsidRPr="00BD14B0" w:rsidRDefault="00072C99" w:rsidP="00072C99">
      <w:r w:rsidRPr="00BD14B0">
        <w:t>50. I find it very easy to play games with children that involve pretending.</w:t>
      </w:r>
    </w:p>
    <w:p w14:paraId="5C68804A" w14:textId="77777777" w:rsidR="00072C99" w:rsidRPr="00BD14B0" w:rsidRDefault="00072C99" w:rsidP="00072C99"/>
    <w:p w14:paraId="300E876D" w14:textId="77777777" w:rsidR="00072C99" w:rsidRPr="00BD14B0" w:rsidRDefault="00072C99" w:rsidP="00072C99"/>
    <w:p w14:paraId="386E33B2" w14:textId="77777777" w:rsidR="00072C99" w:rsidRPr="00BD14B0" w:rsidRDefault="00072C99" w:rsidP="00072C99">
      <w:pPr>
        <w:rPr>
          <w:b/>
        </w:rPr>
      </w:pPr>
      <w:r w:rsidRPr="00BD14B0">
        <w:rPr>
          <w:b/>
        </w:rPr>
        <w:t>Inferential Confusion Questionnaire—Expanded Version</w:t>
      </w:r>
    </w:p>
    <w:p w14:paraId="76C1F7FF" w14:textId="77777777" w:rsidR="00072C99" w:rsidRPr="00BD14B0" w:rsidRDefault="00072C99" w:rsidP="00072C99">
      <w:r w:rsidRPr="00BD14B0">
        <w:t>Please rate your agreement or disagreement with the following statements using this scale:</w:t>
      </w:r>
    </w:p>
    <w:p w14:paraId="0A53E4A8" w14:textId="77777777" w:rsidR="00072C99" w:rsidRPr="00BD14B0" w:rsidRDefault="00072C99" w:rsidP="00072C99">
      <w:r w:rsidRPr="00BD14B0">
        <w:rPr>
          <w:b/>
          <w:bCs/>
        </w:rPr>
        <w:t xml:space="preserve"> </w:t>
      </w:r>
      <w:r w:rsidRPr="00BD14B0">
        <w:t xml:space="preserve">1 </w:t>
      </w:r>
      <w:r w:rsidRPr="00BD14B0">
        <w:tab/>
      </w:r>
      <w:r w:rsidRPr="00BD14B0">
        <w:tab/>
        <w:t xml:space="preserve">2 </w:t>
      </w:r>
      <w:r w:rsidRPr="00BD14B0">
        <w:tab/>
      </w:r>
      <w:r w:rsidRPr="00BD14B0">
        <w:tab/>
        <w:t xml:space="preserve">3 </w:t>
      </w:r>
      <w:r w:rsidRPr="00BD14B0">
        <w:tab/>
      </w:r>
      <w:r w:rsidRPr="00BD14B0">
        <w:tab/>
        <w:t xml:space="preserve">4 </w:t>
      </w:r>
      <w:r w:rsidRPr="00BD14B0">
        <w:tab/>
      </w:r>
      <w:r w:rsidRPr="00BD14B0">
        <w:tab/>
        <w:t>5</w:t>
      </w:r>
      <w:r w:rsidRPr="00BD14B0">
        <w:tab/>
      </w:r>
      <w:r w:rsidRPr="00BD14B0">
        <w:tab/>
        <w:t>6</w:t>
      </w:r>
    </w:p>
    <w:p w14:paraId="4F77AD9D" w14:textId="77777777" w:rsidR="00072C99" w:rsidRPr="00BD14B0" w:rsidRDefault="00072C99" w:rsidP="00072C99">
      <w:r w:rsidRPr="00BD14B0">
        <w:t>Strongly Disagree-Somewhat disagree- Somewhat disagree- Somewhat Agree- Strongly agree-agree</w:t>
      </w:r>
    </w:p>
    <w:p w14:paraId="3D4C3CCC" w14:textId="77777777" w:rsidR="00072C99" w:rsidRPr="00BD14B0" w:rsidRDefault="00072C99" w:rsidP="00072C99"/>
    <w:p w14:paraId="30C53301" w14:textId="77777777" w:rsidR="00072C99" w:rsidRPr="00BD14B0" w:rsidRDefault="00072C99" w:rsidP="00072C99">
      <w:r w:rsidRPr="00BD14B0">
        <w:t xml:space="preserve">1. I am sometimes more convinced about what might </w:t>
      </w:r>
      <w:proofErr w:type="spellStart"/>
      <w:r w:rsidRPr="00BD14B0">
        <w:t>bet here</w:t>
      </w:r>
      <w:proofErr w:type="spellEnd"/>
      <w:r w:rsidRPr="00BD14B0">
        <w:t xml:space="preserve"> than by what</w:t>
      </w:r>
    </w:p>
    <w:p w14:paraId="18427F7D" w14:textId="77777777" w:rsidR="00072C99" w:rsidRPr="00BD14B0" w:rsidRDefault="00072C99" w:rsidP="00072C99">
      <w:r w:rsidRPr="00BD14B0">
        <w:t>I actually see.</w:t>
      </w:r>
    </w:p>
    <w:p w14:paraId="4A2194E2" w14:textId="77777777" w:rsidR="00072C99" w:rsidRPr="00BD14B0" w:rsidRDefault="00072C99" w:rsidP="00072C99">
      <w:r w:rsidRPr="00BD14B0">
        <w:t>2. I sometimes invent stories about certain problems that might bet here</w:t>
      </w:r>
    </w:p>
    <w:p w14:paraId="05597DF8" w14:textId="77777777" w:rsidR="00072C99" w:rsidRPr="00BD14B0" w:rsidRDefault="00072C99" w:rsidP="00072C99">
      <w:r w:rsidRPr="00BD14B0">
        <w:t>3. Sometimes certain far-fetched ideas feel so real they could just as well</w:t>
      </w:r>
    </w:p>
    <w:p w14:paraId="55423ABB" w14:textId="77777777" w:rsidR="00072C99" w:rsidRPr="00BD14B0" w:rsidRDefault="00072C99" w:rsidP="00072C99">
      <w:r w:rsidRPr="00BD14B0">
        <w:lastRenderedPageBreak/>
        <w:t xml:space="preserve">4. Often my mind starts to </w:t>
      </w:r>
      <w:proofErr w:type="gramStart"/>
      <w:r w:rsidRPr="00BD14B0">
        <w:t>race</w:t>
      </w:r>
      <w:proofErr w:type="gramEnd"/>
      <w:r w:rsidRPr="00BD14B0">
        <w:t xml:space="preserve"> and I come up with all kinds of far-fetched</w:t>
      </w:r>
    </w:p>
    <w:p w14:paraId="68D3F524" w14:textId="77777777" w:rsidR="00072C99" w:rsidRPr="00BD14B0" w:rsidRDefault="00072C99" w:rsidP="00072C99">
      <w:r w:rsidRPr="00BD14B0">
        <w:t>ideas.</w:t>
      </w:r>
    </w:p>
    <w:p w14:paraId="267064C9" w14:textId="77777777" w:rsidR="00072C99" w:rsidRPr="00BD14B0" w:rsidRDefault="00072C99" w:rsidP="00072C99">
      <w:r w:rsidRPr="00BD14B0">
        <w:t xml:space="preserve">5. I can get very easily absorbed in remote possibilities </w:t>
      </w:r>
      <w:proofErr w:type="spellStart"/>
      <w:r w:rsidRPr="00BD14B0">
        <w:t>thatf</w:t>
      </w:r>
      <w:proofErr w:type="spellEnd"/>
      <w:r w:rsidRPr="00BD14B0">
        <w:t xml:space="preserve"> eel as if they</w:t>
      </w:r>
    </w:p>
    <w:p w14:paraId="40D72C6A" w14:textId="77777777" w:rsidR="00072C99" w:rsidRPr="00BD14B0" w:rsidRDefault="00072C99" w:rsidP="00072C99">
      <w:r w:rsidRPr="00BD14B0">
        <w:t>are real.</w:t>
      </w:r>
    </w:p>
    <w:p w14:paraId="19CFBD98" w14:textId="77777777" w:rsidR="00072C99" w:rsidRPr="00BD14B0" w:rsidRDefault="00072C99" w:rsidP="00072C99">
      <w:r w:rsidRPr="00BD14B0">
        <w:t>6. I often confuse different events as if they were the same.</w:t>
      </w:r>
    </w:p>
    <w:p w14:paraId="51A936F3" w14:textId="77777777" w:rsidR="00072C99" w:rsidRPr="00BD14B0" w:rsidRDefault="00072C99" w:rsidP="00072C99">
      <w:r w:rsidRPr="00BD14B0">
        <w:t>7. I often connect ideas or events in my mind that would seem far-fetched</w:t>
      </w:r>
    </w:p>
    <w:p w14:paraId="63ADF419" w14:textId="77777777" w:rsidR="00072C99" w:rsidRPr="00BD14B0" w:rsidRDefault="00072C99" w:rsidP="00072C99">
      <w:r w:rsidRPr="00BD14B0">
        <w:t>to others or even to me.</w:t>
      </w:r>
    </w:p>
    <w:p w14:paraId="237A4B89" w14:textId="77777777" w:rsidR="00072C99" w:rsidRPr="00BD14B0" w:rsidRDefault="00072C99" w:rsidP="00072C99">
      <w:r w:rsidRPr="00BD14B0">
        <w:t>8. Certain disturbing thoughts of mine sometimes cast a shadow on to</w:t>
      </w:r>
    </w:p>
    <w:p w14:paraId="25B08231" w14:textId="77777777" w:rsidR="00072C99" w:rsidRPr="00BD14B0" w:rsidRDefault="00072C99" w:rsidP="00072C99">
      <w:r w:rsidRPr="00BD14B0">
        <w:t xml:space="preserve">everything </w:t>
      </w:r>
      <w:proofErr w:type="spellStart"/>
      <w:r w:rsidRPr="00BD14B0">
        <w:t>Iseearound</w:t>
      </w:r>
      <w:proofErr w:type="spellEnd"/>
      <w:r w:rsidRPr="00BD14B0">
        <w:t xml:space="preserve"> me.</w:t>
      </w:r>
    </w:p>
    <w:p w14:paraId="7F7F46D9" w14:textId="77777777" w:rsidR="00072C99" w:rsidRPr="00BD14B0" w:rsidRDefault="00072C99" w:rsidP="00072C99">
      <w:r w:rsidRPr="00BD14B0">
        <w:t>9. I sometime forget who or where I am when I get absorbed in to certain</w:t>
      </w:r>
    </w:p>
    <w:p w14:paraId="50CDE3C0" w14:textId="77777777" w:rsidR="00072C99" w:rsidRPr="00BD14B0" w:rsidRDefault="00072C99" w:rsidP="00072C99">
      <w:r w:rsidRPr="00BD14B0">
        <w:t>ideas or stories.</w:t>
      </w:r>
    </w:p>
    <w:p w14:paraId="05A70C67" w14:textId="77777777" w:rsidR="00072C99" w:rsidRPr="00BD14B0" w:rsidRDefault="00072C99" w:rsidP="00072C99">
      <w:r w:rsidRPr="00BD14B0">
        <w:t>10. My imagination is sometimes so strong that I feel stuck and unable to</w:t>
      </w:r>
    </w:p>
    <w:p w14:paraId="7493821D" w14:textId="77777777" w:rsidR="00072C99" w:rsidRPr="00BD14B0" w:rsidRDefault="00072C99" w:rsidP="00072C99">
      <w:r w:rsidRPr="00BD14B0">
        <w:t>see things differently.</w:t>
      </w:r>
    </w:p>
    <w:p w14:paraId="59F3834D" w14:textId="77777777" w:rsidR="00072C99" w:rsidRPr="00BD14B0" w:rsidRDefault="00072C99" w:rsidP="00072C99">
      <w:r w:rsidRPr="00BD14B0">
        <w:t xml:space="preserve">11. I invent arbitrary </w:t>
      </w:r>
      <w:proofErr w:type="spellStart"/>
      <w:proofErr w:type="gramStart"/>
      <w:r w:rsidRPr="00BD14B0">
        <w:t>rules,which</w:t>
      </w:r>
      <w:proofErr w:type="spellEnd"/>
      <w:proofErr w:type="gramEnd"/>
      <w:r w:rsidRPr="00BD14B0">
        <w:t xml:space="preserve"> I then feel I have to live by.</w:t>
      </w:r>
    </w:p>
    <w:p w14:paraId="6E01090C" w14:textId="77777777" w:rsidR="00072C99" w:rsidRPr="00BD14B0" w:rsidRDefault="00072C99" w:rsidP="00072C99">
      <w:r w:rsidRPr="00BD14B0">
        <w:t>12. I often cannot tell whether something is safe, because things are not</w:t>
      </w:r>
    </w:p>
    <w:p w14:paraId="38C4F6AA" w14:textId="77777777" w:rsidR="00072C99" w:rsidRPr="00BD14B0" w:rsidRDefault="00072C99" w:rsidP="00072C99">
      <w:r w:rsidRPr="00BD14B0">
        <w:t>what they appear to be.</w:t>
      </w:r>
    </w:p>
    <w:p w14:paraId="7737A169" w14:textId="77777777" w:rsidR="00072C99" w:rsidRPr="00BD14B0" w:rsidRDefault="00072C99" w:rsidP="00072C99">
      <w:r w:rsidRPr="00BD14B0">
        <w:t>13. Sometimes every far-fetched possibility my mind comes up with feels</w:t>
      </w:r>
    </w:p>
    <w:p w14:paraId="2C382831" w14:textId="77777777" w:rsidR="00072C99" w:rsidRPr="00BD14B0" w:rsidRDefault="00072C99" w:rsidP="00072C99">
      <w:r w:rsidRPr="00BD14B0">
        <w:t>real to me.</w:t>
      </w:r>
    </w:p>
    <w:p w14:paraId="016A9AC6" w14:textId="77777777" w:rsidR="00072C99" w:rsidRPr="00BD14B0" w:rsidRDefault="00072C99" w:rsidP="00072C99">
      <w:r w:rsidRPr="00BD14B0">
        <w:t>14. I sometimes get so absorbed in certain ideas that I am completely unable</w:t>
      </w:r>
    </w:p>
    <w:p w14:paraId="71C04F88" w14:textId="77777777" w:rsidR="00072C99" w:rsidRPr="00BD14B0" w:rsidRDefault="00072C99" w:rsidP="00072C99">
      <w:r w:rsidRPr="00BD14B0">
        <w:t>to see things differently even if I try.</w:t>
      </w:r>
    </w:p>
    <w:p w14:paraId="79B7F7AF" w14:textId="77777777" w:rsidR="00072C99" w:rsidRPr="00BD14B0" w:rsidRDefault="00072C99" w:rsidP="00072C99">
      <w:r w:rsidRPr="00BD14B0">
        <w:t>without paying attention to what I actually see.</w:t>
      </w:r>
    </w:p>
    <w:p w14:paraId="21A5F3E1" w14:textId="77777777" w:rsidR="00072C99" w:rsidRPr="00BD14B0" w:rsidRDefault="00072C99" w:rsidP="00072C99">
      <w:r w:rsidRPr="00BD14B0">
        <w:t>be happening.</w:t>
      </w:r>
    </w:p>
    <w:p w14:paraId="7689C997" w14:textId="77777777" w:rsidR="00072C99" w:rsidRPr="00BD14B0" w:rsidRDefault="00072C99" w:rsidP="00072C99">
      <w:r w:rsidRPr="00BD14B0">
        <w:t>15. In order to tell whether there is a problem or not I tend to look more for</w:t>
      </w:r>
    </w:p>
    <w:p w14:paraId="1F07914E" w14:textId="77777777" w:rsidR="00072C99" w:rsidRPr="00BD14B0" w:rsidRDefault="00072C99" w:rsidP="00072C99">
      <w:r w:rsidRPr="00BD14B0">
        <w:t>that which is hidden than what I can actually see.</w:t>
      </w:r>
    </w:p>
    <w:p w14:paraId="005E2319" w14:textId="77777777" w:rsidR="00072C99" w:rsidRPr="00BD14B0" w:rsidRDefault="00072C99" w:rsidP="00072C99">
      <w:r w:rsidRPr="00BD14B0">
        <w:lastRenderedPageBreak/>
        <w:t>16. Even if I don’t have any actual proof of a certain problem, my</w:t>
      </w:r>
    </w:p>
    <w:p w14:paraId="36752DAE" w14:textId="77777777" w:rsidR="00072C99" w:rsidRPr="00BD14B0" w:rsidRDefault="00072C99" w:rsidP="00072C99">
      <w:r w:rsidRPr="00BD14B0">
        <w:t>imagination can convince me otherwise.</w:t>
      </w:r>
    </w:p>
    <w:p w14:paraId="48663D82" w14:textId="77777777" w:rsidR="00072C99" w:rsidRPr="00BD14B0" w:rsidRDefault="00072C99" w:rsidP="00072C99">
      <w:r w:rsidRPr="00BD14B0">
        <w:t>17. Just the thought that there could be a problem or something wrong is</w:t>
      </w:r>
    </w:p>
    <w:p w14:paraId="15528F87" w14:textId="77777777" w:rsidR="00072C99" w:rsidRPr="00BD14B0" w:rsidRDefault="00072C99" w:rsidP="00072C99">
      <w:r w:rsidRPr="00BD14B0">
        <w:t>proof enough for me that there is.</w:t>
      </w:r>
    </w:p>
    <w:p w14:paraId="1B58E5B8" w14:textId="77777777" w:rsidR="00072C99" w:rsidRPr="00BD14B0" w:rsidRDefault="00072C99" w:rsidP="00072C99">
      <w:r w:rsidRPr="00BD14B0">
        <w:t>18. I can get so caught up in certain ideas of mine that I totally forget about</w:t>
      </w:r>
    </w:p>
    <w:p w14:paraId="3C7175BF" w14:textId="77777777" w:rsidR="00072C99" w:rsidRPr="00BD14B0" w:rsidRDefault="00072C99" w:rsidP="00072C99">
      <w:r w:rsidRPr="00BD14B0">
        <w:t>everything around me.</w:t>
      </w:r>
    </w:p>
    <w:p w14:paraId="67BEF92D" w14:textId="77777777" w:rsidR="00072C99" w:rsidRPr="00BD14B0" w:rsidRDefault="00072C99" w:rsidP="00072C99">
      <w:r w:rsidRPr="00BD14B0">
        <w:t>19. Often when I feel certain about something a small detail comes to mind</w:t>
      </w:r>
    </w:p>
    <w:p w14:paraId="246A168E" w14:textId="77777777" w:rsidR="00072C99" w:rsidRPr="00BD14B0" w:rsidRDefault="00072C99" w:rsidP="00072C99">
      <w:r w:rsidRPr="00BD14B0">
        <w:t>that puts everything into doubt.</w:t>
      </w:r>
    </w:p>
    <w:p w14:paraId="14F00BF2" w14:textId="77777777" w:rsidR="00072C99" w:rsidRPr="00BD14B0" w:rsidRDefault="00072C99" w:rsidP="00072C99">
      <w:r w:rsidRPr="00BD14B0">
        <w:t>20. I sometimes come up with far-fetched reasons why there is a problem or</w:t>
      </w:r>
    </w:p>
    <w:p w14:paraId="58070BE5" w14:textId="77777777" w:rsidR="00072C99" w:rsidRPr="00BD14B0" w:rsidRDefault="00072C99" w:rsidP="00072C99">
      <w:r w:rsidRPr="00BD14B0">
        <w:t xml:space="preserve">something </w:t>
      </w:r>
      <w:proofErr w:type="spellStart"/>
      <w:proofErr w:type="gramStart"/>
      <w:r w:rsidRPr="00BD14B0">
        <w:t>wrong,which</w:t>
      </w:r>
      <w:proofErr w:type="spellEnd"/>
      <w:proofErr w:type="gramEnd"/>
      <w:r w:rsidRPr="00BD14B0">
        <w:t xml:space="preserve"> then suddenly starts to feel real to me.</w:t>
      </w:r>
    </w:p>
    <w:p w14:paraId="216026E3" w14:textId="77777777" w:rsidR="00072C99" w:rsidRPr="00BD14B0" w:rsidRDefault="00072C99" w:rsidP="00072C99">
      <w:r w:rsidRPr="00BD14B0">
        <w:t>21. I often cannot get rid of certain ideas, because I keep coming up</w:t>
      </w:r>
    </w:p>
    <w:p w14:paraId="00C08C04" w14:textId="77777777" w:rsidR="00072C99" w:rsidRPr="00BD14B0" w:rsidRDefault="00072C99" w:rsidP="00072C99">
      <w:r w:rsidRPr="00BD14B0">
        <w:t>possibilities that confirm my ideas.</w:t>
      </w:r>
    </w:p>
    <w:p w14:paraId="75C815BF" w14:textId="77777777" w:rsidR="00072C99" w:rsidRPr="00BD14B0" w:rsidRDefault="00072C99" w:rsidP="00072C99">
      <w:r w:rsidRPr="00BD14B0">
        <w:t>22. My imagination can make me lose confidence in what I actually</w:t>
      </w:r>
    </w:p>
    <w:p w14:paraId="17F7253F" w14:textId="77777777" w:rsidR="00072C99" w:rsidRPr="00BD14B0" w:rsidRDefault="00072C99" w:rsidP="00072C99">
      <w:r w:rsidRPr="00BD14B0">
        <w:t>perceive.</w:t>
      </w:r>
    </w:p>
    <w:p w14:paraId="7F5C8D44" w14:textId="77777777" w:rsidR="00072C99" w:rsidRPr="00BD14B0" w:rsidRDefault="00072C99" w:rsidP="00072C99">
      <w:r w:rsidRPr="00BD14B0">
        <w:t>23. A mere possibility often has as much impact on me as reality itself.</w:t>
      </w:r>
    </w:p>
    <w:p w14:paraId="1CA4706D" w14:textId="77777777" w:rsidR="00072C99" w:rsidRPr="00BD14B0" w:rsidRDefault="00072C99" w:rsidP="00072C99">
      <w:r w:rsidRPr="00BD14B0">
        <w:t>24. Even if I have all sorts of visible evidence against the existence of a</w:t>
      </w:r>
    </w:p>
    <w:p w14:paraId="6B79CFD9" w14:textId="77777777" w:rsidR="00072C99" w:rsidRPr="00BD14B0" w:rsidRDefault="00072C99" w:rsidP="00072C99">
      <w:r w:rsidRPr="00BD14B0">
        <w:t>certain problem, I still feel it will occur.</w:t>
      </w:r>
    </w:p>
    <w:p w14:paraId="3B27B842" w14:textId="77777777" w:rsidR="00072C99" w:rsidRPr="00BD14B0" w:rsidRDefault="00072C99" w:rsidP="00072C99">
      <w:r w:rsidRPr="00BD14B0">
        <w:t xml:space="preserve">25. Even the smallest possibility can make me </w:t>
      </w:r>
      <w:proofErr w:type="spellStart"/>
      <w:r w:rsidRPr="00BD14B0">
        <w:t>loose</w:t>
      </w:r>
      <w:proofErr w:type="spellEnd"/>
      <w:r w:rsidRPr="00BD14B0">
        <w:t xml:space="preserve"> confidence in what</w:t>
      </w:r>
    </w:p>
    <w:p w14:paraId="7DD4A2B3" w14:textId="77777777" w:rsidR="00072C99" w:rsidRPr="00BD14B0" w:rsidRDefault="00072C99" w:rsidP="00072C99">
      <w:r w:rsidRPr="00BD14B0">
        <w:t>I know.</w:t>
      </w:r>
    </w:p>
    <w:p w14:paraId="6172AE5A" w14:textId="77777777" w:rsidR="00072C99" w:rsidRPr="00BD14B0" w:rsidRDefault="00072C99" w:rsidP="00072C99">
      <w:r w:rsidRPr="00BD14B0">
        <w:t>26. I can imagine something and end up living it.</w:t>
      </w:r>
    </w:p>
    <w:p w14:paraId="0797A052" w14:textId="77777777" w:rsidR="00072C99" w:rsidRPr="00BD14B0" w:rsidRDefault="00072C99" w:rsidP="00072C99">
      <w:r w:rsidRPr="00BD14B0">
        <w:t>27. I am more often concerned with something that I cannot see rather than</w:t>
      </w:r>
    </w:p>
    <w:p w14:paraId="5EEE134C" w14:textId="77777777" w:rsidR="00072C99" w:rsidRPr="00BD14B0" w:rsidRDefault="00072C99" w:rsidP="00072C99">
      <w:r w:rsidRPr="00BD14B0">
        <w:t>something I can see.</w:t>
      </w:r>
    </w:p>
    <w:p w14:paraId="6E673C93" w14:textId="77777777" w:rsidR="00072C99" w:rsidRPr="00BD14B0" w:rsidRDefault="00072C99" w:rsidP="00072C99">
      <w:r w:rsidRPr="00BD14B0">
        <w:t>28. I sometimes come up with bizarre possibilities that feel real to me.</w:t>
      </w:r>
    </w:p>
    <w:p w14:paraId="098BB7CF" w14:textId="77777777" w:rsidR="00072C99" w:rsidRPr="00BD14B0" w:rsidRDefault="00072C99" w:rsidP="00072C99">
      <w:r w:rsidRPr="00BD14B0">
        <w:t>29. I often react to a scenario that might happen as if it is actually</w:t>
      </w:r>
    </w:p>
    <w:p w14:paraId="501742F6" w14:textId="77777777" w:rsidR="00072C99" w:rsidRPr="00BD14B0" w:rsidRDefault="00072C99" w:rsidP="00072C99">
      <w:r w:rsidRPr="00BD14B0">
        <w:lastRenderedPageBreak/>
        <w:t>happening.</w:t>
      </w:r>
    </w:p>
    <w:p w14:paraId="2770AB24" w14:textId="77777777" w:rsidR="00072C99" w:rsidRPr="00BD14B0" w:rsidRDefault="00072C99" w:rsidP="00072C99">
      <w:r w:rsidRPr="00BD14B0">
        <w:t xml:space="preserve">30. I sometimes cannot tell </w:t>
      </w:r>
      <w:proofErr w:type="spellStart"/>
      <w:r w:rsidRPr="00BD14B0">
        <w:t>whethe</w:t>
      </w:r>
      <w:proofErr w:type="spellEnd"/>
      <w:r w:rsidRPr="00BD14B0">
        <w:t xml:space="preserve"> </w:t>
      </w:r>
      <w:proofErr w:type="spellStart"/>
      <w:r w:rsidRPr="00BD14B0">
        <w:t>rall</w:t>
      </w:r>
      <w:proofErr w:type="spellEnd"/>
      <w:r w:rsidRPr="00BD14B0">
        <w:t xml:space="preserve"> the possibilities that enter my mind</w:t>
      </w:r>
    </w:p>
    <w:p w14:paraId="28623A67" w14:textId="77777777" w:rsidR="00072C99" w:rsidRPr="00BD14B0" w:rsidRDefault="00072C99" w:rsidP="00072C99">
      <w:r w:rsidRPr="00BD14B0">
        <w:t>are real or not.</w:t>
      </w:r>
    </w:p>
    <w:p w14:paraId="31C93337" w14:textId="77777777" w:rsidR="00072C99" w:rsidRPr="00BD14B0" w:rsidRDefault="00072C99" w:rsidP="00553E01"/>
    <w:sectPr w:rsidR="00072C99" w:rsidRPr="00BD14B0" w:rsidSect="00E76150">
      <w:pgSz w:w="12240" w:h="15840"/>
      <w:pgMar w:top="1134" w:right="1134" w:bottom="1134"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ADD3E7" w14:textId="77777777" w:rsidR="000E2705" w:rsidRDefault="000E2705" w:rsidP="00553E01">
      <w:r>
        <w:separator/>
      </w:r>
    </w:p>
    <w:p w14:paraId="4CA73CBA" w14:textId="77777777" w:rsidR="000E2705" w:rsidRDefault="000E2705" w:rsidP="00553E01"/>
    <w:p w14:paraId="46D1966B" w14:textId="77777777" w:rsidR="000E2705" w:rsidRDefault="000E2705" w:rsidP="00553E01"/>
    <w:p w14:paraId="71846175" w14:textId="77777777" w:rsidR="000E2705" w:rsidRDefault="000E2705" w:rsidP="00553E01"/>
    <w:p w14:paraId="7E9BB67E" w14:textId="77777777" w:rsidR="000E2705" w:rsidRDefault="000E2705" w:rsidP="00553E01"/>
    <w:p w14:paraId="36B4FCAE" w14:textId="77777777" w:rsidR="000E2705" w:rsidRDefault="000E2705" w:rsidP="00553E01"/>
    <w:p w14:paraId="584E7142" w14:textId="77777777" w:rsidR="000E2705" w:rsidRDefault="000E2705" w:rsidP="00553E01"/>
    <w:p w14:paraId="545BC6D8" w14:textId="77777777" w:rsidR="000E2705" w:rsidRDefault="000E2705" w:rsidP="00553E01"/>
    <w:p w14:paraId="5FE82C73" w14:textId="77777777" w:rsidR="000E2705" w:rsidRDefault="000E2705" w:rsidP="00553E01"/>
    <w:p w14:paraId="68FE2BC4" w14:textId="77777777" w:rsidR="000E2705" w:rsidRDefault="000E2705" w:rsidP="00553E01"/>
    <w:p w14:paraId="79E1DEEF" w14:textId="77777777" w:rsidR="000E2705" w:rsidRDefault="000E2705" w:rsidP="00553E01"/>
    <w:p w14:paraId="693263C5" w14:textId="77777777" w:rsidR="000E2705" w:rsidRDefault="000E2705" w:rsidP="00553E01"/>
    <w:p w14:paraId="4D2A5A9A" w14:textId="77777777" w:rsidR="000E2705" w:rsidRDefault="000E2705" w:rsidP="00553E01"/>
    <w:p w14:paraId="6CE29E35" w14:textId="77777777" w:rsidR="000E2705" w:rsidRDefault="000E2705" w:rsidP="00553E01"/>
    <w:p w14:paraId="4CDC5668" w14:textId="77777777" w:rsidR="000E2705" w:rsidRDefault="000E2705" w:rsidP="00553E01"/>
    <w:p w14:paraId="3BEBB710" w14:textId="77777777" w:rsidR="000E2705" w:rsidRDefault="000E2705" w:rsidP="00553E01"/>
    <w:p w14:paraId="5CDAAE23" w14:textId="77777777" w:rsidR="000E2705" w:rsidRDefault="000E2705" w:rsidP="00553E01"/>
    <w:p w14:paraId="4C575FF0" w14:textId="77777777" w:rsidR="000E2705" w:rsidRDefault="000E2705" w:rsidP="00553E01"/>
    <w:p w14:paraId="4F085141" w14:textId="77777777" w:rsidR="000E2705" w:rsidRDefault="000E2705" w:rsidP="00553E01"/>
    <w:p w14:paraId="0D220701" w14:textId="77777777" w:rsidR="000E2705" w:rsidRDefault="000E2705" w:rsidP="00553E01"/>
    <w:p w14:paraId="6D73636A" w14:textId="77777777" w:rsidR="000E2705" w:rsidRDefault="000E2705" w:rsidP="00553E01"/>
    <w:p w14:paraId="7EB9C03B" w14:textId="77777777" w:rsidR="000E2705" w:rsidRDefault="000E2705" w:rsidP="00553E01"/>
    <w:p w14:paraId="371098D6" w14:textId="77777777" w:rsidR="000E2705" w:rsidRDefault="000E2705" w:rsidP="00553E01"/>
    <w:p w14:paraId="12C417E5" w14:textId="77777777" w:rsidR="000E2705" w:rsidRDefault="000E2705" w:rsidP="00553E01"/>
    <w:p w14:paraId="07D570FB" w14:textId="77777777" w:rsidR="000E2705" w:rsidRDefault="000E2705" w:rsidP="00553E01"/>
    <w:p w14:paraId="225BF6EC" w14:textId="77777777" w:rsidR="000E2705" w:rsidRDefault="000E2705" w:rsidP="00553E01"/>
    <w:p w14:paraId="3D1C75E1" w14:textId="77777777" w:rsidR="000E2705" w:rsidRDefault="000E2705" w:rsidP="00553E01"/>
    <w:p w14:paraId="07E310C8" w14:textId="77777777" w:rsidR="000E2705" w:rsidRDefault="000E2705" w:rsidP="00553E01"/>
    <w:p w14:paraId="2D078C8B" w14:textId="77777777" w:rsidR="000E2705" w:rsidRDefault="000E2705" w:rsidP="00553E01"/>
    <w:p w14:paraId="15A779B4" w14:textId="77777777" w:rsidR="000E2705" w:rsidRDefault="000E2705"/>
    <w:p w14:paraId="54F4B3A0" w14:textId="77777777" w:rsidR="000E2705" w:rsidRDefault="000E2705" w:rsidP="0081105B"/>
    <w:p w14:paraId="4A9BD4AB" w14:textId="77777777" w:rsidR="000E2705" w:rsidRDefault="000E2705"/>
    <w:p w14:paraId="573A9244" w14:textId="77777777" w:rsidR="000E2705" w:rsidRDefault="000E2705" w:rsidP="002933C4"/>
  </w:endnote>
  <w:endnote w:type="continuationSeparator" w:id="0">
    <w:p w14:paraId="06D42965" w14:textId="77777777" w:rsidR="000E2705" w:rsidRDefault="000E2705" w:rsidP="00553E01">
      <w:r>
        <w:continuationSeparator/>
      </w:r>
    </w:p>
    <w:p w14:paraId="1444C85C" w14:textId="77777777" w:rsidR="000E2705" w:rsidRDefault="000E2705" w:rsidP="00553E01"/>
    <w:p w14:paraId="2DC71B88" w14:textId="77777777" w:rsidR="000E2705" w:rsidRDefault="000E2705" w:rsidP="00553E01"/>
    <w:p w14:paraId="4A780D64" w14:textId="77777777" w:rsidR="000E2705" w:rsidRDefault="000E2705" w:rsidP="00553E01"/>
    <w:p w14:paraId="7AA69F20" w14:textId="77777777" w:rsidR="000E2705" w:rsidRDefault="000E2705" w:rsidP="00553E01"/>
    <w:p w14:paraId="65337ABF" w14:textId="77777777" w:rsidR="000E2705" w:rsidRDefault="000E2705" w:rsidP="00553E01"/>
    <w:p w14:paraId="02F8CF6D" w14:textId="77777777" w:rsidR="000E2705" w:rsidRDefault="000E2705" w:rsidP="00553E01"/>
    <w:p w14:paraId="1E3A3A81" w14:textId="77777777" w:rsidR="000E2705" w:rsidRDefault="000E2705" w:rsidP="00553E01"/>
    <w:p w14:paraId="3AE3194B" w14:textId="77777777" w:rsidR="000E2705" w:rsidRDefault="000E2705" w:rsidP="00553E01"/>
    <w:p w14:paraId="354E2618" w14:textId="77777777" w:rsidR="000E2705" w:rsidRDefault="000E2705" w:rsidP="00553E01"/>
    <w:p w14:paraId="12182403" w14:textId="77777777" w:rsidR="000E2705" w:rsidRDefault="000E2705" w:rsidP="00553E01"/>
    <w:p w14:paraId="432A50E5" w14:textId="77777777" w:rsidR="000E2705" w:rsidRDefault="000E2705" w:rsidP="00553E01"/>
    <w:p w14:paraId="496E37CF" w14:textId="77777777" w:rsidR="000E2705" w:rsidRDefault="000E2705" w:rsidP="00553E01"/>
    <w:p w14:paraId="245FD924" w14:textId="77777777" w:rsidR="000E2705" w:rsidRDefault="000E2705" w:rsidP="00553E01"/>
    <w:p w14:paraId="0C1A04DC" w14:textId="77777777" w:rsidR="000E2705" w:rsidRDefault="000E2705" w:rsidP="00553E01"/>
    <w:p w14:paraId="5D392A09" w14:textId="77777777" w:rsidR="000E2705" w:rsidRDefault="000E2705" w:rsidP="00553E01"/>
    <w:p w14:paraId="750E8B5C" w14:textId="77777777" w:rsidR="000E2705" w:rsidRDefault="000E2705" w:rsidP="00553E01"/>
    <w:p w14:paraId="4A053E6F" w14:textId="77777777" w:rsidR="000E2705" w:rsidRDefault="000E2705" w:rsidP="00553E01"/>
    <w:p w14:paraId="46390576" w14:textId="77777777" w:rsidR="000E2705" w:rsidRDefault="000E2705" w:rsidP="00553E01"/>
    <w:p w14:paraId="1493513E" w14:textId="77777777" w:rsidR="000E2705" w:rsidRDefault="000E2705" w:rsidP="00553E01"/>
    <w:p w14:paraId="72A07509" w14:textId="77777777" w:rsidR="000E2705" w:rsidRDefault="000E2705" w:rsidP="00553E01"/>
    <w:p w14:paraId="10B6DF58" w14:textId="77777777" w:rsidR="000E2705" w:rsidRDefault="000E2705" w:rsidP="00553E01"/>
    <w:p w14:paraId="52A2FD39" w14:textId="77777777" w:rsidR="000E2705" w:rsidRDefault="000E2705" w:rsidP="00553E01"/>
    <w:p w14:paraId="51D94DC5" w14:textId="77777777" w:rsidR="000E2705" w:rsidRDefault="000E2705" w:rsidP="00553E01"/>
    <w:p w14:paraId="18896525" w14:textId="77777777" w:rsidR="000E2705" w:rsidRDefault="000E2705" w:rsidP="00553E01"/>
    <w:p w14:paraId="69FA0977" w14:textId="77777777" w:rsidR="000E2705" w:rsidRDefault="000E2705" w:rsidP="00553E01"/>
    <w:p w14:paraId="384A0FF2" w14:textId="77777777" w:rsidR="000E2705" w:rsidRDefault="000E2705" w:rsidP="00553E01"/>
    <w:p w14:paraId="0C52781B" w14:textId="77777777" w:rsidR="000E2705" w:rsidRDefault="000E2705" w:rsidP="00553E01"/>
    <w:p w14:paraId="52D65855" w14:textId="77777777" w:rsidR="000E2705" w:rsidRDefault="000E2705" w:rsidP="00553E01"/>
    <w:p w14:paraId="04079B63" w14:textId="77777777" w:rsidR="000E2705" w:rsidRDefault="000E2705"/>
    <w:p w14:paraId="32E0C4A9" w14:textId="77777777" w:rsidR="000E2705" w:rsidRDefault="000E2705" w:rsidP="0081105B"/>
    <w:p w14:paraId="73E55ADD" w14:textId="77777777" w:rsidR="000E2705" w:rsidRDefault="000E2705"/>
    <w:p w14:paraId="40DBB776" w14:textId="77777777" w:rsidR="000E2705" w:rsidRDefault="000E2705" w:rsidP="002933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Yu Mincho">
    <w:panose1 w:val="02020400000000000000"/>
    <w:charset w:val="80"/>
    <w:family w:val="roman"/>
    <w:pitch w:val="variable"/>
    <w:sig w:usb0="800002E7" w:usb1="2AC7FCFF"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MS Reference Sans Serif">
    <w:panose1 w:val="020B0604030504040204"/>
    <w:charset w:val="00"/>
    <w:family w:val="swiss"/>
    <w:pitch w:val="variable"/>
    <w:sig w:usb0="00000287" w:usb1="00000000" w:usb2="00000000" w:usb3="00000000" w:csb0="0000019F" w:csb1="00000000"/>
  </w:font>
  <w:font w:name="TimesNewRomanPSMT">
    <w:altName w:val="Times New Roman"/>
    <w:panose1 w:val="020B06040202020202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55766591"/>
      <w:docPartObj>
        <w:docPartGallery w:val="Page Numbers (Bottom of Page)"/>
        <w:docPartUnique/>
      </w:docPartObj>
    </w:sdtPr>
    <w:sdtContent>
      <w:p w14:paraId="1A486B0D" w14:textId="2A3CF6A0" w:rsidR="002C3C2D" w:rsidRDefault="002C3C2D" w:rsidP="00E76150">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sidR="00882010">
          <w:rPr>
            <w:rStyle w:val="PageNumber"/>
            <w:noProof/>
          </w:rPr>
          <w:t>v</w:t>
        </w:r>
        <w:r>
          <w:rPr>
            <w:rStyle w:val="PageNumber"/>
          </w:rPr>
          <w:fldChar w:fldCharType="end"/>
        </w:r>
      </w:p>
    </w:sdtContent>
  </w:sdt>
  <w:p w14:paraId="22FDAD12" w14:textId="5415A1E1" w:rsidR="002D67F7" w:rsidRDefault="002D67F7" w:rsidP="002C3C2D">
    <w:pPr>
      <w:pStyle w:val="Footer"/>
      <w:ind w:right="360" w:firstLine="360"/>
      <w:rPr>
        <w:rStyle w:val="PageNumber"/>
      </w:rPr>
    </w:pPr>
  </w:p>
  <w:p w14:paraId="662B606F" w14:textId="70F04FBB" w:rsidR="009D2E85" w:rsidRDefault="009D2E85" w:rsidP="00553E01">
    <w:pPr>
      <w:pStyle w:val="Footer"/>
      <w:rPr>
        <w:rStyle w:val="PageNumber"/>
      </w:rPr>
    </w:pPr>
  </w:p>
  <w:p w14:paraId="735A7CE0" w14:textId="70C90D7B" w:rsidR="009D2E85" w:rsidRDefault="009D2E85" w:rsidP="00553E01"/>
  <w:p w14:paraId="4B54129A" w14:textId="77777777" w:rsidR="009D2E85" w:rsidRDefault="009D2E85" w:rsidP="00553E01"/>
  <w:p w14:paraId="0DD1C27F" w14:textId="77777777" w:rsidR="009D2E85" w:rsidRDefault="009D2E85" w:rsidP="00553E01"/>
  <w:p w14:paraId="1C3C6861" w14:textId="77777777" w:rsidR="009D2E85" w:rsidRDefault="009D2E85" w:rsidP="00553E01"/>
  <w:p w14:paraId="4D380344" w14:textId="77777777" w:rsidR="009D2E85" w:rsidRDefault="009D2E85" w:rsidP="00553E01"/>
  <w:p w14:paraId="2DCF1957" w14:textId="77777777" w:rsidR="009D2E85" w:rsidRDefault="009D2E85" w:rsidP="00553E01"/>
  <w:p w14:paraId="411EB7ED" w14:textId="77777777" w:rsidR="009D2E85" w:rsidRDefault="009D2E85" w:rsidP="00553E01"/>
  <w:p w14:paraId="286F51DE" w14:textId="77777777" w:rsidR="009D2E85" w:rsidRDefault="009D2E85" w:rsidP="00553E01"/>
  <w:p w14:paraId="611A4E55" w14:textId="77777777" w:rsidR="009D2E85" w:rsidRDefault="009D2E85" w:rsidP="00553E01"/>
  <w:p w14:paraId="3A578A10" w14:textId="77777777" w:rsidR="009D2E85" w:rsidRDefault="009D2E85" w:rsidP="00553E01"/>
  <w:p w14:paraId="32F53FB2" w14:textId="77777777" w:rsidR="009D2E85" w:rsidRDefault="009D2E85" w:rsidP="00553E01"/>
  <w:p w14:paraId="3ECAC95F" w14:textId="77777777" w:rsidR="009D2E85" w:rsidRDefault="009D2E85" w:rsidP="00553E01"/>
  <w:p w14:paraId="7FDEE66B" w14:textId="77777777" w:rsidR="009D2E85" w:rsidRDefault="009D2E85" w:rsidP="00553E01"/>
  <w:p w14:paraId="63B4A8DD" w14:textId="77777777" w:rsidR="009D2E85" w:rsidRDefault="009D2E85" w:rsidP="00553E01"/>
  <w:p w14:paraId="669CF846" w14:textId="77777777" w:rsidR="009D2E85" w:rsidRDefault="009D2E85" w:rsidP="00553E01"/>
  <w:p w14:paraId="248BBEB0" w14:textId="77777777" w:rsidR="009D2E85" w:rsidRDefault="009D2E85" w:rsidP="00553E01"/>
  <w:p w14:paraId="32FE8F73" w14:textId="77777777" w:rsidR="009D2E85" w:rsidRDefault="009D2E85" w:rsidP="00553E01"/>
  <w:p w14:paraId="56E7E458" w14:textId="77777777" w:rsidR="009D2E85" w:rsidRDefault="009D2E85" w:rsidP="00553E01"/>
  <w:p w14:paraId="6916142A" w14:textId="77777777" w:rsidR="009D2E85" w:rsidRDefault="009D2E85" w:rsidP="00553E01"/>
  <w:p w14:paraId="0065AB91" w14:textId="77777777" w:rsidR="009D2E85" w:rsidRDefault="009D2E85" w:rsidP="00553E01"/>
  <w:p w14:paraId="7B943094" w14:textId="77777777" w:rsidR="009D2E85" w:rsidRDefault="009D2E85" w:rsidP="00553E01"/>
  <w:p w14:paraId="146EA83D" w14:textId="77777777" w:rsidR="009D2E85" w:rsidRDefault="009D2E85" w:rsidP="00553E01"/>
  <w:p w14:paraId="0DFA73E0" w14:textId="77777777" w:rsidR="009D2E85" w:rsidRDefault="009D2E85" w:rsidP="00553E01"/>
  <w:p w14:paraId="574C4EFE" w14:textId="77777777" w:rsidR="009D2E85" w:rsidRDefault="009D2E85" w:rsidP="00553E01"/>
  <w:p w14:paraId="28FA1CE0" w14:textId="77777777" w:rsidR="009D2E85" w:rsidRDefault="009D2E85" w:rsidP="00553E01"/>
  <w:p w14:paraId="66719B00" w14:textId="77777777" w:rsidR="009D2E85" w:rsidRDefault="009D2E85" w:rsidP="00553E01"/>
  <w:p w14:paraId="27918F67" w14:textId="77777777" w:rsidR="00D319DD" w:rsidRDefault="00D319DD" w:rsidP="00553E01"/>
  <w:p w14:paraId="7341EB76" w14:textId="77777777" w:rsidR="00D319DD" w:rsidRDefault="00D319DD" w:rsidP="00553E01"/>
  <w:p w14:paraId="18447E01" w14:textId="77777777" w:rsidR="002F15A8" w:rsidRDefault="002F15A8" w:rsidP="00553E01"/>
  <w:p w14:paraId="4437BF1A" w14:textId="77777777" w:rsidR="00692E25" w:rsidRDefault="00692E25" w:rsidP="00553E01"/>
  <w:p w14:paraId="7BA7A3FD" w14:textId="77777777" w:rsidR="0064187D" w:rsidRDefault="0064187D"/>
  <w:p w14:paraId="3ACC95F1" w14:textId="77777777" w:rsidR="0064187D" w:rsidRDefault="0064187D" w:rsidP="0081105B"/>
  <w:p w14:paraId="51EAD966" w14:textId="77777777" w:rsidR="007D54A8" w:rsidRDefault="007D54A8"/>
  <w:p w14:paraId="55DDD6CA" w14:textId="77777777" w:rsidR="007D54A8" w:rsidRDefault="007D54A8" w:rsidP="002933C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05840660"/>
      <w:docPartObj>
        <w:docPartGallery w:val="Page Numbers (Bottom of Page)"/>
        <w:docPartUnique/>
      </w:docPartObj>
    </w:sdtPr>
    <w:sdtContent>
      <w:p w14:paraId="1FF09A7C" w14:textId="6957F0A2" w:rsidR="00E76150" w:rsidRDefault="00E76150" w:rsidP="00D74F46">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sdtContent>
  </w:sdt>
  <w:p w14:paraId="2CC0C4AC" w14:textId="77777777" w:rsidR="007D54A8" w:rsidRDefault="007D54A8" w:rsidP="00E76150">
    <w:pPr>
      <w:ind w:right="360" w:firstLine="360"/>
    </w:pPr>
  </w:p>
  <w:p w14:paraId="5C253E04" w14:textId="77777777" w:rsidR="007D54A8" w:rsidRDefault="007D54A8" w:rsidP="002933C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FA4185" w14:textId="77777777" w:rsidR="000E2705" w:rsidRDefault="000E2705" w:rsidP="00553E01">
      <w:r>
        <w:separator/>
      </w:r>
    </w:p>
    <w:p w14:paraId="5DB05738" w14:textId="77777777" w:rsidR="000E2705" w:rsidRDefault="000E2705" w:rsidP="00553E01"/>
    <w:p w14:paraId="510ED942" w14:textId="77777777" w:rsidR="000E2705" w:rsidRDefault="000E2705" w:rsidP="00553E01"/>
    <w:p w14:paraId="41B1919E" w14:textId="77777777" w:rsidR="000E2705" w:rsidRDefault="000E2705" w:rsidP="00553E01"/>
    <w:p w14:paraId="542C2FAA" w14:textId="77777777" w:rsidR="000E2705" w:rsidRDefault="000E2705" w:rsidP="00553E01"/>
    <w:p w14:paraId="3E2D81B9" w14:textId="77777777" w:rsidR="000E2705" w:rsidRDefault="000E2705" w:rsidP="00553E01"/>
    <w:p w14:paraId="72D65E6F" w14:textId="77777777" w:rsidR="000E2705" w:rsidRDefault="000E2705" w:rsidP="00553E01"/>
    <w:p w14:paraId="24F1CC6D" w14:textId="77777777" w:rsidR="000E2705" w:rsidRDefault="000E2705" w:rsidP="00553E01"/>
    <w:p w14:paraId="6B3C2E10" w14:textId="77777777" w:rsidR="000E2705" w:rsidRDefault="000E2705" w:rsidP="00553E01"/>
    <w:p w14:paraId="7EC00C0D" w14:textId="77777777" w:rsidR="000E2705" w:rsidRDefault="000E2705" w:rsidP="00553E01"/>
    <w:p w14:paraId="289B52D3" w14:textId="77777777" w:rsidR="000E2705" w:rsidRDefault="000E2705" w:rsidP="00553E01"/>
    <w:p w14:paraId="69C5251E" w14:textId="77777777" w:rsidR="000E2705" w:rsidRDefault="000E2705" w:rsidP="00553E01"/>
    <w:p w14:paraId="4B2DE024" w14:textId="77777777" w:rsidR="000E2705" w:rsidRDefault="000E2705" w:rsidP="00553E01"/>
    <w:p w14:paraId="39FCA2AA" w14:textId="77777777" w:rsidR="000E2705" w:rsidRDefault="000E2705" w:rsidP="00553E01"/>
    <w:p w14:paraId="2BF92894" w14:textId="77777777" w:rsidR="000E2705" w:rsidRDefault="000E2705" w:rsidP="00553E01"/>
    <w:p w14:paraId="109680EC" w14:textId="77777777" w:rsidR="000E2705" w:rsidRDefault="000E2705" w:rsidP="00553E01"/>
    <w:p w14:paraId="78DC9853" w14:textId="77777777" w:rsidR="000E2705" w:rsidRDefault="000E2705" w:rsidP="00553E01"/>
    <w:p w14:paraId="41CCAA01" w14:textId="77777777" w:rsidR="000E2705" w:rsidRDefault="000E2705" w:rsidP="00553E01"/>
    <w:p w14:paraId="63A2B9F5" w14:textId="77777777" w:rsidR="000E2705" w:rsidRDefault="000E2705" w:rsidP="00553E01"/>
    <w:p w14:paraId="74C4E4C9" w14:textId="77777777" w:rsidR="000E2705" w:rsidRDefault="000E2705" w:rsidP="00553E01"/>
    <w:p w14:paraId="4089EBBB" w14:textId="77777777" w:rsidR="000E2705" w:rsidRDefault="000E2705" w:rsidP="00553E01"/>
    <w:p w14:paraId="06253064" w14:textId="77777777" w:rsidR="000E2705" w:rsidRDefault="000E2705" w:rsidP="00553E01"/>
    <w:p w14:paraId="5BBE1C6E" w14:textId="77777777" w:rsidR="000E2705" w:rsidRDefault="000E2705" w:rsidP="00553E01"/>
    <w:p w14:paraId="27559954" w14:textId="77777777" w:rsidR="000E2705" w:rsidRDefault="000E2705" w:rsidP="00553E01"/>
    <w:p w14:paraId="19E7FE8A" w14:textId="77777777" w:rsidR="000E2705" w:rsidRDefault="000E2705" w:rsidP="00553E01"/>
    <w:p w14:paraId="741CB17F" w14:textId="77777777" w:rsidR="000E2705" w:rsidRDefault="000E2705" w:rsidP="00553E01"/>
    <w:p w14:paraId="0BD24C47" w14:textId="77777777" w:rsidR="000E2705" w:rsidRDefault="000E2705" w:rsidP="00553E01"/>
    <w:p w14:paraId="1DC4EC14" w14:textId="77777777" w:rsidR="000E2705" w:rsidRDefault="000E2705" w:rsidP="00553E01"/>
    <w:p w14:paraId="26A17C28" w14:textId="77777777" w:rsidR="000E2705" w:rsidRDefault="000E2705" w:rsidP="00553E01"/>
    <w:p w14:paraId="1C24C98C" w14:textId="77777777" w:rsidR="000E2705" w:rsidRDefault="000E2705"/>
    <w:p w14:paraId="4A54D07B" w14:textId="77777777" w:rsidR="000E2705" w:rsidRDefault="000E2705" w:rsidP="0081105B"/>
    <w:p w14:paraId="32CEE99B" w14:textId="77777777" w:rsidR="000E2705" w:rsidRDefault="000E2705"/>
    <w:p w14:paraId="46E4C0DD" w14:textId="77777777" w:rsidR="000E2705" w:rsidRDefault="000E2705" w:rsidP="002933C4"/>
  </w:footnote>
  <w:footnote w:type="continuationSeparator" w:id="0">
    <w:p w14:paraId="1BC99473" w14:textId="77777777" w:rsidR="000E2705" w:rsidRDefault="000E2705" w:rsidP="00553E01">
      <w:r>
        <w:continuationSeparator/>
      </w:r>
    </w:p>
    <w:p w14:paraId="1F50CE3B" w14:textId="77777777" w:rsidR="000E2705" w:rsidRDefault="000E2705" w:rsidP="00553E01"/>
    <w:p w14:paraId="7A0467B9" w14:textId="77777777" w:rsidR="000E2705" w:rsidRDefault="000E2705" w:rsidP="00553E01"/>
    <w:p w14:paraId="160C308D" w14:textId="77777777" w:rsidR="000E2705" w:rsidRDefault="000E2705" w:rsidP="00553E01"/>
    <w:p w14:paraId="6CAF4CF0" w14:textId="77777777" w:rsidR="000E2705" w:rsidRDefault="000E2705" w:rsidP="00553E01"/>
    <w:p w14:paraId="1C278A7A" w14:textId="77777777" w:rsidR="000E2705" w:rsidRDefault="000E2705" w:rsidP="00553E01"/>
    <w:p w14:paraId="33F82464" w14:textId="77777777" w:rsidR="000E2705" w:rsidRDefault="000E2705" w:rsidP="00553E01"/>
    <w:p w14:paraId="5198E166" w14:textId="77777777" w:rsidR="000E2705" w:rsidRDefault="000E2705" w:rsidP="00553E01"/>
    <w:p w14:paraId="710BF46C" w14:textId="77777777" w:rsidR="000E2705" w:rsidRDefault="000E2705" w:rsidP="00553E01"/>
    <w:p w14:paraId="72ACC26D" w14:textId="77777777" w:rsidR="000E2705" w:rsidRDefault="000E2705" w:rsidP="00553E01"/>
    <w:p w14:paraId="68ABBEB7" w14:textId="77777777" w:rsidR="000E2705" w:rsidRDefault="000E2705" w:rsidP="00553E01"/>
    <w:p w14:paraId="1FC05AB5" w14:textId="77777777" w:rsidR="000E2705" w:rsidRDefault="000E2705" w:rsidP="00553E01"/>
    <w:p w14:paraId="31649EA2" w14:textId="77777777" w:rsidR="000E2705" w:rsidRDefault="000E2705" w:rsidP="00553E01"/>
    <w:p w14:paraId="7C266E43" w14:textId="77777777" w:rsidR="000E2705" w:rsidRDefault="000E2705" w:rsidP="00553E01"/>
    <w:p w14:paraId="6960F021" w14:textId="77777777" w:rsidR="000E2705" w:rsidRDefault="000E2705" w:rsidP="00553E01"/>
    <w:p w14:paraId="46E9227D" w14:textId="77777777" w:rsidR="000E2705" w:rsidRDefault="000E2705" w:rsidP="00553E01"/>
    <w:p w14:paraId="78DD02F4" w14:textId="77777777" w:rsidR="000E2705" w:rsidRDefault="000E2705" w:rsidP="00553E01"/>
    <w:p w14:paraId="51C739E9" w14:textId="77777777" w:rsidR="000E2705" w:rsidRDefault="000E2705" w:rsidP="00553E01"/>
    <w:p w14:paraId="63056F71" w14:textId="77777777" w:rsidR="000E2705" w:rsidRDefault="000E2705" w:rsidP="00553E01"/>
    <w:p w14:paraId="62912D0C" w14:textId="77777777" w:rsidR="000E2705" w:rsidRDefault="000E2705" w:rsidP="00553E01"/>
    <w:p w14:paraId="767A0DE2" w14:textId="77777777" w:rsidR="000E2705" w:rsidRDefault="000E2705" w:rsidP="00553E01"/>
    <w:p w14:paraId="43737FDA" w14:textId="77777777" w:rsidR="000E2705" w:rsidRDefault="000E2705" w:rsidP="00553E01"/>
    <w:p w14:paraId="40FCA5A3" w14:textId="77777777" w:rsidR="000E2705" w:rsidRDefault="000E2705" w:rsidP="00553E01"/>
    <w:p w14:paraId="376B3715" w14:textId="77777777" w:rsidR="000E2705" w:rsidRDefault="000E2705" w:rsidP="00553E01"/>
    <w:p w14:paraId="272CE471" w14:textId="77777777" w:rsidR="000E2705" w:rsidRDefault="000E2705" w:rsidP="00553E01"/>
    <w:p w14:paraId="0044854B" w14:textId="77777777" w:rsidR="000E2705" w:rsidRDefault="000E2705" w:rsidP="00553E01"/>
    <w:p w14:paraId="5FBA313C" w14:textId="77777777" w:rsidR="000E2705" w:rsidRDefault="000E2705" w:rsidP="00553E01"/>
    <w:p w14:paraId="04FFC456" w14:textId="77777777" w:rsidR="000E2705" w:rsidRDefault="000E2705" w:rsidP="00553E01"/>
    <w:p w14:paraId="631BCA91" w14:textId="77777777" w:rsidR="000E2705" w:rsidRDefault="000E2705" w:rsidP="00553E01"/>
    <w:p w14:paraId="3C3706C6" w14:textId="77777777" w:rsidR="000E2705" w:rsidRDefault="000E2705"/>
    <w:p w14:paraId="260BBB90" w14:textId="77777777" w:rsidR="000E2705" w:rsidRDefault="000E2705" w:rsidP="0081105B"/>
    <w:p w14:paraId="2B2750CA" w14:textId="77777777" w:rsidR="000E2705" w:rsidRDefault="000E2705"/>
    <w:p w14:paraId="1E53282E" w14:textId="77777777" w:rsidR="000E2705" w:rsidRDefault="000E2705" w:rsidP="002933C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DA294D"/>
    <w:multiLevelType w:val="multilevel"/>
    <w:tmpl w:val="36D6FE4A"/>
    <w:lvl w:ilvl="0">
      <w:start w:val="1"/>
      <w:numFmt w:val="decimal"/>
      <w:pStyle w:val="Heading1"/>
      <w:suff w:val="space"/>
      <w:lvlText w:val="Chapter %1. "/>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pStyle w:val="Heading9"/>
      <w:suff w:val="space"/>
      <w:lvlText w:val="%1.%2.%3.%4.%5.%6.%7.%8.%9"/>
      <w:lvlJc w:val="left"/>
      <w:pPr>
        <w:ind w:left="0" w:firstLine="0"/>
      </w:pPr>
      <w:rPr>
        <w:rFonts w:hint="default"/>
      </w:rPr>
    </w:lvl>
  </w:abstractNum>
  <w:abstractNum w:abstractNumId="1" w15:restartNumberingAfterBreak="0">
    <w:nsid w:val="31926327"/>
    <w:multiLevelType w:val="multilevel"/>
    <w:tmpl w:val="312009F2"/>
    <w:lvl w:ilvl="0">
      <w:start w:val="1"/>
      <w:numFmt w:val="none"/>
      <w:isLgl/>
      <w:lvlText w:val=""/>
      <w:lvlJc w:val="left"/>
      <w:pPr>
        <w:ind w:left="432" w:hanging="432"/>
      </w:pPr>
      <w:rPr>
        <w:rFonts w:hint="default"/>
      </w:rPr>
    </w:lvl>
    <w:lvl w:ilvl="1">
      <w:start w:val="1"/>
      <w:numFmt w:val="decimal"/>
      <w:isLgl/>
      <w:lvlText w:val="%2"/>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4"/>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366A4A8E"/>
    <w:multiLevelType w:val="multilevel"/>
    <w:tmpl w:val="E048C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DF05BC1"/>
    <w:multiLevelType w:val="multilevel"/>
    <w:tmpl w:val="88627C4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0F5381F"/>
    <w:multiLevelType w:val="multilevel"/>
    <w:tmpl w:val="14C65B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634E6F41"/>
    <w:multiLevelType w:val="multilevel"/>
    <w:tmpl w:val="766C7A70"/>
    <w:lvl w:ilvl="0">
      <w:start w:val="1"/>
      <w:numFmt w:val="decimal"/>
      <w:lvlText w:val="%1."/>
      <w:lvlJc w:val="left"/>
      <w:pPr>
        <w:ind w:left="720" w:hanging="360"/>
      </w:pPr>
    </w:lvl>
    <w:lvl w:ilvl="1">
      <w:start w:val="1"/>
      <w:numFmt w:val="decimal"/>
      <w:isLgl/>
      <w:lvlText w:val="%1.%2."/>
      <w:lvlJc w:val="left"/>
      <w:pPr>
        <w:ind w:left="1080" w:hanging="360"/>
      </w:pPr>
      <w:rPr>
        <w:rFonts w:eastAsiaTheme="majorEastAsia" w:hint="default"/>
      </w:rPr>
    </w:lvl>
    <w:lvl w:ilvl="2">
      <w:start w:val="1"/>
      <w:numFmt w:val="decimal"/>
      <w:isLgl/>
      <w:lvlText w:val="%1.%2.%3."/>
      <w:lvlJc w:val="left"/>
      <w:pPr>
        <w:ind w:left="1800" w:hanging="720"/>
      </w:pPr>
      <w:rPr>
        <w:rFonts w:eastAsiaTheme="majorEastAsia" w:hint="default"/>
      </w:rPr>
    </w:lvl>
    <w:lvl w:ilvl="3">
      <w:start w:val="1"/>
      <w:numFmt w:val="decimal"/>
      <w:isLgl/>
      <w:lvlText w:val="%1.%2.%3.%4."/>
      <w:lvlJc w:val="left"/>
      <w:pPr>
        <w:ind w:left="2160" w:hanging="720"/>
      </w:pPr>
      <w:rPr>
        <w:rFonts w:eastAsiaTheme="majorEastAsia" w:hint="default"/>
      </w:rPr>
    </w:lvl>
    <w:lvl w:ilvl="4">
      <w:start w:val="1"/>
      <w:numFmt w:val="decimal"/>
      <w:isLgl/>
      <w:lvlText w:val="%1.%2.%3.%4.%5."/>
      <w:lvlJc w:val="left"/>
      <w:pPr>
        <w:ind w:left="2880" w:hanging="1080"/>
      </w:pPr>
      <w:rPr>
        <w:rFonts w:eastAsiaTheme="majorEastAsia" w:hint="default"/>
      </w:rPr>
    </w:lvl>
    <w:lvl w:ilvl="5">
      <w:start w:val="1"/>
      <w:numFmt w:val="decimal"/>
      <w:isLgl/>
      <w:lvlText w:val="%1.%2.%3.%4.%5.%6."/>
      <w:lvlJc w:val="left"/>
      <w:pPr>
        <w:ind w:left="3240" w:hanging="1080"/>
      </w:pPr>
      <w:rPr>
        <w:rFonts w:eastAsiaTheme="majorEastAsia" w:hint="default"/>
      </w:rPr>
    </w:lvl>
    <w:lvl w:ilvl="6">
      <w:start w:val="1"/>
      <w:numFmt w:val="decimal"/>
      <w:isLgl/>
      <w:lvlText w:val="%1.%2.%3.%4.%5.%6.%7."/>
      <w:lvlJc w:val="left"/>
      <w:pPr>
        <w:ind w:left="3960" w:hanging="1440"/>
      </w:pPr>
      <w:rPr>
        <w:rFonts w:eastAsiaTheme="majorEastAsia" w:hint="default"/>
      </w:rPr>
    </w:lvl>
    <w:lvl w:ilvl="7">
      <w:start w:val="1"/>
      <w:numFmt w:val="decimal"/>
      <w:isLgl/>
      <w:lvlText w:val="%1.%2.%3.%4.%5.%6.%7.%8."/>
      <w:lvlJc w:val="left"/>
      <w:pPr>
        <w:ind w:left="4320" w:hanging="1440"/>
      </w:pPr>
      <w:rPr>
        <w:rFonts w:eastAsiaTheme="majorEastAsia" w:hint="default"/>
      </w:rPr>
    </w:lvl>
    <w:lvl w:ilvl="8">
      <w:start w:val="1"/>
      <w:numFmt w:val="decimal"/>
      <w:isLgl/>
      <w:lvlText w:val="%1.%2.%3.%4.%5.%6.%7.%8.%9."/>
      <w:lvlJc w:val="left"/>
      <w:pPr>
        <w:ind w:left="5040" w:hanging="1800"/>
      </w:pPr>
      <w:rPr>
        <w:rFonts w:eastAsiaTheme="majorEastAsia" w:hint="default"/>
      </w:rPr>
    </w:lvl>
  </w:abstractNum>
  <w:abstractNum w:abstractNumId="6" w15:restartNumberingAfterBreak="0">
    <w:nsid w:val="7159283F"/>
    <w:multiLevelType w:val="hybridMultilevel"/>
    <w:tmpl w:val="87044BE2"/>
    <w:lvl w:ilvl="0" w:tplc="B8FC3B34">
      <w:start w:val="1"/>
      <w:numFmt w:val="decimal"/>
      <w:lvlText w:val="%1."/>
      <w:lvlJc w:val="left"/>
      <w:pPr>
        <w:ind w:left="720" w:hanging="360"/>
      </w:pPr>
      <w:rPr>
        <w:rFonts w:hint="default"/>
      </w:rPr>
    </w:lvl>
    <w:lvl w:ilvl="1" w:tplc="C7D8331A" w:tentative="1">
      <w:start w:val="1"/>
      <w:numFmt w:val="lowerLetter"/>
      <w:lvlText w:val="%2."/>
      <w:lvlJc w:val="left"/>
      <w:pPr>
        <w:ind w:left="1440" w:hanging="360"/>
      </w:pPr>
    </w:lvl>
    <w:lvl w:ilvl="2" w:tplc="C27CC5D4" w:tentative="1">
      <w:start w:val="1"/>
      <w:numFmt w:val="lowerRoman"/>
      <w:lvlText w:val="%3."/>
      <w:lvlJc w:val="right"/>
      <w:pPr>
        <w:ind w:left="2160" w:hanging="180"/>
      </w:pPr>
    </w:lvl>
    <w:lvl w:ilvl="3" w:tplc="E070E2E6" w:tentative="1">
      <w:start w:val="1"/>
      <w:numFmt w:val="decimal"/>
      <w:lvlText w:val="%4."/>
      <w:lvlJc w:val="left"/>
      <w:pPr>
        <w:ind w:left="2880" w:hanging="360"/>
      </w:pPr>
    </w:lvl>
    <w:lvl w:ilvl="4" w:tplc="1256EE56" w:tentative="1">
      <w:start w:val="1"/>
      <w:numFmt w:val="lowerLetter"/>
      <w:lvlText w:val="%5."/>
      <w:lvlJc w:val="left"/>
      <w:pPr>
        <w:ind w:left="3600" w:hanging="360"/>
      </w:pPr>
    </w:lvl>
    <w:lvl w:ilvl="5" w:tplc="0CEAECAC" w:tentative="1">
      <w:start w:val="1"/>
      <w:numFmt w:val="lowerRoman"/>
      <w:lvlText w:val="%6."/>
      <w:lvlJc w:val="right"/>
      <w:pPr>
        <w:ind w:left="4320" w:hanging="180"/>
      </w:pPr>
    </w:lvl>
    <w:lvl w:ilvl="6" w:tplc="3800A32C" w:tentative="1">
      <w:start w:val="1"/>
      <w:numFmt w:val="decimal"/>
      <w:lvlText w:val="%7."/>
      <w:lvlJc w:val="left"/>
      <w:pPr>
        <w:ind w:left="5040" w:hanging="360"/>
      </w:pPr>
    </w:lvl>
    <w:lvl w:ilvl="7" w:tplc="52528C54" w:tentative="1">
      <w:start w:val="1"/>
      <w:numFmt w:val="lowerLetter"/>
      <w:lvlText w:val="%8."/>
      <w:lvlJc w:val="left"/>
      <w:pPr>
        <w:ind w:left="5760" w:hanging="360"/>
      </w:pPr>
    </w:lvl>
    <w:lvl w:ilvl="8" w:tplc="D31452C6" w:tentative="1">
      <w:start w:val="1"/>
      <w:numFmt w:val="lowerRoman"/>
      <w:lvlText w:val="%9."/>
      <w:lvlJc w:val="right"/>
      <w:pPr>
        <w:ind w:left="6480" w:hanging="180"/>
      </w:pPr>
    </w:lvl>
  </w:abstractNum>
  <w:abstractNum w:abstractNumId="7" w15:restartNumberingAfterBreak="0">
    <w:nsid w:val="7A0C608B"/>
    <w:multiLevelType w:val="hybridMultilevel"/>
    <w:tmpl w:val="151657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7B3858AD"/>
    <w:multiLevelType w:val="multilevel"/>
    <w:tmpl w:val="7F288D5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num w:numId="1" w16cid:durableId="939219823">
    <w:abstractNumId w:val="8"/>
  </w:num>
  <w:num w:numId="2" w16cid:durableId="678434240">
    <w:abstractNumId w:val="7"/>
  </w:num>
  <w:num w:numId="3" w16cid:durableId="1874340440">
    <w:abstractNumId w:val="5"/>
  </w:num>
  <w:num w:numId="4" w16cid:durableId="997349003">
    <w:abstractNumId w:val="6"/>
  </w:num>
  <w:num w:numId="5" w16cid:durableId="2010862190">
    <w:abstractNumId w:val="3"/>
  </w:num>
  <w:num w:numId="6" w16cid:durableId="1549217905">
    <w:abstractNumId w:val="2"/>
  </w:num>
  <w:num w:numId="7" w16cid:durableId="1999993205">
    <w:abstractNumId w:val="5"/>
    <w:lvlOverride w:ilvl="0">
      <w:startOverride w:val="3"/>
    </w:lvlOverride>
    <w:lvlOverride w:ilvl="1">
      <w:startOverride w:val="1"/>
    </w:lvlOverride>
  </w:num>
  <w:num w:numId="8" w16cid:durableId="1589726676">
    <w:abstractNumId w:val="5"/>
    <w:lvlOverride w:ilvl="0">
      <w:startOverride w:val="3"/>
    </w:lvlOverride>
    <w:lvlOverride w:ilvl="1">
      <w:startOverride w:val="2"/>
    </w:lvlOverride>
  </w:num>
  <w:num w:numId="9" w16cid:durableId="1293710151">
    <w:abstractNumId w:val="5"/>
    <w:lvlOverride w:ilvl="0">
      <w:startOverride w:val="3"/>
    </w:lvlOverride>
    <w:lvlOverride w:ilvl="1">
      <w:startOverride w:val="2"/>
    </w:lvlOverride>
  </w:num>
  <w:num w:numId="10" w16cid:durableId="1105688940">
    <w:abstractNumId w:val="4"/>
  </w:num>
  <w:num w:numId="11" w16cid:durableId="541133164">
    <w:abstractNumId w:val="1"/>
  </w:num>
  <w:num w:numId="12" w16cid:durableId="1748576812">
    <w:abstractNumId w:val="0"/>
  </w:num>
  <w:num w:numId="13" w16cid:durableId="17237947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5782116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62642259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320066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mirrorMargin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62E5"/>
    <w:rsid w:val="00000AEC"/>
    <w:rsid w:val="00001D99"/>
    <w:rsid w:val="00004347"/>
    <w:rsid w:val="00004D26"/>
    <w:rsid w:val="000066B1"/>
    <w:rsid w:val="00006E19"/>
    <w:rsid w:val="000115E0"/>
    <w:rsid w:val="000144A5"/>
    <w:rsid w:val="0001517E"/>
    <w:rsid w:val="00020040"/>
    <w:rsid w:val="0002405D"/>
    <w:rsid w:val="00026107"/>
    <w:rsid w:val="00030FBA"/>
    <w:rsid w:val="00031D6E"/>
    <w:rsid w:val="0003224A"/>
    <w:rsid w:val="00035E51"/>
    <w:rsid w:val="00040106"/>
    <w:rsid w:val="000411E7"/>
    <w:rsid w:val="00041B1E"/>
    <w:rsid w:val="00045C13"/>
    <w:rsid w:val="000479A8"/>
    <w:rsid w:val="00051FA9"/>
    <w:rsid w:val="00053D48"/>
    <w:rsid w:val="000543BE"/>
    <w:rsid w:val="00054549"/>
    <w:rsid w:val="00054B10"/>
    <w:rsid w:val="000566C2"/>
    <w:rsid w:val="00060CEB"/>
    <w:rsid w:val="000612D8"/>
    <w:rsid w:val="00061B21"/>
    <w:rsid w:val="000632E4"/>
    <w:rsid w:val="0006380F"/>
    <w:rsid w:val="00065AB4"/>
    <w:rsid w:val="00071DFB"/>
    <w:rsid w:val="00072C99"/>
    <w:rsid w:val="000734C6"/>
    <w:rsid w:val="00074CCD"/>
    <w:rsid w:val="00076C9F"/>
    <w:rsid w:val="00076CF9"/>
    <w:rsid w:val="00080ED1"/>
    <w:rsid w:val="00081D3E"/>
    <w:rsid w:val="00082CE1"/>
    <w:rsid w:val="00085CC1"/>
    <w:rsid w:val="000909ED"/>
    <w:rsid w:val="00091059"/>
    <w:rsid w:val="00091C2F"/>
    <w:rsid w:val="000926DB"/>
    <w:rsid w:val="00093DA9"/>
    <w:rsid w:val="000948BB"/>
    <w:rsid w:val="00095E25"/>
    <w:rsid w:val="0009789D"/>
    <w:rsid w:val="00097F82"/>
    <w:rsid w:val="000A0B9B"/>
    <w:rsid w:val="000A1220"/>
    <w:rsid w:val="000A2100"/>
    <w:rsid w:val="000A2DC5"/>
    <w:rsid w:val="000A33CF"/>
    <w:rsid w:val="000A34B6"/>
    <w:rsid w:val="000A4503"/>
    <w:rsid w:val="000A4E30"/>
    <w:rsid w:val="000C3DA6"/>
    <w:rsid w:val="000C4437"/>
    <w:rsid w:val="000C46AE"/>
    <w:rsid w:val="000C624B"/>
    <w:rsid w:val="000D03B0"/>
    <w:rsid w:val="000D09DE"/>
    <w:rsid w:val="000D1192"/>
    <w:rsid w:val="000D7FDB"/>
    <w:rsid w:val="000E0E4C"/>
    <w:rsid w:val="000E14F2"/>
    <w:rsid w:val="000E2705"/>
    <w:rsid w:val="000E4F71"/>
    <w:rsid w:val="000F0285"/>
    <w:rsid w:val="000F3D4E"/>
    <w:rsid w:val="000F453A"/>
    <w:rsid w:val="000F4700"/>
    <w:rsid w:val="000F4DDF"/>
    <w:rsid w:val="000F5CD7"/>
    <w:rsid w:val="000F64BE"/>
    <w:rsid w:val="000F7999"/>
    <w:rsid w:val="001043C4"/>
    <w:rsid w:val="00104802"/>
    <w:rsid w:val="00104B73"/>
    <w:rsid w:val="001051E5"/>
    <w:rsid w:val="001062AD"/>
    <w:rsid w:val="00106B3C"/>
    <w:rsid w:val="0011235D"/>
    <w:rsid w:val="0011298A"/>
    <w:rsid w:val="00113759"/>
    <w:rsid w:val="0011415F"/>
    <w:rsid w:val="00114F4E"/>
    <w:rsid w:val="00121144"/>
    <w:rsid w:val="00121CD9"/>
    <w:rsid w:val="00122337"/>
    <w:rsid w:val="0012265B"/>
    <w:rsid w:val="00124D23"/>
    <w:rsid w:val="0012650D"/>
    <w:rsid w:val="00131716"/>
    <w:rsid w:val="00132A94"/>
    <w:rsid w:val="001362E5"/>
    <w:rsid w:val="001400BF"/>
    <w:rsid w:val="001418A1"/>
    <w:rsid w:val="00143664"/>
    <w:rsid w:val="00144190"/>
    <w:rsid w:val="001444ED"/>
    <w:rsid w:val="0014652C"/>
    <w:rsid w:val="0014713F"/>
    <w:rsid w:val="0015082F"/>
    <w:rsid w:val="00150A8D"/>
    <w:rsid w:val="00151909"/>
    <w:rsid w:val="00151C70"/>
    <w:rsid w:val="00153261"/>
    <w:rsid w:val="0016260B"/>
    <w:rsid w:val="00162D60"/>
    <w:rsid w:val="0016736D"/>
    <w:rsid w:val="00170C7B"/>
    <w:rsid w:val="00170D5C"/>
    <w:rsid w:val="00173DB6"/>
    <w:rsid w:val="00180C3A"/>
    <w:rsid w:val="00185B26"/>
    <w:rsid w:val="00190D84"/>
    <w:rsid w:val="00192CD6"/>
    <w:rsid w:val="001931FE"/>
    <w:rsid w:val="001960EE"/>
    <w:rsid w:val="001A187C"/>
    <w:rsid w:val="001A20EA"/>
    <w:rsid w:val="001A3FDF"/>
    <w:rsid w:val="001A4745"/>
    <w:rsid w:val="001A4C16"/>
    <w:rsid w:val="001A6F8A"/>
    <w:rsid w:val="001B01F6"/>
    <w:rsid w:val="001B0A58"/>
    <w:rsid w:val="001B25C8"/>
    <w:rsid w:val="001B5BAE"/>
    <w:rsid w:val="001B6377"/>
    <w:rsid w:val="001B6948"/>
    <w:rsid w:val="001B7CD5"/>
    <w:rsid w:val="001C025E"/>
    <w:rsid w:val="001C0863"/>
    <w:rsid w:val="001C469C"/>
    <w:rsid w:val="001C5C27"/>
    <w:rsid w:val="001C60E6"/>
    <w:rsid w:val="001C6C28"/>
    <w:rsid w:val="001D045F"/>
    <w:rsid w:val="001D0A9B"/>
    <w:rsid w:val="001D12AF"/>
    <w:rsid w:val="001D30E5"/>
    <w:rsid w:val="001D39E9"/>
    <w:rsid w:val="001D4EB6"/>
    <w:rsid w:val="001D5303"/>
    <w:rsid w:val="001E0329"/>
    <w:rsid w:val="001E12F9"/>
    <w:rsid w:val="001E3E6B"/>
    <w:rsid w:val="001E4DAA"/>
    <w:rsid w:val="001E6266"/>
    <w:rsid w:val="001F28C7"/>
    <w:rsid w:val="001F2F48"/>
    <w:rsid w:val="001F7BB4"/>
    <w:rsid w:val="002000C4"/>
    <w:rsid w:val="0020284B"/>
    <w:rsid w:val="002043E0"/>
    <w:rsid w:val="00210F28"/>
    <w:rsid w:val="00212AC9"/>
    <w:rsid w:val="0021322F"/>
    <w:rsid w:val="0021487A"/>
    <w:rsid w:val="00214CB3"/>
    <w:rsid w:val="00220BB6"/>
    <w:rsid w:val="00221E1C"/>
    <w:rsid w:val="0022258C"/>
    <w:rsid w:val="002235FB"/>
    <w:rsid w:val="00224DA0"/>
    <w:rsid w:val="00224E8D"/>
    <w:rsid w:val="00225BEB"/>
    <w:rsid w:val="002275A1"/>
    <w:rsid w:val="002330A3"/>
    <w:rsid w:val="002339C1"/>
    <w:rsid w:val="00233E5C"/>
    <w:rsid w:val="002360CA"/>
    <w:rsid w:val="002366D8"/>
    <w:rsid w:val="00237EAB"/>
    <w:rsid w:val="00240229"/>
    <w:rsid w:val="00241228"/>
    <w:rsid w:val="002443A9"/>
    <w:rsid w:val="00247930"/>
    <w:rsid w:val="00250CA0"/>
    <w:rsid w:val="0025162D"/>
    <w:rsid w:val="00251639"/>
    <w:rsid w:val="00252D31"/>
    <w:rsid w:val="00257897"/>
    <w:rsid w:val="00261C74"/>
    <w:rsid w:val="00264758"/>
    <w:rsid w:val="00266363"/>
    <w:rsid w:val="00266AB4"/>
    <w:rsid w:val="00271AC4"/>
    <w:rsid w:val="00272C48"/>
    <w:rsid w:val="00274938"/>
    <w:rsid w:val="0027628E"/>
    <w:rsid w:val="00277E81"/>
    <w:rsid w:val="00281BA3"/>
    <w:rsid w:val="0028287E"/>
    <w:rsid w:val="0028377B"/>
    <w:rsid w:val="002844AB"/>
    <w:rsid w:val="00284ADB"/>
    <w:rsid w:val="00286180"/>
    <w:rsid w:val="00286F76"/>
    <w:rsid w:val="00287169"/>
    <w:rsid w:val="00290AE7"/>
    <w:rsid w:val="002933C4"/>
    <w:rsid w:val="00293D05"/>
    <w:rsid w:val="00295DD4"/>
    <w:rsid w:val="002974B1"/>
    <w:rsid w:val="002A35FF"/>
    <w:rsid w:val="002A398C"/>
    <w:rsid w:val="002B21EA"/>
    <w:rsid w:val="002B5C71"/>
    <w:rsid w:val="002B6705"/>
    <w:rsid w:val="002C2030"/>
    <w:rsid w:val="002C37F3"/>
    <w:rsid w:val="002C3C2D"/>
    <w:rsid w:val="002C58F6"/>
    <w:rsid w:val="002C6CBB"/>
    <w:rsid w:val="002C7C51"/>
    <w:rsid w:val="002D04B2"/>
    <w:rsid w:val="002D055E"/>
    <w:rsid w:val="002D2E58"/>
    <w:rsid w:val="002D4822"/>
    <w:rsid w:val="002D5DAC"/>
    <w:rsid w:val="002D67F7"/>
    <w:rsid w:val="002E14B4"/>
    <w:rsid w:val="002E63A4"/>
    <w:rsid w:val="002F0C09"/>
    <w:rsid w:val="002F15A8"/>
    <w:rsid w:val="002F28FE"/>
    <w:rsid w:val="002F307E"/>
    <w:rsid w:val="002F4A1D"/>
    <w:rsid w:val="002F7815"/>
    <w:rsid w:val="002F7F6A"/>
    <w:rsid w:val="0030200B"/>
    <w:rsid w:val="00302AC0"/>
    <w:rsid w:val="00303F12"/>
    <w:rsid w:val="0030544B"/>
    <w:rsid w:val="003116A2"/>
    <w:rsid w:val="00313F36"/>
    <w:rsid w:val="00313F95"/>
    <w:rsid w:val="00314777"/>
    <w:rsid w:val="003215D4"/>
    <w:rsid w:val="003220E5"/>
    <w:rsid w:val="00323077"/>
    <w:rsid w:val="00324F8E"/>
    <w:rsid w:val="00325416"/>
    <w:rsid w:val="0032567D"/>
    <w:rsid w:val="003271E5"/>
    <w:rsid w:val="00330F41"/>
    <w:rsid w:val="003323F7"/>
    <w:rsid w:val="00332846"/>
    <w:rsid w:val="003347D7"/>
    <w:rsid w:val="00336FD8"/>
    <w:rsid w:val="003371DB"/>
    <w:rsid w:val="00340230"/>
    <w:rsid w:val="00340868"/>
    <w:rsid w:val="00341D0A"/>
    <w:rsid w:val="00341D1E"/>
    <w:rsid w:val="00343CFD"/>
    <w:rsid w:val="00345DF2"/>
    <w:rsid w:val="00347E2A"/>
    <w:rsid w:val="00352AF4"/>
    <w:rsid w:val="00352C6A"/>
    <w:rsid w:val="00353148"/>
    <w:rsid w:val="003532E8"/>
    <w:rsid w:val="00354686"/>
    <w:rsid w:val="00356308"/>
    <w:rsid w:val="00356F9B"/>
    <w:rsid w:val="00361709"/>
    <w:rsid w:val="003618C0"/>
    <w:rsid w:val="00361BE9"/>
    <w:rsid w:val="00361F91"/>
    <w:rsid w:val="003664BB"/>
    <w:rsid w:val="00366855"/>
    <w:rsid w:val="00370266"/>
    <w:rsid w:val="00372AEC"/>
    <w:rsid w:val="00374D70"/>
    <w:rsid w:val="003751E8"/>
    <w:rsid w:val="0037554F"/>
    <w:rsid w:val="0037623A"/>
    <w:rsid w:val="00376BBB"/>
    <w:rsid w:val="003773A4"/>
    <w:rsid w:val="00377CB3"/>
    <w:rsid w:val="003801BF"/>
    <w:rsid w:val="00383BDB"/>
    <w:rsid w:val="00383C0E"/>
    <w:rsid w:val="0038551E"/>
    <w:rsid w:val="00386B1E"/>
    <w:rsid w:val="0038710A"/>
    <w:rsid w:val="003914E8"/>
    <w:rsid w:val="00396FB4"/>
    <w:rsid w:val="003972D8"/>
    <w:rsid w:val="00397ECB"/>
    <w:rsid w:val="003A1F51"/>
    <w:rsid w:val="003A2992"/>
    <w:rsid w:val="003A47B7"/>
    <w:rsid w:val="003A5F4B"/>
    <w:rsid w:val="003A60BA"/>
    <w:rsid w:val="003B1D52"/>
    <w:rsid w:val="003B25F8"/>
    <w:rsid w:val="003B267D"/>
    <w:rsid w:val="003B7461"/>
    <w:rsid w:val="003B783F"/>
    <w:rsid w:val="003C11A9"/>
    <w:rsid w:val="003C3C48"/>
    <w:rsid w:val="003C49DC"/>
    <w:rsid w:val="003C57A8"/>
    <w:rsid w:val="003C7EE6"/>
    <w:rsid w:val="003D0B6D"/>
    <w:rsid w:val="003D11A0"/>
    <w:rsid w:val="003D2214"/>
    <w:rsid w:val="003D2BF1"/>
    <w:rsid w:val="003D410B"/>
    <w:rsid w:val="003D4B57"/>
    <w:rsid w:val="003D6423"/>
    <w:rsid w:val="003D729F"/>
    <w:rsid w:val="003D7E1F"/>
    <w:rsid w:val="003E3801"/>
    <w:rsid w:val="003E38F0"/>
    <w:rsid w:val="003E4FE5"/>
    <w:rsid w:val="003E73AC"/>
    <w:rsid w:val="003F2BC4"/>
    <w:rsid w:val="003F2E51"/>
    <w:rsid w:val="003F32D0"/>
    <w:rsid w:val="003F3D59"/>
    <w:rsid w:val="003F5241"/>
    <w:rsid w:val="003F69DE"/>
    <w:rsid w:val="003F6F47"/>
    <w:rsid w:val="00402245"/>
    <w:rsid w:val="00402F72"/>
    <w:rsid w:val="004053AA"/>
    <w:rsid w:val="00407D6B"/>
    <w:rsid w:val="0041091E"/>
    <w:rsid w:val="00412798"/>
    <w:rsid w:val="0041680A"/>
    <w:rsid w:val="00420575"/>
    <w:rsid w:val="00421F20"/>
    <w:rsid w:val="0042508A"/>
    <w:rsid w:val="0042575C"/>
    <w:rsid w:val="00426D31"/>
    <w:rsid w:val="00432442"/>
    <w:rsid w:val="00432C65"/>
    <w:rsid w:val="00433B67"/>
    <w:rsid w:val="00451D33"/>
    <w:rsid w:val="00454C9A"/>
    <w:rsid w:val="00456DAF"/>
    <w:rsid w:val="00460370"/>
    <w:rsid w:val="004705D1"/>
    <w:rsid w:val="00473104"/>
    <w:rsid w:val="00473BCE"/>
    <w:rsid w:val="00475D79"/>
    <w:rsid w:val="00477691"/>
    <w:rsid w:val="004812F0"/>
    <w:rsid w:val="00482980"/>
    <w:rsid w:val="00482CD5"/>
    <w:rsid w:val="00484508"/>
    <w:rsid w:val="00484E46"/>
    <w:rsid w:val="00485085"/>
    <w:rsid w:val="00486115"/>
    <w:rsid w:val="004873A8"/>
    <w:rsid w:val="0049112E"/>
    <w:rsid w:val="004955A1"/>
    <w:rsid w:val="00497778"/>
    <w:rsid w:val="004A36D0"/>
    <w:rsid w:val="004A486B"/>
    <w:rsid w:val="004A5BB1"/>
    <w:rsid w:val="004B613F"/>
    <w:rsid w:val="004C0931"/>
    <w:rsid w:val="004C0A0F"/>
    <w:rsid w:val="004C0AC2"/>
    <w:rsid w:val="004C10C7"/>
    <w:rsid w:val="004C12F6"/>
    <w:rsid w:val="004C48C7"/>
    <w:rsid w:val="004C6307"/>
    <w:rsid w:val="004C69F0"/>
    <w:rsid w:val="004C6A2E"/>
    <w:rsid w:val="004C77BD"/>
    <w:rsid w:val="004D2901"/>
    <w:rsid w:val="004D4BC7"/>
    <w:rsid w:val="004E2A64"/>
    <w:rsid w:val="004E671A"/>
    <w:rsid w:val="004F2C52"/>
    <w:rsid w:val="004F4A1C"/>
    <w:rsid w:val="004F5152"/>
    <w:rsid w:val="004F6D2B"/>
    <w:rsid w:val="004F6EC1"/>
    <w:rsid w:val="004F73BE"/>
    <w:rsid w:val="00501344"/>
    <w:rsid w:val="0050152E"/>
    <w:rsid w:val="0050240A"/>
    <w:rsid w:val="00504705"/>
    <w:rsid w:val="00504F5E"/>
    <w:rsid w:val="00506C9A"/>
    <w:rsid w:val="00513054"/>
    <w:rsid w:val="00515B0D"/>
    <w:rsid w:val="00517E57"/>
    <w:rsid w:val="00521BFB"/>
    <w:rsid w:val="00522338"/>
    <w:rsid w:val="005240D3"/>
    <w:rsid w:val="00532349"/>
    <w:rsid w:val="0053392F"/>
    <w:rsid w:val="0053601E"/>
    <w:rsid w:val="005374C9"/>
    <w:rsid w:val="00537C3C"/>
    <w:rsid w:val="00540907"/>
    <w:rsid w:val="0054309E"/>
    <w:rsid w:val="00543E38"/>
    <w:rsid w:val="0054419B"/>
    <w:rsid w:val="0054557C"/>
    <w:rsid w:val="00545E7A"/>
    <w:rsid w:val="00547515"/>
    <w:rsid w:val="005504D5"/>
    <w:rsid w:val="00550D48"/>
    <w:rsid w:val="00553643"/>
    <w:rsid w:val="00553E01"/>
    <w:rsid w:val="00554A6A"/>
    <w:rsid w:val="005607B1"/>
    <w:rsid w:val="00565C9E"/>
    <w:rsid w:val="00566062"/>
    <w:rsid w:val="005667D2"/>
    <w:rsid w:val="00566A74"/>
    <w:rsid w:val="00570336"/>
    <w:rsid w:val="00572FEF"/>
    <w:rsid w:val="0057563D"/>
    <w:rsid w:val="00575F06"/>
    <w:rsid w:val="00576044"/>
    <w:rsid w:val="00577164"/>
    <w:rsid w:val="005779BB"/>
    <w:rsid w:val="0058416C"/>
    <w:rsid w:val="00585134"/>
    <w:rsid w:val="00585157"/>
    <w:rsid w:val="005860FB"/>
    <w:rsid w:val="005877F8"/>
    <w:rsid w:val="005904AC"/>
    <w:rsid w:val="005913E7"/>
    <w:rsid w:val="00591615"/>
    <w:rsid w:val="00593890"/>
    <w:rsid w:val="00594A8C"/>
    <w:rsid w:val="00595248"/>
    <w:rsid w:val="005953A0"/>
    <w:rsid w:val="005A0BC7"/>
    <w:rsid w:val="005A243A"/>
    <w:rsid w:val="005A2E51"/>
    <w:rsid w:val="005A40F0"/>
    <w:rsid w:val="005A5418"/>
    <w:rsid w:val="005A6F8F"/>
    <w:rsid w:val="005B63B3"/>
    <w:rsid w:val="005C12E5"/>
    <w:rsid w:val="005C21D7"/>
    <w:rsid w:val="005C3B58"/>
    <w:rsid w:val="005D0B84"/>
    <w:rsid w:val="005D13B0"/>
    <w:rsid w:val="005D1D6B"/>
    <w:rsid w:val="005D30DC"/>
    <w:rsid w:val="005D45E4"/>
    <w:rsid w:val="005E4323"/>
    <w:rsid w:val="005E6D19"/>
    <w:rsid w:val="005F0946"/>
    <w:rsid w:val="005F1868"/>
    <w:rsid w:val="005F2249"/>
    <w:rsid w:val="005F49B2"/>
    <w:rsid w:val="00601408"/>
    <w:rsid w:val="00601643"/>
    <w:rsid w:val="00602A53"/>
    <w:rsid w:val="006052EC"/>
    <w:rsid w:val="00607A2B"/>
    <w:rsid w:val="00607C43"/>
    <w:rsid w:val="00611FED"/>
    <w:rsid w:val="00614647"/>
    <w:rsid w:val="0061619F"/>
    <w:rsid w:val="0061675B"/>
    <w:rsid w:val="00617402"/>
    <w:rsid w:val="00617478"/>
    <w:rsid w:val="00621053"/>
    <w:rsid w:val="00622942"/>
    <w:rsid w:val="006232EB"/>
    <w:rsid w:val="0062490E"/>
    <w:rsid w:val="00625261"/>
    <w:rsid w:val="00627BA9"/>
    <w:rsid w:val="006321C1"/>
    <w:rsid w:val="00633C0C"/>
    <w:rsid w:val="006351D3"/>
    <w:rsid w:val="00635AEA"/>
    <w:rsid w:val="00636037"/>
    <w:rsid w:val="006360FD"/>
    <w:rsid w:val="0064187D"/>
    <w:rsid w:val="00642FCE"/>
    <w:rsid w:val="0064627E"/>
    <w:rsid w:val="00647507"/>
    <w:rsid w:val="00651C19"/>
    <w:rsid w:val="00656694"/>
    <w:rsid w:val="00656710"/>
    <w:rsid w:val="00657435"/>
    <w:rsid w:val="00660488"/>
    <w:rsid w:val="00661068"/>
    <w:rsid w:val="00662779"/>
    <w:rsid w:val="006644E2"/>
    <w:rsid w:val="006703C2"/>
    <w:rsid w:val="00671B2C"/>
    <w:rsid w:val="0067297C"/>
    <w:rsid w:val="00674202"/>
    <w:rsid w:val="006744B3"/>
    <w:rsid w:val="00675F8B"/>
    <w:rsid w:val="0067633C"/>
    <w:rsid w:val="006769C2"/>
    <w:rsid w:val="00677F33"/>
    <w:rsid w:val="00682457"/>
    <w:rsid w:val="00682E36"/>
    <w:rsid w:val="00684C8B"/>
    <w:rsid w:val="00686F79"/>
    <w:rsid w:val="0069078C"/>
    <w:rsid w:val="00690F27"/>
    <w:rsid w:val="00692E25"/>
    <w:rsid w:val="00693519"/>
    <w:rsid w:val="00694610"/>
    <w:rsid w:val="00694DA1"/>
    <w:rsid w:val="00695149"/>
    <w:rsid w:val="00695B36"/>
    <w:rsid w:val="006A092D"/>
    <w:rsid w:val="006A3700"/>
    <w:rsid w:val="006A3785"/>
    <w:rsid w:val="006A6517"/>
    <w:rsid w:val="006B2895"/>
    <w:rsid w:val="006B2F79"/>
    <w:rsid w:val="006B435B"/>
    <w:rsid w:val="006B6F0F"/>
    <w:rsid w:val="006B760C"/>
    <w:rsid w:val="006C0B4D"/>
    <w:rsid w:val="006C4E35"/>
    <w:rsid w:val="006C7877"/>
    <w:rsid w:val="006C7A3F"/>
    <w:rsid w:val="006C7AE6"/>
    <w:rsid w:val="006D2026"/>
    <w:rsid w:val="006D2CF7"/>
    <w:rsid w:val="006D2EE6"/>
    <w:rsid w:val="006D4F65"/>
    <w:rsid w:val="006D648E"/>
    <w:rsid w:val="006D6C1D"/>
    <w:rsid w:val="006D6F11"/>
    <w:rsid w:val="006D7885"/>
    <w:rsid w:val="006E12C6"/>
    <w:rsid w:val="006E3EA5"/>
    <w:rsid w:val="006E3F84"/>
    <w:rsid w:val="006E4790"/>
    <w:rsid w:val="006E584A"/>
    <w:rsid w:val="006F1CF5"/>
    <w:rsid w:val="006F2114"/>
    <w:rsid w:val="006F49F1"/>
    <w:rsid w:val="006F59A8"/>
    <w:rsid w:val="00700ECB"/>
    <w:rsid w:val="0070184A"/>
    <w:rsid w:val="00703FA2"/>
    <w:rsid w:val="00704A94"/>
    <w:rsid w:val="00705502"/>
    <w:rsid w:val="00705DC4"/>
    <w:rsid w:val="007063D6"/>
    <w:rsid w:val="00706FE3"/>
    <w:rsid w:val="00710F61"/>
    <w:rsid w:val="00711C70"/>
    <w:rsid w:val="00713168"/>
    <w:rsid w:val="007143D0"/>
    <w:rsid w:val="00715C3B"/>
    <w:rsid w:val="00716FF6"/>
    <w:rsid w:val="007206BE"/>
    <w:rsid w:val="00726202"/>
    <w:rsid w:val="007273EC"/>
    <w:rsid w:val="00727BC6"/>
    <w:rsid w:val="00730CC6"/>
    <w:rsid w:val="00730F00"/>
    <w:rsid w:val="0073373E"/>
    <w:rsid w:val="0073393C"/>
    <w:rsid w:val="0073673F"/>
    <w:rsid w:val="00736B46"/>
    <w:rsid w:val="00740FC7"/>
    <w:rsid w:val="00741124"/>
    <w:rsid w:val="007411F6"/>
    <w:rsid w:val="00743C48"/>
    <w:rsid w:val="00744953"/>
    <w:rsid w:val="00752796"/>
    <w:rsid w:val="007579F0"/>
    <w:rsid w:val="007605D6"/>
    <w:rsid w:val="007630CE"/>
    <w:rsid w:val="007653F3"/>
    <w:rsid w:val="0076609A"/>
    <w:rsid w:val="0076652D"/>
    <w:rsid w:val="00766AD5"/>
    <w:rsid w:val="00766C42"/>
    <w:rsid w:val="00770049"/>
    <w:rsid w:val="00770477"/>
    <w:rsid w:val="00771229"/>
    <w:rsid w:val="0077770D"/>
    <w:rsid w:val="00780000"/>
    <w:rsid w:val="00780FD4"/>
    <w:rsid w:val="007810E1"/>
    <w:rsid w:val="007838CB"/>
    <w:rsid w:val="00784D6C"/>
    <w:rsid w:val="00784FA6"/>
    <w:rsid w:val="007906E1"/>
    <w:rsid w:val="00792BBE"/>
    <w:rsid w:val="00793734"/>
    <w:rsid w:val="00794F4C"/>
    <w:rsid w:val="00796704"/>
    <w:rsid w:val="007967BD"/>
    <w:rsid w:val="00796E58"/>
    <w:rsid w:val="007A0135"/>
    <w:rsid w:val="007A04DD"/>
    <w:rsid w:val="007A3273"/>
    <w:rsid w:val="007A5338"/>
    <w:rsid w:val="007A700C"/>
    <w:rsid w:val="007B0A7B"/>
    <w:rsid w:val="007B0C41"/>
    <w:rsid w:val="007B160D"/>
    <w:rsid w:val="007B4878"/>
    <w:rsid w:val="007C33BA"/>
    <w:rsid w:val="007C3797"/>
    <w:rsid w:val="007C48B4"/>
    <w:rsid w:val="007C549B"/>
    <w:rsid w:val="007C607C"/>
    <w:rsid w:val="007C6737"/>
    <w:rsid w:val="007C6AFC"/>
    <w:rsid w:val="007D12BF"/>
    <w:rsid w:val="007D420C"/>
    <w:rsid w:val="007D54A8"/>
    <w:rsid w:val="007D6935"/>
    <w:rsid w:val="007D6AA1"/>
    <w:rsid w:val="007E0C46"/>
    <w:rsid w:val="007E3FE9"/>
    <w:rsid w:val="007E7EFE"/>
    <w:rsid w:val="00801802"/>
    <w:rsid w:val="00801AC2"/>
    <w:rsid w:val="00801BB0"/>
    <w:rsid w:val="00803FAE"/>
    <w:rsid w:val="00804DC1"/>
    <w:rsid w:val="00805B78"/>
    <w:rsid w:val="0080686B"/>
    <w:rsid w:val="00806C16"/>
    <w:rsid w:val="00810862"/>
    <w:rsid w:val="00810884"/>
    <w:rsid w:val="00810BAA"/>
    <w:rsid w:val="0081105B"/>
    <w:rsid w:val="00811614"/>
    <w:rsid w:val="00811ABF"/>
    <w:rsid w:val="00814D1A"/>
    <w:rsid w:val="00821240"/>
    <w:rsid w:val="00821C22"/>
    <w:rsid w:val="0082551F"/>
    <w:rsid w:val="0082583E"/>
    <w:rsid w:val="008303ED"/>
    <w:rsid w:val="00830BFF"/>
    <w:rsid w:val="00833EE7"/>
    <w:rsid w:val="00840520"/>
    <w:rsid w:val="00840A90"/>
    <w:rsid w:val="00840CEF"/>
    <w:rsid w:val="00841B83"/>
    <w:rsid w:val="0084228F"/>
    <w:rsid w:val="00844170"/>
    <w:rsid w:val="00851B7C"/>
    <w:rsid w:val="00851E84"/>
    <w:rsid w:val="00852C79"/>
    <w:rsid w:val="0085334F"/>
    <w:rsid w:val="0085593D"/>
    <w:rsid w:val="00857871"/>
    <w:rsid w:val="0085796A"/>
    <w:rsid w:val="00865140"/>
    <w:rsid w:val="00871ECD"/>
    <w:rsid w:val="00873EFE"/>
    <w:rsid w:val="0088180A"/>
    <w:rsid w:val="00882010"/>
    <w:rsid w:val="00883771"/>
    <w:rsid w:val="00883820"/>
    <w:rsid w:val="008847D6"/>
    <w:rsid w:val="00890924"/>
    <w:rsid w:val="008928E2"/>
    <w:rsid w:val="00892D76"/>
    <w:rsid w:val="00892F8F"/>
    <w:rsid w:val="0089309E"/>
    <w:rsid w:val="00893988"/>
    <w:rsid w:val="00894BFE"/>
    <w:rsid w:val="008A13E8"/>
    <w:rsid w:val="008A14F2"/>
    <w:rsid w:val="008A2569"/>
    <w:rsid w:val="008A477F"/>
    <w:rsid w:val="008A5A5C"/>
    <w:rsid w:val="008A6717"/>
    <w:rsid w:val="008B4370"/>
    <w:rsid w:val="008B43B8"/>
    <w:rsid w:val="008B7572"/>
    <w:rsid w:val="008C13DD"/>
    <w:rsid w:val="008C3364"/>
    <w:rsid w:val="008C4806"/>
    <w:rsid w:val="008D0DC7"/>
    <w:rsid w:val="008D6A3F"/>
    <w:rsid w:val="008E37EE"/>
    <w:rsid w:val="008E52F8"/>
    <w:rsid w:val="008E7496"/>
    <w:rsid w:val="008F0070"/>
    <w:rsid w:val="008F45FD"/>
    <w:rsid w:val="008F6010"/>
    <w:rsid w:val="008F625E"/>
    <w:rsid w:val="008F75CD"/>
    <w:rsid w:val="00900BAA"/>
    <w:rsid w:val="00901D93"/>
    <w:rsid w:val="00901F05"/>
    <w:rsid w:val="00902A23"/>
    <w:rsid w:val="00904761"/>
    <w:rsid w:val="00904CF8"/>
    <w:rsid w:val="00906590"/>
    <w:rsid w:val="00907BBF"/>
    <w:rsid w:val="00907DA5"/>
    <w:rsid w:val="009115DE"/>
    <w:rsid w:val="0092350C"/>
    <w:rsid w:val="00926CAB"/>
    <w:rsid w:val="00927D05"/>
    <w:rsid w:val="00930C9A"/>
    <w:rsid w:val="00933A52"/>
    <w:rsid w:val="00935282"/>
    <w:rsid w:val="0094023A"/>
    <w:rsid w:val="00942FF5"/>
    <w:rsid w:val="00944DF1"/>
    <w:rsid w:val="009465F2"/>
    <w:rsid w:val="009471A9"/>
    <w:rsid w:val="00950380"/>
    <w:rsid w:val="00950E34"/>
    <w:rsid w:val="00953CBE"/>
    <w:rsid w:val="00955AA5"/>
    <w:rsid w:val="00955EB0"/>
    <w:rsid w:val="00956EFF"/>
    <w:rsid w:val="0096109D"/>
    <w:rsid w:val="009611F8"/>
    <w:rsid w:val="00964920"/>
    <w:rsid w:val="009649FC"/>
    <w:rsid w:val="00965694"/>
    <w:rsid w:val="009727A9"/>
    <w:rsid w:val="00972D84"/>
    <w:rsid w:val="00976B3E"/>
    <w:rsid w:val="0098037E"/>
    <w:rsid w:val="00980EFC"/>
    <w:rsid w:val="00981CF4"/>
    <w:rsid w:val="0098254D"/>
    <w:rsid w:val="00985A87"/>
    <w:rsid w:val="009862C5"/>
    <w:rsid w:val="00986598"/>
    <w:rsid w:val="00987784"/>
    <w:rsid w:val="00990DD9"/>
    <w:rsid w:val="009911F7"/>
    <w:rsid w:val="0099266B"/>
    <w:rsid w:val="009929C4"/>
    <w:rsid w:val="009944F9"/>
    <w:rsid w:val="0099568E"/>
    <w:rsid w:val="009964D7"/>
    <w:rsid w:val="00996A63"/>
    <w:rsid w:val="00997A0C"/>
    <w:rsid w:val="009A143B"/>
    <w:rsid w:val="009A1963"/>
    <w:rsid w:val="009A196C"/>
    <w:rsid w:val="009A28F1"/>
    <w:rsid w:val="009A45A0"/>
    <w:rsid w:val="009A4AED"/>
    <w:rsid w:val="009A6C6C"/>
    <w:rsid w:val="009B17D5"/>
    <w:rsid w:val="009B1F75"/>
    <w:rsid w:val="009B2898"/>
    <w:rsid w:val="009B5CF5"/>
    <w:rsid w:val="009C093B"/>
    <w:rsid w:val="009C3325"/>
    <w:rsid w:val="009C58E7"/>
    <w:rsid w:val="009D012B"/>
    <w:rsid w:val="009D2E85"/>
    <w:rsid w:val="009D537E"/>
    <w:rsid w:val="009D6461"/>
    <w:rsid w:val="009D65B0"/>
    <w:rsid w:val="009D76EA"/>
    <w:rsid w:val="009E0FE2"/>
    <w:rsid w:val="009E1C4C"/>
    <w:rsid w:val="009E4CF3"/>
    <w:rsid w:val="009E5750"/>
    <w:rsid w:val="009F0B4F"/>
    <w:rsid w:val="009F280A"/>
    <w:rsid w:val="009F2E8F"/>
    <w:rsid w:val="009F4BE3"/>
    <w:rsid w:val="009F632E"/>
    <w:rsid w:val="009F745C"/>
    <w:rsid w:val="00A02088"/>
    <w:rsid w:val="00A049CF"/>
    <w:rsid w:val="00A04E59"/>
    <w:rsid w:val="00A054B7"/>
    <w:rsid w:val="00A07FDA"/>
    <w:rsid w:val="00A10FD1"/>
    <w:rsid w:val="00A1171B"/>
    <w:rsid w:val="00A128A0"/>
    <w:rsid w:val="00A1325D"/>
    <w:rsid w:val="00A136E7"/>
    <w:rsid w:val="00A13DE8"/>
    <w:rsid w:val="00A23F72"/>
    <w:rsid w:val="00A25527"/>
    <w:rsid w:val="00A31124"/>
    <w:rsid w:val="00A31F1E"/>
    <w:rsid w:val="00A33304"/>
    <w:rsid w:val="00A358DC"/>
    <w:rsid w:val="00A35ECD"/>
    <w:rsid w:val="00A36523"/>
    <w:rsid w:val="00A44496"/>
    <w:rsid w:val="00A465E9"/>
    <w:rsid w:val="00A473BC"/>
    <w:rsid w:val="00A53BEA"/>
    <w:rsid w:val="00A5560B"/>
    <w:rsid w:val="00A61BCB"/>
    <w:rsid w:val="00A62CD9"/>
    <w:rsid w:val="00A66454"/>
    <w:rsid w:val="00A6689E"/>
    <w:rsid w:val="00A7098A"/>
    <w:rsid w:val="00A7297D"/>
    <w:rsid w:val="00A736F4"/>
    <w:rsid w:val="00A74CE8"/>
    <w:rsid w:val="00A76A9E"/>
    <w:rsid w:val="00A82EA4"/>
    <w:rsid w:val="00A83F04"/>
    <w:rsid w:val="00A858DD"/>
    <w:rsid w:val="00A87CAC"/>
    <w:rsid w:val="00A92D9D"/>
    <w:rsid w:val="00A93B23"/>
    <w:rsid w:val="00A94009"/>
    <w:rsid w:val="00A9488C"/>
    <w:rsid w:val="00A959BC"/>
    <w:rsid w:val="00A96D5B"/>
    <w:rsid w:val="00A97A25"/>
    <w:rsid w:val="00AB02BC"/>
    <w:rsid w:val="00AB02ED"/>
    <w:rsid w:val="00AB1005"/>
    <w:rsid w:val="00AB1AC4"/>
    <w:rsid w:val="00AB4ABF"/>
    <w:rsid w:val="00AB593F"/>
    <w:rsid w:val="00AB629C"/>
    <w:rsid w:val="00AC3A99"/>
    <w:rsid w:val="00AC3B62"/>
    <w:rsid w:val="00AC62B5"/>
    <w:rsid w:val="00AC6EDC"/>
    <w:rsid w:val="00AD2649"/>
    <w:rsid w:val="00AD68FE"/>
    <w:rsid w:val="00AD78B4"/>
    <w:rsid w:val="00AE094F"/>
    <w:rsid w:val="00AE72D2"/>
    <w:rsid w:val="00AF28F8"/>
    <w:rsid w:val="00AF29E2"/>
    <w:rsid w:val="00AF2D92"/>
    <w:rsid w:val="00B0125A"/>
    <w:rsid w:val="00B020A9"/>
    <w:rsid w:val="00B03088"/>
    <w:rsid w:val="00B03F37"/>
    <w:rsid w:val="00B0459D"/>
    <w:rsid w:val="00B051CC"/>
    <w:rsid w:val="00B05372"/>
    <w:rsid w:val="00B10421"/>
    <w:rsid w:val="00B11ABE"/>
    <w:rsid w:val="00B14765"/>
    <w:rsid w:val="00B17B8C"/>
    <w:rsid w:val="00B17B8E"/>
    <w:rsid w:val="00B213F2"/>
    <w:rsid w:val="00B22589"/>
    <w:rsid w:val="00B22CB0"/>
    <w:rsid w:val="00B23BAA"/>
    <w:rsid w:val="00B246E1"/>
    <w:rsid w:val="00B25B94"/>
    <w:rsid w:val="00B26001"/>
    <w:rsid w:val="00B26C8C"/>
    <w:rsid w:val="00B27D04"/>
    <w:rsid w:val="00B34EA9"/>
    <w:rsid w:val="00B34ECF"/>
    <w:rsid w:val="00B35910"/>
    <w:rsid w:val="00B360B8"/>
    <w:rsid w:val="00B365E1"/>
    <w:rsid w:val="00B3671F"/>
    <w:rsid w:val="00B417AE"/>
    <w:rsid w:val="00B44F20"/>
    <w:rsid w:val="00B47A61"/>
    <w:rsid w:val="00B51EFA"/>
    <w:rsid w:val="00B5269C"/>
    <w:rsid w:val="00B539A8"/>
    <w:rsid w:val="00B5405E"/>
    <w:rsid w:val="00B55A76"/>
    <w:rsid w:val="00B56483"/>
    <w:rsid w:val="00B57EB7"/>
    <w:rsid w:val="00B66106"/>
    <w:rsid w:val="00B76839"/>
    <w:rsid w:val="00B770CB"/>
    <w:rsid w:val="00B777D6"/>
    <w:rsid w:val="00B77907"/>
    <w:rsid w:val="00B83A67"/>
    <w:rsid w:val="00B84F38"/>
    <w:rsid w:val="00B90C9C"/>
    <w:rsid w:val="00B90CE2"/>
    <w:rsid w:val="00B923A1"/>
    <w:rsid w:val="00B93E6B"/>
    <w:rsid w:val="00B93EE1"/>
    <w:rsid w:val="00BA119E"/>
    <w:rsid w:val="00BA1B65"/>
    <w:rsid w:val="00BA2999"/>
    <w:rsid w:val="00BA3684"/>
    <w:rsid w:val="00BA7488"/>
    <w:rsid w:val="00BB1D18"/>
    <w:rsid w:val="00BB3048"/>
    <w:rsid w:val="00BB4C6A"/>
    <w:rsid w:val="00BB6031"/>
    <w:rsid w:val="00BB7E39"/>
    <w:rsid w:val="00BC437B"/>
    <w:rsid w:val="00BC4C4D"/>
    <w:rsid w:val="00BC5A70"/>
    <w:rsid w:val="00BC5D0E"/>
    <w:rsid w:val="00BC5FB0"/>
    <w:rsid w:val="00BC630A"/>
    <w:rsid w:val="00BD14B0"/>
    <w:rsid w:val="00BD67C3"/>
    <w:rsid w:val="00BD7953"/>
    <w:rsid w:val="00BD7BEF"/>
    <w:rsid w:val="00BE3A18"/>
    <w:rsid w:val="00BE4159"/>
    <w:rsid w:val="00BE475F"/>
    <w:rsid w:val="00BE575C"/>
    <w:rsid w:val="00BF02AC"/>
    <w:rsid w:val="00BF45F8"/>
    <w:rsid w:val="00BF5602"/>
    <w:rsid w:val="00BF78E3"/>
    <w:rsid w:val="00BF7E7A"/>
    <w:rsid w:val="00C00494"/>
    <w:rsid w:val="00C01DFA"/>
    <w:rsid w:val="00C0485C"/>
    <w:rsid w:val="00C053C7"/>
    <w:rsid w:val="00C05786"/>
    <w:rsid w:val="00C116E0"/>
    <w:rsid w:val="00C22660"/>
    <w:rsid w:val="00C24449"/>
    <w:rsid w:val="00C24509"/>
    <w:rsid w:val="00C25F3B"/>
    <w:rsid w:val="00C30E58"/>
    <w:rsid w:val="00C350ED"/>
    <w:rsid w:val="00C364FA"/>
    <w:rsid w:val="00C37334"/>
    <w:rsid w:val="00C37D6D"/>
    <w:rsid w:val="00C42D9E"/>
    <w:rsid w:val="00C4330D"/>
    <w:rsid w:val="00C438D5"/>
    <w:rsid w:val="00C43914"/>
    <w:rsid w:val="00C43961"/>
    <w:rsid w:val="00C43D49"/>
    <w:rsid w:val="00C44059"/>
    <w:rsid w:val="00C47F38"/>
    <w:rsid w:val="00C513E8"/>
    <w:rsid w:val="00C52F63"/>
    <w:rsid w:val="00C53A00"/>
    <w:rsid w:val="00C55EA5"/>
    <w:rsid w:val="00C614D3"/>
    <w:rsid w:val="00C61A7D"/>
    <w:rsid w:val="00C6330C"/>
    <w:rsid w:val="00C63B2A"/>
    <w:rsid w:val="00C63EB4"/>
    <w:rsid w:val="00C66124"/>
    <w:rsid w:val="00C66609"/>
    <w:rsid w:val="00C66B21"/>
    <w:rsid w:val="00C7023F"/>
    <w:rsid w:val="00C705D1"/>
    <w:rsid w:val="00C724EC"/>
    <w:rsid w:val="00C73220"/>
    <w:rsid w:val="00C74B08"/>
    <w:rsid w:val="00C76E6D"/>
    <w:rsid w:val="00C8158E"/>
    <w:rsid w:val="00C85789"/>
    <w:rsid w:val="00C90801"/>
    <w:rsid w:val="00C91542"/>
    <w:rsid w:val="00C91B79"/>
    <w:rsid w:val="00C948EC"/>
    <w:rsid w:val="00C95C9C"/>
    <w:rsid w:val="00CA00C7"/>
    <w:rsid w:val="00CA46A4"/>
    <w:rsid w:val="00CB03D3"/>
    <w:rsid w:val="00CB210D"/>
    <w:rsid w:val="00CB5279"/>
    <w:rsid w:val="00CB52EA"/>
    <w:rsid w:val="00CB636D"/>
    <w:rsid w:val="00CC7297"/>
    <w:rsid w:val="00CD1477"/>
    <w:rsid w:val="00CD317E"/>
    <w:rsid w:val="00CD4CBF"/>
    <w:rsid w:val="00CD5CB0"/>
    <w:rsid w:val="00CE0A8F"/>
    <w:rsid w:val="00CE4DA0"/>
    <w:rsid w:val="00CE524A"/>
    <w:rsid w:val="00CF4005"/>
    <w:rsid w:val="00CF5CEF"/>
    <w:rsid w:val="00CF6933"/>
    <w:rsid w:val="00CF7E8A"/>
    <w:rsid w:val="00D01548"/>
    <w:rsid w:val="00D02C89"/>
    <w:rsid w:val="00D043EF"/>
    <w:rsid w:val="00D07F12"/>
    <w:rsid w:val="00D12D11"/>
    <w:rsid w:val="00D144E6"/>
    <w:rsid w:val="00D14633"/>
    <w:rsid w:val="00D14F15"/>
    <w:rsid w:val="00D21204"/>
    <w:rsid w:val="00D2122A"/>
    <w:rsid w:val="00D2129C"/>
    <w:rsid w:val="00D2245E"/>
    <w:rsid w:val="00D24FEE"/>
    <w:rsid w:val="00D27B4F"/>
    <w:rsid w:val="00D315EA"/>
    <w:rsid w:val="00D317DD"/>
    <w:rsid w:val="00D319DD"/>
    <w:rsid w:val="00D36541"/>
    <w:rsid w:val="00D377E4"/>
    <w:rsid w:val="00D37BE6"/>
    <w:rsid w:val="00D439FA"/>
    <w:rsid w:val="00D46405"/>
    <w:rsid w:val="00D4773E"/>
    <w:rsid w:val="00D5001B"/>
    <w:rsid w:val="00D50F3E"/>
    <w:rsid w:val="00D51886"/>
    <w:rsid w:val="00D51BCF"/>
    <w:rsid w:val="00D51FD7"/>
    <w:rsid w:val="00D54B0B"/>
    <w:rsid w:val="00D55086"/>
    <w:rsid w:val="00D56927"/>
    <w:rsid w:val="00D61E63"/>
    <w:rsid w:val="00D62D20"/>
    <w:rsid w:val="00D62E42"/>
    <w:rsid w:val="00D6654E"/>
    <w:rsid w:val="00D66CF1"/>
    <w:rsid w:val="00D67F30"/>
    <w:rsid w:val="00D70B6F"/>
    <w:rsid w:val="00D7553E"/>
    <w:rsid w:val="00D7769E"/>
    <w:rsid w:val="00D80E82"/>
    <w:rsid w:val="00D826BA"/>
    <w:rsid w:val="00D82702"/>
    <w:rsid w:val="00D82E3D"/>
    <w:rsid w:val="00D83276"/>
    <w:rsid w:val="00D84973"/>
    <w:rsid w:val="00D86705"/>
    <w:rsid w:val="00D86D5B"/>
    <w:rsid w:val="00D90821"/>
    <w:rsid w:val="00D90825"/>
    <w:rsid w:val="00D92C3C"/>
    <w:rsid w:val="00D939F0"/>
    <w:rsid w:val="00DA003E"/>
    <w:rsid w:val="00DA09C0"/>
    <w:rsid w:val="00DA144B"/>
    <w:rsid w:val="00DA1C0A"/>
    <w:rsid w:val="00DA24F8"/>
    <w:rsid w:val="00DA3E52"/>
    <w:rsid w:val="00DA41EC"/>
    <w:rsid w:val="00DA4E04"/>
    <w:rsid w:val="00DA5794"/>
    <w:rsid w:val="00DB04DD"/>
    <w:rsid w:val="00DB09FC"/>
    <w:rsid w:val="00DB2915"/>
    <w:rsid w:val="00DB3D5C"/>
    <w:rsid w:val="00DB6A05"/>
    <w:rsid w:val="00DC07F6"/>
    <w:rsid w:val="00DC3556"/>
    <w:rsid w:val="00DC5138"/>
    <w:rsid w:val="00DC6C71"/>
    <w:rsid w:val="00DD020E"/>
    <w:rsid w:val="00DD1B34"/>
    <w:rsid w:val="00DD20B2"/>
    <w:rsid w:val="00DD3344"/>
    <w:rsid w:val="00DD3829"/>
    <w:rsid w:val="00DE0DC3"/>
    <w:rsid w:val="00DE2F3F"/>
    <w:rsid w:val="00DF1180"/>
    <w:rsid w:val="00DF4A46"/>
    <w:rsid w:val="00DF76F8"/>
    <w:rsid w:val="00DF775E"/>
    <w:rsid w:val="00E00BAD"/>
    <w:rsid w:val="00E05B5F"/>
    <w:rsid w:val="00E06A1C"/>
    <w:rsid w:val="00E115EB"/>
    <w:rsid w:val="00E15EAB"/>
    <w:rsid w:val="00E16935"/>
    <w:rsid w:val="00E17EBF"/>
    <w:rsid w:val="00E20102"/>
    <w:rsid w:val="00E20484"/>
    <w:rsid w:val="00E22341"/>
    <w:rsid w:val="00E25A05"/>
    <w:rsid w:val="00E25C5B"/>
    <w:rsid w:val="00E27387"/>
    <w:rsid w:val="00E31686"/>
    <w:rsid w:val="00E31F9B"/>
    <w:rsid w:val="00E3203E"/>
    <w:rsid w:val="00E35C58"/>
    <w:rsid w:val="00E35ED7"/>
    <w:rsid w:val="00E364A5"/>
    <w:rsid w:val="00E41CFC"/>
    <w:rsid w:val="00E453C7"/>
    <w:rsid w:val="00E51EEE"/>
    <w:rsid w:val="00E54373"/>
    <w:rsid w:val="00E552A8"/>
    <w:rsid w:val="00E5579B"/>
    <w:rsid w:val="00E578FD"/>
    <w:rsid w:val="00E57FC7"/>
    <w:rsid w:val="00E600E6"/>
    <w:rsid w:val="00E605F4"/>
    <w:rsid w:val="00E62FB8"/>
    <w:rsid w:val="00E63BFA"/>
    <w:rsid w:val="00E64359"/>
    <w:rsid w:val="00E66000"/>
    <w:rsid w:val="00E66AF9"/>
    <w:rsid w:val="00E67A3A"/>
    <w:rsid w:val="00E67F2C"/>
    <w:rsid w:val="00E67F85"/>
    <w:rsid w:val="00E707E0"/>
    <w:rsid w:val="00E711EC"/>
    <w:rsid w:val="00E714E0"/>
    <w:rsid w:val="00E7232C"/>
    <w:rsid w:val="00E7297E"/>
    <w:rsid w:val="00E7379D"/>
    <w:rsid w:val="00E754C3"/>
    <w:rsid w:val="00E755FD"/>
    <w:rsid w:val="00E76150"/>
    <w:rsid w:val="00E763B8"/>
    <w:rsid w:val="00E77424"/>
    <w:rsid w:val="00E81656"/>
    <w:rsid w:val="00E817F0"/>
    <w:rsid w:val="00E82B49"/>
    <w:rsid w:val="00E8372D"/>
    <w:rsid w:val="00E83D9A"/>
    <w:rsid w:val="00E83E68"/>
    <w:rsid w:val="00E84399"/>
    <w:rsid w:val="00E85440"/>
    <w:rsid w:val="00E8618D"/>
    <w:rsid w:val="00E8755E"/>
    <w:rsid w:val="00E879A1"/>
    <w:rsid w:val="00E91D8D"/>
    <w:rsid w:val="00E93C54"/>
    <w:rsid w:val="00E9403B"/>
    <w:rsid w:val="00E97F6F"/>
    <w:rsid w:val="00EA1DD4"/>
    <w:rsid w:val="00EA2344"/>
    <w:rsid w:val="00EA255B"/>
    <w:rsid w:val="00EA7FC1"/>
    <w:rsid w:val="00EB206A"/>
    <w:rsid w:val="00EB218F"/>
    <w:rsid w:val="00EB259C"/>
    <w:rsid w:val="00EB2C86"/>
    <w:rsid w:val="00EB3928"/>
    <w:rsid w:val="00EB4E9F"/>
    <w:rsid w:val="00EB5170"/>
    <w:rsid w:val="00EB5261"/>
    <w:rsid w:val="00EC0367"/>
    <w:rsid w:val="00EC0CA7"/>
    <w:rsid w:val="00EC1056"/>
    <w:rsid w:val="00EC2E61"/>
    <w:rsid w:val="00EC5600"/>
    <w:rsid w:val="00EC76C1"/>
    <w:rsid w:val="00ED0DBE"/>
    <w:rsid w:val="00ED0FED"/>
    <w:rsid w:val="00ED278B"/>
    <w:rsid w:val="00ED32A7"/>
    <w:rsid w:val="00ED34CD"/>
    <w:rsid w:val="00ED4DB7"/>
    <w:rsid w:val="00ED7814"/>
    <w:rsid w:val="00EE1BA6"/>
    <w:rsid w:val="00EE1C65"/>
    <w:rsid w:val="00EE1DC0"/>
    <w:rsid w:val="00EE1ED0"/>
    <w:rsid w:val="00EE5422"/>
    <w:rsid w:val="00EE5540"/>
    <w:rsid w:val="00EE5E0E"/>
    <w:rsid w:val="00EE6491"/>
    <w:rsid w:val="00EE660E"/>
    <w:rsid w:val="00EF0547"/>
    <w:rsid w:val="00EF7858"/>
    <w:rsid w:val="00F03F01"/>
    <w:rsid w:val="00F05433"/>
    <w:rsid w:val="00F12DD6"/>
    <w:rsid w:val="00F13A64"/>
    <w:rsid w:val="00F14B9B"/>
    <w:rsid w:val="00F14E41"/>
    <w:rsid w:val="00F162F7"/>
    <w:rsid w:val="00F20103"/>
    <w:rsid w:val="00F2064D"/>
    <w:rsid w:val="00F2343E"/>
    <w:rsid w:val="00F245F1"/>
    <w:rsid w:val="00F27D74"/>
    <w:rsid w:val="00F320AB"/>
    <w:rsid w:val="00F3375F"/>
    <w:rsid w:val="00F33BDC"/>
    <w:rsid w:val="00F35275"/>
    <w:rsid w:val="00F36616"/>
    <w:rsid w:val="00F36D7E"/>
    <w:rsid w:val="00F4029B"/>
    <w:rsid w:val="00F4627B"/>
    <w:rsid w:val="00F5152E"/>
    <w:rsid w:val="00F527C6"/>
    <w:rsid w:val="00F53D40"/>
    <w:rsid w:val="00F57654"/>
    <w:rsid w:val="00F60708"/>
    <w:rsid w:val="00F60983"/>
    <w:rsid w:val="00F623F8"/>
    <w:rsid w:val="00F65326"/>
    <w:rsid w:val="00F655AD"/>
    <w:rsid w:val="00F655E6"/>
    <w:rsid w:val="00F75A7A"/>
    <w:rsid w:val="00F768A8"/>
    <w:rsid w:val="00F776F4"/>
    <w:rsid w:val="00F81276"/>
    <w:rsid w:val="00F871AF"/>
    <w:rsid w:val="00F872AD"/>
    <w:rsid w:val="00F8731F"/>
    <w:rsid w:val="00F90576"/>
    <w:rsid w:val="00F908DD"/>
    <w:rsid w:val="00F92E58"/>
    <w:rsid w:val="00F93EFD"/>
    <w:rsid w:val="00F9609F"/>
    <w:rsid w:val="00F979D5"/>
    <w:rsid w:val="00FA0E0D"/>
    <w:rsid w:val="00FA2EF3"/>
    <w:rsid w:val="00FA5590"/>
    <w:rsid w:val="00FA5E7A"/>
    <w:rsid w:val="00FA6CDC"/>
    <w:rsid w:val="00FB017F"/>
    <w:rsid w:val="00FB0CB9"/>
    <w:rsid w:val="00FB3E82"/>
    <w:rsid w:val="00FB4370"/>
    <w:rsid w:val="00FB58F1"/>
    <w:rsid w:val="00FB744F"/>
    <w:rsid w:val="00FC10D8"/>
    <w:rsid w:val="00FC1D34"/>
    <w:rsid w:val="00FC3335"/>
    <w:rsid w:val="00FC5033"/>
    <w:rsid w:val="00FC7CC5"/>
    <w:rsid w:val="00FD32D6"/>
    <w:rsid w:val="00FD692F"/>
    <w:rsid w:val="00FE0D89"/>
    <w:rsid w:val="00FE2E35"/>
    <w:rsid w:val="00FE37C7"/>
    <w:rsid w:val="00FE48B2"/>
    <w:rsid w:val="00FE79E5"/>
    <w:rsid w:val="00FF1BA3"/>
    <w:rsid w:val="00FF1F67"/>
    <w:rsid w:val="00FF5A45"/>
    <w:rsid w:val="00FF75D5"/>
    <w:rsid w:val="00FF7E50"/>
  </w:rsids>
  <m:mathPr>
    <m:mathFont m:val="Cambria Math"/>
    <m:brkBin m:val="before"/>
    <m:brkBinSub m:val="--"/>
    <m:smallFrac m:val="0"/>
    <m:dispDef/>
    <m:lMargin m:val="0"/>
    <m:rMargin m:val="0"/>
    <m:defJc m:val="centerGroup"/>
    <m:wrapIndent m:val="1440"/>
    <m:intLim m:val="subSup"/>
    <m:naryLim m:val="undOvr"/>
  </m:mathPr>
  <w:themeFontLang w:val="uz-Cyrl-U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D4116D1"/>
  <w15:docId w15:val="{A5003DB4-ADA1-3242-9436-CCE726F98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uz-Cyrl-U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qFormat/>
    <w:rsid w:val="00553E01"/>
    <w:pPr>
      <w:tabs>
        <w:tab w:val="left" w:pos="851"/>
      </w:tabs>
      <w:spacing w:before="120" w:after="120" w:line="360" w:lineRule="auto"/>
    </w:pPr>
    <w:rPr>
      <w:rFonts w:ascii="Times New Roman" w:eastAsia="Times New Roman" w:hAnsi="Times New Roman" w:cs="Times New Roman"/>
      <w:color w:val="000000" w:themeColor="text1"/>
      <w:lang w:val="en-GB" w:eastAsia="en-GB"/>
    </w:rPr>
  </w:style>
  <w:style w:type="paragraph" w:styleId="Heading1">
    <w:name w:val="heading 1"/>
    <w:basedOn w:val="Normal"/>
    <w:next w:val="Normal"/>
    <w:link w:val="Heading1Char"/>
    <w:uiPriority w:val="9"/>
    <w:qFormat/>
    <w:rsid w:val="004F5152"/>
    <w:pPr>
      <w:keepNext/>
      <w:keepLines/>
      <w:numPr>
        <w:numId w:val="12"/>
      </w:numPr>
      <w:spacing w:before="240" w:after="0"/>
      <w:outlineLvl w:val="0"/>
    </w:pPr>
    <w:rPr>
      <w:rFonts w:eastAsiaTheme="majorEastAsia"/>
      <w:b/>
      <w:bCs/>
      <w:sz w:val="32"/>
      <w:szCs w:val="32"/>
    </w:rPr>
  </w:style>
  <w:style w:type="paragraph" w:styleId="Heading2">
    <w:name w:val="heading 2"/>
    <w:basedOn w:val="Normal"/>
    <w:next w:val="Normal"/>
    <w:link w:val="Heading2Char"/>
    <w:uiPriority w:val="9"/>
    <w:unhideWhenUsed/>
    <w:qFormat/>
    <w:rsid w:val="0085593D"/>
    <w:pPr>
      <w:keepNext/>
      <w:keepLines/>
      <w:numPr>
        <w:ilvl w:val="1"/>
        <w:numId w:val="12"/>
      </w:numPr>
      <w:spacing w:before="40" w:after="0"/>
      <w:outlineLvl w:val="1"/>
    </w:pPr>
    <w:rPr>
      <w:rFonts w:eastAsiaTheme="majorEastAsia"/>
      <w:b/>
      <w:bCs/>
    </w:rPr>
  </w:style>
  <w:style w:type="paragraph" w:styleId="Heading3">
    <w:name w:val="heading 3"/>
    <w:basedOn w:val="Normal"/>
    <w:next w:val="Normal"/>
    <w:link w:val="Heading3Char"/>
    <w:uiPriority w:val="9"/>
    <w:unhideWhenUsed/>
    <w:qFormat/>
    <w:rsid w:val="00AB629C"/>
    <w:pPr>
      <w:keepNext/>
      <w:keepLines/>
      <w:numPr>
        <w:ilvl w:val="2"/>
        <w:numId w:val="12"/>
      </w:numPr>
      <w:spacing w:before="40" w:after="0"/>
      <w:ind w:left="851"/>
      <w:outlineLvl w:val="2"/>
    </w:pPr>
    <w:rPr>
      <w:b/>
      <w:bCs/>
    </w:rPr>
  </w:style>
  <w:style w:type="paragraph" w:styleId="Heading4">
    <w:name w:val="heading 4"/>
    <w:basedOn w:val="Normal"/>
    <w:next w:val="Normal"/>
    <w:link w:val="Heading4Char"/>
    <w:uiPriority w:val="9"/>
    <w:unhideWhenUsed/>
    <w:qFormat/>
    <w:rsid w:val="00AB629C"/>
    <w:pPr>
      <w:keepNext/>
      <w:keepLines/>
      <w:numPr>
        <w:ilvl w:val="3"/>
        <w:numId w:val="12"/>
      </w:numPr>
      <w:spacing w:before="40" w:after="0"/>
      <w:ind w:left="851"/>
      <w:outlineLvl w:val="3"/>
    </w:pPr>
    <w:rPr>
      <w:rFonts w:eastAsiaTheme="majorEastAsia"/>
      <w:b/>
      <w:bCs/>
      <w:i/>
      <w:iCs/>
    </w:rPr>
  </w:style>
  <w:style w:type="paragraph" w:styleId="Heading5">
    <w:name w:val="heading 5"/>
    <w:basedOn w:val="Normal"/>
    <w:next w:val="Normal"/>
    <w:link w:val="Heading5Char"/>
    <w:uiPriority w:val="9"/>
    <w:unhideWhenUsed/>
    <w:qFormat/>
    <w:rsid w:val="00780000"/>
    <w:pPr>
      <w:keepNext/>
      <w:keepLines/>
      <w:numPr>
        <w:ilvl w:val="4"/>
        <w:numId w:val="1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780000"/>
    <w:pPr>
      <w:keepNext/>
      <w:keepLines/>
      <w:numPr>
        <w:ilvl w:val="5"/>
        <w:numId w:val="1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80000"/>
    <w:pPr>
      <w:keepNext/>
      <w:keepLines/>
      <w:numPr>
        <w:ilvl w:val="6"/>
        <w:numId w:val="1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80000"/>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0000"/>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630CE"/>
    <w:pPr>
      <w:tabs>
        <w:tab w:val="clear" w:pos="851"/>
        <w:tab w:val="center" w:pos="4680"/>
        <w:tab w:val="right" w:pos="9360"/>
      </w:tabs>
      <w:spacing w:before="0" w:after="0" w:line="240" w:lineRule="auto"/>
    </w:pPr>
  </w:style>
  <w:style w:type="character" w:customStyle="1" w:styleId="HeaderChar">
    <w:name w:val="Header Char"/>
    <w:basedOn w:val="DefaultParagraphFont"/>
    <w:link w:val="Header"/>
    <w:uiPriority w:val="99"/>
    <w:rsid w:val="007630CE"/>
    <w:rPr>
      <w:rFonts w:ascii="Times New Roman" w:eastAsia="Times New Roman" w:hAnsi="Times New Roman" w:cs="Times New Roman"/>
      <w:lang w:val="en-GB" w:eastAsia="en-GB"/>
    </w:rPr>
  </w:style>
  <w:style w:type="paragraph" w:styleId="Footer">
    <w:name w:val="footer"/>
    <w:basedOn w:val="Normal"/>
    <w:link w:val="FooterChar"/>
    <w:uiPriority w:val="99"/>
    <w:unhideWhenUsed/>
    <w:rsid w:val="007630CE"/>
    <w:pPr>
      <w:tabs>
        <w:tab w:val="clear" w:pos="851"/>
        <w:tab w:val="center" w:pos="4680"/>
        <w:tab w:val="right" w:pos="9360"/>
      </w:tabs>
      <w:spacing w:before="0" w:after="0" w:line="240" w:lineRule="auto"/>
    </w:pPr>
  </w:style>
  <w:style w:type="character" w:customStyle="1" w:styleId="FooterChar">
    <w:name w:val="Footer Char"/>
    <w:basedOn w:val="DefaultParagraphFont"/>
    <w:link w:val="Footer"/>
    <w:uiPriority w:val="99"/>
    <w:rsid w:val="007630CE"/>
    <w:rPr>
      <w:rFonts w:ascii="Times New Roman" w:eastAsia="Times New Roman" w:hAnsi="Times New Roman" w:cs="Times New Roman"/>
      <w:lang w:val="en-GB" w:eastAsia="en-GB"/>
    </w:rPr>
  </w:style>
  <w:style w:type="character" w:styleId="PageNumber">
    <w:name w:val="page number"/>
    <w:basedOn w:val="DefaultParagraphFont"/>
    <w:uiPriority w:val="99"/>
    <w:semiHidden/>
    <w:unhideWhenUsed/>
    <w:rsid w:val="000A1220"/>
  </w:style>
  <w:style w:type="character" w:customStyle="1" w:styleId="Heading1Char">
    <w:name w:val="Heading 1 Char"/>
    <w:basedOn w:val="DefaultParagraphFont"/>
    <w:link w:val="Heading1"/>
    <w:uiPriority w:val="9"/>
    <w:rsid w:val="004F5152"/>
    <w:rPr>
      <w:rFonts w:ascii="Times New Roman" w:eastAsiaTheme="majorEastAsia" w:hAnsi="Times New Roman" w:cs="Times New Roman"/>
      <w:b/>
      <w:bCs/>
      <w:color w:val="000000" w:themeColor="text1"/>
      <w:sz w:val="32"/>
      <w:szCs w:val="32"/>
      <w:lang w:val="en-GB" w:eastAsia="en-GB"/>
    </w:rPr>
  </w:style>
  <w:style w:type="paragraph" w:styleId="ListParagraph">
    <w:name w:val="List Paragraph"/>
    <w:basedOn w:val="Normal"/>
    <w:uiPriority w:val="34"/>
    <w:qFormat/>
    <w:rsid w:val="00CD317E"/>
    <w:pPr>
      <w:ind w:left="720"/>
      <w:contextualSpacing/>
    </w:pPr>
  </w:style>
  <w:style w:type="table" w:styleId="TableGrid">
    <w:name w:val="Table Grid"/>
    <w:basedOn w:val="TableNormal"/>
    <w:uiPriority w:val="39"/>
    <w:rsid w:val="00CD317E"/>
    <w:pPr>
      <w:jc w:val="center"/>
    </w:pPr>
    <w:rPr>
      <w:rFonts w:ascii="Cambria" w:eastAsia="MS Mincho"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rFonts w:ascii="Cambria" w:hAnsi="Cambria"/>
        <w:b/>
        <w:i w:val="0"/>
        <w:sz w:val="20"/>
      </w:rPr>
      <w:tblPr/>
      <w:tcPr>
        <w:vAlign w:val="bottom"/>
      </w:tcPr>
    </w:tblStylePr>
  </w:style>
  <w:style w:type="character" w:customStyle="1" w:styleId="Heading2Char">
    <w:name w:val="Heading 2 Char"/>
    <w:basedOn w:val="DefaultParagraphFont"/>
    <w:link w:val="Heading2"/>
    <w:uiPriority w:val="9"/>
    <w:rsid w:val="0085593D"/>
    <w:rPr>
      <w:rFonts w:ascii="Times New Roman" w:eastAsiaTheme="majorEastAsia" w:hAnsi="Times New Roman" w:cs="Times New Roman"/>
      <w:b/>
      <w:bCs/>
      <w:color w:val="000000" w:themeColor="text1"/>
      <w:lang w:val="en-GB" w:eastAsia="en-GB"/>
    </w:rPr>
  </w:style>
  <w:style w:type="character" w:customStyle="1" w:styleId="Heading3Char">
    <w:name w:val="Heading 3 Char"/>
    <w:basedOn w:val="DefaultParagraphFont"/>
    <w:link w:val="Heading3"/>
    <w:uiPriority w:val="9"/>
    <w:rsid w:val="00AB629C"/>
    <w:rPr>
      <w:rFonts w:ascii="Times New Roman" w:eastAsia="Times New Roman" w:hAnsi="Times New Roman" w:cs="Times New Roman"/>
      <w:b/>
      <w:bCs/>
      <w:color w:val="000000" w:themeColor="text1"/>
      <w:lang w:val="en-GB" w:eastAsia="en-GB"/>
    </w:rPr>
  </w:style>
  <w:style w:type="paragraph" w:styleId="BalloonText">
    <w:name w:val="Balloon Text"/>
    <w:basedOn w:val="Normal"/>
    <w:link w:val="BalloonTextChar"/>
    <w:uiPriority w:val="99"/>
    <w:semiHidden/>
    <w:unhideWhenUsed/>
    <w:rsid w:val="001B6377"/>
    <w:pPr>
      <w:spacing w:before="0" w:after="0" w:line="240" w:lineRule="auto"/>
    </w:pPr>
    <w:rPr>
      <w:sz w:val="18"/>
      <w:szCs w:val="18"/>
    </w:rPr>
  </w:style>
  <w:style w:type="character" w:customStyle="1" w:styleId="BalloonTextChar">
    <w:name w:val="Balloon Text Char"/>
    <w:basedOn w:val="DefaultParagraphFont"/>
    <w:link w:val="BalloonText"/>
    <w:uiPriority w:val="99"/>
    <w:semiHidden/>
    <w:rsid w:val="001B6377"/>
    <w:rPr>
      <w:rFonts w:ascii="Times New Roman" w:eastAsia="Times New Roman" w:hAnsi="Times New Roman" w:cs="Times New Roman"/>
      <w:sz w:val="18"/>
      <w:szCs w:val="18"/>
      <w:lang w:val="en-GB" w:eastAsia="en-GB"/>
    </w:rPr>
  </w:style>
  <w:style w:type="character" w:styleId="Hyperlink">
    <w:name w:val="Hyperlink"/>
    <w:uiPriority w:val="99"/>
    <w:rsid w:val="001B6377"/>
    <w:rPr>
      <w:color w:val="0000FF"/>
      <w:u w:val="single"/>
    </w:rPr>
  </w:style>
  <w:style w:type="character" w:styleId="Emphasis">
    <w:name w:val="Emphasis"/>
    <w:basedOn w:val="DefaultParagraphFont"/>
    <w:uiPriority w:val="20"/>
    <w:qFormat/>
    <w:rsid w:val="001B6377"/>
    <w:rPr>
      <w:i/>
      <w:iCs/>
    </w:rPr>
  </w:style>
  <w:style w:type="character" w:styleId="CommentReference">
    <w:name w:val="annotation reference"/>
    <w:basedOn w:val="DefaultParagraphFont"/>
    <w:uiPriority w:val="99"/>
    <w:semiHidden/>
    <w:unhideWhenUsed/>
    <w:rsid w:val="001B6377"/>
    <w:rPr>
      <w:sz w:val="18"/>
      <w:szCs w:val="18"/>
    </w:rPr>
  </w:style>
  <w:style w:type="paragraph" w:styleId="Revision">
    <w:name w:val="Revision"/>
    <w:hidden/>
    <w:uiPriority w:val="99"/>
    <w:semiHidden/>
    <w:rsid w:val="001B6377"/>
    <w:rPr>
      <w:rFonts w:ascii="Times New Roman" w:eastAsia="Times New Roman" w:hAnsi="Times New Roman" w:cs="Times New Roman"/>
      <w:lang w:val="en-GB" w:eastAsia="en-GB"/>
    </w:rPr>
  </w:style>
  <w:style w:type="paragraph" w:styleId="NormalWeb">
    <w:name w:val="Normal (Web)"/>
    <w:basedOn w:val="Normal"/>
    <w:uiPriority w:val="99"/>
    <w:unhideWhenUsed/>
    <w:rsid w:val="001B6377"/>
    <w:pPr>
      <w:tabs>
        <w:tab w:val="clear" w:pos="851"/>
      </w:tabs>
      <w:spacing w:before="100" w:beforeAutospacing="1" w:after="100" w:afterAutospacing="1" w:line="240" w:lineRule="auto"/>
    </w:pPr>
    <w:rPr>
      <w:lang w:val="tr-TR" w:eastAsia="en-US"/>
    </w:rPr>
  </w:style>
  <w:style w:type="paragraph" w:styleId="CommentText">
    <w:name w:val="annotation text"/>
    <w:basedOn w:val="Normal"/>
    <w:link w:val="CommentTextChar"/>
    <w:uiPriority w:val="99"/>
    <w:unhideWhenUsed/>
    <w:rsid w:val="001B6377"/>
    <w:pPr>
      <w:spacing w:after="0" w:line="240" w:lineRule="auto"/>
    </w:pPr>
    <w:rPr>
      <w:sz w:val="20"/>
      <w:szCs w:val="20"/>
    </w:rPr>
  </w:style>
  <w:style w:type="character" w:customStyle="1" w:styleId="CommentTextChar">
    <w:name w:val="Comment Text Char"/>
    <w:basedOn w:val="DefaultParagraphFont"/>
    <w:link w:val="CommentText"/>
    <w:uiPriority w:val="99"/>
    <w:rsid w:val="001B6377"/>
    <w:rPr>
      <w:rFonts w:ascii="Times New Roman" w:eastAsia="Times New Roman" w:hAnsi="Times New Roman" w:cs="Times New Roman"/>
      <w:sz w:val="20"/>
      <w:szCs w:val="20"/>
      <w:lang w:val="en-GB" w:eastAsia="en-GB"/>
    </w:rPr>
  </w:style>
  <w:style w:type="paragraph" w:styleId="CommentSubject">
    <w:name w:val="annotation subject"/>
    <w:basedOn w:val="CommentText"/>
    <w:next w:val="CommentText"/>
    <w:link w:val="CommentSubjectChar"/>
    <w:uiPriority w:val="99"/>
    <w:semiHidden/>
    <w:unhideWhenUsed/>
    <w:rsid w:val="001B6377"/>
    <w:rPr>
      <w:b/>
      <w:bCs/>
    </w:rPr>
  </w:style>
  <w:style w:type="character" w:customStyle="1" w:styleId="CommentSubjectChar">
    <w:name w:val="Comment Subject Char"/>
    <w:basedOn w:val="CommentTextChar"/>
    <w:link w:val="CommentSubject"/>
    <w:uiPriority w:val="99"/>
    <w:semiHidden/>
    <w:rsid w:val="001B6377"/>
    <w:rPr>
      <w:rFonts w:ascii="Times New Roman" w:eastAsia="Times New Roman" w:hAnsi="Times New Roman" w:cs="Times New Roman"/>
      <w:b/>
      <w:bCs/>
      <w:sz w:val="20"/>
      <w:szCs w:val="20"/>
      <w:lang w:val="en-GB" w:eastAsia="en-GB"/>
    </w:rPr>
  </w:style>
  <w:style w:type="character" w:styleId="Strong">
    <w:name w:val="Strong"/>
    <w:basedOn w:val="DefaultParagraphFont"/>
    <w:uiPriority w:val="22"/>
    <w:qFormat/>
    <w:rsid w:val="001B6377"/>
    <w:rPr>
      <w:b/>
      <w:bCs/>
    </w:rPr>
  </w:style>
  <w:style w:type="paragraph" w:styleId="HTMLPreformatted">
    <w:name w:val="HTML Preformatted"/>
    <w:basedOn w:val="Normal"/>
    <w:link w:val="HTMLPreformattedChar"/>
    <w:uiPriority w:val="99"/>
    <w:semiHidden/>
    <w:unhideWhenUsed/>
    <w:rsid w:val="001B6377"/>
    <w:pPr>
      <w:tabs>
        <w:tab w:val="clear"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hAnsi="Courier New" w:cs="Courier New"/>
      <w:sz w:val="20"/>
      <w:szCs w:val="20"/>
      <w:lang w:val="tr-TR" w:eastAsia="en-US"/>
    </w:rPr>
  </w:style>
  <w:style w:type="character" w:customStyle="1" w:styleId="HTMLPreformattedChar">
    <w:name w:val="HTML Preformatted Char"/>
    <w:basedOn w:val="DefaultParagraphFont"/>
    <w:link w:val="HTMLPreformatted"/>
    <w:uiPriority w:val="99"/>
    <w:semiHidden/>
    <w:rsid w:val="001B6377"/>
    <w:rPr>
      <w:rFonts w:ascii="Courier New" w:eastAsia="Times New Roman" w:hAnsi="Courier New" w:cs="Courier New"/>
      <w:sz w:val="20"/>
      <w:szCs w:val="20"/>
      <w:lang w:val="tr-TR"/>
    </w:rPr>
  </w:style>
  <w:style w:type="character" w:customStyle="1" w:styleId="UnresolvedMention1">
    <w:name w:val="Unresolved Mention1"/>
    <w:basedOn w:val="DefaultParagraphFont"/>
    <w:uiPriority w:val="99"/>
    <w:semiHidden/>
    <w:unhideWhenUsed/>
    <w:rsid w:val="001B6377"/>
    <w:rPr>
      <w:color w:val="605E5C"/>
      <w:shd w:val="clear" w:color="auto" w:fill="E1DFDD"/>
    </w:rPr>
  </w:style>
  <w:style w:type="character" w:styleId="FollowedHyperlink">
    <w:name w:val="FollowedHyperlink"/>
    <w:basedOn w:val="DefaultParagraphFont"/>
    <w:uiPriority w:val="99"/>
    <w:semiHidden/>
    <w:unhideWhenUsed/>
    <w:rsid w:val="001B6377"/>
    <w:rPr>
      <w:color w:val="954F72" w:themeColor="followedHyperlink"/>
      <w:u w:val="single"/>
    </w:rPr>
  </w:style>
  <w:style w:type="character" w:customStyle="1" w:styleId="Heading4Char">
    <w:name w:val="Heading 4 Char"/>
    <w:basedOn w:val="DefaultParagraphFont"/>
    <w:link w:val="Heading4"/>
    <w:uiPriority w:val="9"/>
    <w:rsid w:val="00AB629C"/>
    <w:rPr>
      <w:rFonts w:ascii="Times New Roman" w:eastAsiaTheme="majorEastAsia" w:hAnsi="Times New Roman" w:cs="Times New Roman"/>
      <w:b/>
      <w:bCs/>
      <w:i/>
      <w:iCs/>
      <w:color w:val="000000" w:themeColor="text1"/>
      <w:lang w:val="en-GB" w:eastAsia="en-GB"/>
    </w:rPr>
  </w:style>
  <w:style w:type="character" w:customStyle="1" w:styleId="Heading5Char">
    <w:name w:val="Heading 5 Char"/>
    <w:basedOn w:val="DefaultParagraphFont"/>
    <w:link w:val="Heading5"/>
    <w:uiPriority w:val="9"/>
    <w:rsid w:val="00780000"/>
    <w:rPr>
      <w:rFonts w:asciiTheme="majorHAnsi" w:eastAsiaTheme="majorEastAsia" w:hAnsiTheme="majorHAnsi" w:cstheme="majorBidi"/>
      <w:color w:val="2F5496" w:themeColor="accent1" w:themeShade="BF"/>
      <w:lang w:val="en-GB" w:eastAsia="en-GB"/>
    </w:rPr>
  </w:style>
  <w:style w:type="character" w:customStyle="1" w:styleId="Heading6Char">
    <w:name w:val="Heading 6 Char"/>
    <w:basedOn w:val="DefaultParagraphFont"/>
    <w:link w:val="Heading6"/>
    <w:uiPriority w:val="9"/>
    <w:rsid w:val="00780000"/>
    <w:rPr>
      <w:rFonts w:asciiTheme="majorHAnsi" w:eastAsiaTheme="majorEastAsia" w:hAnsiTheme="majorHAnsi" w:cstheme="majorBidi"/>
      <w:color w:val="1F3763" w:themeColor="accent1" w:themeShade="7F"/>
      <w:lang w:val="en-GB" w:eastAsia="en-GB"/>
    </w:rPr>
  </w:style>
  <w:style w:type="character" w:customStyle="1" w:styleId="Heading7Char">
    <w:name w:val="Heading 7 Char"/>
    <w:basedOn w:val="DefaultParagraphFont"/>
    <w:link w:val="Heading7"/>
    <w:uiPriority w:val="9"/>
    <w:semiHidden/>
    <w:rsid w:val="00780000"/>
    <w:rPr>
      <w:rFonts w:asciiTheme="majorHAnsi" w:eastAsiaTheme="majorEastAsia" w:hAnsiTheme="majorHAnsi" w:cstheme="majorBidi"/>
      <w:i/>
      <w:iCs/>
      <w:color w:val="1F3763" w:themeColor="accent1" w:themeShade="7F"/>
      <w:lang w:val="en-GB" w:eastAsia="en-GB"/>
    </w:rPr>
  </w:style>
  <w:style w:type="character" w:customStyle="1" w:styleId="Heading8Char">
    <w:name w:val="Heading 8 Char"/>
    <w:basedOn w:val="DefaultParagraphFont"/>
    <w:link w:val="Heading8"/>
    <w:uiPriority w:val="9"/>
    <w:semiHidden/>
    <w:rsid w:val="00780000"/>
    <w:rPr>
      <w:rFonts w:asciiTheme="majorHAnsi" w:eastAsiaTheme="majorEastAsia" w:hAnsiTheme="majorHAnsi" w:cstheme="majorBidi"/>
      <w:color w:val="272727" w:themeColor="text1" w:themeTint="D8"/>
      <w:sz w:val="21"/>
      <w:szCs w:val="21"/>
      <w:lang w:val="en-GB" w:eastAsia="en-GB"/>
    </w:rPr>
  </w:style>
  <w:style w:type="character" w:customStyle="1" w:styleId="Heading9Char">
    <w:name w:val="Heading 9 Char"/>
    <w:basedOn w:val="DefaultParagraphFont"/>
    <w:link w:val="Heading9"/>
    <w:uiPriority w:val="9"/>
    <w:semiHidden/>
    <w:rsid w:val="00780000"/>
    <w:rPr>
      <w:rFonts w:asciiTheme="majorHAnsi" w:eastAsiaTheme="majorEastAsia" w:hAnsiTheme="majorHAnsi" w:cstheme="majorBidi"/>
      <w:i/>
      <w:iCs/>
      <w:color w:val="272727" w:themeColor="text1" w:themeTint="D8"/>
      <w:sz w:val="21"/>
      <w:szCs w:val="21"/>
      <w:lang w:val="en-GB" w:eastAsia="en-GB"/>
    </w:rPr>
  </w:style>
  <w:style w:type="paragraph" w:customStyle="1" w:styleId="Body">
    <w:name w:val="Body"/>
    <w:rsid w:val="00E85440"/>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en-GB" w:eastAsia="zh-CN"/>
    </w:rPr>
  </w:style>
  <w:style w:type="table" w:customStyle="1" w:styleId="TableGrid1">
    <w:name w:val="Table Grid1"/>
    <w:basedOn w:val="TableNormal"/>
    <w:next w:val="TableGrid"/>
    <w:uiPriority w:val="39"/>
    <w:rsid w:val="00642FCE"/>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66CF1"/>
    <w:pPr>
      <w:keepNext/>
      <w:spacing w:before="0" w:after="80" w:line="480" w:lineRule="auto"/>
    </w:pPr>
    <w:rPr>
      <w:b/>
      <w:i/>
      <w:iCs/>
      <w:sz w:val="20"/>
      <w:szCs w:val="20"/>
    </w:rPr>
  </w:style>
  <w:style w:type="table" w:customStyle="1" w:styleId="TableGrid11">
    <w:name w:val="Table Grid11"/>
    <w:basedOn w:val="TableNormal"/>
    <w:next w:val="TableGrid"/>
    <w:uiPriority w:val="39"/>
    <w:rsid w:val="00705DC4"/>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A1C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F28F8"/>
    <w:pPr>
      <w:jc w:val="center"/>
    </w:pPr>
    <w:rPr>
      <w:rFonts w:ascii="Cambria" w:eastAsia="MS Mincho"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rFonts w:ascii="Cambria" w:hAnsi="Cambria"/>
        <w:b/>
        <w:i w:val="0"/>
        <w:sz w:val="20"/>
      </w:rPr>
      <w:tblPr/>
      <w:tcPr>
        <w:vAlign w:val="bottom"/>
      </w:tcPr>
    </w:tblStylePr>
  </w:style>
  <w:style w:type="table" w:customStyle="1" w:styleId="TableGrid4">
    <w:name w:val="Table Grid4"/>
    <w:basedOn w:val="TableNormal"/>
    <w:next w:val="TableGrid"/>
    <w:uiPriority w:val="39"/>
    <w:rsid w:val="00192CD6"/>
    <w:pPr>
      <w:jc w:val="center"/>
    </w:pPr>
    <w:rPr>
      <w:rFonts w:ascii="Cambria" w:eastAsia="MS Mincho"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rFonts w:ascii="Cambria" w:hAnsi="Cambria"/>
        <w:b/>
        <w:i w:val="0"/>
        <w:sz w:val="20"/>
      </w:rPr>
      <w:tblPr/>
      <w:tcPr>
        <w:vAlign w:val="bottom"/>
      </w:tcPr>
    </w:tblStylePr>
  </w:style>
  <w:style w:type="table" w:customStyle="1" w:styleId="TableGrid12">
    <w:name w:val="Table Grid12"/>
    <w:basedOn w:val="TableNormal"/>
    <w:next w:val="TableGrid"/>
    <w:uiPriority w:val="39"/>
    <w:rsid w:val="00192CD6"/>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192CD6"/>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192C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192CD6"/>
    <w:pPr>
      <w:jc w:val="center"/>
    </w:pPr>
    <w:rPr>
      <w:rFonts w:ascii="Cambria" w:eastAsia="MS Mincho"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rFonts w:ascii="Cambria" w:hAnsi="Cambria"/>
        <w:b/>
        <w:i w:val="0"/>
        <w:sz w:val="20"/>
      </w:rPr>
      <w:tblPr/>
      <w:tcPr>
        <w:vAlign w:val="bottom"/>
      </w:tcPr>
    </w:tblStylePr>
  </w:style>
  <w:style w:type="paragraph" w:styleId="TOCHeading">
    <w:name w:val="TOC Heading"/>
    <w:basedOn w:val="Heading1"/>
    <w:next w:val="Normal"/>
    <w:uiPriority w:val="39"/>
    <w:qFormat/>
    <w:rsid w:val="00E20102"/>
    <w:pPr>
      <w:numPr>
        <w:numId w:val="0"/>
      </w:numPr>
      <w:tabs>
        <w:tab w:val="clear" w:pos="851"/>
      </w:tabs>
      <w:spacing w:before="480" w:after="1200" w:line="276" w:lineRule="auto"/>
      <w:outlineLvl w:val="9"/>
    </w:pPr>
    <w:rPr>
      <w:rFonts w:eastAsia="Times New Roman"/>
      <w:b w:val="0"/>
      <w:caps/>
      <w:smallCaps/>
      <w:color w:val="auto"/>
      <w:sz w:val="28"/>
      <w:szCs w:val="28"/>
      <w:lang w:val="en-US" w:eastAsia="en-US"/>
    </w:rPr>
  </w:style>
  <w:style w:type="paragraph" w:styleId="TOC1">
    <w:name w:val="toc 1"/>
    <w:basedOn w:val="Normal"/>
    <w:next w:val="Normal"/>
    <w:autoRedefine/>
    <w:uiPriority w:val="39"/>
    <w:unhideWhenUsed/>
    <w:rsid w:val="00072C99"/>
    <w:pPr>
      <w:tabs>
        <w:tab w:val="clear" w:pos="851"/>
      </w:tabs>
      <w:spacing w:after="0"/>
    </w:pPr>
    <w:rPr>
      <w:rFonts w:asciiTheme="minorHAnsi" w:hAnsiTheme="minorHAnsi" w:cstheme="minorHAnsi"/>
      <w:b/>
      <w:bCs/>
      <w:i/>
      <w:iCs/>
    </w:rPr>
  </w:style>
  <w:style w:type="paragraph" w:styleId="TOC2">
    <w:name w:val="toc 2"/>
    <w:basedOn w:val="Normal"/>
    <w:next w:val="Normal"/>
    <w:autoRedefine/>
    <w:uiPriority w:val="39"/>
    <w:unhideWhenUsed/>
    <w:rsid w:val="00072C99"/>
    <w:pPr>
      <w:tabs>
        <w:tab w:val="clear" w:pos="851"/>
      </w:tabs>
      <w:spacing w:after="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072C99"/>
    <w:pPr>
      <w:tabs>
        <w:tab w:val="clear" w:pos="851"/>
      </w:tabs>
      <w:spacing w:before="0" w:after="0"/>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072C99"/>
    <w:pPr>
      <w:tabs>
        <w:tab w:val="clear" w:pos="851"/>
      </w:tabs>
      <w:spacing w:before="0" w:after="0"/>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072C99"/>
    <w:pPr>
      <w:tabs>
        <w:tab w:val="clear" w:pos="851"/>
      </w:tabs>
      <w:spacing w:before="0" w:after="0"/>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072C99"/>
    <w:pPr>
      <w:tabs>
        <w:tab w:val="clear" w:pos="851"/>
      </w:tabs>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072C99"/>
    <w:pPr>
      <w:tabs>
        <w:tab w:val="clear" w:pos="851"/>
      </w:tabs>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072C99"/>
    <w:pPr>
      <w:tabs>
        <w:tab w:val="clear" w:pos="851"/>
      </w:tabs>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072C99"/>
    <w:pPr>
      <w:tabs>
        <w:tab w:val="clear" w:pos="851"/>
      </w:tabs>
      <w:spacing w:before="0" w:after="0"/>
      <w:ind w:left="1920"/>
    </w:pPr>
    <w:rPr>
      <w:rFonts w:asciiTheme="minorHAnsi" w:hAnsiTheme="minorHAnsi" w:cstheme="minorHAnsi"/>
      <w:sz w:val="20"/>
      <w:szCs w:val="20"/>
    </w:rPr>
  </w:style>
  <w:style w:type="paragraph" w:styleId="Title">
    <w:name w:val="Title"/>
    <w:aliases w:val="figures"/>
    <w:basedOn w:val="Normal"/>
    <w:next w:val="Normal"/>
    <w:link w:val="TitleChar"/>
    <w:uiPriority w:val="10"/>
    <w:qFormat/>
    <w:rsid w:val="00651C19"/>
    <w:rPr>
      <w:b/>
      <w:bCs/>
      <w:i/>
    </w:rPr>
  </w:style>
  <w:style w:type="character" w:customStyle="1" w:styleId="TitleChar">
    <w:name w:val="Title Char"/>
    <w:aliases w:val="figures Char"/>
    <w:basedOn w:val="DefaultParagraphFont"/>
    <w:link w:val="Title"/>
    <w:uiPriority w:val="10"/>
    <w:rsid w:val="00651C19"/>
    <w:rPr>
      <w:rFonts w:ascii="Times New Roman" w:eastAsia="Times New Roman" w:hAnsi="Times New Roman" w:cs="Times New Roman"/>
      <w:b/>
      <w:bCs/>
      <w:i/>
      <w:color w:val="000000" w:themeColor="text1"/>
      <w:lang w:val="en-GB" w:eastAsia="en-GB"/>
    </w:rPr>
  </w:style>
  <w:style w:type="paragraph" w:styleId="TableofFigures">
    <w:name w:val="table of figures"/>
    <w:basedOn w:val="Normal"/>
    <w:next w:val="Normal"/>
    <w:uiPriority w:val="99"/>
    <w:unhideWhenUsed/>
    <w:rsid w:val="00766AD5"/>
    <w:pPr>
      <w:tabs>
        <w:tab w:val="clear" w:pos="851"/>
      </w:tabs>
      <w:spacing w:before="0" w:after="0"/>
    </w:pPr>
    <w:rPr>
      <w:rFonts w:asciiTheme="minorHAnsi" w:hAnsiTheme="minorHAnsi" w:cstheme="minorHAnsi"/>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5.jpeg"/><Relationship Id="rId107" Type="http://schemas.openxmlformats.org/officeDocument/2006/relationships/image" Target="media/image94.jpeg"/><Relationship Id="rId11" Type="http://schemas.openxmlformats.org/officeDocument/2006/relationships/image" Target="media/image2.jpeg"/><Relationship Id="rId32" Type="http://schemas.openxmlformats.org/officeDocument/2006/relationships/image" Target="media/image20.png"/><Relationship Id="rId53" Type="http://schemas.openxmlformats.org/officeDocument/2006/relationships/oleObject" Target="embeddings/oleObject1.bin"/><Relationship Id="rId74" Type="http://schemas.openxmlformats.org/officeDocument/2006/relationships/image" Target="media/image61.jpeg"/><Relationship Id="rId128" Type="http://schemas.openxmlformats.org/officeDocument/2006/relationships/image" Target="media/image115.jpeg"/><Relationship Id="rId149" Type="http://schemas.openxmlformats.org/officeDocument/2006/relationships/image" Target="media/image136.jpeg"/><Relationship Id="rId5" Type="http://schemas.openxmlformats.org/officeDocument/2006/relationships/webSettings" Target="webSettings.xml"/><Relationship Id="rId95" Type="http://schemas.openxmlformats.org/officeDocument/2006/relationships/image" Target="media/image82.jpeg"/><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fontTable" Target="fontTable.xml"/><Relationship Id="rId12" Type="http://schemas.openxmlformats.org/officeDocument/2006/relationships/image" Target="media/image3.jpeg"/><Relationship Id="rId17" Type="http://schemas.openxmlformats.org/officeDocument/2006/relationships/hyperlink" Target="http://pics.psych.stir.ac.uk/2D_face_sets.htm" TargetMode="External"/><Relationship Id="rId33" Type="http://schemas.openxmlformats.org/officeDocument/2006/relationships/image" Target="media/image21.jpeg"/><Relationship Id="rId38" Type="http://schemas.openxmlformats.org/officeDocument/2006/relationships/image" Target="media/image26.emf"/><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7.jpeg"/><Relationship Id="rId145"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youtube.com/watch?v=RDfjXj5EGqI" TargetMode="External"/><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2.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theme" Target="theme/theme1.xm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7.emf"/><Relationship Id="rId109" Type="http://schemas.openxmlformats.org/officeDocument/2006/relationships/image" Target="media/image96.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emf"/><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8.jpeg"/><Relationship Id="rId14" Type="http://schemas.openxmlformats.org/officeDocument/2006/relationships/image" Target="media/image5.jpe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jpe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4.jpeg"/><Relationship Id="rId20" Type="http://schemas.openxmlformats.org/officeDocument/2006/relationships/image" Target="media/image9.emf"/><Relationship Id="rId41" Type="http://schemas.openxmlformats.org/officeDocument/2006/relationships/image" Target="media/image29.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 Type="http://schemas.openxmlformats.org/officeDocument/2006/relationships/hyperlink" Target="http://pics.psych.stir.ac.uk/2D_face_sets.htm" TargetMode="External"/><Relationship Id="rId36" Type="http://schemas.openxmlformats.org/officeDocument/2006/relationships/image" Target="media/image24.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4.jpeg"/><Relationship Id="rId47" Type="http://schemas.openxmlformats.org/officeDocument/2006/relationships/image" Target="media/image35.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6" Type="http://schemas.openxmlformats.org/officeDocument/2006/relationships/image" Target="media/image6.png"/><Relationship Id="rId37" Type="http://schemas.openxmlformats.org/officeDocument/2006/relationships/image" Target="media/image25.emf"/><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240835-932D-1143-92E2-1A850398F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325</Pages>
  <Words>272630</Words>
  <Characters>1553995</Characters>
  <Application>Microsoft Office Word</Application>
  <DocSecurity>0</DocSecurity>
  <Lines>12949</Lines>
  <Paragraphs>3645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1822980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Nazli Altin Cesur</dc:creator>
  <cp:keywords/>
  <dc:description/>
  <cp:lastModifiedBy>Nazli Altin Cesur</cp:lastModifiedBy>
  <cp:revision>2</cp:revision>
  <cp:lastPrinted>2022-02-14T21:23:00Z</cp:lastPrinted>
  <dcterms:created xsi:type="dcterms:W3CDTF">2022-08-29T09:31:00Z</dcterms:created>
  <dcterms:modified xsi:type="dcterms:W3CDTF">2022-08-29T09:31:00Z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http://www.zotero.org/styles/apa</vt:lpwstr>
  </property>
  <property fmtid="{D5CDD505-2E9C-101B-9397-08002B2CF9AE}" pid="24" name="Mendeley Unique User Id_1">
    <vt:lpwstr>e1b6001d-cce3-33a1-9e9e-7f87d7c77254</vt:lpwstr>
  </property>
</Properties>
</file>