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14C236" w14:textId="77777777" w:rsidR="00E27DA0" w:rsidRDefault="00E27DA0" w:rsidP="008A33DA"/>
    <w:p w14:paraId="03E47457" w14:textId="41DFCEFE" w:rsidR="002018C8" w:rsidRPr="00216965" w:rsidRDefault="00E27DA0" w:rsidP="008A33DA">
      <w:r w:rsidRPr="00216965">
        <w:rPr>
          <w:noProof/>
          <w:sz w:val="20"/>
          <w:lang w:eastAsia="en-GB"/>
        </w:rPr>
        <w:drawing>
          <wp:anchor distT="0" distB="0" distL="114300" distR="114300" simplePos="0" relativeHeight="251659264" behindDoc="0" locked="0" layoutInCell="1" allowOverlap="1" wp14:anchorId="08BB6EA4" wp14:editId="1AAE5737">
            <wp:simplePos x="0" y="0"/>
            <wp:positionH relativeFrom="column">
              <wp:posOffset>219074</wp:posOffset>
            </wp:positionH>
            <wp:positionV relativeFrom="paragraph">
              <wp:posOffset>285750</wp:posOffset>
            </wp:positionV>
            <wp:extent cx="5419725" cy="1371600"/>
            <wp:effectExtent l="0" t="0" r="9525" b="0"/>
            <wp:wrapNone/>
            <wp:docPr id="24" name="Picture 24" descr="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logo"/>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972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E81F6" w14:textId="39B4ECC7" w:rsidR="002018C8" w:rsidRPr="00216965" w:rsidRDefault="002018C8" w:rsidP="008A33DA"/>
    <w:p w14:paraId="64F431DC" w14:textId="0729B7CA" w:rsidR="002018C8" w:rsidRPr="00216965" w:rsidRDefault="002018C8" w:rsidP="008A33DA"/>
    <w:p w14:paraId="667C8551" w14:textId="52135276" w:rsidR="002018C8" w:rsidRPr="00216965" w:rsidRDefault="002018C8" w:rsidP="008A33DA"/>
    <w:p w14:paraId="4A4F5122" w14:textId="5FE85E24" w:rsidR="002018C8" w:rsidRPr="00216965" w:rsidRDefault="002018C8" w:rsidP="008A33DA"/>
    <w:p w14:paraId="70706E48" w14:textId="2443ACE1" w:rsidR="002018C8" w:rsidRPr="00216965" w:rsidRDefault="002018C8" w:rsidP="008A33DA"/>
    <w:p w14:paraId="534BFCCB" w14:textId="252DD569" w:rsidR="002018C8" w:rsidRPr="00216965" w:rsidRDefault="002018C8" w:rsidP="008A33DA"/>
    <w:p w14:paraId="6A60D291" w14:textId="1F7AF213" w:rsidR="002018C8" w:rsidRPr="00216965" w:rsidRDefault="002018C8" w:rsidP="008A33DA"/>
    <w:p w14:paraId="4AA57DDF" w14:textId="41E6C63D" w:rsidR="002018C8" w:rsidRPr="00216965" w:rsidRDefault="002018C8" w:rsidP="008A33DA">
      <w:pPr>
        <w:jc w:val="center"/>
        <w:rPr>
          <w:rFonts w:ascii="Amasis MT Pro Light" w:hAnsi="Amasis MT Pro Light"/>
          <w:b/>
          <w:bCs/>
          <w:sz w:val="52"/>
          <w:szCs w:val="52"/>
          <w:shd w:val="clear" w:color="auto" w:fill="FFFFFF"/>
        </w:rPr>
      </w:pPr>
      <w:r w:rsidRPr="00216965">
        <w:rPr>
          <w:rFonts w:ascii="Amasis MT Pro Light" w:hAnsi="Amasis MT Pro Light"/>
          <w:b/>
          <w:bCs/>
          <w:sz w:val="52"/>
          <w:szCs w:val="52"/>
          <w:shd w:val="clear" w:color="auto" w:fill="FFFFFF"/>
        </w:rPr>
        <w:t>The use of plant-based biochars for the remediation of heavy metal-contaminated soil</w:t>
      </w:r>
    </w:p>
    <w:p w14:paraId="34F3C8A5" w14:textId="0765441A" w:rsidR="002018C8" w:rsidRPr="00216965" w:rsidRDefault="002018C8" w:rsidP="008A33DA">
      <w:pPr>
        <w:jc w:val="center"/>
        <w:rPr>
          <w:rFonts w:ascii="Amasis MT Pro Light" w:hAnsi="Amasis MT Pro Light"/>
          <w:sz w:val="56"/>
          <w:szCs w:val="56"/>
          <w:shd w:val="clear" w:color="auto" w:fill="FFFFFF"/>
        </w:rPr>
      </w:pPr>
    </w:p>
    <w:p w14:paraId="52F24AF9" w14:textId="3EF1FD4A" w:rsidR="002018C8" w:rsidRPr="00216965" w:rsidRDefault="002018C8" w:rsidP="008A33DA">
      <w:pPr>
        <w:jc w:val="center"/>
        <w:rPr>
          <w:rFonts w:ascii="Amasis MT Pro Light" w:hAnsi="Amasis MT Pro Light"/>
          <w:sz w:val="36"/>
          <w:szCs w:val="36"/>
          <w:shd w:val="clear" w:color="auto" w:fill="FFFFFF"/>
        </w:rPr>
      </w:pPr>
      <w:r w:rsidRPr="00216965">
        <w:rPr>
          <w:rFonts w:ascii="Amasis MT Pro Light" w:hAnsi="Amasis MT Pro Light"/>
          <w:sz w:val="36"/>
          <w:szCs w:val="36"/>
          <w:shd w:val="clear" w:color="auto" w:fill="FFFFFF"/>
        </w:rPr>
        <w:t>by</w:t>
      </w:r>
    </w:p>
    <w:p w14:paraId="5C422FC6" w14:textId="0FF5C0D8" w:rsidR="002018C8" w:rsidRPr="00216965" w:rsidRDefault="002018C8" w:rsidP="008A33DA">
      <w:pPr>
        <w:jc w:val="center"/>
        <w:rPr>
          <w:rFonts w:ascii="Amasis MT Pro Light" w:hAnsi="Amasis MT Pro Light"/>
          <w:sz w:val="36"/>
          <w:szCs w:val="36"/>
          <w:shd w:val="clear" w:color="auto" w:fill="FFFFFF"/>
        </w:rPr>
      </w:pPr>
    </w:p>
    <w:p w14:paraId="61F3CDF9" w14:textId="648ED393" w:rsidR="002018C8" w:rsidRPr="00216965" w:rsidRDefault="002018C8" w:rsidP="008A33DA">
      <w:pPr>
        <w:jc w:val="center"/>
        <w:rPr>
          <w:rFonts w:ascii="Amasis MT Pro Light" w:hAnsi="Amasis MT Pro Light"/>
          <w:b/>
          <w:bCs/>
          <w:sz w:val="36"/>
          <w:szCs w:val="36"/>
          <w:shd w:val="clear" w:color="auto" w:fill="FFFFFF"/>
        </w:rPr>
      </w:pPr>
      <w:r w:rsidRPr="00216965">
        <w:rPr>
          <w:rFonts w:ascii="Amasis MT Pro Light" w:hAnsi="Amasis MT Pro Light"/>
          <w:b/>
          <w:bCs/>
          <w:sz w:val="36"/>
          <w:szCs w:val="36"/>
          <w:shd w:val="clear" w:color="auto" w:fill="FFFFFF"/>
        </w:rPr>
        <w:t>Rosa Isabel Soria Peñafiel</w:t>
      </w:r>
    </w:p>
    <w:p w14:paraId="78195395" w14:textId="3B47D348" w:rsidR="002018C8" w:rsidRPr="00216965" w:rsidRDefault="002018C8" w:rsidP="008A33DA">
      <w:pPr>
        <w:jc w:val="center"/>
        <w:rPr>
          <w:rFonts w:ascii="Amasis MT Pro Light" w:hAnsi="Amasis MT Pro Light"/>
          <w:sz w:val="36"/>
          <w:szCs w:val="36"/>
          <w:shd w:val="clear" w:color="auto" w:fill="FFFFFF"/>
        </w:rPr>
      </w:pPr>
      <w:r w:rsidRPr="00216965">
        <w:rPr>
          <w:rFonts w:ascii="Amasis MT Pro Light" w:hAnsi="Amasis MT Pro Light"/>
          <w:sz w:val="36"/>
          <w:szCs w:val="36"/>
          <w:shd w:val="clear" w:color="auto" w:fill="FFFFFF"/>
        </w:rPr>
        <w:t>October 2021</w:t>
      </w:r>
    </w:p>
    <w:p w14:paraId="4D813651" w14:textId="710D8E00" w:rsidR="002018C8" w:rsidRPr="00216965" w:rsidRDefault="002018C8" w:rsidP="008A33DA">
      <w:pPr>
        <w:jc w:val="center"/>
        <w:rPr>
          <w:rFonts w:ascii="Amasis MT Pro Light" w:hAnsi="Amasis MT Pro Light"/>
          <w:sz w:val="36"/>
          <w:szCs w:val="36"/>
          <w:shd w:val="clear" w:color="auto" w:fill="FFFFFF"/>
        </w:rPr>
      </w:pPr>
    </w:p>
    <w:p w14:paraId="0BEA6DEB" w14:textId="316B6696" w:rsidR="002018C8" w:rsidRPr="00216965" w:rsidRDefault="002018C8" w:rsidP="008A33DA">
      <w:pPr>
        <w:pStyle w:val="Default"/>
      </w:pPr>
    </w:p>
    <w:p w14:paraId="004B6196" w14:textId="77777777" w:rsidR="00E27DA0" w:rsidRPr="00216965" w:rsidRDefault="00E27DA0" w:rsidP="008A33DA">
      <w:pPr>
        <w:pStyle w:val="Default"/>
      </w:pPr>
    </w:p>
    <w:p w14:paraId="3B879980" w14:textId="67183A1B" w:rsidR="002018C8" w:rsidRPr="00216965" w:rsidRDefault="002018C8" w:rsidP="008A33DA">
      <w:pPr>
        <w:pStyle w:val="Default"/>
        <w:jc w:val="center"/>
        <w:rPr>
          <w:sz w:val="28"/>
          <w:szCs w:val="28"/>
        </w:rPr>
      </w:pPr>
      <w:r w:rsidRPr="00216965">
        <w:rPr>
          <w:b/>
          <w:bCs/>
          <w:sz w:val="28"/>
          <w:szCs w:val="28"/>
        </w:rPr>
        <w:t>Supervisors: Dr Steven F. Thornton and Dr Stephen A. Rolfe</w:t>
      </w:r>
    </w:p>
    <w:p w14:paraId="48FB2DC8" w14:textId="66EB69D8" w:rsidR="002018C8" w:rsidRPr="00216965" w:rsidRDefault="002018C8" w:rsidP="008A33DA">
      <w:pPr>
        <w:pStyle w:val="Default"/>
        <w:jc w:val="center"/>
        <w:rPr>
          <w:sz w:val="28"/>
          <w:szCs w:val="28"/>
        </w:rPr>
      </w:pPr>
    </w:p>
    <w:p w14:paraId="70485FB4" w14:textId="77777777" w:rsidR="00E27DA0" w:rsidRPr="00216965" w:rsidRDefault="00E27DA0" w:rsidP="008A33DA">
      <w:pPr>
        <w:pStyle w:val="Default"/>
        <w:jc w:val="center"/>
        <w:rPr>
          <w:sz w:val="28"/>
          <w:szCs w:val="28"/>
        </w:rPr>
      </w:pPr>
    </w:p>
    <w:p w14:paraId="5C18A821" w14:textId="6949E60D" w:rsidR="002018C8" w:rsidRPr="00216965" w:rsidRDefault="00E27DA0" w:rsidP="008A33DA">
      <w:pPr>
        <w:pStyle w:val="Default"/>
        <w:jc w:val="center"/>
        <w:rPr>
          <w:sz w:val="28"/>
          <w:szCs w:val="28"/>
        </w:rPr>
      </w:pPr>
      <w:r w:rsidRPr="00216965">
        <w:rPr>
          <w:sz w:val="28"/>
          <w:szCs w:val="28"/>
        </w:rPr>
        <w:t xml:space="preserve">Thesis </w:t>
      </w:r>
      <w:r w:rsidR="002018C8" w:rsidRPr="00216965">
        <w:rPr>
          <w:sz w:val="28"/>
          <w:szCs w:val="28"/>
        </w:rPr>
        <w:t>submitted to the University of Sheffield in fulfilment of the requirements for the degree of</w:t>
      </w:r>
    </w:p>
    <w:p w14:paraId="5585CE47" w14:textId="0947598E" w:rsidR="002018C8" w:rsidRPr="00216965" w:rsidRDefault="002018C8" w:rsidP="008A33DA">
      <w:pPr>
        <w:pStyle w:val="Default"/>
        <w:jc w:val="center"/>
        <w:rPr>
          <w:sz w:val="28"/>
          <w:szCs w:val="28"/>
        </w:rPr>
      </w:pPr>
    </w:p>
    <w:p w14:paraId="1143554F" w14:textId="77777777" w:rsidR="002018C8" w:rsidRPr="00216965" w:rsidRDefault="002018C8" w:rsidP="008A33DA">
      <w:pPr>
        <w:pStyle w:val="Default"/>
        <w:jc w:val="center"/>
        <w:rPr>
          <w:sz w:val="28"/>
          <w:szCs w:val="28"/>
        </w:rPr>
      </w:pPr>
    </w:p>
    <w:p w14:paraId="300D8844" w14:textId="5E6F9B82" w:rsidR="002018C8" w:rsidRPr="00216965" w:rsidRDefault="002018C8" w:rsidP="008A33DA">
      <w:pPr>
        <w:jc w:val="center"/>
        <w:rPr>
          <w:b/>
          <w:bCs/>
          <w:sz w:val="28"/>
          <w:szCs w:val="28"/>
        </w:rPr>
      </w:pPr>
      <w:r w:rsidRPr="00216965">
        <w:rPr>
          <w:b/>
          <w:bCs/>
          <w:sz w:val="28"/>
          <w:szCs w:val="28"/>
        </w:rPr>
        <w:t>Doctor of Philosophy</w:t>
      </w:r>
    </w:p>
    <w:p w14:paraId="7AADB6A5" w14:textId="7544D1C6" w:rsidR="00F2707B" w:rsidRPr="00216965" w:rsidRDefault="00F2707B" w:rsidP="008A33DA"/>
    <w:p w14:paraId="6C308041" w14:textId="1BB52A09" w:rsidR="00F2707B" w:rsidRPr="00216965" w:rsidRDefault="00F2707B" w:rsidP="008A33DA">
      <w:pPr>
        <w:jc w:val="center"/>
        <w:rPr>
          <w:b/>
          <w:bCs/>
          <w:sz w:val="28"/>
          <w:szCs w:val="28"/>
        </w:rPr>
      </w:pPr>
    </w:p>
    <w:p w14:paraId="101A6ED1" w14:textId="611A0FB5" w:rsidR="00F2707B" w:rsidRPr="00216965" w:rsidRDefault="00F2707B" w:rsidP="008A33DA">
      <w:pPr>
        <w:jc w:val="center"/>
        <w:rPr>
          <w:b/>
          <w:bCs/>
          <w:sz w:val="28"/>
          <w:szCs w:val="28"/>
        </w:rPr>
      </w:pPr>
    </w:p>
    <w:p w14:paraId="3FD96D0B" w14:textId="1339141E" w:rsidR="00F2707B" w:rsidRPr="00216965" w:rsidRDefault="00F2707B" w:rsidP="008A33DA">
      <w:pPr>
        <w:jc w:val="center"/>
        <w:rPr>
          <w:b/>
          <w:bCs/>
          <w:sz w:val="28"/>
          <w:szCs w:val="28"/>
        </w:rPr>
      </w:pPr>
    </w:p>
    <w:p w14:paraId="0FC58391" w14:textId="2754FBCA" w:rsidR="00F2707B" w:rsidRPr="00216965" w:rsidRDefault="00F2707B" w:rsidP="008A33DA">
      <w:pPr>
        <w:jc w:val="center"/>
        <w:rPr>
          <w:b/>
          <w:bCs/>
          <w:sz w:val="28"/>
          <w:szCs w:val="28"/>
        </w:rPr>
      </w:pPr>
    </w:p>
    <w:p w14:paraId="024C2B02" w14:textId="3F1AAF2A" w:rsidR="00F2707B" w:rsidRPr="00216965" w:rsidRDefault="00F2707B" w:rsidP="008A33DA">
      <w:pPr>
        <w:jc w:val="center"/>
        <w:rPr>
          <w:b/>
          <w:bCs/>
          <w:sz w:val="28"/>
          <w:szCs w:val="28"/>
        </w:rPr>
      </w:pPr>
    </w:p>
    <w:p w14:paraId="7DBEA404" w14:textId="15A7226B" w:rsidR="00F2707B" w:rsidRPr="00216965" w:rsidRDefault="00F2707B" w:rsidP="008A33DA">
      <w:pPr>
        <w:jc w:val="center"/>
        <w:rPr>
          <w:b/>
          <w:bCs/>
          <w:sz w:val="28"/>
          <w:szCs w:val="28"/>
        </w:rPr>
      </w:pPr>
    </w:p>
    <w:p w14:paraId="47E02B2D" w14:textId="7DE5420C" w:rsidR="00F2707B" w:rsidRPr="00216965" w:rsidRDefault="00F2707B" w:rsidP="008A33DA">
      <w:pPr>
        <w:jc w:val="center"/>
        <w:rPr>
          <w:b/>
          <w:bCs/>
          <w:sz w:val="28"/>
          <w:szCs w:val="28"/>
        </w:rPr>
      </w:pPr>
    </w:p>
    <w:p w14:paraId="5F23CB5B" w14:textId="7B3D4BC7" w:rsidR="00F2707B" w:rsidRPr="00216965" w:rsidRDefault="00F2707B" w:rsidP="008A33DA">
      <w:pPr>
        <w:jc w:val="center"/>
        <w:rPr>
          <w:b/>
          <w:bCs/>
          <w:sz w:val="28"/>
          <w:szCs w:val="28"/>
        </w:rPr>
      </w:pPr>
    </w:p>
    <w:p w14:paraId="79911CCE" w14:textId="4F0B136E" w:rsidR="00F2707B" w:rsidRPr="00216965" w:rsidRDefault="00F2707B" w:rsidP="008A33DA">
      <w:pPr>
        <w:jc w:val="center"/>
        <w:rPr>
          <w:b/>
          <w:bCs/>
          <w:sz w:val="28"/>
          <w:szCs w:val="28"/>
        </w:rPr>
      </w:pPr>
    </w:p>
    <w:p w14:paraId="76F541E4" w14:textId="39EDCD5A" w:rsidR="00F2707B" w:rsidRPr="00216965" w:rsidRDefault="00F2707B" w:rsidP="008A33DA">
      <w:pPr>
        <w:jc w:val="center"/>
        <w:rPr>
          <w:b/>
          <w:bCs/>
          <w:sz w:val="28"/>
          <w:szCs w:val="28"/>
        </w:rPr>
      </w:pPr>
    </w:p>
    <w:p w14:paraId="72EBC38B" w14:textId="59B9A122" w:rsidR="00F2707B" w:rsidRPr="00216965" w:rsidRDefault="00F2707B" w:rsidP="008A33DA">
      <w:pPr>
        <w:jc w:val="center"/>
        <w:rPr>
          <w:b/>
          <w:bCs/>
          <w:sz w:val="28"/>
          <w:szCs w:val="28"/>
        </w:rPr>
      </w:pPr>
    </w:p>
    <w:p w14:paraId="41677616" w14:textId="3929F093" w:rsidR="00F2707B" w:rsidRPr="00216965" w:rsidRDefault="00F2707B" w:rsidP="008A33DA">
      <w:pPr>
        <w:jc w:val="center"/>
        <w:rPr>
          <w:b/>
          <w:bCs/>
          <w:sz w:val="28"/>
          <w:szCs w:val="28"/>
        </w:rPr>
      </w:pPr>
    </w:p>
    <w:p w14:paraId="18FF154A" w14:textId="0CE08237" w:rsidR="00F2707B" w:rsidRPr="00216965" w:rsidRDefault="00F2707B" w:rsidP="008A33DA">
      <w:pPr>
        <w:jc w:val="center"/>
        <w:rPr>
          <w:b/>
          <w:bCs/>
          <w:sz w:val="28"/>
          <w:szCs w:val="28"/>
        </w:rPr>
      </w:pPr>
    </w:p>
    <w:p w14:paraId="1BF032A7" w14:textId="68D3ECC2" w:rsidR="00F2707B" w:rsidRPr="00216965" w:rsidRDefault="00F2707B" w:rsidP="008A33DA">
      <w:pPr>
        <w:jc w:val="center"/>
        <w:rPr>
          <w:b/>
          <w:bCs/>
          <w:sz w:val="28"/>
          <w:szCs w:val="28"/>
        </w:rPr>
      </w:pPr>
    </w:p>
    <w:p w14:paraId="252EC23E" w14:textId="0DDE905B" w:rsidR="00F2707B" w:rsidRPr="00216965" w:rsidRDefault="00F2707B" w:rsidP="008A33DA">
      <w:pPr>
        <w:jc w:val="center"/>
        <w:rPr>
          <w:b/>
          <w:bCs/>
          <w:sz w:val="28"/>
          <w:szCs w:val="28"/>
        </w:rPr>
      </w:pPr>
    </w:p>
    <w:p w14:paraId="2E549FA4" w14:textId="7F7D3356" w:rsidR="00F2707B" w:rsidRPr="00216965" w:rsidRDefault="00F2707B" w:rsidP="008A33DA">
      <w:pPr>
        <w:jc w:val="center"/>
        <w:rPr>
          <w:b/>
          <w:bCs/>
          <w:sz w:val="28"/>
          <w:szCs w:val="28"/>
        </w:rPr>
      </w:pPr>
    </w:p>
    <w:p w14:paraId="01276581" w14:textId="5F6DB1B2" w:rsidR="00F2707B" w:rsidRPr="00216965" w:rsidRDefault="00F2707B" w:rsidP="008A33DA">
      <w:pPr>
        <w:jc w:val="center"/>
        <w:rPr>
          <w:b/>
          <w:bCs/>
          <w:sz w:val="28"/>
          <w:szCs w:val="28"/>
        </w:rPr>
      </w:pPr>
    </w:p>
    <w:p w14:paraId="0E46DD79" w14:textId="4FAB27CC" w:rsidR="00F2707B" w:rsidRPr="00216965" w:rsidRDefault="00F2707B" w:rsidP="008A33DA">
      <w:pPr>
        <w:jc w:val="center"/>
        <w:rPr>
          <w:b/>
          <w:bCs/>
          <w:sz w:val="28"/>
          <w:szCs w:val="28"/>
        </w:rPr>
      </w:pPr>
    </w:p>
    <w:p w14:paraId="7422A9D4" w14:textId="70DA195B" w:rsidR="00F2707B" w:rsidRPr="00216965" w:rsidRDefault="00F2707B" w:rsidP="008A33DA">
      <w:pPr>
        <w:jc w:val="center"/>
        <w:rPr>
          <w:b/>
          <w:bCs/>
          <w:sz w:val="28"/>
          <w:szCs w:val="28"/>
        </w:rPr>
      </w:pPr>
    </w:p>
    <w:p w14:paraId="7A0BB543" w14:textId="2E35B943" w:rsidR="00F2707B" w:rsidRPr="00216965" w:rsidRDefault="00F2707B" w:rsidP="008A33DA">
      <w:pPr>
        <w:jc w:val="center"/>
        <w:rPr>
          <w:b/>
          <w:bCs/>
          <w:sz w:val="28"/>
          <w:szCs w:val="28"/>
        </w:rPr>
      </w:pPr>
    </w:p>
    <w:p w14:paraId="5E1104CC" w14:textId="70037258" w:rsidR="00F2707B" w:rsidRPr="00216965" w:rsidRDefault="00F2707B" w:rsidP="008A33DA">
      <w:pPr>
        <w:jc w:val="center"/>
        <w:rPr>
          <w:b/>
          <w:bCs/>
          <w:sz w:val="28"/>
          <w:szCs w:val="28"/>
        </w:rPr>
      </w:pPr>
    </w:p>
    <w:p w14:paraId="4F468AE3" w14:textId="604AF61D" w:rsidR="00F2707B" w:rsidRPr="00216965" w:rsidRDefault="00F2707B" w:rsidP="008A33DA">
      <w:pPr>
        <w:jc w:val="center"/>
        <w:rPr>
          <w:b/>
          <w:bCs/>
          <w:sz w:val="28"/>
          <w:szCs w:val="28"/>
        </w:rPr>
      </w:pPr>
    </w:p>
    <w:p w14:paraId="36D09399" w14:textId="7ABB1EFC" w:rsidR="00F2707B" w:rsidRPr="00216965" w:rsidRDefault="00F2707B" w:rsidP="008A33DA">
      <w:pPr>
        <w:jc w:val="center"/>
        <w:rPr>
          <w:b/>
          <w:bCs/>
          <w:sz w:val="28"/>
          <w:szCs w:val="28"/>
        </w:rPr>
      </w:pPr>
    </w:p>
    <w:p w14:paraId="77A0918B" w14:textId="39576916" w:rsidR="00F2707B" w:rsidRPr="00216965" w:rsidRDefault="00F2707B" w:rsidP="008A33DA">
      <w:pPr>
        <w:jc w:val="center"/>
        <w:rPr>
          <w:b/>
          <w:bCs/>
          <w:sz w:val="28"/>
          <w:szCs w:val="28"/>
        </w:rPr>
      </w:pPr>
    </w:p>
    <w:p w14:paraId="6967395F" w14:textId="77777777" w:rsidR="00F2707B" w:rsidRPr="00216965" w:rsidRDefault="00F2707B" w:rsidP="008A33DA">
      <w:pPr>
        <w:jc w:val="center"/>
        <w:rPr>
          <w:b/>
          <w:bCs/>
          <w:sz w:val="28"/>
          <w:szCs w:val="28"/>
        </w:rPr>
      </w:pPr>
    </w:p>
    <w:p w14:paraId="23B4FA04" w14:textId="47070A09" w:rsidR="00F2707B" w:rsidRPr="00216965" w:rsidRDefault="00F2707B" w:rsidP="008A33DA">
      <w:pPr>
        <w:jc w:val="center"/>
        <w:rPr>
          <w:b/>
          <w:bCs/>
          <w:sz w:val="28"/>
          <w:szCs w:val="28"/>
        </w:rPr>
      </w:pPr>
    </w:p>
    <w:p w14:paraId="3201C7B4" w14:textId="77777777" w:rsidR="00936B22" w:rsidRPr="00216965" w:rsidRDefault="00936B22" w:rsidP="008A33DA">
      <w:pPr>
        <w:jc w:val="center"/>
        <w:rPr>
          <w:b/>
          <w:bCs/>
          <w:sz w:val="28"/>
          <w:szCs w:val="28"/>
        </w:rPr>
        <w:sectPr w:rsidR="00936B22" w:rsidRPr="00216965" w:rsidSect="00936B22">
          <w:footerReference w:type="default" r:id="rId9"/>
          <w:pgSz w:w="11906" w:h="16838"/>
          <w:pgMar w:top="1417" w:right="1701" w:bottom="1417" w:left="1701" w:header="708" w:footer="708" w:gutter="0"/>
          <w:pgNumType w:start="1"/>
          <w:cols w:space="720"/>
          <w:titlePg/>
          <w:docGrid w:linePitch="326"/>
        </w:sectPr>
      </w:pPr>
    </w:p>
    <w:p w14:paraId="4DBF0CC8" w14:textId="77777777" w:rsidR="00632101" w:rsidRPr="00216965" w:rsidRDefault="00632101" w:rsidP="008A33DA">
      <w:pPr>
        <w:pStyle w:val="Heading1"/>
        <w:numPr>
          <w:ilvl w:val="0"/>
          <w:numId w:val="0"/>
        </w:numPr>
        <w:rPr>
          <w:sz w:val="44"/>
          <w:szCs w:val="44"/>
        </w:rPr>
      </w:pPr>
      <w:bookmarkStart w:id="0" w:name="_Toc86504610"/>
      <w:r w:rsidRPr="00216965">
        <w:rPr>
          <w:sz w:val="44"/>
          <w:szCs w:val="44"/>
        </w:rPr>
        <w:lastRenderedPageBreak/>
        <w:t>Abstract</w:t>
      </w:r>
      <w:bookmarkEnd w:id="0"/>
    </w:p>
    <w:p w14:paraId="355A273A" w14:textId="77777777" w:rsidR="00632101" w:rsidRPr="00216965" w:rsidRDefault="00632101" w:rsidP="008A33DA">
      <w:pPr>
        <w:spacing w:line="360" w:lineRule="auto"/>
        <w:jc w:val="both"/>
      </w:pPr>
      <w:r w:rsidRPr="00216965">
        <w:t>Heavy metals (HMs) are common contaminants in soil. At elevated concentrations they can have a negative impact on ecosystem functioning and pose a risk to human health. Cost-effective management solutions are required to reduce the environmental risk from HM-contaminated soil. Among other organic amendments, biochar has been proposed as a suitable low-cost material with the potential to immobilise HMs in soil and improve soil conditions for restoration of degraded land and re-use of contaminated soil.</w:t>
      </w:r>
    </w:p>
    <w:p w14:paraId="5E9FBC5A" w14:textId="585050E9" w:rsidR="00632101" w:rsidRPr="00216965" w:rsidRDefault="00632101" w:rsidP="008A33DA">
      <w:pPr>
        <w:spacing w:line="360" w:lineRule="auto"/>
        <w:jc w:val="both"/>
      </w:pPr>
      <w:r w:rsidRPr="00216965">
        <w:t xml:space="preserve">Biochar is a black carbon produced by thermal decomposition of </w:t>
      </w:r>
      <w:r w:rsidR="00F16201" w:rsidRPr="00216965">
        <w:t xml:space="preserve">feedstock </w:t>
      </w:r>
      <w:r w:rsidR="000076BB" w:rsidRPr="00216965">
        <w:t>-</w:t>
      </w:r>
      <w:r w:rsidR="00F16201" w:rsidRPr="00216965">
        <w:t>biomass destined for conversion to energy</w:t>
      </w:r>
      <w:r w:rsidRPr="00216965">
        <w:t>. It typically has a high specific surface area and is rich in oxygenated functional groups</w:t>
      </w:r>
      <w:r w:rsidR="00AA1D7F" w:rsidRPr="00216965">
        <w:t xml:space="preserve"> (e.g. carboxyl, hydroxyl)</w:t>
      </w:r>
      <w:r w:rsidRPr="00216965">
        <w:t>. These properties make it useful for the treatment of HM-contaminated soils, where it can immobilize pollutants by different physical and chemical mechanisms, reducing metal toxicity towards plants and soil microorganisms, and thereby enabling the re-use of restored land. However, there are uncertainties that can limit the generalised use of biochar in the remediation of HM-contaminated soil. For example, biochars have different potentials to immobilize HMs, wherein the metal sorption characteristics are influenced by the feedstock properties and production conditions. Other factors, such as biochar dosage, soil properties and the presence of different HMs in soil, may also result in varied metal attenuation characteristics</w:t>
      </w:r>
      <w:r w:rsidR="00372700" w:rsidRPr="00216965">
        <w:t xml:space="preserve">. </w:t>
      </w:r>
      <w:r w:rsidRPr="00216965">
        <w:t xml:space="preserve">The varied and contrasting results of biochar studies make it difficult to identify biochars with suitable characteristics for the immobilisation of HMs at contaminated sites that can also improve soil health. </w:t>
      </w:r>
    </w:p>
    <w:p w14:paraId="5B16DE40" w14:textId="77777777" w:rsidR="00372700" w:rsidRPr="00216965" w:rsidRDefault="00632101" w:rsidP="008A33DA">
      <w:pPr>
        <w:spacing w:line="360" w:lineRule="auto"/>
        <w:jc w:val="both"/>
      </w:pPr>
      <w:r w:rsidRPr="00216965">
        <w:t xml:space="preserve">This thesis investigates the mechanistic properties of plant-based biochars that influence the immobilisation of HMs in contaminated soil and the broader impact of biochar addition on soil health in the short- and long-term. Biochar sorption mechanisms were studied in batch sorption tests using synthetic soil pore water as the sorption media. Five plant-based biochars were used. Single and competitive sorption tests were conducted to determine the sorption capacities of these biochars for cadmium (Cd), lead (Pb) and zinc (Zn). A strong correlation was identified between selected biochar properties (pH, </w:t>
      </w:r>
      <w:r w:rsidR="008936CD" w:rsidRPr="00216965">
        <w:t>cation exchange capacity -CEC-</w:t>
      </w:r>
      <w:r w:rsidRPr="00216965">
        <w:t xml:space="preserve"> and </w:t>
      </w:r>
      <w:r w:rsidR="008936CD" w:rsidRPr="00216965">
        <w:t>electric conductivity -EC-</w:t>
      </w:r>
      <w:r w:rsidRPr="00216965">
        <w:t xml:space="preserve">) and HM sorption. </w:t>
      </w:r>
    </w:p>
    <w:p w14:paraId="4E254D11" w14:textId="6397535B" w:rsidR="00372700" w:rsidRPr="00216965" w:rsidRDefault="00632101" w:rsidP="008A33DA">
      <w:pPr>
        <w:spacing w:line="360" w:lineRule="auto"/>
        <w:jc w:val="both"/>
      </w:pPr>
      <w:r w:rsidRPr="00216965">
        <w:t xml:space="preserve">Thereafter, four biochars were selected to assess their potential in alleviating HM toxicity towards plant growth in short-term incubations under controlled conditions. The effect of </w:t>
      </w:r>
      <w:r w:rsidRPr="00216965">
        <w:lastRenderedPageBreak/>
        <w:t xml:space="preserve">biochar on plant performance was evaluated using </w:t>
      </w:r>
      <w:r w:rsidRPr="00216965">
        <w:rPr>
          <w:i/>
        </w:rPr>
        <w:t>Arabidopsis thaliana</w:t>
      </w:r>
      <w:r w:rsidRPr="00216965">
        <w:t xml:space="preserve">, </w:t>
      </w:r>
      <w:r w:rsidRPr="00216965">
        <w:rPr>
          <w:i/>
        </w:rPr>
        <w:t>Lolium perenne</w:t>
      </w:r>
      <w:r w:rsidRPr="00216965">
        <w:t xml:space="preserve"> and </w:t>
      </w:r>
      <w:r w:rsidR="00FB1F3F" w:rsidRPr="00216965">
        <w:rPr>
          <w:i/>
          <w:iCs/>
        </w:rPr>
        <w:t>Sinapsis alba</w:t>
      </w:r>
      <w:r w:rsidRPr="00216965">
        <w:t xml:space="preserve"> plants</w:t>
      </w:r>
      <w:r w:rsidR="00372700" w:rsidRPr="00216965">
        <w:t xml:space="preserve">. </w:t>
      </w:r>
      <w:r w:rsidRPr="00216965">
        <w:t xml:space="preserve">The results demonstrated that biochars applied at 1% </w:t>
      </w:r>
      <w:r w:rsidR="00FB1F3F" w:rsidRPr="00216965">
        <w:t>(</w:t>
      </w:r>
      <w:r w:rsidR="00FB1F3F" w:rsidRPr="00216965">
        <w:rPr>
          <w:i/>
          <w:iCs/>
        </w:rPr>
        <w:t>w/w</w:t>
      </w:r>
      <w:r w:rsidR="00FB1F3F" w:rsidRPr="00216965">
        <w:t xml:space="preserve">) </w:t>
      </w:r>
      <w:r w:rsidRPr="00216965">
        <w:t>reduced bioavail</w:t>
      </w:r>
      <w:r w:rsidR="00E6184C" w:rsidRPr="00216965">
        <w:t>able Pb to 18-69 %, Zn to 60-80% and Cd to 33-43 % of the control. Nonetheless,</w:t>
      </w:r>
      <w:r w:rsidRPr="00216965">
        <w:t xml:space="preserve"> plants still accumulated HMs in above-ground tissue. Higher biochar application rates of 3% </w:t>
      </w:r>
      <w:r w:rsidR="00FB1F3F" w:rsidRPr="00216965">
        <w:t>(</w:t>
      </w:r>
      <w:r w:rsidR="00FB1F3F" w:rsidRPr="00216965">
        <w:rPr>
          <w:i/>
          <w:iCs/>
        </w:rPr>
        <w:t>w/w</w:t>
      </w:r>
      <w:r w:rsidR="00FB1F3F" w:rsidRPr="00216965">
        <w:t xml:space="preserve">) </w:t>
      </w:r>
      <w:r w:rsidRPr="00216965">
        <w:t xml:space="preserve">and 5 % </w:t>
      </w:r>
      <w:r w:rsidR="00FB1F3F" w:rsidRPr="00216965">
        <w:t>(</w:t>
      </w:r>
      <w:r w:rsidR="00FB1F3F" w:rsidRPr="00216965">
        <w:rPr>
          <w:i/>
          <w:iCs/>
        </w:rPr>
        <w:t>w/w</w:t>
      </w:r>
      <w:r w:rsidR="00FB1F3F" w:rsidRPr="00216965">
        <w:t xml:space="preserve">) </w:t>
      </w:r>
      <w:r w:rsidRPr="00216965">
        <w:t>caused inhibition of plant growth, depending on the plant species. This negative effect was mainly associated with increased salinity due to soluble Na and K released from biochars with high mineral content, which may have induced osmotic stress</w:t>
      </w:r>
      <w:r w:rsidR="000076BB" w:rsidRPr="00216965">
        <w:t xml:space="preserve"> - water deficit in plants caused by a high salt content in the soil</w:t>
      </w:r>
      <w:r w:rsidRPr="00216965">
        <w:t xml:space="preserve">.  </w:t>
      </w:r>
    </w:p>
    <w:p w14:paraId="3109B232" w14:textId="2D18CBAA" w:rsidR="00632101" w:rsidRPr="00216965" w:rsidRDefault="00632101" w:rsidP="008A33DA">
      <w:pPr>
        <w:spacing w:line="360" w:lineRule="auto"/>
        <w:jc w:val="both"/>
      </w:pPr>
      <w:r w:rsidRPr="00216965">
        <w:t xml:space="preserve">Finally, the ability of biochar </w:t>
      </w:r>
      <w:r w:rsidR="0063069F" w:rsidRPr="00216965">
        <w:t xml:space="preserve">or compost as single amendments or the </w:t>
      </w:r>
      <w:r w:rsidRPr="00216965">
        <w:t>combination</w:t>
      </w:r>
      <w:r w:rsidR="0063069F" w:rsidRPr="00216965">
        <w:t xml:space="preserve"> of both, </w:t>
      </w:r>
      <w:r w:rsidRPr="00216965">
        <w:t xml:space="preserve">to reduce HM toxicity was studied in a long-term outdoor pot experiment using soil highly contaminated with Pb and Zn from former mining activity. Plant performance was assessed using </w:t>
      </w:r>
      <w:r w:rsidRPr="00216965">
        <w:rPr>
          <w:i/>
        </w:rPr>
        <w:t>Lolium perenne</w:t>
      </w:r>
      <w:r w:rsidRPr="00216965">
        <w:t xml:space="preserve"> and microbial community composition assessed using high-throughput DNA sequencing. The results demonstrated that biochar and compost consistently reduced bioavailable concentrations of HMs and limited plant uptake of HMs over an 18 month period. Biochar was shown to have higher stability during aging and to be a more efficient adsorbent (based on mg of HM immobilised per kg of amendment) than compost. However, compost had the greatest impact on microbial community composition and abundance. </w:t>
      </w:r>
    </w:p>
    <w:p w14:paraId="2682E944" w14:textId="7300AC42" w:rsidR="00372700" w:rsidRPr="00216965" w:rsidRDefault="00632101" w:rsidP="008A33DA">
      <w:pPr>
        <w:spacing w:line="360" w:lineRule="auto"/>
        <w:jc w:val="both"/>
      </w:pPr>
      <w:r w:rsidRPr="00216965">
        <w:t xml:space="preserve">Overall, this research supports the use of organic amendments, particularly biochar, in the restoration of HM-contaminated soil. Biochar application can provide favourable results, especially when applied to highly contaminated soil or soil contaminated with multiple HMs. In this situation the benefits of biochar, outweigh possible unfavourable outcomes to plant growth, such as osmotic stress. However, although these organic amendments can reduce the bioavailability of HMs in restored soil, plants can still accumulate HMs which may limit land use. </w:t>
      </w:r>
      <w:r w:rsidR="00372700" w:rsidRPr="00216965">
        <w:t>Besides, land-use change constantly. Therefore, a “solution” to contamination that is prescribed in one current context may not provide the expected conditions for all future demands. Hence, the results of biochar application as an additive to restore soils contaminated with HMs are encouraging, but must be taken with caution because some aspects concerning the interaction with plants and long-term fate of HMs immobilised by biochar remain unclear.</w:t>
      </w:r>
    </w:p>
    <w:p w14:paraId="6FE7EB56" w14:textId="4EEB62E2" w:rsidR="00F2707B" w:rsidRPr="00216965" w:rsidRDefault="00F2707B" w:rsidP="008A33DA">
      <w:pPr>
        <w:pStyle w:val="Heading1"/>
        <w:numPr>
          <w:ilvl w:val="0"/>
          <w:numId w:val="0"/>
        </w:numPr>
        <w:rPr>
          <w:sz w:val="44"/>
          <w:szCs w:val="44"/>
        </w:rPr>
      </w:pPr>
      <w:bookmarkStart w:id="1" w:name="_Toc86504611"/>
      <w:r w:rsidRPr="00216965">
        <w:rPr>
          <w:sz w:val="44"/>
          <w:szCs w:val="44"/>
        </w:rPr>
        <w:lastRenderedPageBreak/>
        <w:t>Author’s Declaration</w:t>
      </w:r>
      <w:bookmarkEnd w:id="1"/>
    </w:p>
    <w:p w14:paraId="719EC553" w14:textId="1DEBAF00" w:rsidR="00F2707B" w:rsidRPr="00216965" w:rsidRDefault="00F2707B" w:rsidP="008A33DA">
      <w:pPr>
        <w:spacing w:line="360" w:lineRule="auto"/>
        <w:jc w:val="both"/>
      </w:pPr>
      <w:r w:rsidRPr="00216965">
        <w:t>I, the author, confirm that the Thesis is my own work. I am aware of the University’s Guidance on the Use of Unfair Means (www.sheffield.ac.uk/ssid/unfair-means). This work has not been previously been presented for an award at this, or any other, university.</w:t>
      </w:r>
    </w:p>
    <w:p w14:paraId="1BF05D04" w14:textId="77777777" w:rsidR="00AD354A" w:rsidRPr="00216965" w:rsidRDefault="00AD354A" w:rsidP="008A33DA">
      <w:pPr>
        <w:spacing w:line="360" w:lineRule="auto"/>
      </w:pPr>
    </w:p>
    <w:p w14:paraId="6A9ABD0C" w14:textId="6F2D28A9" w:rsidR="00F2707B" w:rsidRPr="00216965" w:rsidRDefault="00F2707B" w:rsidP="008A33DA">
      <w:pPr>
        <w:spacing w:line="360" w:lineRule="auto"/>
        <w:rPr>
          <w:rFonts w:asciiTheme="minorHAnsi" w:hAnsiTheme="minorHAnsi"/>
          <w:lang w:val="es-419"/>
        </w:rPr>
      </w:pPr>
      <w:r w:rsidRPr="00216965">
        <w:rPr>
          <w:lang w:val="es-419"/>
        </w:rPr>
        <w:t>Rosa Isabel Soria Pe</w:t>
      </w:r>
      <w:r w:rsidRPr="00216965">
        <w:rPr>
          <w:rFonts w:asciiTheme="minorHAnsi" w:hAnsiTheme="minorHAnsi"/>
          <w:lang w:val="es-419"/>
        </w:rPr>
        <w:t>ñafiel</w:t>
      </w:r>
    </w:p>
    <w:p w14:paraId="327DBCCD" w14:textId="1CC0E369" w:rsidR="00AD354A" w:rsidRPr="00216965" w:rsidRDefault="00AD354A" w:rsidP="008A33DA">
      <w:pPr>
        <w:spacing w:line="360" w:lineRule="auto"/>
        <w:jc w:val="center"/>
        <w:rPr>
          <w:rFonts w:asciiTheme="minorHAnsi" w:hAnsiTheme="minorHAnsi"/>
          <w:lang w:val="es-419"/>
        </w:rPr>
      </w:pPr>
    </w:p>
    <w:p w14:paraId="2EE0EBF1" w14:textId="2A7E464C" w:rsidR="00AD354A" w:rsidRPr="00216965" w:rsidRDefault="00AD354A" w:rsidP="008A33DA">
      <w:pPr>
        <w:spacing w:line="360" w:lineRule="auto"/>
        <w:rPr>
          <w:lang w:val="es-419"/>
        </w:rPr>
      </w:pPr>
      <w:r w:rsidRPr="00216965">
        <w:rPr>
          <w:lang w:val="es-419"/>
        </w:rPr>
        <w:t>October 2021</w:t>
      </w:r>
    </w:p>
    <w:p w14:paraId="1054DEF7" w14:textId="5EAC50FC" w:rsidR="00F2707B" w:rsidRPr="00216965" w:rsidRDefault="00F2707B" w:rsidP="008A33DA">
      <w:pPr>
        <w:rPr>
          <w:rFonts w:cs="Times New Roman"/>
          <w:b/>
          <w:bCs/>
          <w:sz w:val="36"/>
          <w:szCs w:val="36"/>
          <w:lang w:val="es-419"/>
        </w:rPr>
      </w:pPr>
    </w:p>
    <w:p w14:paraId="13ABC0CC" w14:textId="3F0FFF24" w:rsidR="00F2707B" w:rsidRPr="00216965" w:rsidRDefault="00F2707B" w:rsidP="008A33DA">
      <w:pPr>
        <w:rPr>
          <w:rFonts w:cs="Times New Roman"/>
          <w:b/>
          <w:bCs/>
          <w:sz w:val="36"/>
          <w:szCs w:val="36"/>
          <w:lang w:val="es-419"/>
        </w:rPr>
      </w:pPr>
    </w:p>
    <w:p w14:paraId="63BBE849" w14:textId="3ACB1B0D" w:rsidR="00F2707B" w:rsidRPr="00216965" w:rsidRDefault="00F2707B" w:rsidP="008A33DA">
      <w:pPr>
        <w:rPr>
          <w:rFonts w:cs="Times New Roman"/>
          <w:b/>
          <w:bCs/>
          <w:sz w:val="36"/>
          <w:szCs w:val="36"/>
          <w:lang w:val="es-419"/>
        </w:rPr>
      </w:pPr>
    </w:p>
    <w:p w14:paraId="1CD99618" w14:textId="625FDE6C" w:rsidR="00F2707B" w:rsidRPr="00216965" w:rsidRDefault="00F2707B" w:rsidP="008A33DA">
      <w:pPr>
        <w:rPr>
          <w:rFonts w:cs="Times New Roman"/>
          <w:b/>
          <w:bCs/>
          <w:sz w:val="36"/>
          <w:szCs w:val="36"/>
          <w:lang w:val="es-419"/>
        </w:rPr>
      </w:pPr>
    </w:p>
    <w:p w14:paraId="12E4CEEC" w14:textId="6EE2E69C" w:rsidR="00F2707B" w:rsidRPr="00216965" w:rsidRDefault="00F2707B" w:rsidP="008A33DA">
      <w:pPr>
        <w:rPr>
          <w:rFonts w:cs="Times New Roman"/>
          <w:b/>
          <w:bCs/>
          <w:sz w:val="36"/>
          <w:szCs w:val="36"/>
          <w:lang w:val="es-419"/>
        </w:rPr>
      </w:pPr>
    </w:p>
    <w:p w14:paraId="11B5D554" w14:textId="07C5A54D" w:rsidR="00F2707B" w:rsidRPr="00216965" w:rsidRDefault="00F2707B" w:rsidP="008A33DA">
      <w:pPr>
        <w:rPr>
          <w:rFonts w:cs="Times New Roman"/>
          <w:b/>
          <w:bCs/>
          <w:sz w:val="36"/>
          <w:szCs w:val="36"/>
          <w:lang w:val="es-419"/>
        </w:rPr>
      </w:pPr>
    </w:p>
    <w:p w14:paraId="44632DC6" w14:textId="2BDFE49D" w:rsidR="00F2707B" w:rsidRPr="00216965" w:rsidRDefault="00F2707B" w:rsidP="008A33DA">
      <w:pPr>
        <w:rPr>
          <w:rFonts w:cs="Times New Roman"/>
          <w:b/>
          <w:bCs/>
          <w:sz w:val="36"/>
          <w:szCs w:val="36"/>
          <w:lang w:val="es-419"/>
        </w:rPr>
      </w:pPr>
    </w:p>
    <w:p w14:paraId="47523327" w14:textId="37812A06" w:rsidR="00F2707B" w:rsidRPr="00216965" w:rsidRDefault="00F2707B" w:rsidP="008A33DA">
      <w:pPr>
        <w:rPr>
          <w:rFonts w:cs="Times New Roman"/>
          <w:b/>
          <w:bCs/>
          <w:sz w:val="36"/>
          <w:szCs w:val="36"/>
          <w:lang w:val="es-419"/>
        </w:rPr>
      </w:pPr>
    </w:p>
    <w:p w14:paraId="7135ED43" w14:textId="46175451" w:rsidR="00F2707B" w:rsidRPr="00216965" w:rsidRDefault="00F2707B" w:rsidP="008A33DA">
      <w:pPr>
        <w:rPr>
          <w:rFonts w:cs="Times New Roman"/>
          <w:b/>
          <w:bCs/>
          <w:sz w:val="36"/>
          <w:szCs w:val="36"/>
          <w:lang w:val="es-419"/>
        </w:rPr>
      </w:pPr>
    </w:p>
    <w:p w14:paraId="080A84CA" w14:textId="1694F94D" w:rsidR="00F2707B" w:rsidRPr="00216965" w:rsidRDefault="00F2707B" w:rsidP="008A33DA">
      <w:pPr>
        <w:rPr>
          <w:rFonts w:cs="Times New Roman"/>
          <w:b/>
          <w:bCs/>
          <w:sz w:val="36"/>
          <w:szCs w:val="36"/>
          <w:lang w:val="es-419"/>
        </w:rPr>
      </w:pPr>
    </w:p>
    <w:p w14:paraId="6C2CB020" w14:textId="096D9B76" w:rsidR="00F2707B" w:rsidRPr="00216965" w:rsidRDefault="00F2707B" w:rsidP="008A33DA">
      <w:pPr>
        <w:rPr>
          <w:rFonts w:cs="Times New Roman"/>
          <w:b/>
          <w:bCs/>
          <w:sz w:val="36"/>
          <w:szCs w:val="36"/>
          <w:lang w:val="es-419"/>
        </w:rPr>
      </w:pPr>
    </w:p>
    <w:p w14:paraId="4CF1BDA1" w14:textId="7104B96E" w:rsidR="00F2707B" w:rsidRPr="00216965" w:rsidRDefault="00F2707B" w:rsidP="008A33DA">
      <w:pPr>
        <w:rPr>
          <w:rFonts w:cs="Times New Roman"/>
          <w:b/>
          <w:bCs/>
          <w:sz w:val="36"/>
          <w:szCs w:val="36"/>
          <w:lang w:val="es-419"/>
        </w:rPr>
      </w:pPr>
    </w:p>
    <w:p w14:paraId="4E3D2623" w14:textId="77777777" w:rsidR="0072628D" w:rsidRPr="00216965" w:rsidRDefault="0072628D" w:rsidP="008A33DA">
      <w:pPr>
        <w:autoSpaceDE w:val="0"/>
        <w:autoSpaceDN w:val="0"/>
        <w:adjustRightInd w:val="0"/>
        <w:spacing w:after="0" w:line="360" w:lineRule="auto"/>
        <w:jc w:val="both"/>
        <w:rPr>
          <w:rFonts w:cs="Times New Roman"/>
          <w:lang w:val="es-419"/>
        </w:rPr>
      </w:pPr>
    </w:p>
    <w:p w14:paraId="3AE9CE1B" w14:textId="77777777" w:rsidR="00D02731" w:rsidRPr="00216965" w:rsidRDefault="00D02731" w:rsidP="008A33DA">
      <w:pPr>
        <w:pStyle w:val="Heading1"/>
        <w:numPr>
          <w:ilvl w:val="0"/>
          <w:numId w:val="0"/>
        </w:numPr>
        <w:rPr>
          <w:sz w:val="44"/>
          <w:szCs w:val="44"/>
        </w:rPr>
      </w:pPr>
      <w:bookmarkStart w:id="2" w:name="_Toc86504612"/>
      <w:r w:rsidRPr="00216965">
        <w:rPr>
          <w:sz w:val="44"/>
          <w:szCs w:val="44"/>
        </w:rPr>
        <w:lastRenderedPageBreak/>
        <w:t>Acknowledgements</w:t>
      </w:r>
      <w:bookmarkEnd w:id="2"/>
    </w:p>
    <w:p w14:paraId="3694B6B4" w14:textId="77777777" w:rsidR="00D02731" w:rsidRPr="00216965" w:rsidRDefault="00D02731" w:rsidP="008A33DA">
      <w:pPr>
        <w:autoSpaceDE w:val="0"/>
        <w:autoSpaceDN w:val="0"/>
        <w:adjustRightInd w:val="0"/>
        <w:spacing w:after="0" w:line="360" w:lineRule="auto"/>
        <w:jc w:val="both"/>
        <w:rPr>
          <w:rFonts w:cs="Times New Roman"/>
        </w:rPr>
      </w:pPr>
      <w:r w:rsidRPr="00216965">
        <w:rPr>
          <w:rFonts w:cs="Times New Roman"/>
        </w:rPr>
        <w:t>The completion of this work could not have been possible without the support of many great people. I would like to express my sincere gratitude to:</w:t>
      </w:r>
    </w:p>
    <w:p w14:paraId="0231E984" w14:textId="77777777" w:rsidR="00D02731" w:rsidRPr="00216965" w:rsidRDefault="00D02731" w:rsidP="008A33DA">
      <w:pPr>
        <w:autoSpaceDE w:val="0"/>
        <w:autoSpaceDN w:val="0"/>
        <w:adjustRightInd w:val="0"/>
        <w:spacing w:after="0" w:line="360" w:lineRule="auto"/>
        <w:jc w:val="both"/>
        <w:rPr>
          <w:rFonts w:cs="Times New Roman"/>
        </w:rPr>
      </w:pPr>
    </w:p>
    <w:p w14:paraId="4FD8236D" w14:textId="77777777" w:rsidR="00D02731" w:rsidRPr="00216965" w:rsidRDefault="00D02731"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My supervisors Prof. Steven F. Thornton and Dr. Stephen A. Rolfe for their constant guidance, support and encouragement during my PhD., and for giving me the opportunity to be part of this amazing experience that have changed my life;</w:t>
      </w:r>
    </w:p>
    <w:p w14:paraId="31D3E877" w14:textId="6AE04DF2" w:rsidR="00D02731" w:rsidRPr="00216965" w:rsidRDefault="00FD5FFA"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 xml:space="preserve">The </w:t>
      </w:r>
      <w:r w:rsidR="00D02731" w:rsidRPr="00216965">
        <w:rPr>
          <w:rFonts w:cs="Times New Roman"/>
        </w:rPr>
        <w:t>INSPIRATION</w:t>
      </w:r>
      <w:r w:rsidRPr="00216965">
        <w:rPr>
          <w:rFonts w:cs="Times New Roman"/>
        </w:rPr>
        <w:t xml:space="preserve">-ITN </w:t>
      </w:r>
      <w:r w:rsidR="00D02731" w:rsidRPr="00216965">
        <w:rPr>
          <w:rFonts w:cs="Times New Roman"/>
        </w:rPr>
        <w:t xml:space="preserve">network, the supervisory and management team especially to </w:t>
      </w:r>
      <w:r w:rsidRPr="00216965">
        <w:rPr>
          <w:rFonts w:cs="Times New Roman"/>
        </w:rPr>
        <w:t xml:space="preserve">Dr. </w:t>
      </w:r>
      <w:r w:rsidR="00D02731" w:rsidRPr="00216965">
        <w:rPr>
          <w:rFonts w:cs="Times New Roman"/>
        </w:rPr>
        <w:t>Gabriella Kakonyi for making all the activities of this project possible and fellows Bastian Saputra, Gisela Quaglia, Golnaz Ezzati</w:t>
      </w:r>
      <w:r w:rsidR="00882B5E" w:rsidRPr="00216965">
        <w:rPr>
          <w:rFonts w:cs="Times New Roman"/>
        </w:rPr>
        <w:t>, Valeria Hernández</w:t>
      </w:r>
      <w:r w:rsidR="00D02731" w:rsidRPr="00216965">
        <w:rPr>
          <w:rFonts w:cs="Times New Roman"/>
        </w:rPr>
        <w:t xml:space="preserve"> and Collins Amoah-Antwi for experiences shared and friendship;</w:t>
      </w:r>
    </w:p>
    <w:p w14:paraId="2989DBDF" w14:textId="77777777" w:rsidR="00D02731" w:rsidRPr="00216965" w:rsidRDefault="00D02731"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The Groundwater Protection and Restoration Group (GPRG) and C45 Group from Animal and Plant Science Department for their advice for conducting experimental work;</w:t>
      </w:r>
    </w:p>
    <w:p w14:paraId="28C4CE28" w14:textId="77777777" w:rsidR="00D02731" w:rsidRPr="00216965" w:rsidRDefault="00D02731"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The technical staff: Andrew Fairburn, Linden Drezet, Mark Foster and Maggi Killion for providing assistance in the lab;</w:t>
      </w:r>
    </w:p>
    <w:p w14:paraId="2125ADB3" w14:textId="77777777" w:rsidR="00D02731" w:rsidRPr="00216965" w:rsidRDefault="00D02731"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ISO group at BOKU, especially to Prof. Andrea Watzinger for the supervision during my secondment;</w:t>
      </w:r>
    </w:p>
    <w:p w14:paraId="3D856559" w14:textId="77777777" w:rsidR="00D02731" w:rsidRPr="00216965" w:rsidRDefault="00D02731"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My caring parents Ketty and Francisco and my brother Rafael for the encouragement and endless love that gave me the strength to start this journey thousands of miles away from home;</w:t>
      </w:r>
    </w:p>
    <w:p w14:paraId="418DDF73" w14:textId="5BDEC61F" w:rsidR="00D02731" w:rsidRPr="00216965" w:rsidRDefault="00882B5E" w:rsidP="008A33DA">
      <w:pPr>
        <w:pStyle w:val="ListParagraph"/>
        <w:numPr>
          <w:ilvl w:val="0"/>
          <w:numId w:val="1"/>
        </w:numPr>
        <w:autoSpaceDE w:val="0"/>
        <w:autoSpaceDN w:val="0"/>
        <w:adjustRightInd w:val="0"/>
        <w:spacing w:after="0" w:line="360" w:lineRule="auto"/>
        <w:jc w:val="both"/>
        <w:rPr>
          <w:rFonts w:cs="Times New Roman"/>
        </w:rPr>
      </w:pPr>
      <w:r w:rsidRPr="00216965">
        <w:rPr>
          <w:rFonts w:cs="Times New Roman"/>
        </w:rPr>
        <w:t xml:space="preserve">My husband </w:t>
      </w:r>
      <w:r w:rsidR="00D02731" w:rsidRPr="00216965">
        <w:rPr>
          <w:rFonts w:cs="Times New Roman"/>
        </w:rPr>
        <w:t>Edgardo for being with me during the ups and downs, for the unconditional support, love, patience and above all for living this journey with me.</w:t>
      </w:r>
    </w:p>
    <w:p w14:paraId="6203C0EC" w14:textId="031C6A14" w:rsidR="007F01F1" w:rsidRPr="00216965" w:rsidRDefault="007F01F1" w:rsidP="008A33DA">
      <w:pPr>
        <w:pStyle w:val="ListParagraph"/>
        <w:autoSpaceDE w:val="0"/>
        <w:autoSpaceDN w:val="0"/>
        <w:adjustRightInd w:val="0"/>
        <w:spacing w:after="0" w:line="360" w:lineRule="auto"/>
        <w:jc w:val="both"/>
        <w:rPr>
          <w:rFonts w:cs="Times New Roman"/>
        </w:rPr>
      </w:pPr>
    </w:p>
    <w:p w14:paraId="741E37BC" w14:textId="464D2986" w:rsidR="003A3C38" w:rsidRPr="00216965" w:rsidRDefault="003A3C38" w:rsidP="008A33DA">
      <w:pPr>
        <w:pStyle w:val="ListParagraph"/>
        <w:autoSpaceDE w:val="0"/>
        <w:autoSpaceDN w:val="0"/>
        <w:adjustRightInd w:val="0"/>
        <w:spacing w:after="0" w:line="360" w:lineRule="auto"/>
        <w:jc w:val="both"/>
        <w:rPr>
          <w:rFonts w:cs="Times New Roman"/>
        </w:rPr>
      </w:pPr>
    </w:p>
    <w:p w14:paraId="193EDEC3" w14:textId="1BF49398" w:rsidR="003A3C38" w:rsidRPr="00216965" w:rsidRDefault="003A3C38" w:rsidP="008A33DA">
      <w:pPr>
        <w:pStyle w:val="ListParagraph"/>
        <w:autoSpaceDE w:val="0"/>
        <w:autoSpaceDN w:val="0"/>
        <w:adjustRightInd w:val="0"/>
        <w:spacing w:after="0" w:line="360" w:lineRule="auto"/>
        <w:jc w:val="both"/>
        <w:rPr>
          <w:rFonts w:cs="Times New Roman"/>
        </w:rPr>
      </w:pPr>
    </w:p>
    <w:p w14:paraId="10CEDCE7" w14:textId="6AFD439C" w:rsidR="003A3C38" w:rsidRPr="00216965" w:rsidRDefault="003A3C38" w:rsidP="008A33DA">
      <w:pPr>
        <w:pStyle w:val="ListParagraph"/>
        <w:autoSpaceDE w:val="0"/>
        <w:autoSpaceDN w:val="0"/>
        <w:adjustRightInd w:val="0"/>
        <w:spacing w:after="0" w:line="360" w:lineRule="auto"/>
        <w:jc w:val="both"/>
        <w:rPr>
          <w:rFonts w:cs="Times New Roman"/>
        </w:rPr>
      </w:pPr>
    </w:p>
    <w:p w14:paraId="1117B2A2" w14:textId="552CA72C" w:rsidR="003A3C38" w:rsidRPr="00216965" w:rsidRDefault="003A3C38" w:rsidP="008A33DA">
      <w:pPr>
        <w:pStyle w:val="ListParagraph"/>
        <w:autoSpaceDE w:val="0"/>
        <w:autoSpaceDN w:val="0"/>
        <w:adjustRightInd w:val="0"/>
        <w:spacing w:after="0" w:line="360" w:lineRule="auto"/>
        <w:jc w:val="both"/>
        <w:rPr>
          <w:rFonts w:cs="Times New Roman"/>
        </w:rPr>
      </w:pPr>
    </w:p>
    <w:p w14:paraId="2D163746" w14:textId="48534EAC" w:rsidR="003A3C38" w:rsidRPr="00216965" w:rsidRDefault="003A3C38" w:rsidP="008A33DA">
      <w:pPr>
        <w:pStyle w:val="ListParagraph"/>
        <w:autoSpaceDE w:val="0"/>
        <w:autoSpaceDN w:val="0"/>
        <w:adjustRightInd w:val="0"/>
        <w:spacing w:after="0" w:line="360" w:lineRule="auto"/>
        <w:jc w:val="both"/>
        <w:rPr>
          <w:rFonts w:cs="Times New Roman"/>
        </w:rPr>
      </w:pPr>
    </w:p>
    <w:p w14:paraId="3EFDF8F2" w14:textId="30443B4D" w:rsidR="003A3C38" w:rsidRPr="00216965" w:rsidRDefault="003A3C38" w:rsidP="008A33DA">
      <w:pPr>
        <w:pStyle w:val="ListParagraph"/>
        <w:autoSpaceDE w:val="0"/>
        <w:autoSpaceDN w:val="0"/>
        <w:adjustRightInd w:val="0"/>
        <w:spacing w:after="0" w:line="360" w:lineRule="auto"/>
        <w:jc w:val="both"/>
        <w:rPr>
          <w:rFonts w:cs="Times New Roman"/>
        </w:rPr>
      </w:pPr>
    </w:p>
    <w:p w14:paraId="44A3B537" w14:textId="576BDA51" w:rsidR="003A3C38" w:rsidRPr="00216965" w:rsidRDefault="003A3C38" w:rsidP="008A33DA">
      <w:pPr>
        <w:pStyle w:val="ListParagraph"/>
        <w:autoSpaceDE w:val="0"/>
        <w:autoSpaceDN w:val="0"/>
        <w:adjustRightInd w:val="0"/>
        <w:spacing w:after="0" w:line="360" w:lineRule="auto"/>
        <w:jc w:val="both"/>
        <w:rPr>
          <w:rFonts w:cs="Times New Roman"/>
        </w:rPr>
      </w:pPr>
    </w:p>
    <w:p w14:paraId="5FA33F5F" w14:textId="14C31993" w:rsidR="003A3C38" w:rsidRPr="00216965" w:rsidRDefault="003A3C38" w:rsidP="008A33DA">
      <w:pPr>
        <w:pStyle w:val="ListParagraph"/>
        <w:autoSpaceDE w:val="0"/>
        <w:autoSpaceDN w:val="0"/>
        <w:adjustRightInd w:val="0"/>
        <w:spacing w:after="0" w:line="360" w:lineRule="auto"/>
        <w:jc w:val="both"/>
        <w:rPr>
          <w:rFonts w:cs="Times New Roman"/>
        </w:rPr>
      </w:pPr>
    </w:p>
    <w:p w14:paraId="1BB8CBC2" w14:textId="1B6DA387" w:rsidR="003A3C38" w:rsidRPr="00216965" w:rsidRDefault="003A3C38" w:rsidP="008A33DA">
      <w:pPr>
        <w:pStyle w:val="ListParagraph"/>
        <w:autoSpaceDE w:val="0"/>
        <w:autoSpaceDN w:val="0"/>
        <w:adjustRightInd w:val="0"/>
        <w:spacing w:after="0" w:line="360" w:lineRule="auto"/>
        <w:jc w:val="both"/>
        <w:rPr>
          <w:rFonts w:cs="Times New Roman"/>
        </w:rPr>
      </w:pPr>
    </w:p>
    <w:p w14:paraId="5827218C" w14:textId="703ED7D7" w:rsidR="003A3C38" w:rsidRPr="00216965" w:rsidRDefault="003A3C38" w:rsidP="008A33DA">
      <w:pPr>
        <w:pStyle w:val="ListParagraph"/>
        <w:autoSpaceDE w:val="0"/>
        <w:autoSpaceDN w:val="0"/>
        <w:adjustRightInd w:val="0"/>
        <w:spacing w:after="0" w:line="360" w:lineRule="auto"/>
        <w:jc w:val="both"/>
        <w:rPr>
          <w:rFonts w:cs="Times New Roman"/>
        </w:rPr>
      </w:pPr>
    </w:p>
    <w:p w14:paraId="35EB4718" w14:textId="68953701" w:rsidR="003A3C38" w:rsidRPr="00216965" w:rsidRDefault="003A3C38" w:rsidP="008A33DA">
      <w:pPr>
        <w:pStyle w:val="ListParagraph"/>
        <w:autoSpaceDE w:val="0"/>
        <w:autoSpaceDN w:val="0"/>
        <w:adjustRightInd w:val="0"/>
        <w:spacing w:after="0" w:line="360" w:lineRule="auto"/>
        <w:jc w:val="both"/>
        <w:rPr>
          <w:rFonts w:cs="Times New Roman"/>
        </w:rPr>
      </w:pPr>
    </w:p>
    <w:p w14:paraId="3F6C1667" w14:textId="77777777" w:rsidR="003A3C38" w:rsidRPr="00216965" w:rsidRDefault="003A3C38" w:rsidP="008A33DA">
      <w:pPr>
        <w:pStyle w:val="ListParagraph"/>
        <w:autoSpaceDE w:val="0"/>
        <w:autoSpaceDN w:val="0"/>
        <w:adjustRightInd w:val="0"/>
        <w:spacing w:after="0" w:line="360" w:lineRule="auto"/>
        <w:jc w:val="both"/>
        <w:rPr>
          <w:rFonts w:cs="Times New Roman"/>
        </w:rPr>
      </w:pPr>
    </w:p>
    <w:p w14:paraId="6435DCB9" w14:textId="01618319" w:rsidR="003A3C38" w:rsidRPr="00216965" w:rsidRDefault="003A3C38" w:rsidP="008A33DA">
      <w:pPr>
        <w:pStyle w:val="ListParagraph"/>
        <w:autoSpaceDE w:val="0"/>
        <w:autoSpaceDN w:val="0"/>
        <w:adjustRightInd w:val="0"/>
        <w:spacing w:after="0" w:line="360" w:lineRule="auto"/>
        <w:jc w:val="both"/>
        <w:rPr>
          <w:rFonts w:cs="Times New Roman"/>
        </w:rPr>
      </w:pPr>
    </w:p>
    <w:p w14:paraId="7B5D30F8" w14:textId="77777777" w:rsidR="003A3C38" w:rsidRPr="00216965" w:rsidRDefault="003A3C38" w:rsidP="008A33DA">
      <w:pPr>
        <w:pStyle w:val="ListParagraph"/>
        <w:autoSpaceDE w:val="0"/>
        <w:autoSpaceDN w:val="0"/>
        <w:adjustRightInd w:val="0"/>
        <w:spacing w:after="0" w:line="360" w:lineRule="auto"/>
        <w:jc w:val="both"/>
        <w:rPr>
          <w:rFonts w:cs="Times New Roman"/>
        </w:rPr>
      </w:pPr>
    </w:p>
    <w:p w14:paraId="412CA3D0" w14:textId="77777777" w:rsidR="003A3C38" w:rsidRPr="00216965" w:rsidRDefault="003A3C38" w:rsidP="008A33DA">
      <w:pPr>
        <w:autoSpaceDE w:val="0"/>
        <w:autoSpaceDN w:val="0"/>
        <w:adjustRightInd w:val="0"/>
        <w:spacing w:after="0" w:line="360" w:lineRule="auto"/>
        <w:ind w:left="359"/>
        <w:jc w:val="both"/>
        <w:rPr>
          <w:rFonts w:cs="Times New Roman"/>
        </w:rPr>
      </w:pPr>
      <w:r w:rsidRPr="00216965">
        <w:rPr>
          <w:rFonts w:cs="Times New Roman"/>
        </w:rPr>
        <w:t>This work was supported by the Marie Skłodowska-Curie Innovative Training Network INSPIRATION funded by the European Union's Horizon 2020 research and innovation programme (Grant agreement no. 675120).</w:t>
      </w:r>
    </w:p>
    <w:p w14:paraId="14EEFA0D" w14:textId="2EFB7F65" w:rsidR="003A3C38" w:rsidRPr="00216965" w:rsidRDefault="003A3C38" w:rsidP="008A33DA">
      <w:pPr>
        <w:pStyle w:val="ListParagraph"/>
        <w:autoSpaceDE w:val="0"/>
        <w:autoSpaceDN w:val="0"/>
        <w:adjustRightInd w:val="0"/>
        <w:spacing w:after="0" w:line="360" w:lineRule="auto"/>
        <w:jc w:val="both"/>
        <w:rPr>
          <w:rFonts w:cs="Times New Roman"/>
        </w:rPr>
      </w:pPr>
    </w:p>
    <w:p w14:paraId="01530D4A" w14:textId="6A318591" w:rsidR="003A3C38" w:rsidRPr="00216965" w:rsidRDefault="003A3C38" w:rsidP="008A33DA">
      <w:pPr>
        <w:pStyle w:val="ListParagraph"/>
        <w:autoSpaceDE w:val="0"/>
        <w:autoSpaceDN w:val="0"/>
        <w:adjustRightInd w:val="0"/>
        <w:spacing w:after="0" w:line="360" w:lineRule="auto"/>
        <w:jc w:val="both"/>
        <w:rPr>
          <w:rFonts w:cs="Times New Roman"/>
        </w:rPr>
      </w:pPr>
    </w:p>
    <w:p w14:paraId="08DDFE49" w14:textId="4770DB62" w:rsidR="003A3C38" w:rsidRPr="00216965" w:rsidRDefault="003A3C38" w:rsidP="008A33DA">
      <w:pPr>
        <w:pStyle w:val="ListParagraph"/>
        <w:autoSpaceDE w:val="0"/>
        <w:autoSpaceDN w:val="0"/>
        <w:adjustRightInd w:val="0"/>
        <w:spacing w:after="0" w:line="360" w:lineRule="auto"/>
        <w:jc w:val="both"/>
        <w:rPr>
          <w:rFonts w:cs="Times New Roman"/>
        </w:rPr>
      </w:pPr>
    </w:p>
    <w:p w14:paraId="4F9D2687" w14:textId="5ADBE068" w:rsidR="003A3C38" w:rsidRPr="00216965" w:rsidRDefault="003A3C38" w:rsidP="008A33DA">
      <w:pPr>
        <w:pStyle w:val="ListParagraph"/>
        <w:autoSpaceDE w:val="0"/>
        <w:autoSpaceDN w:val="0"/>
        <w:adjustRightInd w:val="0"/>
        <w:spacing w:after="0" w:line="360" w:lineRule="auto"/>
        <w:jc w:val="both"/>
        <w:rPr>
          <w:rFonts w:cs="Times New Roman"/>
        </w:rPr>
      </w:pPr>
    </w:p>
    <w:p w14:paraId="403CEE0B" w14:textId="7C84E3ED" w:rsidR="003A3C38" w:rsidRPr="00216965" w:rsidRDefault="003A3C38" w:rsidP="008A33DA">
      <w:pPr>
        <w:pStyle w:val="ListParagraph"/>
        <w:autoSpaceDE w:val="0"/>
        <w:autoSpaceDN w:val="0"/>
        <w:adjustRightInd w:val="0"/>
        <w:spacing w:after="0" w:line="360" w:lineRule="auto"/>
        <w:jc w:val="both"/>
        <w:rPr>
          <w:rFonts w:cs="Times New Roman"/>
        </w:rPr>
      </w:pPr>
    </w:p>
    <w:p w14:paraId="1128E353" w14:textId="68A5B41A" w:rsidR="003A3C38" w:rsidRPr="00216965" w:rsidRDefault="003A3C38" w:rsidP="008A33DA">
      <w:pPr>
        <w:pStyle w:val="ListParagraph"/>
        <w:autoSpaceDE w:val="0"/>
        <w:autoSpaceDN w:val="0"/>
        <w:adjustRightInd w:val="0"/>
        <w:spacing w:after="0" w:line="360" w:lineRule="auto"/>
        <w:jc w:val="both"/>
        <w:rPr>
          <w:rFonts w:cs="Times New Roman"/>
        </w:rPr>
      </w:pPr>
    </w:p>
    <w:p w14:paraId="37FB3831" w14:textId="77777777" w:rsidR="003A3C38" w:rsidRPr="00216965" w:rsidRDefault="003A3C38" w:rsidP="008A33DA">
      <w:pPr>
        <w:pStyle w:val="ListParagraph"/>
        <w:autoSpaceDE w:val="0"/>
        <w:autoSpaceDN w:val="0"/>
        <w:adjustRightInd w:val="0"/>
        <w:spacing w:after="0" w:line="360" w:lineRule="auto"/>
        <w:jc w:val="both"/>
        <w:rPr>
          <w:rFonts w:cs="Times New Roman"/>
        </w:rPr>
      </w:pPr>
    </w:p>
    <w:p w14:paraId="37AEEF5F" w14:textId="4D21D711" w:rsidR="007F01F1" w:rsidRPr="00216965" w:rsidRDefault="007F01F1" w:rsidP="008A33DA">
      <w:pPr>
        <w:pStyle w:val="ListParagraph"/>
        <w:autoSpaceDE w:val="0"/>
        <w:autoSpaceDN w:val="0"/>
        <w:adjustRightInd w:val="0"/>
        <w:spacing w:after="0" w:line="360" w:lineRule="auto"/>
        <w:jc w:val="both"/>
        <w:rPr>
          <w:rFonts w:cs="Times New Roman"/>
        </w:rPr>
      </w:pPr>
    </w:p>
    <w:tbl>
      <w:tblPr>
        <w:tblStyle w:val="TableGrid"/>
        <w:tblW w:w="778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6"/>
        <w:gridCol w:w="3808"/>
      </w:tblGrid>
      <w:tr w:rsidR="007F01F1" w:rsidRPr="00216965" w14:paraId="5EEC3011" w14:textId="77777777" w:rsidTr="008A33DA">
        <w:tc>
          <w:tcPr>
            <w:tcW w:w="3976" w:type="dxa"/>
          </w:tcPr>
          <w:p w14:paraId="14791ED0" w14:textId="6660FB06" w:rsidR="007F01F1" w:rsidRPr="00216965" w:rsidRDefault="007F01F1" w:rsidP="007F01F1">
            <w:pPr>
              <w:pStyle w:val="ListParagraph"/>
              <w:autoSpaceDE w:val="0"/>
              <w:autoSpaceDN w:val="0"/>
              <w:adjustRightInd w:val="0"/>
              <w:spacing w:line="360" w:lineRule="auto"/>
              <w:ind w:left="0"/>
              <w:jc w:val="center"/>
              <w:rPr>
                <w:rFonts w:cs="Times New Roman"/>
              </w:rPr>
            </w:pPr>
            <w:r w:rsidRPr="00216965">
              <w:rPr>
                <w:rFonts w:cs="Times New Roman"/>
                <w:noProof/>
              </w:rPr>
              <w:drawing>
                <wp:inline distT="0" distB="0" distL="0" distR="0" wp14:anchorId="3D017C1D" wp14:editId="17DF237C">
                  <wp:extent cx="1579245" cy="890270"/>
                  <wp:effectExtent l="0" t="0" r="190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79245" cy="890270"/>
                          </a:xfrm>
                          <a:prstGeom prst="rect">
                            <a:avLst/>
                          </a:prstGeom>
                          <a:noFill/>
                        </pic:spPr>
                      </pic:pic>
                    </a:graphicData>
                  </a:graphic>
                </wp:inline>
              </w:drawing>
            </w:r>
          </w:p>
        </w:tc>
        <w:tc>
          <w:tcPr>
            <w:tcW w:w="3808" w:type="dxa"/>
          </w:tcPr>
          <w:p w14:paraId="1F9C76FC" w14:textId="508D64E8" w:rsidR="007F01F1" w:rsidRPr="00216965" w:rsidRDefault="007F01F1" w:rsidP="007F01F1">
            <w:pPr>
              <w:pStyle w:val="ListParagraph"/>
              <w:autoSpaceDE w:val="0"/>
              <w:autoSpaceDN w:val="0"/>
              <w:adjustRightInd w:val="0"/>
              <w:spacing w:line="360" w:lineRule="auto"/>
              <w:ind w:left="0"/>
              <w:rPr>
                <w:rFonts w:cs="Times New Roman"/>
              </w:rPr>
            </w:pPr>
            <w:r w:rsidRPr="00216965">
              <w:rPr>
                <w:rFonts w:cs="Times New Roman"/>
                <w:noProof/>
              </w:rPr>
              <w:drawing>
                <wp:inline distT="0" distB="0" distL="0" distR="0" wp14:anchorId="5B64FD6F" wp14:editId="4C5B6D68">
                  <wp:extent cx="1218916" cy="685641"/>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3726" cy="693972"/>
                          </a:xfrm>
                          <a:prstGeom prst="rect">
                            <a:avLst/>
                          </a:prstGeom>
                          <a:noFill/>
                        </pic:spPr>
                      </pic:pic>
                    </a:graphicData>
                  </a:graphic>
                </wp:inline>
              </w:drawing>
            </w:r>
          </w:p>
          <w:p w14:paraId="059FCF9B" w14:textId="3C97F5CD" w:rsidR="007F01F1" w:rsidRPr="00216965" w:rsidRDefault="007F01F1" w:rsidP="007F01F1">
            <w:pPr>
              <w:pStyle w:val="ListParagraph"/>
              <w:autoSpaceDE w:val="0"/>
              <w:autoSpaceDN w:val="0"/>
              <w:adjustRightInd w:val="0"/>
              <w:spacing w:line="360" w:lineRule="auto"/>
              <w:ind w:left="0"/>
              <w:jc w:val="center"/>
              <w:rPr>
                <w:rFonts w:cs="Times New Roman"/>
              </w:rPr>
            </w:pPr>
          </w:p>
        </w:tc>
      </w:tr>
    </w:tbl>
    <w:p w14:paraId="264492ED" w14:textId="54872FC1" w:rsidR="007F01F1" w:rsidRPr="00216965" w:rsidRDefault="007F01F1" w:rsidP="008A33DA">
      <w:pPr>
        <w:pStyle w:val="ListParagraph"/>
        <w:autoSpaceDE w:val="0"/>
        <w:autoSpaceDN w:val="0"/>
        <w:adjustRightInd w:val="0"/>
        <w:spacing w:after="0" w:line="360" w:lineRule="auto"/>
        <w:jc w:val="both"/>
        <w:rPr>
          <w:rFonts w:cs="Times New Roman"/>
        </w:rPr>
      </w:pPr>
    </w:p>
    <w:p w14:paraId="613FECF5" w14:textId="7FF07466" w:rsidR="007F01F1" w:rsidRPr="00216965" w:rsidRDefault="007F01F1" w:rsidP="008A33DA">
      <w:pPr>
        <w:pStyle w:val="ListParagraph"/>
        <w:autoSpaceDE w:val="0"/>
        <w:autoSpaceDN w:val="0"/>
        <w:adjustRightInd w:val="0"/>
        <w:spacing w:after="0" w:line="360" w:lineRule="auto"/>
        <w:jc w:val="both"/>
        <w:rPr>
          <w:rFonts w:cs="Times New Roman"/>
        </w:rPr>
      </w:pPr>
    </w:p>
    <w:p w14:paraId="46AE5EDF" w14:textId="176130DA" w:rsidR="003A3C38" w:rsidRPr="00216965" w:rsidRDefault="003A3C38" w:rsidP="008A33DA">
      <w:pPr>
        <w:pStyle w:val="ListParagraph"/>
        <w:autoSpaceDE w:val="0"/>
        <w:autoSpaceDN w:val="0"/>
        <w:adjustRightInd w:val="0"/>
        <w:spacing w:after="0" w:line="360" w:lineRule="auto"/>
        <w:jc w:val="both"/>
        <w:rPr>
          <w:rFonts w:cs="Times New Roman"/>
        </w:rPr>
      </w:pPr>
    </w:p>
    <w:p w14:paraId="069BD8F1" w14:textId="23DE3C71" w:rsidR="003A3C38" w:rsidRPr="00216965" w:rsidRDefault="003A3C38" w:rsidP="008A33DA">
      <w:pPr>
        <w:pStyle w:val="ListParagraph"/>
        <w:autoSpaceDE w:val="0"/>
        <w:autoSpaceDN w:val="0"/>
        <w:adjustRightInd w:val="0"/>
        <w:spacing w:after="0" w:line="360" w:lineRule="auto"/>
        <w:jc w:val="both"/>
        <w:rPr>
          <w:rFonts w:cs="Times New Roman"/>
        </w:rPr>
      </w:pPr>
    </w:p>
    <w:p w14:paraId="1FC178F2" w14:textId="5C4990BD" w:rsidR="003A3C38" w:rsidRPr="00216965" w:rsidRDefault="003A3C38" w:rsidP="008A33DA">
      <w:pPr>
        <w:pStyle w:val="ListParagraph"/>
        <w:autoSpaceDE w:val="0"/>
        <w:autoSpaceDN w:val="0"/>
        <w:adjustRightInd w:val="0"/>
        <w:spacing w:after="0" w:line="360" w:lineRule="auto"/>
        <w:jc w:val="both"/>
        <w:rPr>
          <w:rFonts w:cs="Times New Roman"/>
        </w:rPr>
      </w:pPr>
    </w:p>
    <w:p w14:paraId="0D427EAD" w14:textId="77777777" w:rsidR="003A3C38" w:rsidRPr="00216965" w:rsidRDefault="003A3C38" w:rsidP="008A33DA">
      <w:pPr>
        <w:pStyle w:val="ListParagraph"/>
        <w:autoSpaceDE w:val="0"/>
        <w:autoSpaceDN w:val="0"/>
        <w:adjustRightInd w:val="0"/>
        <w:spacing w:after="0" w:line="360" w:lineRule="auto"/>
        <w:jc w:val="both"/>
        <w:rPr>
          <w:rFonts w:cs="Times New Roman"/>
        </w:rPr>
      </w:pPr>
    </w:p>
    <w:p w14:paraId="49D4CDB4" w14:textId="3BA7751C" w:rsidR="00580188" w:rsidRPr="00216965" w:rsidRDefault="00580188" w:rsidP="008A33DA">
      <w:pPr>
        <w:autoSpaceDE w:val="0"/>
        <w:autoSpaceDN w:val="0"/>
        <w:adjustRightInd w:val="0"/>
        <w:spacing w:after="0" w:line="240" w:lineRule="auto"/>
        <w:rPr>
          <w:rFonts w:cs="Times New Roman"/>
        </w:rPr>
      </w:pPr>
    </w:p>
    <w:p w14:paraId="22448DB0" w14:textId="3AFC5C99" w:rsidR="003A3C38" w:rsidRPr="00216965" w:rsidRDefault="003A3C38" w:rsidP="008A33DA">
      <w:pPr>
        <w:autoSpaceDE w:val="0"/>
        <w:autoSpaceDN w:val="0"/>
        <w:adjustRightInd w:val="0"/>
        <w:spacing w:after="0" w:line="240" w:lineRule="auto"/>
        <w:rPr>
          <w:rFonts w:cs="Times New Roman"/>
        </w:rPr>
      </w:pPr>
    </w:p>
    <w:p w14:paraId="7E79343E" w14:textId="1505EED0" w:rsidR="003A3C38" w:rsidRPr="00216965" w:rsidRDefault="003A3C38" w:rsidP="008A33DA">
      <w:pPr>
        <w:autoSpaceDE w:val="0"/>
        <w:autoSpaceDN w:val="0"/>
        <w:adjustRightInd w:val="0"/>
        <w:spacing w:after="0" w:line="240" w:lineRule="auto"/>
        <w:rPr>
          <w:rFonts w:cs="Times New Roman"/>
        </w:rPr>
      </w:pPr>
    </w:p>
    <w:p w14:paraId="1FA768D2" w14:textId="24D26A67" w:rsidR="003A3C38" w:rsidRPr="00216965" w:rsidRDefault="003A3C38" w:rsidP="008A33DA">
      <w:pPr>
        <w:autoSpaceDE w:val="0"/>
        <w:autoSpaceDN w:val="0"/>
        <w:adjustRightInd w:val="0"/>
        <w:spacing w:after="0" w:line="240" w:lineRule="auto"/>
        <w:rPr>
          <w:rFonts w:cs="Times New Roman"/>
        </w:rPr>
      </w:pPr>
    </w:p>
    <w:p w14:paraId="3748BB26" w14:textId="23B36872" w:rsidR="003A3C38" w:rsidRPr="00216965" w:rsidRDefault="003A3C38" w:rsidP="008A33DA">
      <w:pPr>
        <w:autoSpaceDE w:val="0"/>
        <w:autoSpaceDN w:val="0"/>
        <w:adjustRightInd w:val="0"/>
        <w:spacing w:after="0" w:line="240" w:lineRule="auto"/>
        <w:rPr>
          <w:rFonts w:cs="Times New Roman"/>
        </w:rPr>
      </w:pPr>
    </w:p>
    <w:p w14:paraId="34BAACFD" w14:textId="0FB9AC18" w:rsidR="003A3C38" w:rsidRPr="00216965" w:rsidRDefault="003A3C38" w:rsidP="008A33DA">
      <w:pPr>
        <w:autoSpaceDE w:val="0"/>
        <w:autoSpaceDN w:val="0"/>
        <w:adjustRightInd w:val="0"/>
        <w:spacing w:after="0" w:line="240" w:lineRule="auto"/>
        <w:rPr>
          <w:rFonts w:cs="Times New Roman"/>
        </w:rPr>
      </w:pPr>
    </w:p>
    <w:p w14:paraId="610BD036" w14:textId="29EABA46" w:rsidR="003A3C38" w:rsidRPr="00216965" w:rsidRDefault="003A3C38" w:rsidP="008A33DA">
      <w:pPr>
        <w:autoSpaceDE w:val="0"/>
        <w:autoSpaceDN w:val="0"/>
        <w:adjustRightInd w:val="0"/>
        <w:spacing w:after="0" w:line="240" w:lineRule="auto"/>
        <w:rPr>
          <w:rFonts w:cs="Times New Roman"/>
        </w:rPr>
      </w:pPr>
    </w:p>
    <w:p w14:paraId="2CF8E201" w14:textId="6D3C4E47" w:rsidR="003A3C38" w:rsidRPr="00216965" w:rsidRDefault="003A3C38" w:rsidP="008A33DA">
      <w:pPr>
        <w:autoSpaceDE w:val="0"/>
        <w:autoSpaceDN w:val="0"/>
        <w:adjustRightInd w:val="0"/>
        <w:spacing w:after="0" w:line="240" w:lineRule="auto"/>
        <w:rPr>
          <w:rFonts w:cs="Times New Roman"/>
        </w:rPr>
      </w:pPr>
    </w:p>
    <w:p w14:paraId="7E253472" w14:textId="77777777" w:rsidR="00EF2428" w:rsidRPr="00216965" w:rsidRDefault="00EF2428" w:rsidP="008A33DA">
      <w:pPr>
        <w:pStyle w:val="Heading1"/>
        <w:numPr>
          <w:ilvl w:val="0"/>
          <w:numId w:val="0"/>
        </w:numPr>
        <w:rPr>
          <w:sz w:val="44"/>
          <w:szCs w:val="44"/>
        </w:rPr>
      </w:pPr>
      <w:bookmarkStart w:id="3" w:name="_Toc86504613"/>
      <w:r w:rsidRPr="00216965">
        <w:rPr>
          <w:sz w:val="44"/>
          <w:szCs w:val="44"/>
        </w:rPr>
        <w:t>Table of Contents</w:t>
      </w:r>
      <w:bookmarkEnd w:id="3"/>
    </w:p>
    <w:p w14:paraId="6811638E" w14:textId="77777777" w:rsidR="00EF2428" w:rsidRPr="00216965" w:rsidRDefault="00EF2428" w:rsidP="008A33DA">
      <w:pPr>
        <w:autoSpaceDE w:val="0"/>
        <w:autoSpaceDN w:val="0"/>
        <w:adjustRightInd w:val="0"/>
        <w:spacing w:after="0" w:line="240" w:lineRule="auto"/>
        <w:rPr>
          <w:rFonts w:cs="Times New Roman"/>
        </w:rPr>
      </w:pPr>
    </w:p>
    <w:sdt>
      <w:sdtPr>
        <w:rPr>
          <w:rFonts w:eastAsiaTheme="minorHAnsi" w:cstheme="minorBidi"/>
          <w:lang w:val="en-GB" w:eastAsia="en-US"/>
        </w:rPr>
        <w:id w:val="-827985317"/>
        <w:docPartObj>
          <w:docPartGallery w:val="Table of Contents"/>
          <w:docPartUnique/>
        </w:docPartObj>
      </w:sdtPr>
      <w:sdtEndPr>
        <w:rPr>
          <w:b/>
          <w:bCs/>
          <w:noProof/>
        </w:rPr>
      </w:sdtEndPr>
      <w:sdtContent>
        <w:p w14:paraId="4E8C2134" w14:textId="76C8DD15" w:rsidR="00DE5FCE" w:rsidRPr="00216965" w:rsidRDefault="004D5278" w:rsidP="008A33DA">
          <w:pPr>
            <w:pStyle w:val="TOC1"/>
            <w:rPr>
              <w:rFonts w:asciiTheme="minorHAnsi" w:hAnsiTheme="minorHAnsi" w:cstheme="minorBidi"/>
              <w:noProof/>
              <w:sz w:val="22"/>
              <w:lang w:val="en-GB"/>
            </w:rPr>
          </w:pPr>
          <w:r w:rsidRPr="00216965">
            <w:fldChar w:fldCharType="begin"/>
          </w:r>
          <w:r w:rsidRPr="00216965">
            <w:instrText xml:space="preserve"> TOC \o "1-3" \h \z \u </w:instrText>
          </w:r>
          <w:r w:rsidRPr="00216965">
            <w:fldChar w:fldCharType="separate"/>
          </w:r>
          <w:hyperlink w:anchor="_Toc86504610" w:history="1">
            <w:r w:rsidR="00DE5FCE" w:rsidRPr="00216965">
              <w:rPr>
                <w:rStyle w:val="Hyperlink"/>
                <w:noProof/>
              </w:rPr>
              <w:t>Abstract</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_Toc86504610 \h </w:instrText>
            </w:r>
            <w:r w:rsidR="00DE5FCE" w:rsidRPr="00216965">
              <w:rPr>
                <w:noProof/>
                <w:webHidden/>
              </w:rPr>
            </w:r>
            <w:r w:rsidR="00DE5FCE" w:rsidRPr="00216965">
              <w:rPr>
                <w:noProof/>
                <w:webHidden/>
              </w:rPr>
              <w:fldChar w:fldCharType="separate"/>
            </w:r>
            <w:r w:rsidR="00CE6CD2">
              <w:rPr>
                <w:noProof/>
                <w:webHidden/>
              </w:rPr>
              <w:t>i</w:t>
            </w:r>
            <w:r w:rsidR="00DE5FCE" w:rsidRPr="00216965">
              <w:rPr>
                <w:noProof/>
                <w:webHidden/>
              </w:rPr>
              <w:fldChar w:fldCharType="end"/>
            </w:r>
          </w:hyperlink>
        </w:p>
        <w:p w14:paraId="70E29C1B" w14:textId="367155EB" w:rsidR="00DE5FCE" w:rsidRPr="00216965" w:rsidRDefault="00BB30F1" w:rsidP="008A33DA">
          <w:pPr>
            <w:pStyle w:val="TOC1"/>
            <w:rPr>
              <w:rFonts w:asciiTheme="minorHAnsi" w:hAnsiTheme="minorHAnsi" w:cstheme="minorBidi"/>
              <w:noProof/>
              <w:sz w:val="22"/>
              <w:lang w:val="en-GB"/>
            </w:rPr>
          </w:pPr>
          <w:hyperlink w:anchor="_Toc86504611" w:history="1">
            <w:r w:rsidR="00DE5FCE" w:rsidRPr="00216965">
              <w:rPr>
                <w:rStyle w:val="Hyperlink"/>
                <w:noProof/>
              </w:rPr>
              <w:t>Author’s Declaration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_Toc86504611 \h </w:instrText>
            </w:r>
            <w:r w:rsidR="00DE5FCE" w:rsidRPr="00216965">
              <w:rPr>
                <w:noProof/>
                <w:webHidden/>
              </w:rPr>
            </w:r>
            <w:r w:rsidR="00DE5FCE" w:rsidRPr="00216965">
              <w:rPr>
                <w:noProof/>
                <w:webHidden/>
              </w:rPr>
              <w:fldChar w:fldCharType="separate"/>
            </w:r>
            <w:r w:rsidR="00CE6CD2">
              <w:rPr>
                <w:noProof/>
                <w:webHidden/>
              </w:rPr>
              <w:t>iii</w:t>
            </w:r>
            <w:r w:rsidR="00DE5FCE" w:rsidRPr="00216965">
              <w:rPr>
                <w:noProof/>
                <w:webHidden/>
              </w:rPr>
              <w:fldChar w:fldCharType="end"/>
            </w:r>
          </w:hyperlink>
        </w:p>
        <w:p w14:paraId="408BBE4E" w14:textId="6FB9B0EB" w:rsidR="00DE5FCE" w:rsidRPr="00216965" w:rsidRDefault="00BB30F1" w:rsidP="008A33DA">
          <w:pPr>
            <w:pStyle w:val="TOC1"/>
            <w:rPr>
              <w:rFonts w:asciiTheme="minorHAnsi" w:hAnsiTheme="minorHAnsi" w:cstheme="minorBidi"/>
              <w:noProof/>
              <w:sz w:val="22"/>
              <w:lang w:val="en-GB"/>
            </w:rPr>
          </w:pPr>
          <w:hyperlink w:anchor="_Toc86504612" w:history="1">
            <w:r w:rsidR="00DE5FCE" w:rsidRPr="00216965">
              <w:rPr>
                <w:rStyle w:val="Hyperlink"/>
                <w:noProof/>
              </w:rPr>
              <w:t>Acknowledgements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_Toc86504612 \h </w:instrText>
            </w:r>
            <w:r w:rsidR="00DE5FCE" w:rsidRPr="00216965">
              <w:rPr>
                <w:noProof/>
                <w:webHidden/>
              </w:rPr>
            </w:r>
            <w:r w:rsidR="00DE5FCE" w:rsidRPr="00216965">
              <w:rPr>
                <w:noProof/>
                <w:webHidden/>
              </w:rPr>
              <w:fldChar w:fldCharType="separate"/>
            </w:r>
            <w:r w:rsidR="00CE6CD2">
              <w:rPr>
                <w:noProof/>
                <w:webHidden/>
              </w:rPr>
              <w:t>iv</w:t>
            </w:r>
            <w:r w:rsidR="00DE5FCE" w:rsidRPr="00216965">
              <w:rPr>
                <w:noProof/>
                <w:webHidden/>
              </w:rPr>
              <w:fldChar w:fldCharType="end"/>
            </w:r>
          </w:hyperlink>
        </w:p>
        <w:p w14:paraId="4C1091F9" w14:textId="3C866349" w:rsidR="00DE5FCE" w:rsidRPr="00216965" w:rsidRDefault="00BB30F1" w:rsidP="008A33DA">
          <w:pPr>
            <w:pStyle w:val="TOC1"/>
            <w:rPr>
              <w:rFonts w:asciiTheme="minorHAnsi" w:hAnsiTheme="minorHAnsi" w:cstheme="minorBidi"/>
              <w:noProof/>
              <w:sz w:val="22"/>
              <w:lang w:val="en-GB"/>
            </w:rPr>
          </w:pPr>
          <w:hyperlink w:anchor="_Toc86504613" w:history="1">
            <w:r w:rsidR="00DE5FCE" w:rsidRPr="00216965">
              <w:rPr>
                <w:rStyle w:val="Hyperlink"/>
                <w:noProof/>
              </w:rPr>
              <w:t>Table of Contents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_Toc86504613 \h </w:instrText>
            </w:r>
            <w:r w:rsidR="00DE5FCE" w:rsidRPr="00216965">
              <w:rPr>
                <w:noProof/>
                <w:webHidden/>
              </w:rPr>
            </w:r>
            <w:r w:rsidR="00DE5FCE" w:rsidRPr="00216965">
              <w:rPr>
                <w:noProof/>
                <w:webHidden/>
              </w:rPr>
              <w:fldChar w:fldCharType="separate"/>
            </w:r>
            <w:r w:rsidR="00CE6CD2">
              <w:rPr>
                <w:noProof/>
                <w:webHidden/>
              </w:rPr>
              <w:t>vi</w:t>
            </w:r>
            <w:r w:rsidR="00DE5FCE" w:rsidRPr="00216965">
              <w:rPr>
                <w:noProof/>
                <w:webHidden/>
              </w:rPr>
              <w:fldChar w:fldCharType="end"/>
            </w:r>
          </w:hyperlink>
        </w:p>
        <w:p w14:paraId="32BCDCEB" w14:textId="598D06B0" w:rsidR="00DE5FCE" w:rsidRPr="00216965" w:rsidRDefault="00BB30F1" w:rsidP="008A33DA">
          <w:pPr>
            <w:pStyle w:val="TOC1"/>
            <w:rPr>
              <w:rFonts w:asciiTheme="minorHAnsi" w:hAnsiTheme="minorHAnsi" w:cstheme="minorBidi"/>
              <w:noProof/>
              <w:sz w:val="22"/>
              <w:lang w:val="en-GB"/>
            </w:rPr>
          </w:pPr>
          <w:hyperlink w:anchor="_Toc86504614" w:history="1">
            <w:r w:rsidR="00DE5FCE" w:rsidRPr="00216965">
              <w:rPr>
                <w:rStyle w:val="Hyperlink"/>
                <w:noProof/>
              </w:rPr>
              <w:t>List of Figures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_Toc86504614 \h </w:instrText>
            </w:r>
            <w:r w:rsidR="00DE5FCE" w:rsidRPr="00216965">
              <w:rPr>
                <w:noProof/>
                <w:webHidden/>
              </w:rPr>
            </w:r>
            <w:r w:rsidR="00DE5FCE" w:rsidRPr="00216965">
              <w:rPr>
                <w:noProof/>
                <w:webHidden/>
              </w:rPr>
              <w:fldChar w:fldCharType="separate"/>
            </w:r>
            <w:r w:rsidR="00CE6CD2">
              <w:rPr>
                <w:noProof/>
                <w:webHidden/>
              </w:rPr>
              <w:t>x</w:t>
            </w:r>
            <w:r w:rsidR="00DE5FCE" w:rsidRPr="00216965">
              <w:rPr>
                <w:noProof/>
                <w:webHidden/>
              </w:rPr>
              <w:fldChar w:fldCharType="end"/>
            </w:r>
          </w:hyperlink>
        </w:p>
        <w:p w14:paraId="1273E696" w14:textId="130BA50F" w:rsidR="00DE5FCE" w:rsidRPr="00216965" w:rsidRDefault="00BB30F1" w:rsidP="008A33DA">
          <w:pPr>
            <w:pStyle w:val="TOC1"/>
            <w:rPr>
              <w:rFonts w:asciiTheme="minorHAnsi" w:hAnsiTheme="minorHAnsi" w:cstheme="minorBidi"/>
              <w:noProof/>
              <w:sz w:val="22"/>
              <w:lang w:val="en-GB"/>
            </w:rPr>
          </w:pPr>
          <w:hyperlink w:anchor="_Toc86504615" w:history="1">
            <w:r w:rsidR="00DE5FCE" w:rsidRPr="00216965">
              <w:rPr>
                <w:rStyle w:val="Hyperlink"/>
                <w:noProof/>
              </w:rPr>
              <w:t>List of Tables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_Toc86504615 \h </w:instrText>
            </w:r>
            <w:r w:rsidR="00DE5FCE" w:rsidRPr="00216965">
              <w:rPr>
                <w:noProof/>
                <w:webHidden/>
              </w:rPr>
            </w:r>
            <w:r w:rsidR="00DE5FCE" w:rsidRPr="00216965">
              <w:rPr>
                <w:noProof/>
                <w:webHidden/>
              </w:rPr>
              <w:fldChar w:fldCharType="separate"/>
            </w:r>
            <w:r w:rsidR="00CE6CD2">
              <w:rPr>
                <w:noProof/>
                <w:webHidden/>
              </w:rPr>
              <w:t>xiv</w:t>
            </w:r>
            <w:r w:rsidR="00DE5FCE" w:rsidRPr="00216965">
              <w:rPr>
                <w:noProof/>
                <w:webHidden/>
              </w:rPr>
              <w:fldChar w:fldCharType="end"/>
            </w:r>
          </w:hyperlink>
        </w:p>
        <w:p w14:paraId="0361B959" w14:textId="05FD7F89" w:rsidR="00DE5FCE" w:rsidRPr="00216965" w:rsidRDefault="00BB30F1" w:rsidP="008A33DA">
          <w:pPr>
            <w:pStyle w:val="TOC1"/>
            <w:rPr>
              <w:rFonts w:asciiTheme="minorHAnsi" w:hAnsiTheme="minorHAnsi" w:cstheme="minorBidi"/>
              <w:noProof/>
              <w:sz w:val="22"/>
              <w:lang w:val="en-GB"/>
            </w:rPr>
          </w:pPr>
          <w:hyperlink w:anchor="_Toc86504616" w:history="1">
            <w:r w:rsidR="00DE5FCE" w:rsidRPr="00216965">
              <w:rPr>
                <w:rStyle w:val="Hyperlink"/>
                <w:noProof/>
              </w:rPr>
              <w:t>Nomenclature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_Toc86504616 \h </w:instrText>
            </w:r>
            <w:r w:rsidR="00DE5FCE" w:rsidRPr="00216965">
              <w:rPr>
                <w:noProof/>
                <w:webHidden/>
              </w:rPr>
            </w:r>
            <w:r w:rsidR="00DE5FCE" w:rsidRPr="00216965">
              <w:rPr>
                <w:noProof/>
                <w:webHidden/>
              </w:rPr>
              <w:fldChar w:fldCharType="separate"/>
            </w:r>
            <w:r w:rsidR="00CE6CD2">
              <w:rPr>
                <w:noProof/>
                <w:webHidden/>
              </w:rPr>
              <w:t>xv</w:t>
            </w:r>
            <w:r w:rsidR="00DE5FCE" w:rsidRPr="00216965">
              <w:rPr>
                <w:noProof/>
                <w:webHidden/>
              </w:rPr>
              <w:fldChar w:fldCharType="end"/>
            </w:r>
          </w:hyperlink>
        </w:p>
        <w:p w14:paraId="57104F4A" w14:textId="5B4EB11A" w:rsidR="00DE5FCE" w:rsidRPr="00216965" w:rsidRDefault="00BB30F1" w:rsidP="008A33DA">
          <w:pPr>
            <w:pStyle w:val="TOC1"/>
            <w:rPr>
              <w:rFonts w:asciiTheme="minorHAnsi" w:hAnsiTheme="minorHAnsi" w:cstheme="minorBidi"/>
              <w:noProof/>
              <w:sz w:val="22"/>
              <w:lang w:val="en-GB"/>
            </w:rPr>
          </w:pPr>
          <w:hyperlink w:anchor="_Toc86504617" w:history="1">
            <w:r w:rsidR="00DE5FCE" w:rsidRPr="00216965">
              <w:rPr>
                <w:rStyle w:val="Hyperlink"/>
                <w:noProof/>
              </w:rPr>
              <w:t>Chapter 1: General Introduction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_Toc86504617 \h </w:instrText>
            </w:r>
            <w:r w:rsidR="00DE5FCE" w:rsidRPr="00216965">
              <w:rPr>
                <w:noProof/>
                <w:webHidden/>
              </w:rPr>
            </w:r>
            <w:r w:rsidR="00DE5FCE" w:rsidRPr="00216965">
              <w:rPr>
                <w:noProof/>
                <w:webHidden/>
              </w:rPr>
              <w:fldChar w:fldCharType="separate"/>
            </w:r>
            <w:r w:rsidR="00CE6CD2">
              <w:rPr>
                <w:noProof/>
                <w:webHidden/>
              </w:rPr>
              <w:t>1</w:t>
            </w:r>
            <w:r w:rsidR="00DE5FCE" w:rsidRPr="00216965">
              <w:rPr>
                <w:noProof/>
                <w:webHidden/>
              </w:rPr>
              <w:fldChar w:fldCharType="end"/>
            </w:r>
          </w:hyperlink>
        </w:p>
        <w:p w14:paraId="27BEC06C" w14:textId="7695BEE6"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18" w:history="1">
            <w:r w:rsidR="00DE5FCE" w:rsidRPr="00216965">
              <w:rPr>
                <w:rStyle w:val="Hyperlink"/>
                <w:noProof/>
              </w:rPr>
              <w:t>1.1. Background</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_Toc86504618 \h </w:instrText>
            </w:r>
            <w:r w:rsidR="00DE5FCE" w:rsidRPr="00216965">
              <w:rPr>
                <w:noProof/>
                <w:webHidden/>
              </w:rPr>
            </w:r>
            <w:r w:rsidR="00DE5FCE" w:rsidRPr="00216965">
              <w:rPr>
                <w:noProof/>
                <w:webHidden/>
              </w:rPr>
              <w:fldChar w:fldCharType="separate"/>
            </w:r>
            <w:r w:rsidR="00CE6CD2">
              <w:rPr>
                <w:noProof/>
                <w:webHidden/>
              </w:rPr>
              <w:t>1</w:t>
            </w:r>
            <w:r w:rsidR="00DE5FCE" w:rsidRPr="00216965">
              <w:rPr>
                <w:noProof/>
                <w:webHidden/>
              </w:rPr>
              <w:fldChar w:fldCharType="end"/>
            </w:r>
          </w:hyperlink>
        </w:p>
        <w:p w14:paraId="5BE8B058" w14:textId="3CAB5C5C"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19" w:history="1">
            <w:r w:rsidR="00DE5FCE" w:rsidRPr="00216965">
              <w:rPr>
                <w:rStyle w:val="Hyperlink"/>
                <w:noProof/>
              </w:rPr>
              <w:t>1.2. Thesis aim, objectives and structure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_Toc86504619 \h </w:instrText>
            </w:r>
            <w:r w:rsidR="00DE5FCE" w:rsidRPr="00216965">
              <w:rPr>
                <w:noProof/>
                <w:webHidden/>
              </w:rPr>
            </w:r>
            <w:r w:rsidR="00DE5FCE" w:rsidRPr="00216965">
              <w:rPr>
                <w:noProof/>
                <w:webHidden/>
              </w:rPr>
              <w:fldChar w:fldCharType="separate"/>
            </w:r>
            <w:r w:rsidR="00CE6CD2">
              <w:rPr>
                <w:noProof/>
                <w:webHidden/>
              </w:rPr>
              <w:t>4</w:t>
            </w:r>
            <w:r w:rsidR="00DE5FCE" w:rsidRPr="00216965">
              <w:rPr>
                <w:noProof/>
                <w:webHidden/>
              </w:rPr>
              <w:fldChar w:fldCharType="end"/>
            </w:r>
          </w:hyperlink>
        </w:p>
        <w:p w14:paraId="08C21A41" w14:textId="5749B05A"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20" w:history="1">
            <w:r w:rsidR="00DE5FCE" w:rsidRPr="00216965">
              <w:rPr>
                <w:rStyle w:val="Hyperlink"/>
                <w:noProof/>
              </w:rPr>
              <w:t>1.2.1. Aim</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_Toc86504620 \h </w:instrText>
            </w:r>
            <w:r w:rsidR="00DE5FCE" w:rsidRPr="00216965">
              <w:rPr>
                <w:noProof/>
                <w:webHidden/>
              </w:rPr>
            </w:r>
            <w:r w:rsidR="00DE5FCE" w:rsidRPr="00216965">
              <w:rPr>
                <w:noProof/>
                <w:webHidden/>
              </w:rPr>
              <w:fldChar w:fldCharType="separate"/>
            </w:r>
            <w:r w:rsidR="00CE6CD2">
              <w:rPr>
                <w:noProof/>
                <w:webHidden/>
              </w:rPr>
              <w:t>4</w:t>
            </w:r>
            <w:r w:rsidR="00DE5FCE" w:rsidRPr="00216965">
              <w:rPr>
                <w:noProof/>
                <w:webHidden/>
              </w:rPr>
              <w:fldChar w:fldCharType="end"/>
            </w:r>
          </w:hyperlink>
        </w:p>
        <w:p w14:paraId="1975F3E0" w14:textId="2FBE32C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21" w:history="1">
            <w:r w:rsidR="00DE5FCE" w:rsidRPr="00216965">
              <w:rPr>
                <w:rStyle w:val="Hyperlink"/>
                <w:noProof/>
              </w:rPr>
              <w:t>1.2.2. Research objectives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_Toc86504621 \h </w:instrText>
            </w:r>
            <w:r w:rsidR="00DE5FCE" w:rsidRPr="00216965">
              <w:rPr>
                <w:noProof/>
                <w:webHidden/>
              </w:rPr>
            </w:r>
            <w:r w:rsidR="00DE5FCE" w:rsidRPr="00216965">
              <w:rPr>
                <w:noProof/>
                <w:webHidden/>
              </w:rPr>
              <w:fldChar w:fldCharType="separate"/>
            </w:r>
            <w:r w:rsidR="00CE6CD2">
              <w:rPr>
                <w:noProof/>
                <w:webHidden/>
              </w:rPr>
              <w:t>4</w:t>
            </w:r>
            <w:r w:rsidR="00DE5FCE" w:rsidRPr="00216965">
              <w:rPr>
                <w:noProof/>
                <w:webHidden/>
              </w:rPr>
              <w:fldChar w:fldCharType="end"/>
            </w:r>
          </w:hyperlink>
        </w:p>
        <w:p w14:paraId="5D199E0F" w14:textId="623BB72D"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22" w:history="1">
            <w:r w:rsidR="00DE5FCE" w:rsidRPr="00216965">
              <w:rPr>
                <w:rStyle w:val="Hyperlink"/>
                <w:noProof/>
              </w:rPr>
              <w:t>1.2.3. Thesis structure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_Toc86504622 \h </w:instrText>
            </w:r>
            <w:r w:rsidR="00DE5FCE" w:rsidRPr="00216965">
              <w:rPr>
                <w:noProof/>
                <w:webHidden/>
              </w:rPr>
            </w:r>
            <w:r w:rsidR="00DE5FCE" w:rsidRPr="00216965">
              <w:rPr>
                <w:noProof/>
                <w:webHidden/>
              </w:rPr>
              <w:fldChar w:fldCharType="separate"/>
            </w:r>
            <w:r w:rsidR="00CE6CD2">
              <w:rPr>
                <w:noProof/>
                <w:webHidden/>
              </w:rPr>
              <w:t>4</w:t>
            </w:r>
            <w:r w:rsidR="00DE5FCE" w:rsidRPr="00216965">
              <w:rPr>
                <w:noProof/>
                <w:webHidden/>
              </w:rPr>
              <w:fldChar w:fldCharType="end"/>
            </w:r>
          </w:hyperlink>
        </w:p>
        <w:p w14:paraId="3B0D6821" w14:textId="79C3467E" w:rsidR="00DE5FCE" w:rsidRPr="00216965" w:rsidRDefault="00BB30F1" w:rsidP="008A33DA">
          <w:pPr>
            <w:pStyle w:val="TOC1"/>
            <w:rPr>
              <w:rFonts w:asciiTheme="minorHAnsi" w:hAnsiTheme="minorHAnsi" w:cstheme="minorBidi"/>
              <w:noProof/>
              <w:sz w:val="22"/>
              <w:lang w:val="en-GB"/>
            </w:rPr>
          </w:pPr>
          <w:hyperlink w:anchor="_Toc86504625" w:history="1">
            <w:r w:rsidR="00DE5FCE" w:rsidRPr="00216965">
              <w:rPr>
                <w:rStyle w:val="Hyperlink"/>
                <w:rFonts w:eastAsia="Times New Roman"/>
                <w:noProof/>
              </w:rPr>
              <w:t>Chapter 2: Literature review</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_Toc86504625 \h </w:instrText>
            </w:r>
            <w:r w:rsidR="00DE5FCE" w:rsidRPr="00216965">
              <w:rPr>
                <w:noProof/>
                <w:webHidden/>
              </w:rPr>
            </w:r>
            <w:r w:rsidR="00DE5FCE" w:rsidRPr="00216965">
              <w:rPr>
                <w:noProof/>
                <w:webHidden/>
              </w:rPr>
              <w:fldChar w:fldCharType="separate"/>
            </w:r>
            <w:r w:rsidR="00CE6CD2">
              <w:rPr>
                <w:noProof/>
                <w:webHidden/>
              </w:rPr>
              <w:t>7</w:t>
            </w:r>
            <w:r w:rsidR="00DE5FCE" w:rsidRPr="00216965">
              <w:rPr>
                <w:noProof/>
                <w:webHidden/>
              </w:rPr>
              <w:fldChar w:fldCharType="end"/>
            </w:r>
          </w:hyperlink>
        </w:p>
        <w:p w14:paraId="0C60A058" w14:textId="01D5719A"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26" w:history="1">
            <w:r w:rsidR="00DE5FCE" w:rsidRPr="00216965">
              <w:rPr>
                <w:rStyle w:val="Hyperlink"/>
                <w:noProof/>
              </w:rPr>
              <w:t>2.1. Heavy metal pollution in soils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_Toc86504626 \h </w:instrText>
            </w:r>
            <w:r w:rsidR="00DE5FCE" w:rsidRPr="00216965">
              <w:rPr>
                <w:noProof/>
                <w:webHidden/>
              </w:rPr>
            </w:r>
            <w:r w:rsidR="00DE5FCE" w:rsidRPr="00216965">
              <w:rPr>
                <w:noProof/>
                <w:webHidden/>
              </w:rPr>
              <w:fldChar w:fldCharType="separate"/>
            </w:r>
            <w:r w:rsidR="00CE6CD2">
              <w:rPr>
                <w:noProof/>
                <w:webHidden/>
              </w:rPr>
              <w:t>7</w:t>
            </w:r>
            <w:r w:rsidR="00DE5FCE" w:rsidRPr="00216965">
              <w:rPr>
                <w:noProof/>
                <w:webHidden/>
              </w:rPr>
              <w:fldChar w:fldCharType="end"/>
            </w:r>
          </w:hyperlink>
        </w:p>
        <w:p w14:paraId="71F40816" w14:textId="08EB9187"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27" w:history="1">
            <w:r w:rsidR="00DE5FCE" w:rsidRPr="00216965">
              <w:rPr>
                <w:rStyle w:val="Hyperlink"/>
                <w:noProof/>
              </w:rPr>
              <w:t>2.2. Heavy metals toxicity in soils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_Toc86504627 \h </w:instrText>
            </w:r>
            <w:r w:rsidR="00DE5FCE" w:rsidRPr="00216965">
              <w:rPr>
                <w:noProof/>
                <w:webHidden/>
              </w:rPr>
            </w:r>
            <w:r w:rsidR="00DE5FCE" w:rsidRPr="00216965">
              <w:rPr>
                <w:noProof/>
                <w:webHidden/>
              </w:rPr>
              <w:fldChar w:fldCharType="separate"/>
            </w:r>
            <w:r w:rsidR="00CE6CD2">
              <w:rPr>
                <w:noProof/>
                <w:webHidden/>
              </w:rPr>
              <w:t>8</w:t>
            </w:r>
            <w:r w:rsidR="00DE5FCE" w:rsidRPr="00216965">
              <w:rPr>
                <w:noProof/>
                <w:webHidden/>
              </w:rPr>
              <w:fldChar w:fldCharType="end"/>
            </w:r>
          </w:hyperlink>
        </w:p>
        <w:p w14:paraId="39E73612" w14:textId="45E9C33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28" w:history="1">
            <w:r w:rsidR="00DE5FCE" w:rsidRPr="00216965">
              <w:rPr>
                <w:rStyle w:val="Hyperlink"/>
                <w:noProof/>
              </w:rPr>
              <w:t>2.2.1. Toxicity to soil microorganisms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_Toc86504628 \h </w:instrText>
            </w:r>
            <w:r w:rsidR="00DE5FCE" w:rsidRPr="00216965">
              <w:rPr>
                <w:noProof/>
                <w:webHidden/>
              </w:rPr>
            </w:r>
            <w:r w:rsidR="00DE5FCE" w:rsidRPr="00216965">
              <w:rPr>
                <w:noProof/>
                <w:webHidden/>
              </w:rPr>
              <w:fldChar w:fldCharType="separate"/>
            </w:r>
            <w:r w:rsidR="00CE6CD2">
              <w:rPr>
                <w:noProof/>
                <w:webHidden/>
              </w:rPr>
              <w:t>9</w:t>
            </w:r>
            <w:r w:rsidR="00DE5FCE" w:rsidRPr="00216965">
              <w:rPr>
                <w:noProof/>
                <w:webHidden/>
              </w:rPr>
              <w:fldChar w:fldCharType="end"/>
            </w:r>
          </w:hyperlink>
        </w:p>
        <w:p w14:paraId="7612109A" w14:textId="53AF1E55"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29" w:history="1">
            <w:r w:rsidR="00DE5FCE" w:rsidRPr="00216965">
              <w:rPr>
                <w:rStyle w:val="Hyperlink"/>
                <w:noProof/>
              </w:rPr>
              <w:t>2.2.2. Toxicity to plants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_Toc86504629 \h </w:instrText>
            </w:r>
            <w:r w:rsidR="00DE5FCE" w:rsidRPr="00216965">
              <w:rPr>
                <w:noProof/>
                <w:webHidden/>
              </w:rPr>
            </w:r>
            <w:r w:rsidR="00DE5FCE" w:rsidRPr="00216965">
              <w:rPr>
                <w:noProof/>
                <w:webHidden/>
              </w:rPr>
              <w:fldChar w:fldCharType="separate"/>
            </w:r>
            <w:r w:rsidR="00CE6CD2">
              <w:rPr>
                <w:noProof/>
                <w:webHidden/>
              </w:rPr>
              <w:t>10</w:t>
            </w:r>
            <w:r w:rsidR="00DE5FCE" w:rsidRPr="00216965">
              <w:rPr>
                <w:noProof/>
                <w:webHidden/>
              </w:rPr>
              <w:fldChar w:fldCharType="end"/>
            </w:r>
          </w:hyperlink>
        </w:p>
        <w:p w14:paraId="2E13C966" w14:textId="22CDF31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0" w:history="1">
            <w:r w:rsidR="00DE5FCE" w:rsidRPr="00216965">
              <w:rPr>
                <w:rStyle w:val="Hyperlink"/>
                <w:noProof/>
              </w:rPr>
              <w:t>2.2.3. Guideline values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_Toc86504630 \h </w:instrText>
            </w:r>
            <w:r w:rsidR="00DE5FCE" w:rsidRPr="00216965">
              <w:rPr>
                <w:noProof/>
                <w:webHidden/>
              </w:rPr>
            </w:r>
            <w:r w:rsidR="00DE5FCE" w:rsidRPr="00216965">
              <w:rPr>
                <w:noProof/>
                <w:webHidden/>
              </w:rPr>
              <w:fldChar w:fldCharType="separate"/>
            </w:r>
            <w:r w:rsidR="00CE6CD2">
              <w:rPr>
                <w:noProof/>
                <w:webHidden/>
              </w:rPr>
              <w:t>11</w:t>
            </w:r>
            <w:r w:rsidR="00DE5FCE" w:rsidRPr="00216965">
              <w:rPr>
                <w:noProof/>
                <w:webHidden/>
              </w:rPr>
              <w:fldChar w:fldCharType="end"/>
            </w:r>
          </w:hyperlink>
        </w:p>
        <w:p w14:paraId="482225CC" w14:textId="12B86800"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31" w:history="1">
            <w:r w:rsidR="00DE5FCE" w:rsidRPr="00216965">
              <w:rPr>
                <w:rStyle w:val="Hyperlink"/>
                <w:noProof/>
              </w:rPr>
              <w:t>2.3. Fractionation of HM in soil</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_Toc86504631 \h </w:instrText>
            </w:r>
            <w:r w:rsidR="00DE5FCE" w:rsidRPr="00216965">
              <w:rPr>
                <w:noProof/>
                <w:webHidden/>
              </w:rPr>
            </w:r>
            <w:r w:rsidR="00DE5FCE" w:rsidRPr="00216965">
              <w:rPr>
                <w:noProof/>
                <w:webHidden/>
              </w:rPr>
              <w:fldChar w:fldCharType="separate"/>
            </w:r>
            <w:r w:rsidR="00CE6CD2">
              <w:rPr>
                <w:noProof/>
                <w:webHidden/>
              </w:rPr>
              <w:t>13</w:t>
            </w:r>
            <w:r w:rsidR="00DE5FCE" w:rsidRPr="00216965">
              <w:rPr>
                <w:noProof/>
                <w:webHidden/>
              </w:rPr>
              <w:fldChar w:fldCharType="end"/>
            </w:r>
          </w:hyperlink>
        </w:p>
        <w:p w14:paraId="6110D17C" w14:textId="6985E68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2" w:history="1">
            <w:r w:rsidR="00DE5FCE" w:rsidRPr="00216965">
              <w:rPr>
                <w:rStyle w:val="Hyperlink"/>
                <w:noProof/>
              </w:rPr>
              <w:t>2.3.1. Bioavailability of HM in soil</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_Toc86504632 \h </w:instrText>
            </w:r>
            <w:r w:rsidR="00DE5FCE" w:rsidRPr="00216965">
              <w:rPr>
                <w:noProof/>
                <w:webHidden/>
              </w:rPr>
            </w:r>
            <w:r w:rsidR="00DE5FCE" w:rsidRPr="00216965">
              <w:rPr>
                <w:noProof/>
                <w:webHidden/>
              </w:rPr>
              <w:fldChar w:fldCharType="separate"/>
            </w:r>
            <w:r w:rsidR="00CE6CD2">
              <w:rPr>
                <w:noProof/>
                <w:webHidden/>
              </w:rPr>
              <w:t>15</w:t>
            </w:r>
            <w:r w:rsidR="00DE5FCE" w:rsidRPr="00216965">
              <w:rPr>
                <w:noProof/>
                <w:webHidden/>
              </w:rPr>
              <w:fldChar w:fldCharType="end"/>
            </w:r>
          </w:hyperlink>
        </w:p>
        <w:p w14:paraId="5D415BBC" w14:textId="14630D9B"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3" w:history="1">
            <w:r w:rsidR="00DE5FCE" w:rsidRPr="00216965">
              <w:rPr>
                <w:rStyle w:val="Hyperlink"/>
                <w:rFonts w:eastAsia="Times New Roman"/>
                <w:noProof/>
              </w:rPr>
              <w:t>2.3.2. Factors affecting bioavailability of HM</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_Toc86504633 \h </w:instrText>
            </w:r>
            <w:r w:rsidR="00DE5FCE" w:rsidRPr="00216965">
              <w:rPr>
                <w:noProof/>
                <w:webHidden/>
              </w:rPr>
            </w:r>
            <w:r w:rsidR="00DE5FCE" w:rsidRPr="00216965">
              <w:rPr>
                <w:noProof/>
                <w:webHidden/>
              </w:rPr>
              <w:fldChar w:fldCharType="separate"/>
            </w:r>
            <w:r w:rsidR="00CE6CD2">
              <w:rPr>
                <w:noProof/>
                <w:webHidden/>
              </w:rPr>
              <w:t>16</w:t>
            </w:r>
            <w:r w:rsidR="00DE5FCE" w:rsidRPr="00216965">
              <w:rPr>
                <w:noProof/>
                <w:webHidden/>
              </w:rPr>
              <w:fldChar w:fldCharType="end"/>
            </w:r>
          </w:hyperlink>
        </w:p>
        <w:p w14:paraId="2F692566" w14:textId="439F58E5"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34" w:history="1">
            <w:r w:rsidR="00DE5FCE" w:rsidRPr="00216965">
              <w:rPr>
                <w:rStyle w:val="Hyperlink"/>
                <w:noProof/>
              </w:rPr>
              <w:t>2.4. Soil remediation techniques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_Toc86504634 \h </w:instrText>
            </w:r>
            <w:r w:rsidR="00DE5FCE" w:rsidRPr="00216965">
              <w:rPr>
                <w:noProof/>
                <w:webHidden/>
              </w:rPr>
            </w:r>
            <w:r w:rsidR="00DE5FCE" w:rsidRPr="00216965">
              <w:rPr>
                <w:noProof/>
                <w:webHidden/>
              </w:rPr>
              <w:fldChar w:fldCharType="separate"/>
            </w:r>
            <w:r w:rsidR="00CE6CD2">
              <w:rPr>
                <w:noProof/>
                <w:webHidden/>
              </w:rPr>
              <w:t>17</w:t>
            </w:r>
            <w:r w:rsidR="00DE5FCE" w:rsidRPr="00216965">
              <w:rPr>
                <w:noProof/>
                <w:webHidden/>
              </w:rPr>
              <w:fldChar w:fldCharType="end"/>
            </w:r>
          </w:hyperlink>
        </w:p>
        <w:p w14:paraId="6FCC7552" w14:textId="24B4191E"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35" w:history="1">
            <w:r w:rsidR="00DE5FCE" w:rsidRPr="00216965">
              <w:rPr>
                <w:rStyle w:val="Hyperlink"/>
                <w:noProof/>
              </w:rPr>
              <w:t>2.5. Biochar</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_Toc86504635 \h </w:instrText>
            </w:r>
            <w:r w:rsidR="00DE5FCE" w:rsidRPr="00216965">
              <w:rPr>
                <w:noProof/>
                <w:webHidden/>
              </w:rPr>
            </w:r>
            <w:r w:rsidR="00DE5FCE" w:rsidRPr="00216965">
              <w:rPr>
                <w:noProof/>
                <w:webHidden/>
              </w:rPr>
              <w:fldChar w:fldCharType="separate"/>
            </w:r>
            <w:r w:rsidR="00CE6CD2">
              <w:rPr>
                <w:noProof/>
                <w:webHidden/>
              </w:rPr>
              <w:t>18</w:t>
            </w:r>
            <w:r w:rsidR="00DE5FCE" w:rsidRPr="00216965">
              <w:rPr>
                <w:noProof/>
                <w:webHidden/>
              </w:rPr>
              <w:fldChar w:fldCharType="end"/>
            </w:r>
          </w:hyperlink>
        </w:p>
        <w:p w14:paraId="11BDBEA2" w14:textId="593D610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6" w:history="1">
            <w:r w:rsidR="00DE5FCE" w:rsidRPr="00216965">
              <w:rPr>
                <w:rStyle w:val="Hyperlink"/>
                <w:noProof/>
              </w:rPr>
              <w:t>2.5.1. Factors determining biochar properties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_Toc86504636 \h </w:instrText>
            </w:r>
            <w:r w:rsidR="00DE5FCE" w:rsidRPr="00216965">
              <w:rPr>
                <w:noProof/>
                <w:webHidden/>
              </w:rPr>
            </w:r>
            <w:r w:rsidR="00DE5FCE" w:rsidRPr="00216965">
              <w:rPr>
                <w:noProof/>
                <w:webHidden/>
              </w:rPr>
              <w:fldChar w:fldCharType="separate"/>
            </w:r>
            <w:r w:rsidR="00CE6CD2">
              <w:rPr>
                <w:noProof/>
                <w:webHidden/>
              </w:rPr>
              <w:t>19</w:t>
            </w:r>
            <w:r w:rsidR="00DE5FCE" w:rsidRPr="00216965">
              <w:rPr>
                <w:noProof/>
                <w:webHidden/>
              </w:rPr>
              <w:fldChar w:fldCharType="end"/>
            </w:r>
          </w:hyperlink>
        </w:p>
        <w:p w14:paraId="3746F96F" w14:textId="2DA50AEA"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7" w:history="1">
            <w:r w:rsidR="00DE5FCE" w:rsidRPr="00216965">
              <w:rPr>
                <w:rStyle w:val="Hyperlink"/>
                <w:rFonts w:eastAsia="Times New Roman"/>
                <w:noProof/>
              </w:rPr>
              <w:t>2.5.2. Immobilization of soil heavy metals by biochar</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_Toc86504637 \h </w:instrText>
            </w:r>
            <w:r w:rsidR="00DE5FCE" w:rsidRPr="00216965">
              <w:rPr>
                <w:noProof/>
                <w:webHidden/>
              </w:rPr>
            </w:r>
            <w:r w:rsidR="00DE5FCE" w:rsidRPr="00216965">
              <w:rPr>
                <w:noProof/>
                <w:webHidden/>
              </w:rPr>
              <w:fldChar w:fldCharType="separate"/>
            </w:r>
            <w:r w:rsidR="00CE6CD2">
              <w:rPr>
                <w:noProof/>
                <w:webHidden/>
              </w:rPr>
              <w:t>24</w:t>
            </w:r>
            <w:r w:rsidR="00DE5FCE" w:rsidRPr="00216965">
              <w:rPr>
                <w:noProof/>
                <w:webHidden/>
              </w:rPr>
              <w:fldChar w:fldCharType="end"/>
            </w:r>
          </w:hyperlink>
        </w:p>
        <w:p w14:paraId="38DBF416" w14:textId="35E830C6"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8" w:history="1">
            <w:r w:rsidR="00DE5FCE" w:rsidRPr="00216965">
              <w:rPr>
                <w:rStyle w:val="Hyperlink"/>
                <w:rFonts w:eastAsia="Times New Roman"/>
                <w:noProof/>
              </w:rPr>
              <w:t>2.5.3. Mechanisms responsible for the immobilization of heavy metals by biochar</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_Toc86504638 \h </w:instrText>
            </w:r>
            <w:r w:rsidR="00DE5FCE" w:rsidRPr="00216965">
              <w:rPr>
                <w:noProof/>
                <w:webHidden/>
              </w:rPr>
            </w:r>
            <w:r w:rsidR="00DE5FCE" w:rsidRPr="00216965">
              <w:rPr>
                <w:noProof/>
                <w:webHidden/>
              </w:rPr>
              <w:fldChar w:fldCharType="separate"/>
            </w:r>
            <w:r w:rsidR="00CE6CD2">
              <w:rPr>
                <w:noProof/>
                <w:webHidden/>
              </w:rPr>
              <w:t>25</w:t>
            </w:r>
            <w:r w:rsidR="00DE5FCE" w:rsidRPr="00216965">
              <w:rPr>
                <w:noProof/>
                <w:webHidden/>
              </w:rPr>
              <w:fldChar w:fldCharType="end"/>
            </w:r>
          </w:hyperlink>
        </w:p>
        <w:p w14:paraId="692FC4E2" w14:textId="3B806B26"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39" w:history="1">
            <w:r w:rsidR="00DE5FCE" w:rsidRPr="00216965">
              <w:rPr>
                <w:rStyle w:val="Hyperlink"/>
                <w:rFonts w:eastAsia="Times New Roman"/>
                <w:noProof/>
              </w:rPr>
              <w:t>2.5.4. Interaction of biochar with soil biota</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_Toc86504639 \h </w:instrText>
            </w:r>
            <w:r w:rsidR="00DE5FCE" w:rsidRPr="00216965">
              <w:rPr>
                <w:noProof/>
                <w:webHidden/>
              </w:rPr>
            </w:r>
            <w:r w:rsidR="00DE5FCE" w:rsidRPr="00216965">
              <w:rPr>
                <w:noProof/>
                <w:webHidden/>
              </w:rPr>
              <w:fldChar w:fldCharType="separate"/>
            </w:r>
            <w:r w:rsidR="00CE6CD2">
              <w:rPr>
                <w:noProof/>
                <w:webHidden/>
              </w:rPr>
              <w:t>27</w:t>
            </w:r>
            <w:r w:rsidR="00DE5FCE" w:rsidRPr="00216965">
              <w:rPr>
                <w:noProof/>
                <w:webHidden/>
              </w:rPr>
              <w:fldChar w:fldCharType="end"/>
            </w:r>
          </w:hyperlink>
        </w:p>
        <w:p w14:paraId="68A10A96" w14:textId="4E17A06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0" w:history="1">
            <w:r w:rsidR="00DE5FCE" w:rsidRPr="00216965">
              <w:rPr>
                <w:rStyle w:val="Hyperlink"/>
                <w:rFonts w:eastAsia="Times New Roman"/>
                <w:noProof/>
              </w:rPr>
              <w:t>2.5.5. Microorganisms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_Toc86504640 \h </w:instrText>
            </w:r>
            <w:r w:rsidR="00DE5FCE" w:rsidRPr="00216965">
              <w:rPr>
                <w:noProof/>
                <w:webHidden/>
              </w:rPr>
            </w:r>
            <w:r w:rsidR="00DE5FCE" w:rsidRPr="00216965">
              <w:rPr>
                <w:noProof/>
                <w:webHidden/>
              </w:rPr>
              <w:fldChar w:fldCharType="separate"/>
            </w:r>
            <w:r w:rsidR="00CE6CD2">
              <w:rPr>
                <w:noProof/>
                <w:webHidden/>
              </w:rPr>
              <w:t>28</w:t>
            </w:r>
            <w:r w:rsidR="00DE5FCE" w:rsidRPr="00216965">
              <w:rPr>
                <w:noProof/>
                <w:webHidden/>
              </w:rPr>
              <w:fldChar w:fldCharType="end"/>
            </w:r>
          </w:hyperlink>
        </w:p>
        <w:p w14:paraId="051FF955" w14:textId="7F2421D1"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1" w:history="1">
            <w:r w:rsidR="00DE5FCE" w:rsidRPr="00216965">
              <w:rPr>
                <w:rStyle w:val="Hyperlink"/>
                <w:rFonts w:eastAsia="Times New Roman"/>
                <w:noProof/>
              </w:rPr>
              <w:t>2.5.6. Plants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_Toc86504641 \h </w:instrText>
            </w:r>
            <w:r w:rsidR="00DE5FCE" w:rsidRPr="00216965">
              <w:rPr>
                <w:noProof/>
                <w:webHidden/>
              </w:rPr>
            </w:r>
            <w:r w:rsidR="00DE5FCE" w:rsidRPr="00216965">
              <w:rPr>
                <w:noProof/>
                <w:webHidden/>
              </w:rPr>
              <w:fldChar w:fldCharType="separate"/>
            </w:r>
            <w:r w:rsidR="00CE6CD2">
              <w:rPr>
                <w:noProof/>
                <w:webHidden/>
              </w:rPr>
              <w:t>30</w:t>
            </w:r>
            <w:r w:rsidR="00DE5FCE" w:rsidRPr="00216965">
              <w:rPr>
                <w:noProof/>
                <w:webHidden/>
              </w:rPr>
              <w:fldChar w:fldCharType="end"/>
            </w:r>
          </w:hyperlink>
        </w:p>
        <w:p w14:paraId="36ACE761" w14:textId="3439AB14"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2" w:history="1">
            <w:r w:rsidR="00DE5FCE" w:rsidRPr="00216965">
              <w:rPr>
                <w:rStyle w:val="Hyperlink"/>
                <w:rFonts w:eastAsia="Times New Roman"/>
                <w:noProof/>
              </w:rPr>
              <w:t>2.5.7. Monitoring toxicity of biochar-amended soils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_Toc86504642 \h </w:instrText>
            </w:r>
            <w:r w:rsidR="00DE5FCE" w:rsidRPr="00216965">
              <w:rPr>
                <w:noProof/>
                <w:webHidden/>
              </w:rPr>
            </w:r>
            <w:r w:rsidR="00DE5FCE" w:rsidRPr="00216965">
              <w:rPr>
                <w:noProof/>
                <w:webHidden/>
              </w:rPr>
              <w:fldChar w:fldCharType="separate"/>
            </w:r>
            <w:r w:rsidR="00CE6CD2">
              <w:rPr>
                <w:noProof/>
                <w:webHidden/>
              </w:rPr>
              <w:t>32</w:t>
            </w:r>
            <w:r w:rsidR="00DE5FCE" w:rsidRPr="00216965">
              <w:rPr>
                <w:noProof/>
                <w:webHidden/>
              </w:rPr>
              <w:fldChar w:fldCharType="end"/>
            </w:r>
          </w:hyperlink>
        </w:p>
        <w:p w14:paraId="2235423E" w14:textId="05DD46CA"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3" w:history="1">
            <w:r w:rsidR="00DE5FCE" w:rsidRPr="00216965">
              <w:rPr>
                <w:rStyle w:val="Hyperlink"/>
                <w:rFonts w:eastAsia="Times New Roman"/>
                <w:noProof/>
              </w:rPr>
              <w:t>2.5.8. Current uncertainties on biochar application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_Toc86504643 \h </w:instrText>
            </w:r>
            <w:r w:rsidR="00DE5FCE" w:rsidRPr="00216965">
              <w:rPr>
                <w:noProof/>
                <w:webHidden/>
              </w:rPr>
            </w:r>
            <w:r w:rsidR="00DE5FCE" w:rsidRPr="00216965">
              <w:rPr>
                <w:noProof/>
                <w:webHidden/>
              </w:rPr>
              <w:fldChar w:fldCharType="separate"/>
            </w:r>
            <w:r w:rsidR="00CE6CD2">
              <w:rPr>
                <w:noProof/>
                <w:webHidden/>
              </w:rPr>
              <w:t>36</w:t>
            </w:r>
            <w:r w:rsidR="00DE5FCE" w:rsidRPr="00216965">
              <w:rPr>
                <w:noProof/>
                <w:webHidden/>
              </w:rPr>
              <w:fldChar w:fldCharType="end"/>
            </w:r>
          </w:hyperlink>
        </w:p>
        <w:p w14:paraId="703AFB5E" w14:textId="62F38D0C" w:rsidR="00DE5FCE" w:rsidRPr="00216965" w:rsidRDefault="00BB30F1" w:rsidP="008A33DA">
          <w:pPr>
            <w:pStyle w:val="TOC1"/>
            <w:rPr>
              <w:rFonts w:asciiTheme="minorHAnsi" w:hAnsiTheme="minorHAnsi" w:cstheme="minorBidi"/>
              <w:noProof/>
              <w:sz w:val="22"/>
              <w:lang w:val="en-GB"/>
            </w:rPr>
          </w:pPr>
          <w:hyperlink w:anchor="_Toc86504644" w:history="1">
            <w:r w:rsidR="00DE5FCE" w:rsidRPr="00216965">
              <w:rPr>
                <w:rStyle w:val="Hyperlink"/>
                <w:noProof/>
              </w:rPr>
              <w:t>Chapter 3: The relationship between properties of plant-based biochars and sorption of Cd(II), Pb(II) and Zn(II) in soil model systems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_Toc86504644 \h </w:instrText>
            </w:r>
            <w:r w:rsidR="00DE5FCE" w:rsidRPr="00216965">
              <w:rPr>
                <w:noProof/>
                <w:webHidden/>
              </w:rPr>
            </w:r>
            <w:r w:rsidR="00DE5FCE" w:rsidRPr="00216965">
              <w:rPr>
                <w:noProof/>
                <w:webHidden/>
              </w:rPr>
              <w:fldChar w:fldCharType="separate"/>
            </w:r>
            <w:r w:rsidR="00CE6CD2">
              <w:rPr>
                <w:noProof/>
                <w:webHidden/>
              </w:rPr>
              <w:t>38</w:t>
            </w:r>
            <w:r w:rsidR="00DE5FCE" w:rsidRPr="00216965">
              <w:rPr>
                <w:noProof/>
                <w:webHidden/>
              </w:rPr>
              <w:fldChar w:fldCharType="end"/>
            </w:r>
          </w:hyperlink>
        </w:p>
        <w:p w14:paraId="21CA43DB" w14:textId="45E16D10"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45" w:history="1">
            <w:r w:rsidR="00DE5FCE" w:rsidRPr="00216965">
              <w:rPr>
                <w:rStyle w:val="Hyperlink"/>
                <w:noProof/>
              </w:rPr>
              <w:t>3.1. Introduction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_Toc86504645 \h </w:instrText>
            </w:r>
            <w:r w:rsidR="00DE5FCE" w:rsidRPr="00216965">
              <w:rPr>
                <w:noProof/>
                <w:webHidden/>
              </w:rPr>
            </w:r>
            <w:r w:rsidR="00DE5FCE" w:rsidRPr="00216965">
              <w:rPr>
                <w:noProof/>
                <w:webHidden/>
              </w:rPr>
              <w:fldChar w:fldCharType="separate"/>
            </w:r>
            <w:r w:rsidR="00CE6CD2">
              <w:rPr>
                <w:noProof/>
                <w:webHidden/>
              </w:rPr>
              <w:t>38</w:t>
            </w:r>
            <w:r w:rsidR="00DE5FCE" w:rsidRPr="00216965">
              <w:rPr>
                <w:noProof/>
                <w:webHidden/>
              </w:rPr>
              <w:fldChar w:fldCharType="end"/>
            </w:r>
          </w:hyperlink>
        </w:p>
        <w:p w14:paraId="6799E207" w14:textId="64E7F0A7"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46" w:history="1">
            <w:r w:rsidR="00DE5FCE" w:rsidRPr="00216965">
              <w:rPr>
                <w:rStyle w:val="Hyperlink"/>
                <w:noProof/>
              </w:rPr>
              <w:t>3.2. Materials and Methods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_Toc86504646 \h </w:instrText>
            </w:r>
            <w:r w:rsidR="00DE5FCE" w:rsidRPr="00216965">
              <w:rPr>
                <w:noProof/>
                <w:webHidden/>
              </w:rPr>
            </w:r>
            <w:r w:rsidR="00DE5FCE" w:rsidRPr="00216965">
              <w:rPr>
                <w:noProof/>
                <w:webHidden/>
              </w:rPr>
              <w:fldChar w:fldCharType="separate"/>
            </w:r>
            <w:r w:rsidR="00CE6CD2">
              <w:rPr>
                <w:noProof/>
                <w:webHidden/>
              </w:rPr>
              <w:t>39</w:t>
            </w:r>
            <w:r w:rsidR="00DE5FCE" w:rsidRPr="00216965">
              <w:rPr>
                <w:noProof/>
                <w:webHidden/>
              </w:rPr>
              <w:fldChar w:fldCharType="end"/>
            </w:r>
          </w:hyperlink>
        </w:p>
        <w:p w14:paraId="15810C99" w14:textId="4B79542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7" w:history="1">
            <w:r w:rsidR="00DE5FCE" w:rsidRPr="00216965">
              <w:rPr>
                <w:rStyle w:val="Hyperlink"/>
                <w:noProof/>
              </w:rPr>
              <w:t>3.2.1. Biochar description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_Toc86504647 \h </w:instrText>
            </w:r>
            <w:r w:rsidR="00DE5FCE" w:rsidRPr="00216965">
              <w:rPr>
                <w:noProof/>
                <w:webHidden/>
              </w:rPr>
            </w:r>
            <w:r w:rsidR="00DE5FCE" w:rsidRPr="00216965">
              <w:rPr>
                <w:noProof/>
                <w:webHidden/>
              </w:rPr>
              <w:fldChar w:fldCharType="separate"/>
            </w:r>
            <w:r w:rsidR="00CE6CD2">
              <w:rPr>
                <w:noProof/>
                <w:webHidden/>
              </w:rPr>
              <w:t>39</w:t>
            </w:r>
            <w:r w:rsidR="00DE5FCE" w:rsidRPr="00216965">
              <w:rPr>
                <w:noProof/>
                <w:webHidden/>
              </w:rPr>
              <w:fldChar w:fldCharType="end"/>
            </w:r>
          </w:hyperlink>
        </w:p>
        <w:p w14:paraId="12CD0C32" w14:textId="163BFDBB"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8" w:history="1">
            <w:r w:rsidR="00DE5FCE" w:rsidRPr="00216965">
              <w:rPr>
                <w:rStyle w:val="Hyperlink"/>
                <w:noProof/>
              </w:rPr>
              <w:t>3.2.2. Biochar characterization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_Toc86504648 \h </w:instrText>
            </w:r>
            <w:r w:rsidR="00DE5FCE" w:rsidRPr="00216965">
              <w:rPr>
                <w:noProof/>
                <w:webHidden/>
              </w:rPr>
            </w:r>
            <w:r w:rsidR="00DE5FCE" w:rsidRPr="00216965">
              <w:rPr>
                <w:noProof/>
                <w:webHidden/>
              </w:rPr>
              <w:fldChar w:fldCharType="separate"/>
            </w:r>
            <w:r w:rsidR="00CE6CD2">
              <w:rPr>
                <w:noProof/>
                <w:webHidden/>
              </w:rPr>
              <w:t>39</w:t>
            </w:r>
            <w:r w:rsidR="00DE5FCE" w:rsidRPr="00216965">
              <w:rPr>
                <w:noProof/>
                <w:webHidden/>
              </w:rPr>
              <w:fldChar w:fldCharType="end"/>
            </w:r>
          </w:hyperlink>
        </w:p>
        <w:p w14:paraId="5F599FFF" w14:textId="663A04E3"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49" w:history="1">
            <w:r w:rsidR="00DE5FCE" w:rsidRPr="00216965">
              <w:rPr>
                <w:rStyle w:val="Hyperlink"/>
                <w:noProof/>
              </w:rPr>
              <w:t>3.2.3. Adsorption experiments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_Toc86504649 \h </w:instrText>
            </w:r>
            <w:r w:rsidR="00DE5FCE" w:rsidRPr="00216965">
              <w:rPr>
                <w:noProof/>
                <w:webHidden/>
              </w:rPr>
            </w:r>
            <w:r w:rsidR="00DE5FCE" w:rsidRPr="00216965">
              <w:rPr>
                <w:noProof/>
                <w:webHidden/>
              </w:rPr>
              <w:fldChar w:fldCharType="separate"/>
            </w:r>
            <w:r w:rsidR="00CE6CD2">
              <w:rPr>
                <w:noProof/>
                <w:webHidden/>
              </w:rPr>
              <w:t>40</w:t>
            </w:r>
            <w:r w:rsidR="00DE5FCE" w:rsidRPr="00216965">
              <w:rPr>
                <w:noProof/>
                <w:webHidden/>
              </w:rPr>
              <w:fldChar w:fldCharType="end"/>
            </w:r>
          </w:hyperlink>
        </w:p>
        <w:p w14:paraId="0C5BDE92" w14:textId="6D125DF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0" w:history="1">
            <w:r w:rsidR="00DE5FCE" w:rsidRPr="00216965">
              <w:rPr>
                <w:rStyle w:val="Hyperlink"/>
                <w:noProof/>
              </w:rPr>
              <w:t>3.2.4. Sorption models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_Toc86504650 \h </w:instrText>
            </w:r>
            <w:r w:rsidR="00DE5FCE" w:rsidRPr="00216965">
              <w:rPr>
                <w:noProof/>
                <w:webHidden/>
              </w:rPr>
            </w:r>
            <w:r w:rsidR="00DE5FCE" w:rsidRPr="00216965">
              <w:rPr>
                <w:noProof/>
                <w:webHidden/>
              </w:rPr>
              <w:fldChar w:fldCharType="separate"/>
            </w:r>
            <w:r w:rsidR="00CE6CD2">
              <w:rPr>
                <w:noProof/>
                <w:webHidden/>
              </w:rPr>
              <w:t>43</w:t>
            </w:r>
            <w:r w:rsidR="00DE5FCE" w:rsidRPr="00216965">
              <w:rPr>
                <w:noProof/>
                <w:webHidden/>
              </w:rPr>
              <w:fldChar w:fldCharType="end"/>
            </w:r>
          </w:hyperlink>
        </w:p>
        <w:p w14:paraId="3B762DDA" w14:textId="32660587"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1" w:history="1">
            <w:r w:rsidR="00DE5FCE" w:rsidRPr="00216965">
              <w:rPr>
                <w:rStyle w:val="Hyperlink"/>
                <w:noProof/>
              </w:rPr>
              <w:t>3.2.5. Statistical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_Toc86504651 \h </w:instrText>
            </w:r>
            <w:r w:rsidR="00DE5FCE" w:rsidRPr="00216965">
              <w:rPr>
                <w:noProof/>
                <w:webHidden/>
              </w:rPr>
            </w:r>
            <w:r w:rsidR="00DE5FCE" w:rsidRPr="00216965">
              <w:rPr>
                <w:noProof/>
                <w:webHidden/>
              </w:rPr>
              <w:fldChar w:fldCharType="separate"/>
            </w:r>
            <w:r w:rsidR="00CE6CD2">
              <w:rPr>
                <w:noProof/>
                <w:webHidden/>
              </w:rPr>
              <w:t>45</w:t>
            </w:r>
            <w:r w:rsidR="00DE5FCE" w:rsidRPr="00216965">
              <w:rPr>
                <w:noProof/>
                <w:webHidden/>
              </w:rPr>
              <w:fldChar w:fldCharType="end"/>
            </w:r>
          </w:hyperlink>
        </w:p>
        <w:p w14:paraId="3FC9E17B" w14:textId="62DF7B21"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52" w:history="1">
            <w:r w:rsidR="00DE5FCE" w:rsidRPr="00216965">
              <w:rPr>
                <w:rStyle w:val="Hyperlink"/>
                <w:noProof/>
              </w:rPr>
              <w:t>3.3. Results and discussion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_Toc86504652 \h </w:instrText>
            </w:r>
            <w:r w:rsidR="00DE5FCE" w:rsidRPr="00216965">
              <w:rPr>
                <w:noProof/>
                <w:webHidden/>
              </w:rPr>
            </w:r>
            <w:r w:rsidR="00DE5FCE" w:rsidRPr="00216965">
              <w:rPr>
                <w:noProof/>
                <w:webHidden/>
              </w:rPr>
              <w:fldChar w:fldCharType="separate"/>
            </w:r>
            <w:r w:rsidR="00CE6CD2">
              <w:rPr>
                <w:noProof/>
                <w:webHidden/>
              </w:rPr>
              <w:t>46</w:t>
            </w:r>
            <w:r w:rsidR="00DE5FCE" w:rsidRPr="00216965">
              <w:rPr>
                <w:noProof/>
                <w:webHidden/>
              </w:rPr>
              <w:fldChar w:fldCharType="end"/>
            </w:r>
          </w:hyperlink>
        </w:p>
        <w:p w14:paraId="3EDC0AFE" w14:textId="6678F7F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3" w:history="1">
            <w:r w:rsidR="00DE5FCE" w:rsidRPr="00216965">
              <w:rPr>
                <w:rStyle w:val="Hyperlink"/>
                <w:noProof/>
              </w:rPr>
              <w:t>3.3.1. Biochar characterization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_Toc86504653 \h </w:instrText>
            </w:r>
            <w:r w:rsidR="00DE5FCE" w:rsidRPr="00216965">
              <w:rPr>
                <w:noProof/>
                <w:webHidden/>
              </w:rPr>
            </w:r>
            <w:r w:rsidR="00DE5FCE" w:rsidRPr="00216965">
              <w:rPr>
                <w:noProof/>
                <w:webHidden/>
              </w:rPr>
              <w:fldChar w:fldCharType="separate"/>
            </w:r>
            <w:r w:rsidR="00CE6CD2">
              <w:rPr>
                <w:noProof/>
                <w:webHidden/>
              </w:rPr>
              <w:t>46</w:t>
            </w:r>
            <w:r w:rsidR="00DE5FCE" w:rsidRPr="00216965">
              <w:rPr>
                <w:noProof/>
                <w:webHidden/>
              </w:rPr>
              <w:fldChar w:fldCharType="end"/>
            </w:r>
          </w:hyperlink>
        </w:p>
        <w:p w14:paraId="1A9E8DEA" w14:textId="6E62A7B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4" w:history="1">
            <w:r w:rsidR="00DE5FCE" w:rsidRPr="00216965">
              <w:rPr>
                <w:rStyle w:val="Hyperlink"/>
                <w:noProof/>
              </w:rPr>
              <w:t>3.3.2. HMs sorption experiments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_Toc86504654 \h </w:instrText>
            </w:r>
            <w:r w:rsidR="00DE5FCE" w:rsidRPr="00216965">
              <w:rPr>
                <w:noProof/>
                <w:webHidden/>
              </w:rPr>
            </w:r>
            <w:r w:rsidR="00DE5FCE" w:rsidRPr="00216965">
              <w:rPr>
                <w:noProof/>
                <w:webHidden/>
              </w:rPr>
              <w:fldChar w:fldCharType="separate"/>
            </w:r>
            <w:r w:rsidR="00CE6CD2">
              <w:rPr>
                <w:noProof/>
                <w:webHidden/>
              </w:rPr>
              <w:t>47</w:t>
            </w:r>
            <w:r w:rsidR="00DE5FCE" w:rsidRPr="00216965">
              <w:rPr>
                <w:noProof/>
                <w:webHidden/>
              </w:rPr>
              <w:fldChar w:fldCharType="end"/>
            </w:r>
          </w:hyperlink>
        </w:p>
        <w:p w14:paraId="4FB7031A" w14:textId="66BDA9FE"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5" w:history="1">
            <w:r w:rsidR="00DE5FCE" w:rsidRPr="00216965">
              <w:rPr>
                <w:rStyle w:val="Hyperlink"/>
                <w:noProof/>
              </w:rPr>
              <w:t>3.3.3. Nature of sorption interactions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_Toc86504655 \h </w:instrText>
            </w:r>
            <w:r w:rsidR="00DE5FCE" w:rsidRPr="00216965">
              <w:rPr>
                <w:noProof/>
                <w:webHidden/>
              </w:rPr>
            </w:r>
            <w:r w:rsidR="00DE5FCE" w:rsidRPr="00216965">
              <w:rPr>
                <w:noProof/>
                <w:webHidden/>
              </w:rPr>
              <w:fldChar w:fldCharType="separate"/>
            </w:r>
            <w:r w:rsidR="00CE6CD2">
              <w:rPr>
                <w:noProof/>
                <w:webHidden/>
              </w:rPr>
              <w:t>56</w:t>
            </w:r>
            <w:r w:rsidR="00DE5FCE" w:rsidRPr="00216965">
              <w:rPr>
                <w:noProof/>
                <w:webHidden/>
              </w:rPr>
              <w:fldChar w:fldCharType="end"/>
            </w:r>
          </w:hyperlink>
        </w:p>
        <w:p w14:paraId="3AFEE605" w14:textId="10483680"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6" w:history="1">
            <w:r w:rsidR="00DE5FCE" w:rsidRPr="00216965">
              <w:rPr>
                <w:rStyle w:val="Hyperlink"/>
                <w:noProof/>
              </w:rPr>
              <w:t>3.3.4. Scanning electron microscopy with energy dispersive X-ray spectroscopy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_Toc86504656 \h </w:instrText>
            </w:r>
            <w:r w:rsidR="00DE5FCE" w:rsidRPr="00216965">
              <w:rPr>
                <w:noProof/>
                <w:webHidden/>
              </w:rPr>
            </w:r>
            <w:r w:rsidR="00DE5FCE" w:rsidRPr="00216965">
              <w:rPr>
                <w:noProof/>
                <w:webHidden/>
              </w:rPr>
              <w:fldChar w:fldCharType="separate"/>
            </w:r>
            <w:r w:rsidR="00CE6CD2">
              <w:rPr>
                <w:noProof/>
                <w:webHidden/>
              </w:rPr>
              <w:t>61</w:t>
            </w:r>
            <w:r w:rsidR="00DE5FCE" w:rsidRPr="00216965">
              <w:rPr>
                <w:noProof/>
                <w:webHidden/>
              </w:rPr>
              <w:fldChar w:fldCharType="end"/>
            </w:r>
          </w:hyperlink>
        </w:p>
        <w:p w14:paraId="5FCB2508" w14:textId="66D79B55"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7" w:history="1">
            <w:r w:rsidR="00DE5FCE" w:rsidRPr="00216965">
              <w:rPr>
                <w:rStyle w:val="Hyperlink"/>
                <w:noProof/>
              </w:rPr>
              <w:t>3.3.5. Competitive sorption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_Toc86504657 \h </w:instrText>
            </w:r>
            <w:r w:rsidR="00DE5FCE" w:rsidRPr="00216965">
              <w:rPr>
                <w:noProof/>
                <w:webHidden/>
              </w:rPr>
            </w:r>
            <w:r w:rsidR="00DE5FCE" w:rsidRPr="00216965">
              <w:rPr>
                <w:noProof/>
                <w:webHidden/>
              </w:rPr>
              <w:fldChar w:fldCharType="separate"/>
            </w:r>
            <w:r w:rsidR="00CE6CD2">
              <w:rPr>
                <w:noProof/>
                <w:webHidden/>
              </w:rPr>
              <w:t>63</w:t>
            </w:r>
            <w:r w:rsidR="00DE5FCE" w:rsidRPr="00216965">
              <w:rPr>
                <w:noProof/>
                <w:webHidden/>
              </w:rPr>
              <w:fldChar w:fldCharType="end"/>
            </w:r>
          </w:hyperlink>
        </w:p>
        <w:p w14:paraId="0F588E3C" w14:textId="13177351"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8" w:history="1">
            <w:r w:rsidR="00DE5FCE" w:rsidRPr="00216965">
              <w:rPr>
                <w:rStyle w:val="Hyperlink"/>
                <w:noProof/>
              </w:rPr>
              <w:t>3.3.6. Linking biochar properties to HMs immobilization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_Toc86504658 \h </w:instrText>
            </w:r>
            <w:r w:rsidR="00DE5FCE" w:rsidRPr="00216965">
              <w:rPr>
                <w:noProof/>
                <w:webHidden/>
              </w:rPr>
            </w:r>
            <w:r w:rsidR="00DE5FCE" w:rsidRPr="00216965">
              <w:rPr>
                <w:noProof/>
                <w:webHidden/>
              </w:rPr>
              <w:fldChar w:fldCharType="separate"/>
            </w:r>
            <w:r w:rsidR="00CE6CD2">
              <w:rPr>
                <w:noProof/>
                <w:webHidden/>
              </w:rPr>
              <w:t>65</w:t>
            </w:r>
            <w:r w:rsidR="00DE5FCE" w:rsidRPr="00216965">
              <w:rPr>
                <w:noProof/>
                <w:webHidden/>
              </w:rPr>
              <w:fldChar w:fldCharType="end"/>
            </w:r>
          </w:hyperlink>
        </w:p>
        <w:p w14:paraId="53553D9B" w14:textId="2311C8E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59" w:history="1">
            <w:r w:rsidR="00DE5FCE" w:rsidRPr="00216965">
              <w:rPr>
                <w:rStyle w:val="Hyperlink"/>
                <w:noProof/>
              </w:rPr>
              <w:t>3.3.7. Models describing HM sorption potential</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_Toc86504659 \h </w:instrText>
            </w:r>
            <w:r w:rsidR="00DE5FCE" w:rsidRPr="00216965">
              <w:rPr>
                <w:noProof/>
                <w:webHidden/>
              </w:rPr>
            </w:r>
            <w:r w:rsidR="00DE5FCE" w:rsidRPr="00216965">
              <w:rPr>
                <w:noProof/>
                <w:webHidden/>
              </w:rPr>
              <w:fldChar w:fldCharType="separate"/>
            </w:r>
            <w:r w:rsidR="00CE6CD2">
              <w:rPr>
                <w:noProof/>
                <w:webHidden/>
              </w:rPr>
              <w:t>68</w:t>
            </w:r>
            <w:r w:rsidR="00DE5FCE" w:rsidRPr="00216965">
              <w:rPr>
                <w:noProof/>
                <w:webHidden/>
              </w:rPr>
              <w:fldChar w:fldCharType="end"/>
            </w:r>
          </w:hyperlink>
        </w:p>
        <w:p w14:paraId="08294ACA" w14:textId="05AC4ABF"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60" w:history="1">
            <w:r w:rsidR="00DE5FCE" w:rsidRPr="00216965">
              <w:rPr>
                <w:rStyle w:val="Hyperlink"/>
                <w:noProof/>
              </w:rPr>
              <w:t>3.4. Conclusions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_Toc86504660 \h </w:instrText>
            </w:r>
            <w:r w:rsidR="00DE5FCE" w:rsidRPr="00216965">
              <w:rPr>
                <w:noProof/>
                <w:webHidden/>
              </w:rPr>
            </w:r>
            <w:r w:rsidR="00DE5FCE" w:rsidRPr="00216965">
              <w:rPr>
                <w:noProof/>
                <w:webHidden/>
              </w:rPr>
              <w:fldChar w:fldCharType="separate"/>
            </w:r>
            <w:r w:rsidR="00CE6CD2">
              <w:rPr>
                <w:noProof/>
                <w:webHidden/>
              </w:rPr>
              <w:t>69</w:t>
            </w:r>
            <w:r w:rsidR="00DE5FCE" w:rsidRPr="00216965">
              <w:rPr>
                <w:noProof/>
                <w:webHidden/>
              </w:rPr>
              <w:fldChar w:fldCharType="end"/>
            </w:r>
          </w:hyperlink>
        </w:p>
        <w:p w14:paraId="3326D4F1" w14:textId="7761DBD8" w:rsidR="00DE5FCE" w:rsidRPr="00216965" w:rsidRDefault="00BB30F1" w:rsidP="008A33DA">
          <w:pPr>
            <w:pStyle w:val="TOC1"/>
            <w:rPr>
              <w:rFonts w:asciiTheme="minorHAnsi" w:hAnsiTheme="minorHAnsi" w:cstheme="minorBidi"/>
              <w:noProof/>
              <w:sz w:val="22"/>
              <w:lang w:val="en-GB"/>
            </w:rPr>
          </w:pPr>
          <w:hyperlink w:anchor="_Toc86504661" w:history="1">
            <w:r w:rsidR="00DE5FCE" w:rsidRPr="00216965">
              <w:rPr>
                <w:rStyle w:val="Hyperlink"/>
                <w:noProof/>
              </w:rPr>
              <w:t>Chapter 4: Potential of biochar to reduce toxicity of Cd(II), Pb(II) and Zn(II) to plants in a controlled environment incubation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_Toc86504661 \h </w:instrText>
            </w:r>
            <w:r w:rsidR="00DE5FCE" w:rsidRPr="00216965">
              <w:rPr>
                <w:noProof/>
                <w:webHidden/>
              </w:rPr>
            </w:r>
            <w:r w:rsidR="00DE5FCE" w:rsidRPr="00216965">
              <w:rPr>
                <w:noProof/>
                <w:webHidden/>
              </w:rPr>
              <w:fldChar w:fldCharType="separate"/>
            </w:r>
            <w:r w:rsidR="00CE6CD2">
              <w:rPr>
                <w:noProof/>
                <w:webHidden/>
              </w:rPr>
              <w:t>71</w:t>
            </w:r>
            <w:r w:rsidR="00DE5FCE" w:rsidRPr="00216965">
              <w:rPr>
                <w:noProof/>
                <w:webHidden/>
              </w:rPr>
              <w:fldChar w:fldCharType="end"/>
            </w:r>
          </w:hyperlink>
        </w:p>
        <w:p w14:paraId="73C3E5CF" w14:textId="0895BA5B"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62" w:history="1">
            <w:r w:rsidR="00DE5FCE" w:rsidRPr="00216965">
              <w:rPr>
                <w:rStyle w:val="Hyperlink"/>
                <w:noProof/>
              </w:rPr>
              <w:t>4.1. Introduction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_Toc86504662 \h </w:instrText>
            </w:r>
            <w:r w:rsidR="00DE5FCE" w:rsidRPr="00216965">
              <w:rPr>
                <w:noProof/>
                <w:webHidden/>
              </w:rPr>
            </w:r>
            <w:r w:rsidR="00DE5FCE" w:rsidRPr="00216965">
              <w:rPr>
                <w:noProof/>
                <w:webHidden/>
              </w:rPr>
              <w:fldChar w:fldCharType="separate"/>
            </w:r>
            <w:r w:rsidR="00CE6CD2">
              <w:rPr>
                <w:noProof/>
                <w:webHidden/>
              </w:rPr>
              <w:t>71</w:t>
            </w:r>
            <w:r w:rsidR="00DE5FCE" w:rsidRPr="00216965">
              <w:rPr>
                <w:noProof/>
                <w:webHidden/>
              </w:rPr>
              <w:fldChar w:fldCharType="end"/>
            </w:r>
          </w:hyperlink>
        </w:p>
        <w:p w14:paraId="3D54223F" w14:textId="5C9F8CC3"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63" w:history="1">
            <w:r w:rsidR="00DE5FCE" w:rsidRPr="00216965">
              <w:rPr>
                <w:rStyle w:val="Hyperlink"/>
                <w:noProof/>
              </w:rPr>
              <w:t>4.2. Materials and methods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_Toc86504663 \h </w:instrText>
            </w:r>
            <w:r w:rsidR="00DE5FCE" w:rsidRPr="00216965">
              <w:rPr>
                <w:noProof/>
                <w:webHidden/>
              </w:rPr>
            </w:r>
            <w:r w:rsidR="00DE5FCE" w:rsidRPr="00216965">
              <w:rPr>
                <w:noProof/>
                <w:webHidden/>
              </w:rPr>
              <w:fldChar w:fldCharType="separate"/>
            </w:r>
            <w:r w:rsidR="00CE6CD2">
              <w:rPr>
                <w:noProof/>
                <w:webHidden/>
              </w:rPr>
              <w:t>73</w:t>
            </w:r>
            <w:r w:rsidR="00DE5FCE" w:rsidRPr="00216965">
              <w:rPr>
                <w:noProof/>
                <w:webHidden/>
              </w:rPr>
              <w:fldChar w:fldCharType="end"/>
            </w:r>
          </w:hyperlink>
        </w:p>
        <w:p w14:paraId="5FB2A207" w14:textId="328C6D06"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64" w:history="1">
            <w:r w:rsidR="00DE5FCE" w:rsidRPr="00216965">
              <w:rPr>
                <w:rStyle w:val="Hyperlink"/>
                <w:noProof/>
              </w:rPr>
              <w:t>4.2.1. Biochar selection and preparation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_Toc86504664 \h </w:instrText>
            </w:r>
            <w:r w:rsidR="00DE5FCE" w:rsidRPr="00216965">
              <w:rPr>
                <w:noProof/>
                <w:webHidden/>
              </w:rPr>
            </w:r>
            <w:r w:rsidR="00DE5FCE" w:rsidRPr="00216965">
              <w:rPr>
                <w:noProof/>
                <w:webHidden/>
              </w:rPr>
              <w:fldChar w:fldCharType="separate"/>
            </w:r>
            <w:r w:rsidR="00CE6CD2">
              <w:rPr>
                <w:noProof/>
                <w:webHidden/>
              </w:rPr>
              <w:t>73</w:t>
            </w:r>
            <w:r w:rsidR="00DE5FCE" w:rsidRPr="00216965">
              <w:rPr>
                <w:noProof/>
                <w:webHidden/>
              </w:rPr>
              <w:fldChar w:fldCharType="end"/>
            </w:r>
          </w:hyperlink>
        </w:p>
        <w:p w14:paraId="62FEC9E5" w14:textId="530CC6D9"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65" w:history="1">
            <w:r w:rsidR="00DE5FCE" w:rsidRPr="00216965">
              <w:rPr>
                <w:rStyle w:val="Hyperlink"/>
                <w:noProof/>
              </w:rPr>
              <w:t>4.2.2. Soil characterization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_Toc86504665 \h </w:instrText>
            </w:r>
            <w:r w:rsidR="00DE5FCE" w:rsidRPr="00216965">
              <w:rPr>
                <w:noProof/>
                <w:webHidden/>
              </w:rPr>
            </w:r>
            <w:r w:rsidR="00DE5FCE" w:rsidRPr="00216965">
              <w:rPr>
                <w:noProof/>
                <w:webHidden/>
              </w:rPr>
              <w:fldChar w:fldCharType="separate"/>
            </w:r>
            <w:r w:rsidR="00CE6CD2">
              <w:rPr>
                <w:noProof/>
                <w:webHidden/>
              </w:rPr>
              <w:t>73</w:t>
            </w:r>
            <w:r w:rsidR="00DE5FCE" w:rsidRPr="00216965">
              <w:rPr>
                <w:noProof/>
                <w:webHidden/>
              </w:rPr>
              <w:fldChar w:fldCharType="end"/>
            </w:r>
          </w:hyperlink>
        </w:p>
        <w:p w14:paraId="639450D9" w14:textId="3020D31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66" w:history="1">
            <w:r w:rsidR="00DE5FCE" w:rsidRPr="00216965">
              <w:rPr>
                <w:rStyle w:val="Hyperlink"/>
                <w:noProof/>
              </w:rPr>
              <w:t>4.2.3. Heavy metal contamination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_Toc86504666 \h </w:instrText>
            </w:r>
            <w:r w:rsidR="00DE5FCE" w:rsidRPr="00216965">
              <w:rPr>
                <w:noProof/>
                <w:webHidden/>
              </w:rPr>
            </w:r>
            <w:r w:rsidR="00DE5FCE" w:rsidRPr="00216965">
              <w:rPr>
                <w:noProof/>
                <w:webHidden/>
              </w:rPr>
              <w:fldChar w:fldCharType="separate"/>
            </w:r>
            <w:r w:rsidR="00CE6CD2">
              <w:rPr>
                <w:noProof/>
                <w:webHidden/>
              </w:rPr>
              <w:t>73</w:t>
            </w:r>
            <w:r w:rsidR="00DE5FCE" w:rsidRPr="00216965">
              <w:rPr>
                <w:noProof/>
                <w:webHidden/>
              </w:rPr>
              <w:fldChar w:fldCharType="end"/>
            </w:r>
          </w:hyperlink>
        </w:p>
        <w:p w14:paraId="4BEE7BEF" w14:textId="0FC0A840"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67" w:history="1">
            <w:r w:rsidR="00DE5FCE" w:rsidRPr="00216965">
              <w:rPr>
                <w:rStyle w:val="Hyperlink"/>
                <w:noProof/>
              </w:rPr>
              <w:t xml:space="preserve">4.2.4. Experiment A: Controlled environment incubations with </w:t>
            </w:r>
            <w:r w:rsidR="00DE5FCE" w:rsidRPr="00216965">
              <w:rPr>
                <w:rStyle w:val="Hyperlink"/>
                <w:i/>
                <w:noProof/>
              </w:rPr>
              <w:t>Arabidopsis thaliana-Col 0</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_Toc86504667 \h </w:instrText>
            </w:r>
            <w:r w:rsidR="00DE5FCE" w:rsidRPr="00216965">
              <w:rPr>
                <w:noProof/>
                <w:webHidden/>
              </w:rPr>
            </w:r>
            <w:r w:rsidR="00DE5FCE" w:rsidRPr="00216965">
              <w:rPr>
                <w:noProof/>
                <w:webHidden/>
              </w:rPr>
              <w:fldChar w:fldCharType="separate"/>
            </w:r>
            <w:r w:rsidR="00CE6CD2">
              <w:rPr>
                <w:noProof/>
                <w:webHidden/>
              </w:rPr>
              <w:t>74</w:t>
            </w:r>
            <w:r w:rsidR="00DE5FCE" w:rsidRPr="00216965">
              <w:rPr>
                <w:noProof/>
                <w:webHidden/>
              </w:rPr>
              <w:fldChar w:fldCharType="end"/>
            </w:r>
          </w:hyperlink>
        </w:p>
        <w:p w14:paraId="17155745" w14:textId="2E7D2230"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68" w:history="1">
            <w:r w:rsidR="00DE5FCE" w:rsidRPr="00216965">
              <w:rPr>
                <w:rStyle w:val="Hyperlink"/>
                <w:noProof/>
              </w:rPr>
              <w:t xml:space="preserve">4.2.5. Experiment B: Controlled environment incubations with </w:t>
            </w:r>
            <w:r w:rsidR="00F24567" w:rsidRPr="00216965">
              <w:rPr>
                <w:rStyle w:val="Hyperlink"/>
                <w:noProof/>
              </w:rPr>
              <w:t>White</w:t>
            </w:r>
            <w:r w:rsidR="00DE5FCE" w:rsidRPr="00216965">
              <w:rPr>
                <w:rStyle w:val="Hyperlink"/>
                <w:noProof/>
              </w:rPr>
              <w:t xml:space="preserve"> Mustard and Lolium perenne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_Toc86504668 \h </w:instrText>
            </w:r>
            <w:r w:rsidR="00DE5FCE" w:rsidRPr="00216965">
              <w:rPr>
                <w:noProof/>
                <w:webHidden/>
              </w:rPr>
            </w:r>
            <w:r w:rsidR="00DE5FCE" w:rsidRPr="00216965">
              <w:rPr>
                <w:noProof/>
                <w:webHidden/>
              </w:rPr>
              <w:fldChar w:fldCharType="separate"/>
            </w:r>
            <w:r w:rsidR="00CE6CD2">
              <w:rPr>
                <w:noProof/>
                <w:webHidden/>
              </w:rPr>
              <w:t>78</w:t>
            </w:r>
            <w:r w:rsidR="00DE5FCE" w:rsidRPr="00216965">
              <w:rPr>
                <w:noProof/>
                <w:webHidden/>
              </w:rPr>
              <w:fldChar w:fldCharType="end"/>
            </w:r>
          </w:hyperlink>
        </w:p>
        <w:p w14:paraId="28C1A492" w14:textId="7866DADB"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69" w:history="1">
            <w:r w:rsidR="00DE5FCE" w:rsidRPr="00216965">
              <w:rPr>
                <w:rStyle w:val="Hyperlink"/>
                <w:noProof/>
              </w:rPr>
              <w:t>4.3. Results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_Toc86504669 \h </w:instrText>
            </w:r>
            <w:r w:rsidR="00DE5FCE" w:rsidRPr="00216965">
              <w:rPr>
                <w:noProof/>
                <w:webHidden/>
              </w:rPr>
            </w:r>
            <w:r w:rsidR="00DE5FCE" w:rsidRPr="00216965">
              <w:rPr>
                <w:noProof/>
                <w:webHidden/>
              </w:rPr>
              <w:fldChar w:fldCharType="separate"/>
            </w:r>
            <w:r w:rsidR="00CE6CD2">
              <w:rPr>
                <w:noProof/>
                <w:webHidden/>
              </w:rPr>
              <w:t>80</w:t>
            </w:r>
            <w:r w:rsidR="00DE5FCE" w:rsidRPr="00216965">
              <w:rPr>
                <w:noProof/>
                <w:webHidden/>
              </w:rPr>
              <w:fldChar w:fldCharType="end"/>
            </w:r>
          </w:hyperlink>
        </w:p>
        <w:p w14:paraId="27D338DA" w14:textId="4CAC49F6"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0" w:history="1">
            <w:r w:rsidR="00DE5FCE" w:rsidRPr="00216965">
              <w:rPr>
                <w:rStyle w:val="Hyperlink"/>
                <w:noProof/>
              </w:rPr>
              <w:t>4.3.1. Total and bioavailable concentration of HMs in spiked soil</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_Toc86504670 \h </w:instrText>
            </w:r>
            <w:r w:rsidR="00DE5FCE" w:rsidRPr="00216965">
              <w:rPr>
                <w:noProof/>
                <w:webHidden/>
              </w:rPr>
            </w:r>
            <w:r w:rsidR="00DE5FCE" w:rsidRPr="00216965">
              <w:rPr>
                <w:noProof/>
                <w:webHidden/>
              </w:rPr>
              <w:fldChar w:fldCharType="separate"/>
            </w:r>
            <w:r w:rsidR="00CE6CD2">
              <w:rPr>
                <w:noProof/>
                <w:webHidden/>
              </w:rPr>
              <w:t>80</w:t>
            </w:r>
            <w:r w:rsidR="00DE5FCE" w:rsidRPr="00216965">
              <w:rPr>
                <w:noProof/>
                <w:webHidden/>
              </w:rPr>
              <w:fldChar w:fldCharType="end"/>
            </w:r>
          </w:hyperlink>
        </w:p>
        <w:p w14:paraId="6D38C56E" w14:textId="2186F11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1" w:history="1">
            <w:r w:rsidR="00DE5FCE" w:rsidRPr="00216965">
              <w:rPr>
                <w:rStyle w:val="Hyperlink"/>
                <w:noProof/>
              </w:rPr>
              <w:t xml:space="preserve">4.3.2. Experiment A: controlled environment incubation with </w:t>
            </w:r>
            <w:r w:rsidR="00DE5FCE" w:rsidRPr="00216965">
              <w:rPr>
                <w:rStyle w:val="Hyperlink"/>
                <w:i/>
                <w:noProof/>
              </w:rPr>
              <w:t>Arabidopsis thaliana-Col 0</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_Toc86504671 \h </w:instrText>
            </w:r>
            <w:r w:rsidR="00DE5FCE" w:rsidRPr="00216965">
              <w:rPr>
                <w:noProof/>
                <w:webHidden/>
              </w:rPr>
            </w:r>
            <w:r w:rsidR="00DE5FCE" w:rsidRPr="00216965">
              <w:rPr>
                <w:noProof/>
                <w:webHidden/>
              </w:rPr>
              <w:fldChar w:fldCharType="separate"/>
            </w:r>
            <w:r w:rsidR="00CE6CD2">
              <w:rPr>
                <w:noProof/>
                <w:webHidden/>
              </w:rPr>
              <w:t>81</w:t>
            </w:r>
            <w:r w:rsidR="00DE5FCE" w:rsidRPr="00216965">
              <w:rPr>
                <w:noProof/>
                <w:webHidden/>
              </w:rPr>
              <w:fldChar w:fldCharType="end"/>
            </w:r>
          </w:hyperlink>
        </w:p>
        <w:p w14:paraId="70ACCADA" w14:textId="0C234611"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5" w:history="1">
            <w:r w:rsidR="00DE5FCE" w:rsidRPr="00216965">
              <w:rPr>
                <w:rStyle w:val="Hyperlink"/>
                <w:i/>
                <w:noProof/>
              </w:rPr>
              <w:t>4.3.3.</w:t>
            </w:r>
            <w:r w:rsidR="00DE5FCE" w:rsidRPr="00216965">
              <w:rPr>
                <w:rStyle w:val="Hyperlink"/>
                <w:noProof/>
              </w:rPr>
              <w:t xml:space="preserve"> Experiment B: controlled environment incubations with </w:t>
            </w:r>
            <w:r w:rsidR="00F24567" w:rsidRPr="00216965">
              <w:rPr>
                <w:rStyle w:val="Hyperlink"/>
                <w:noProof/>
              </w:rPr>
              <w:t>White</w:t>
            </w:r>
            <w:r w:rsidR="00DE5FCE" w:rsidRPr="00216965">
              <w:rPr>
                <w:rStyle w:val="Hyperlink"/>
                <w:noProof/>
              </w:rPr>
              <w:t xml:space="preserve"> Mustard and </w:t>
            </w:r>
            <w:r w:rsidR="00DE5FCE" w:rsidRPr="00216965">
              <w:rPr>
                <w:rStyle w:val="Hyperlink"/>
                <w:i/>
                <w:noProof/>
              </w:rPr>
              <w:t>Lolium perenne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_Toc86504675 \h </w:instrText>
            </w:r>
            <w:r w:rsidR="00DE5FCE" w:rsidRPr="00216965">
              <w:rPr>
                <w:noProof/>
                <w:webHidden/>
              </w:rPr>
            </w:r>
            <w:r w:rsidR="00DE5FCE" w:rsidRPr="00216965">
              <w:rPr>
                <w:noProof/>
                <w:webHidden/>
              </w:rPr>
              <w:fldChar w:fldCharType="separate"/>
            </w:r>
            <w:r w:rsidR="00CE6CD2">
              <w:rPr>
                <w:noProof/>
                <w:webHidden/>
              </w:rPr>
              <w:t>103</w:t>
            </w:r>
            <w:r w:rsidR="00DE5FCE" w:rsidRPr="00216965">
              <w:rPr>
                <w:noProof/>
                <w:webHidden/>
              </w:rPr>
              <w:fldChar w:fldCharType="end"/>
            </w:r>
          </w:hyperlink>
        </w:p>
        <w:p w14:paraId="2FEEEED4" w14:textId="2AA9E58E"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76" w:history="1">
            <w:r w:rsidR="00DE5FCE" w:rsidRPr="00216965">
              <w:rPr>
                <w:rStyle w:val="Hyperlink"/>
                <w:noProof/>
              </w:rPr>
              <w:t>4.4. Discussion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_Toc86504676 \h </w:instrText>
            </w:r>
            <w:r w:rsidR="00DE5FCE" w:rsidRPr="00216965">
              <w:rPr>
                <w:noProof/>
                <w:webHidden/>
              </w:rPr>
            </w:r>
            <w:r w:rsidR="00DE5FCE" w:rsidRPr="00216965">
              <w:rPr>
                <w:noProof/>
                <w:webHidden/>
              </w:rPr>
              <w:fldChar w:fldCharType="separate"/>
            </w:r>
            <w:r w:rsidR="00CE6CD2">
              <w:rPr>
                <w:noProof/>
                <w:webHidden/>
              </w:rPr>
              <w:t>112</w:t>
            </w:r>
            <w:r w:rsidR="00DE5FCE" w:rsidRPr="00216965">
              <w:rPr>
                <w:noProof/>
                <w:webHidden/>
              </w:rPr>
              <w:fldChar w:fldCharType="end"/>
            </w:r>
          </w:hyperlink>
        </w:p>
        <w:p w14:paraId="7C4D0890" w14:textId="5ACA5E1A"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7" w:history="1">
            <w:r w:rsidR="00DE5FCE" w:rsidRPr="00216965">
              <w:rPr>
                <w:rStyle w:val="Hyperlink"/>
                <w:noProof/>
              </w:rPr>
              <w:t>4.4.1. Immobilization of HMs and relationship with soil properties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_Toc86504677 \h </w:instrText>
            </w:r>
            <w:r w:rsidR="00DE5FCE" w:rsidRPr="00216965">
              <w:rPr>
                <w:noProof/>
                <w:webHidden/>
              </w:rPr>
            </w:r>
            <w:r w:rsidR="00DE5FCE" w:rsidRPr="00216965">
              <w:rPr>
                <w:noProof/>
                <w:webHidden/>
              </w:rPr>
              <w:fldChar w:fldCharType="separate"/>
            </w:r>
            <w:r w:rsidR="00CE6CD2">
              <w:rPr>
                <w:noProof/>
                <w:webHidden/>
              </w:rPr>
              <w:t>112</w:t>
            </w:r>
            <w:r w:rsidR="00DE5FCE" w:rsidRPr="00216965">
              <w:rPr>
                <w:noProof/>
                <w:webHidden/>
              </w:rPr>
              <w:fldChar w:fldCharType="end"/>
            </w:r>
          </w:hyperlink>
        </w:p>
        <w:p w14:paraId="324E7C71" w14:textId="0695D66E"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8" w:history="1">
            <w:r w:rsidR="00DE5FCE" w:rsidRPr="00216965">
              <w:rPr>
                <w:rStyle w:val="Hyperlink"/>
                <w:noProof/>
              </w:rPr>
              <w:t>4.4.2. HMs in plant uptake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_Toc86504678 \h </w:instrText>
            </w:r>
            <w:r w:rsidR="00DE5FCE" w:rsidRPr="00216965">
              <w:rPr>
                <w:noProof/>
                <w:webHidden/>
              </w:rPr>
            </w:r>
            <w:r w:rsidR="00DE5FCE" w:rsidRPr="00216965">
              <w:rPr>
                <w:noProof/>
                <w:webHidden/>
              </w:rPr>
              <w:fldChar w:fldCharType="separate"/>
            </w:r>
            <w:r w:rsidR="00CE6CD2">
              <w:rPr>
                <w:noProof/>
                <w:webHidden/>
              </w:rPr>
              <w:t>119</w:t>
            </w:r>
            <w:r w:rsidR="00DE5FCE" w:rsidRPr="00216965">
              <w:rPr>
                <w:noProof/>
                <w:webHidden/>
              </w:rPr>
              <w:fldChar w:fldCharType="end"/>
            </w:r>
          </w:hyperlink>
        </w:p>
        <w:p w14:paraId="0808C5E8" w14:textId="797463F1"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79" w:history="1">
            <w:r w:rsidR="00DE5FCE" w:rsidRPr="00216965">
              <w:rPr>
                <w:rStyle w:val="Hyperlink"/>
                <w:noProof/>
              </w:rPr>
              <w:t>4.4.3. Plant response to biochar amendments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_Toc86504679 \h </w:instrText>
            </w:r>
            <w:r w:rsidR="00DE5FCE" w:rsidRPr="00216965">
              <w:rPr>
                <w:noProof/>
                <w:webHidden/>
              </w:rPr>
            </w:r>
            <w:r w:rsidR="00DE5FCE" w:rsidRPr="00216965">
              <w:rPr>
                <w:noProof/>
                <w:webHidden/>
              </w:rPr>
              <w:fldChar w:fldCharType="separate"/>
            </w:r>
            <w:r w:rsidR="00CE6CD2">
              <w:rPr>
                <w:noProof/>
                <w:webHidden/>
              </w:rPr>
              <w:t>122</w:t>
            </w:r>
            <w:r w:rsidR="00DE5FCE" w:rsidRPr="00216965">
              <w:rPr>
                <w:noProof/>
                <w:webHidden/>
              </w:rPr>
              <w:fldChar w:fldCharType="end"/>
            </w:r>
          </w:hyperlink>
        </w:p>
        <w:p w14:paraId="539D1A5D" w14:textId="34BD4AF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0" w:history="1">
            <w:r w:rsidR="00DE5FCE" w:rsidRPr="00216965">
              <w:rPr>
                <w:rStyle w:val="Hyperlink"/>
                <w:rFonts w:ascii="Arial Narrow" w:hAnsi="Arial Narrow"/>
                <w:noProof/>
              </w:rPr>
              <w:t>4.4.4.</w:t>
            </w:r>
            <w:r w:rsidR="00DE5FCE" w:rsidRPr="00216965">
              <w:rPr>
                <w:rStyle w:val="Hyperlink"/>
                <w:noProof/>
              </w:rPr>
              <w:t xml:space="preserve"> Implications for soil remediation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_Toc86504680 \h </w:instrText>
            </w:r>
            <w:r w:rsidR="00DE5FCE" w:rsidRPr="00216965">
              <w:rPr>
                <w:noProof/>
                <w:webHidden/>
              </w:rPr>
            </w:r>
            <w:r w:rsidR="00DE5FCE" w:rsidRPr="00216965">
              <w:rPr>
                <w:noProof/>
                <w:webHidden/>
              </w:rPr>
              <w:fldChar w:fldCharType="separate"/>
            </w:r>
            <w:r w:rsidR="00CE6CD2">
              <w:rPr>
                <w:noProof/>
                <w:webHidden/>
              </w:rPr>
              <w:t>125</w:t>
            </w:r>
            <w:r w:rsidR="00DE5FCE" w:rsidRPr="00216965">
              <w:rPr>
                <w:noProof/>
                <w:webHidden/>
              </w:rPr>
              <w:fldChar w:fldCharType="end"/>
            </w:r>
          </w:hyperlink>
        </w:p>
        <w:p w14:paraId="4D094DC2" w14:textId="6884D296"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81" w:history="1">
            <w:r w:rsidR="00DE5FCE" w:rsidRPr="00216965">
              <w:rPr>
                <w:rStyle w:val="Hyperlink"/>
                <w:noProof/>
              </w:rPr>
              <w:t>4.5. Conclusion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_Toc86504681 \h </w:instrText>
            </w:r>
            <w:r w:rsidR="00DE5FCE" w:rsidRPr="00216965">
              <w:rPr>
                <w:noProof/>
                <w:webHidden/>
              </w:rPr>
            </w:r>
            <w:r w:rsidR="00DE5FCE" w:rsidRPr="00216965">
              <w:rPr>
                <w:noProof/>
                <w:webHidden/>
              </w:rPr>
              <w:fldChar w:fldCharType="separate"/>
            </w:r>
            <w:r w:rsidR="00CE6CD2">
              <w:rPr>
                <w:noProof/>
                <w:webHidden/>
              </w:rPr>
              <w:t>125</w:t>
            </w:r>
            <w:r w:rsidR="00DE5FCE" w:rsidRPr="00216965">
              <w:rPr>
                <w:noProof/>
                <w:webHidden/>
              </w:rPr>
              <w:fldChar w:fldCharType="end"/>
            </w:r>
          </w:hyperlink>
        </w:p>
        <w:p w14:paraId="78F8DB7F" w14:textId="1E4E3B96" w:rsidR="00DE5FCE" w:rsidRPr="00216965" w:rsidRDefault="00BB30F1" w:rsidP="008A33DA">
          <w:pPr>
            <w:pStyle w:val="TOC1"/>
            <w:rPr>
              <w:rFonts w:asciiTheme="minorHAnsi" w:hAnsiTheme="minorHAnsi" w:cstheme="minorBidi"/>
              <w:noProof/>
              <w:sz w:val="22"/>
              <w:lang w:val="en-GB"/>
            </w:rPr>
          </w:pPr>
          <w:hyperlink w:anchor="_Toc86504682" w:history="1">
            <w:r w:rsidR="00DE5FCE" w:rsidRPr="00216965">
              <w:rPr>
                <w:rStyle w:val="Hyperlink"/>
                <w:noProof/>
              </w:rPr>
              <w:t>Chapter 5: The effect of biochar on bioavailable Pb(II) and Zn(II) and its influence on soil health: an outdoor pot experiment</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_Toc86504682 \h </w:instrText>
            </w:r>
            <w:r w:rsidR="00DE5FCE" w:rsidRPr="00216965">
              <w:rPr>
                <w:noProof/>
                <w:webHidden/>
              </w:rPr>
            </w:r>
            <w:r w:rsidR="00DE5FCE" w:rsidRPr="00216965">
              <w:rPr>
                <w:noProof/>
                <w:webHidden/>
              </w:rPr>
              <w:fldChar w:fldCharType="separate"/>
            </w:r>
            <w:r w:rsidR="00CE6CD2">
              <w:rPr>
                <w:noProof/>
                <w:webHidden/>
              </w:rPr>
              <w:t>127</w:t>
            </w:r>
            <w:r w:rsidR="00DE5FCE" w:rsidRPr="00216965">
              <w:rPr>
                <w:noProof/>
                <w:webHidden/>
              </w:rPr>
              <w:fldChar w:fldCharType="end"/>
            </w:r>
          </w:hyperlink>
        </w:p>
        <w:p w14:paraId="7E099709" w14:textId="391AB752"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83" w:history="1">
            <w:r w:rsidR="00DE5FCE" w:rsidRPr="00216965">
              <w:rPr>
                <w:rStyle w:val="Hyperlink"/>
                <w:noProof/>
              </w:rPr>
              <w:t>5.1. Introduction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_Toc86504683 \h </w:instrText>
            </w:r>
            <w:r w:rsidR="00DE5FCE" w:rsidRPr="00216965">
              <w:rPr>
                <w:noProof/>
                <w:webHidden/>
              </w:rPr>
            </w:r>
            <w:r w:rsidR="00DE5FCE" w:rsidRPr="00216965">
              <w:rPr>
                <w:noProof/>
                <w:webHidden/>
              </w:rPr>
              <w:fldChar w:fldCharType="separate"/>
            </w:r>
            <w:r w:rsidR="00CE6CD2">
              <w:rPr>
                <w:noProof/>
                <w:webHidden/>
              </w:rPr>
              <w:t>127</w:t>
            </w:r>
            <w:r w:rsidR="00DE5FCE" w:rsidRPr="00216965">
              <w:rPr>
                <w:noProof/>
                <w:webHidden/>
              </w:rPr>
              <w:fldChar w:fldCharType="end"/>
            </w:r>
          </w:hyperlink>
        </w:p>
        <w:p w14:paraId="50F436DE" w14:textId="7E816BD3"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84" w:history="1">
            <w:r w:rsidR="00DE5FCE" w:rsidRPr="00216965">
              <w:rPr>
                <w:rStyle w:val="Hyperlink"/>
                <w:noProof/>
              </w:rPr>
              <w:t>5.2. Materials and Methods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_Toc86504684 \h </w:instrText>
            </w:r>
            <w:r w:rsidR="00DE5FCE" w:rsidRPr="00216965">
              <w:rPr>
                <w:noProof/>
                <w:webHidden/>
              </w:rPr>
            </w:r>
            <w:r w:rsidR="00DE5FCE" w:rsidRPr="00216965">
              <w:rPr>
                <w:noProof/>
                <w:webHidden/>
              </w:rPr>
              <w:fldChar w:fldCharType="separate"/>
            </w:r>
            <w:r w:rsidR="00CE6CD2">
              <w:rPr>
                <w:noProof/>
                <w:webHidden/>
              </w:rPr>
              <w:t>129</w:t>
            </w:r>
            <w:r w:rsidR="00DE5FCE" w:rsidRPr="00216965">
              <w:rPr>
                <w:noProof/>
                <w:webHidden/>
              </w:rPr>
              <w:fldChar w:fldCharType="end"/>
            </w:r>
          </w:hyperlink>
        </w:p>
        <w:p w14:paraId="43E9D391" w14:textId="59F8E361"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5" w:history="1">
            <w:r w:rsidR="00DE5FCE" w:rsidRPr="00216965">
              <w:rPr>
                <w:rStyle w:val="Hyperlink"/>
                <w:noProof/>
              </w:rPr>
              <w:t>5.2.1. Soil collection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_Toc86504685 \h </w:instrText>
            </w:r>
            <w:r w:rsidR="00DE5FCE" w:rsidRPr="00216965">
              <w:rPr>
                <w:noProof/>
                <w:webHidden/>
              </w:rPr>
            </w:r>
            <w:r w:rsidR="00DE5FCE" w:rsidRPr="00216965">
              <w:rPr>
                <w:noProof/>
                <w:webHidden/>
              </w:rPr>
              <w:fldChar w:fldCharType="separate"/>
            </w:r>
            <w:r w:rsidR="00CE6CD2">
              <w:rPr>
                <w:noProof/>
                <w:webHidden/>
              </w:rPr>
              <w:t>130</w:t>
            </w:r>
            <w:r w:rsidR="00DE5FCE" w:rsidRPr="00216965">
              <w:rPr>
                <w:noProof/>
                <w:webHidden/>
              </w:rPr>
              <w:fldChar w:fldCharType="end"/>
            </w:r>
          </w:hyperlink>
        </w:p>
        <w:p w14:paraId="7C66313F" w14:textId="622D46F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6" w:history="1">
            <w:r w:rsidR="00DE5FCE" w:rsidRPr="00216965">
              <w:rPr>
                <w:rStyle w:val="Hyperlink"/>
                <w:noProof/>
              </w:rPr>
              <w:t>5.2.2. Soil, biochar and compost characteristics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_Toc86504686 \h </w:instrText>
            </w:r>
            <w:r w:rsidR="00DE5FCE" w:rsidRPr="00216965">
              <w:rPr>
                <w:noProof/>
                <w:webHidden/>
              </w:rPr>
            </w:r>
            <w:r w:rsidR="00DE5FCE" w:rsidRPr="00216965">
              <w:rPr>
                <w:noProof/>
                <w:webHidden/>
              </w:rPr>
              <w:fldChar w:fldCharType="separate"/>
            </w:r>
            <w:r w:rsidR="00CE6CD2">
              <w:rPr>
                <w:noProof/>
                <w:webHidden/>
              </w:rPr>
              <w:t>130</w:t>
            </w:r>
            <w:r w:rsidR="00DE5FCE" w:rsidRPr="00216965">
              <w:rPr>
                <w:noProof/>
                <w:webHidden/>
              </w:rPr>
              <w:fldChar w:fldCharType="end"/>
            </w:r>
          </w:hyperlink>
        </w:p>
        <w:p w14:paraId="777C3A57" w14:textId="4F6A25BA"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7" w:history="1">
            <w:r w:rsidR="00DE5FCE" w:rsidRPr="00216965">
              <w:rPr>
                <w:rStyle w:val="Hyperlink"/>
                <w:noProof/>
              </w:rPr>
              <w:t>5.2.3. Outdoor pot experiment</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_Toc86504687 \h </w:instrText>
            </w:r>
            <w:r w:rsidR="00DE5FCE" w:rsidRPr="00216965">
              <w:rPr>
                <w:noProof/>
                <w:webHidden/>
              </w:rPr>
            </w:r>
            <w:r w:rsidR="00DE5FCE" w:rsidRPr="00216965">
              <w:rPr>
                <w:noProof/>
                <w:webHidden/>
              </w:rPr>
              <w:fldChar w:fldCharType="separate"/>
            </w:r>
            <w:r w:rsidR="00CE6CD2">
              <w:rPr>
                <w:noProof/>
                <w:webHidden/>
              </w:rPr>
              <w:t>131</w:t>
            </w:r>
            <w:r w:rsidR="00DE5FCE" w:rsidRPr="00216965">
              <w:rPr>
                <w:noProof/>
                <w:webHidden/>
              </w:rPr>
              <w:fldChar w:fldCharType="end"/>
            </w:r>
          </w:hyperlink>
        </w:p>
        <w:p w14:paraId="73D71091" w14:textId="20C90E05"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8" w:history="1">
            <w:r w:rsidR="00DE5FCE" w:rsidRPr="00216965">
              <w:rPr>
                <w:rStyle w:val="Hyperlink"/>
                <w:noProof/>
              </w:rPr>
              <w:t>5.2.4. Soil pore water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_Toc86504688 \h </w:instrText>
            </w:r>
            <w:r w:rsidR="00DE5FCE" w:rsidRPr="00216965">
              <w:rPr>
                <w:noProof/>
                <w:webHidden/>
              </w:rPr>
            </w:r>
            <w:r w:rsidR="00DE5FCE" w:rsidRPr="00216965">
              <w:rPr>
                <w:noProof/>
                <w:webHidden/>
              </w:rPr>
              <w:fldChar w:fldCharType="separate"/>
            </w:r>
            <w:r w:rsidR="00CE6CD2">
              <w:rPr>
                <w:noProof/>
                <w:webHidden/>
              </w:rPr>
              <w:t>132</w:t>
            </w:r>
            <w:r w:rsidR="00DE5FCE" w:rsidRPr="00216965">
              <w:rPr>
                <w:noProof/>
                <w:webHidden/>
              </w:rPr>
              <w:fldChar w:fldCharType="end"/>
            </w:r>
          </w:hyperlink>
        </w:p>
        <w:p w14:paraId="1CA37959" w14:textId="4167D13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89" w:history="1">
            <w:r w:rsidR="00DE5FCE" w:rsidRPr="00216965">
              <w:rPr>
                <w:rStyle w:val="Hyperlink"/>
                <w:noProof/>
              </w:rPr>
              <w:t>5.2.5. Plant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_Toc86504689 \h </w:instrText>
            </w:r>
            <w:r w:rsidR="00DE5FCE" w:rsidRPr="00216965">
              <w:rPr>
                <w:noProof/>
                <w:webHidden/>
              </w:rPr>
            </w:r>
            <w:r w:rsidR="00DE5FCE" w:rsidRPr="00216965">
              <w:rPr>
                <w:noProof/>
                <w:webHidden/>
              </w:rPr>
              <w:fldChar w:fldCharType="separate"/>
            </w:r>
            <w:r w:rsidR="00CE6CD2">
              <w:rPr>
                <w:noProof/>
                <w:webHidden/>
              </w:rPr>
              <w:t>133</w:t>
            </w:r>
            <w:r w:rsidR="00DE5FCE" w:rsidRPr="00216965">
              <w:rPr>
                <w:noProof/>
                <w:webHidden/>
              </w:rPr>
              <w:fldChar w:fldCharType="end"/>
            </w:r>
          </w:hyperlink>
        </w:p>
        <w:p w14:paraId="467309BF" w14:textId="2F03E237"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0" w:history="1">
            <w:r w:rsidR="00DE5FCE" w:rsidRPr="00216965">
              <w:rPr>
                <w:rStyle w:val="Hyperlink"/>
                <w:noProof/>
              </w:rPr>
              <w:t>5.2.6. Soil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_Toc86504690 \h </w:instrText>
            </w:r>
            <w:r w:rsidR="00DE5FCE" w:rsidRPr="00216965">
              <w:rPr>
                <w:noProof/>
                <w:webHidden/>
              </w:rPr>
            </w:r>
            <w:r w:rsidR="00DE5FCE" w:rsidRPr="00216965">
              <w:rPr>
                <w:noProof/>
                <w:webHidden/>
              </w:rPr>
              <w:fldChar w:fldCharType="separate"/>
            </w:r>
            <w:r w:rsidR="00CE6CD2">
              <w:rPr>
                <w:noProof/>
                <w:webHidden/>
              </w:rPr>
              <w:t>133</w:t>
            </w:r>
            <w:r w:rsidR="00DE5FCE" w:rsidRPr="00216965">
              <w:rPr>
                <w:noProof/>
                <w:webHidden/>
              </w:rPr>
              <w:fldChar w:fldCharType="end"/>
            </w:r>
          </w:hyperlink>
        </w:p>
        <w:p w14:paraId="4649C9FD" w14:textId="68FD1B30"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1" w:history="1">
            <w:r w:rsidR="00DE5FCE" w:rsidRPr="00216965">
              <w:rPr>
                <w:rStyle w:val="Hyperlink"/>
                <w:noProof/>
              </w:rPr>
              <w:t>5.2.7. DNA extraction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_Toc86504691 \h </w:instrText>
            </w:r>
            <w:r w:rsidR="00DE5FCE" w:rsidRPr="00216965">
              <w:rPr>
                <w:noProof/>
                <w:webHidden/>
              </w:rPr>
            </w:r>
            <w:r w:rsidR="00DE5FCE" w:rsidRPr="00216965">
              <w:rPr>
                <w:noProof/>
                <w:webHidden/>
              </w:rPr>
              <w:fldChar w:fldCharType="separate"/>
            </w:r>
            <w:r w:rsidR="00CE6CD2">
              <w:rPr>
                <w:noProof/>
                <w:webHidden/>
              </w:rPr>
              <w:t>135</w:t>
            </w:r>
            <w:r w:rsidR="00DE5FCE" w:rsidRPr="00216965">
              <w:rPr>
                <w:noProof/>
                <w:webHidden/>
              </w:rPr>
              <w:fldChar w:fldCharType="end"/>
            </w:r>
          </w:hyperlink>
        </w:p>
        <w:p w14:paraId="17D6D471" w14:textId="32AA36A9"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2" w:history="1">
            <w:r w:rsidR="00DE5FCE" w:rsidRPr="00216965">
              <w:rPr>
                <w:rStyle w:val="Hyperlink"/>
                <w:noProof/>
              </w:rPr>
              <w:t>5.2.8. Relative quantitation q-PRC</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_Toc86504692 \h </w:instrText>
            </w:r>
            <w:r w:rsidR="00DE5FCE" w:rsidRPr="00216965">
              <w:rPr>
                <w:noProof/>
                <w:webHidden/>
              </w:rPr>
            </w:r>
            <w:r w:rsidR="00DE5FCE" w:rsidRPr="00216965">
              <w:rPr>
                <w:noProof/>
                <w:webHidden/>
              </w:rPr>
              <w:fldChar w:fldCharType="separate"/>
            </w:r>
            <w:r w:rsidR="00CE6CD2">
              <w:rPr>
                <w:noProof/>
                <w:webHidden/>
              </w:rPr>
              <w:t>135</w:t>
            </w:r>
            <w:r w:rsidR="00DE5FCE" w:rsidRPr="00216965">
              <w:rPr>
                <w:noProof/>
                <w:webHidden/>
              </w:rPr>
              <w:fldChar w:fldCharType="end"/>
            </w:r>
          </w:hyperlink>
        </w:p>
        <w:p w14:paraId="27A0AB40" w14:textId="29FF0F17"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3" w:history="1">
            <w:r w:rsidR="00DE5FCE" w:rsidRPr="00216965">
              <w:rPr>
                <w:rStyle w:val="Hyperlink"/>
                <w:noProof/>
              </w:rPr>
              <w:t>5.2.9. rRNA gene fragment library preparation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_Toc86504693 \h </w:instrText>
            </w:r>
            <w:r w:rsidR="00DE5FCE" w:rsidRPr="00216965">
              <w:rPr>
                <w:noProof/>
                <w:webHidden/>
              </w:rPr>
            </w:r>
            <w:r w:rsidR="00DE5FCE" w:rsidRPr="00216965">
              <w:rPr>
                <w:noProof/>
                <w:webHidden/>
              </w:rPr>
              <w:fldChar w:fldCharType="separate"/>
            </w:r>
            <w:r w:rsidR="00CE6CD2">
              <w:rPr>
                <w:noProof/>
                <w:webHidden/>
              </w:rPr>
              <w:t>136</w:t>
            </w:r>
            <w:r w:rsidR="00DE5FCE" w:rsidRPr="00216965">
              <w:rPr>
                <w:noProof/>
                <w:webHidden/>
              </w:rPr>
              <w:fldChar w:fldCharType="end"/>
            </w:r>
          </w:hyperlink>
        </w:p>
        <w:p w14:paraId="59D67291" w14:textId="54AB749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4" w:history="1">
            <w:r w:rsidR="00DE5FCE" w:rsidRPr="00216965">
              <w:rPr>
                <w:rStyle w:val="Hyperlink"/>
                <w:noProof/>
              </w:rPr>
              <w:t>5.2.10. Bioinformatic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_Toc86504694 \h </w:instrText>
            </w:r>
            <w:r w:rsidR="00DE5FCE" w:rsidRPr="00216965">
              <w:rPr>
                <w:noProof/>
                <w:webHidden/>
              </w:rPr>
            </w:r>
            <w:r w:rsidR="00DE5FCE" w:rsidRPr="00216965">
              <w:rPr>
                <w:noProof/>
                <w:webHidden/>
              </w:rPr>
              <w:fldChar w:fldCharType="separate"/>
            </w:r>
            <w:r w:rsidR="00CE6CD2">
              <w:rPr>
                <w:noProof/>
                <w:webHidden/>
              </w:rPr>
              <w:t>137</w:t>
            </w:r>
            <w:r w:rsidR="00DE5FCE" w:rsidRPr="00216965">
              <w:rPr>
                <w:noProof/>
                <w:webHidden/>
              </w:rPr>
              <w:fldChar w:fldCharType="end"/>
            </w:r>
          </w:hyperlink>
        </w:p>
        <w:p w14:paraId="12F606FC" w14:textId="0D70693E"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5" w:history="1">
            <w:r w:rsidR="00DE5FCE" w:rsidRPr="00216965">
              <w:rPr>
                <w:rStyle w:val="Hyperlink"/>
                <w:noProof/>
              </w:rPr>
              <w:t>5.2.11. Microbial activity: soil respiration and PLFA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_Toc86504695 \h </w:instrText>
            </w:r>
            <w:r w:rsidR="00DE5FCE" w:rsidRPr="00216965">
              <w:rPr>
                <w:noProof/>
                <w:webHidden/>
              </w:rPr>
            </w:r>
            <w:r w:rsidR="00DE5FCE" w:rsidRPr="00216965">
              <w:rPr>
                <w:noProof/>
                <w:webHidden/>
              </w:rPr>
              <w:fldChar w:fldCharType="separate"/>
            </w:r>
            <w:r w:rsidR="00CE6CD2">
              <w:rPr>
                <w:noProof/>
                <w:webHidden/>
              </w:rPr>
              <w:t>138</w:t>
            </w:r>
            <w:r w:rsidR="00DE5FCE" w:rsidRPr="00216965">
              <w:rPr>
                <w:noProof/>
                <w:webHidden/>
              </w:rPr>
              <w:fldChar w:fldCharType="end"/>
            </w:r>
          </w:hyperlink>
        </w:p>
        <w:p w14:paraId="0376B104" w14:textId="2DE6AD19"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6" w:history="1">
            <w:r w:rsidR="00DE5FCE" w:rsidRPr="00216965">
              <w:rPr>
                <w:rStyle w:val="Hyperlink"/>
                <w:noProof/>
              </w:rPr>
              <w:t>5.2.12. Statistical analysis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_Toc86504696 \h </w:instrText>
            </w:r>
            <w:r w:rsidR="00DE5FCE" w:rsidRPr="00216965">
              <w:rPr>
                <w:noProof/>
                <w:webHidden/>
              </w:rPr>
            </w:r>
            <w:r w:rsidR="00DE5FCE" w:rsidRPr="00216965">
              <w:rPr>
                <w:noProof/>
                <w:webHidden/>
              </w:rPr>
              <w:fldChar w:fldCharType="separate"/>
            </w:r>
            <w:r w:rsidR="00CE6CD2">
              <w:rPr>
                <w:noProof/>
                <w:webHidden/>
              </w:rPr>
              <w:t>141</w:t>
            </w:r>
            <w:r w:rsidR="00DE5FCE" w:rsidRPr="00216965">
              <w:rPr>
                <w:noProof/>
                <w:webHidden/>
              </w:rPr>
              <w:fldChar w:fldCharType="end"/>
            </w:r>
          </w:hyperlink>
        </w:p>
        <w:p w14:paraId="7B719428" w14:textId="764E9033"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697" w:history="1">
            <w:r w:rsidR="00DE5FCE" w:rsidRPr="00216965">
              <w:rPr>
                <w:rStyle w:val="Hyperlink"/>
                <w:noProof/>
              </w:rPr>
              <w:t>5.3. Results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_Toc86504697 \h </w:instrText>
            </w:r>
            <w:r w:rsidR="00DE5FCE" w:rsidRPr="00216965">
              <w:rPr>
                <w:noProof/>
                <w:webHidden/>
              </w:rPr>
            </w:r>
            <w:r w:rsidR="00DE5FCE" w:rsidRPr="00216965">
              <w:rPr>
                <w:noProof/>
                <w:webHidden/>
              </w:rPr>
              <w:fldChar w:fldCharType="separate"/>
            </w:r>
            <w:r w:rsidR="00CE6CD2">
              <w:rPr>
                <w:noProof/>
                <w:webHidden/>
              </w:rPr>
              <w:t>142</w:t>
            </w:r>
            <w:r w:rsidR="00DE5FCE" w:rsidRPr="00216965">
              <w:rPr>
                <w:noProof/>
                <w:webHidden/>
              </w:rPr>
              <w:fldChar w:fldCharType="end"/>
            </w:r>
          </w:hyperlink>
        </w:p>
        <w:p w14:paraId="4F4DBB17" w14:textId="4AED4EC3"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8" w:history="1">
            <w:r w:rsidR="00DE5FCE" w:rsidRPr="00216965">
              <w:rPr>
                <w:rStyle w:val="Hyperlink"/>
                <w:noProof/>
              </w:rPr>
              <w:t>5.3.1. Soil treatment characteristics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_Toc86504698 \h </w:instrText>
            </w:r>
            <w:r w:rsidR="00DE5FCE" w:rsidRPr="00216965">
              <w:rPr>
                <w:noProof/>
                <w:webHidden/>
              </w:rPr>
            </w:r>
            <w:r w:rsidR="00DE5FCE" w:rsidRPr="00216965">
              <w:rPr>
                <w:noProof/>
                <w:webHidden/>
              </w:rPr>
              <w:fldChar w:fldCharType="separate"/>
            </w:r>
            <w:r w:rsidR="00CE6CD2">
              <w:rPr>
                <w:noProof/>
                <w:webHidden/>
              </w:rPr>
              <w:t>142</w:t>
            </w:r>
            <w:r w:rsidR="00DE5FCE" w:rsidRPr="00216965">
              <w:rPr>
                <w:noProof/>
                <w:webHidden/>
              </w:rPr>
              <w:fldChar w:fldCharType="end"/>
            </w:r>
          </w:hyperlink>
        </w:p>
        <w:p w14:paraId="740F453B" w14:textId="4EFCEB64"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699" w:history="1">
            <w:r w:rsidR="00DE5FCE" w:rsidRPr="00216965">
              <w:rPr>
                <w:rStyle w:val="Hyperlink"/>
                <w:noProof/>
              </w:rPr>
              <w:t>5.3.2. Effect of organic amendments on soil properties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_Toc86504699 \h </w:instrText>
            </w:r>
            <w:r w:rsidR="00DE5FCE" w:rsidRPr="00216965">
              <w:rPr>
                <w:noProof/>
                <w:webHidden/>
              </w:rPr>
            </w:r>
            <w:r w:rsidR="00DE5FCE" w:rsidRPr="00216965">
              <w:rPr>
                <w:noProof/>
                <w:webHidden/>
              </w:rPr>
              <w:fldChar w:fldCharType="separate"/>
            </w:r>
            <w:r w:rsidR="00CE6CD2">
              <w:rPr>
                <w:noProof/>
                <w:webHidden/>
              </w:rPr>
              <w:t>142</w:t>
            </w:r>
            <w:r w:rsidR="00DE5FCE" w:rsidRPr="00216965">
              <w:rPr>
                <w:noProof/>
                <w:webHidden/>
              </w:rPr>
              <w:fldChar w:fldCharType="end"/>
            </w:r>
          </w:hyperlink>
        </w:p>
        <w:p w14:paraId="08DFED83" w14:textId="656A7F02"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0" w:history="1">
            <w:r w:rsidR="00DE5FCE" w:rsidRPr="00216965">
              <w:rPr>
                <w:rStyle w:val="Hyperlink"/>
                <w:noProof/>
              </w:rPr>
              <w:t>5.3.3. Effect of organic amendments on soil pore water parameters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_Toc86504700 \h </w:instrText>
            </w:r>
            <w:r w:rsidR="00DE5FCE" w:rsidRPr="00216965">
              <w:rPr>
                <w:noProof/>
                <w:webHidden/>
              </w:rPr>
            </w:r>
            <w:r w:rsidR="00DE5FCE" w:rsidRPr="00216965">
              <w:rPr>
                <w:noProof/>
                <w:webHidden/>
              </w:rPr>
              <w:fldChar w:fldCharType="separate"/>
            </w:r>
            <w:r w:rsidR="00CE6CD2">
              <w:rPr>
                <w:noProof/>
                <w:webHidden/>
              </w:rPr>
              <w:t>144</w:t>
            </w:r>
            <w:r w:rsidR="00DE5FCE" w:rsidRPr="00216965">
              <w:rPr>
                <w:noProof/>
                <w:webHidden/>
              </w:rPr>
              <w:fldChar w:fldCharType="end"/>
            </w:r>
          </w:hyperlink>
        </w:p>
        <w:p w14:paraId="11A75E7C" w14:textId="604B4D8E"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1" w:history="1">
            <w:r w:rsidR="00DE5FCE" w:rsidRPr="00216965">
              <w:rPr>
                <w:rStyle w:val="Hyperlink"/>
                <w:noProof/>
              </w:rPr>
              <w:t>5.3.4. Bioavailability of heavy metals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_Toc86504701 \h </w:instrText>
            </w:r>
            <w:r w:rsidR="00DE5FCE" w:rsidRPr="00216965">
              <w:rPr>
                <w:noProof/>
                <w:webHidden/>
              </w:rPr>
            </w:r>
            <w:r w:rsidR="00DE5FCE" w:rsidRPr="00216965">
              <w:rPr>
                <w:noProof/>
                <w:webHidden/>
              </w:rPr>
              <w:fldChar w:fldCharType="separate"/>
            </w:r>
            <w:r w:rsidR="00CE6CD2">
              <w:rPr>
                <w:noProof/>
                <w:webHidden/>
              </w:rPr>
              <w:t>145</w:t>
            </w:r>
            <w:r w:rsidR="00DE5FCE" w:rsidRPr="00216965">
              <w:rPr>
                <w:noProof/>
                <w:webHidden/>
              </w:rPr>
              <w:fldChar w:fldCharType="end"/>
            </w:r>
          </w:hyperlink>
        </w:p>
        <w:p w14:paraId="5CE06EBF" w14:textId="68B6948D"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2" w:history="1">
            <w:r w:rsidR="00DE5FCE" w:rsidRPr="00216965">
              <w:rPr>
                <w:rStyle w:val="Hyperlink"/>
                <w:noProof/>
              </w:rPr>
              <w:t>5.3.5. Fractionation of trace elements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_Toc86504702 \h </w:instrText>
            </w:r>
            <w:r w:rsidR="00DE5FCE" w:rsidRPr="00216965">
              <w:rPr>
                <w:noProof/>
                <w:webHidden/>
              </w:rPr>
            </w:r>
            <w:r w:rsidR="00DE5FCE" w:rsidRPr="00216965">
              <w:rPr>
                <w:noProof/>
                <w:webHidden/>
              </w:rPr>
              <w:fldChar w:fldCharType="separate"/>
            </w:r>
            <w:r w:rsidR="00CE6CD2">
              <w:rPr>
                <w:noProof/>
                <w:webHidden/>
              </w:rPr>
              <w:t>147</w:t>
            </w:r>
            <w:r w:rsidR="00DE5FCE" w:rsidRPr="00216965">
              <w:rPr>
                <w:noProof/>
                <w:webHidden/>
              </w:rPr>
              <w:fldChar w:fldCharType="end"/>
            </w:r>
          </w:hyperlink>
        </w:p>
        <w:p w14:paraId="29057BF7" w14:textId="67A44ED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3" w:history="1">
            <w:r w:rsidR="00DE5FCE" w:rsidRPr="00216965">
              <w:rPr>
                <w:rStyle w:val="Hyperlink"/>
                <w:noProof/>
              </w:rPr>
              <w:t>5.3.6. Plant performance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_Toc86504703 \h </w:instrText>
            </w:r>
            <w:r w:rsidR="00DE5FCE" w:rsidRPr="00216965">
              <w:rPr>
                <w:noProof/>
                <w:webHidden/>
              </w:rPr>
            </w:r>
            <w:r w:rsidR="00DE5FCE" w:rsidRPr="00216965">
              <w:rPr>
                <w:noProof/>
                <w:webHidden/>
              </w:rPr>
              <w:fldChar w:fldCharType="separate"/>
            </w:r>
            <w:r w:rsidR="00CE6CD2">
              <w:rPr>
                <w:noProof/>
                <w:webHidden/>
              </w:rPr>
              <w:t>149</w:t>
            </w:r>
            <w:r w:rsidR="00DE5FCE" w:rsidRPr="00216965">
              <w:rPr>
                <w:noProof/>
                <w:webHidden/>
              </w:rPr>
              <w:fldChar w:fldCharType="end"/>
            </w:r>
          </w:hyperlink>
        </w:p>
        <w:p w14:paraId="52717FC2" w14:textId="20E9471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4" w:history="1">
            <w:r w:rsidR="00DE5FCE" w:rsidRPr="00216965">
              <w:rPr>
                <w:rStyle w:val="Hyperlink"/>
                <w:noProof/>
              </w:rPr>
              <w:t>5.3.7. Correlation of soil properties and HM bioavailability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_Toc86504704 \h </w:instrText>
            </w:r>
            <w:r w:rsidR="00DE5FCE" w:rsidRPr="00216965">
              <w:rPr>
                <w:noProof/>
                <w:webHidden/>
              </w:rPr>
            </w:r>
            <w:r w:rsidR="00DE5FCE" w:rsidRPr="00216965">
              <w:rPr>
                <w:noProof/>
                <w:webHidden/>
              </w:rPr>
              <w:fldChar w:fldCharType="separate"/>
            </w:r>
            <w:r w:rsidR="00CE6CD2">
              <w:rPr>
                <w:noProof/>
                <w:webHidden/>
              </w:rPr>
              <w:t>150</w:t>
            </w:r>
            <w:r w:rsidR="00DE5FCE" w:rsidRPr="00216965">
              <w:rPr>
                <w:noProof/>
                <w:webHidden/>
              </w:rPr>
              <w:fldChar w:fldCharType="end"/>
            </w:r>
          </w:hyperlink>
        </w:p>
        <w:p w14:paraId="673F04D3" w14:textId="2DAFE78B"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5" w:history="1">
            <w:r w:rsidR="00DE5FCE" w:rsidRPr="00216965">
              <w:rPr>
                <w:rStyle w:val="Hyperlink"/>
                <w:noProof/>
              </w:rPr>
              <w:t>5.3.8. Microbial total abundance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_Toc86504705 \h </w:instrText>
            </w:r>
            <w:r w:rsidR="00DE5FCE" w:rsidRPr="00216965">
              <w:rPr>
                <w:noProof/>
                <w:webHidden/>
              </w:rPr>
            </w:r>
            <w:r w:rsidR="00DE5FCE" w:rsidRPr="00216965">
              <w:rPr>
                <w:noProof/>
                <w:webHidden/>
              </w:rPr>
              <w:fldChar w:fldCharType="separate"/>
            </w:r>
            <w:r w:rsidR="00CE6CD2">
              <w:rPr>
                <w:noProof/>
                <w:webHidden/>
              </w:rPr>
              <w:t>152</w:t>
            </w:r>
            <w:r w:rsidR="00DE5FCE" w:rsidRPr="00216965">
              <w:rPr>
                <w:noProof/>
                <w:webHidden/>
              </w:rPr>
              <w:fldChar w:fldCharType="end"/>
            </w:r>
          </w:hyperlink>
        </w:p>
        <w:p w14:paraId="77A8FA33" w14:textId="79328DA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6" w:history="1">
            <w:r w:rsidR="00DE5FCE" w:rsidRPr="00216965">
              <w:rPr>
                <w:rStyle w:val="Hyperlink"/>
                <w:noProof/>
              </w:rPr>
              <w:t>5.3.9. Microbial community structure and diversity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_Toc86504706 \h </w:instrText>
            </w:r>
            <w:r w:rsidR="00DE5FCE" w:rsidRPr="00216965">
              <w:rPr>
                <w:noProof/>
                <w:webHidden/>
              </w:rPr>
            </w:r>
            <w:r w:rsidR="00DE5FCE" w:rsidRPr="00216965">
              <w:rPr>
                <w:noProof/>
                <w:webHidden/>
              </w:rPr>
              <w:fldChar w:fldCharType="separate"/>
            </w:r>
            <w:r w:rsidR="00CE6CD2">
              <w:rPr>
                <w:noProof/>
                <w:webHidden/>
              </w:rPr>
              <w:t>153</w:t>
            </w:r>
            <w:r w:rsidR="00DE5FCE" w:rsidRPr="00216965">
              <w:rPr>
                <w:noProof/>
                <w:webHidden/>
              </w:rPr>
              <w:fldChar w:fldCharType="end"/>
            </w:r>
          </w:hyperlink>
        </w:p>
        <w:p w14:paraId="289377C8" w14:textId="5B5C4028"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7" w:history="1">
            <w:r w:rsidR="00DE5FCE" w:rsidRPr="00216965">
              <w:rPr>
                <w:rStyle w:val="Hyperlink"/>
                <w:noProof/>
              </w:rPr>
              <w:t>5.3.10. Differences in microbial community composition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_Toc86504707 \h </w:instrText>
            </w:r>
            <w:r w:rsidR="00DE5FCE" w:rsidRPr="00216965">
              <w:rPr>
                <w:noProof/>
                <w:webHidden/>
              </w:rPr>
            </w:r>
            <w:r w:rsidR="00DE5FCE" w:rsidRPr="00216965">
              <w:rPr>
                <w:noProof/>
                <w:webHidden/>
              </w:rPr>
              <w:fldChar w:fldCharType="separate"/>
            </w:r>
            <w:r w:rsidR="00CE6CD2">
              <w:rPr>
                <w:noProof/>
                <w:webHidden/>
              </w:rPr>
              <w:t>156</w:t>
            </w:r>
            <w:r w:rsidR="00DE5FCE" w:rsidRPr="00216965">
              <w:rPr>
                <w:noProof/>
                <w:webHidden/>
              </w:rPr>
              <w:fldChar w:fldCharType="end"/>
            </w:r>
          </w:hyperlink>
        </w:p>
        <w:p w14:paraId="3C66F3DF" w14:textId="77691140"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08" w:history="1">
            <w:r w:rsidR="00DE5FCE" w:rsidRPr="00216965">
              <w:rPr>
                <w:rStyle w:val="Hyperlink"/>
                <w:noProof/>
              </w:rPr>
              <w:t>5.3.11. Soil microbial activity - secondment at BOKU</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_Toc86504708 \h </w:instrText>
            </w:r>
            <w:r w:rsidR="00DE5FCE" w:rsidRPr="00216965">
              <w:rPr>
                <w:noProof/>
                <w:webHidden/>
              </w:rPr>
            </w:r>
            <w:r w:rsidR="00DE5FCE" w:rsidRPr="00216965">
              <w:rPr>
                <w:noProof/>
                <w:webHidden/>
              </w:rPr>
              <w:fldChar w:fldCharType="separate"/>
            </w:r>
            <w:r w:rsidR="00CE6CD2">
              <w:rPr>
                <w:noProof/>
                <w:webHidden/>
              </w:rPr>
              <w:t>163</w:t>
            </w:r>
            <w:r w:rsidR="00DE5FCE" w:rsidRPr="00216965">
              <w:rPr>
                <w:noProof/>
                <w:webHidden/>
              </w:rPr>
              <w:fldChar w:fldCharType="end"/>
            </w:r>
          </w:hyperlink>
        </w:p>
        <w:p w14:paraId="54A67F09" w14:textId="71CCBC8B"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09" w:history="1">
            <w:r w:rsidR="00DE5FCE" w:rsidRPr="00216965">
              <w:rPr>
                <w:rStyle w:val="Hyperlink"/>
                <w:noProof/>
              </w:rPr>
              <w:t>5.4. Discussion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_Toc86504709 \h </w:instrText>
            </w:r>
            <w:r w:rsidR="00DE5FCE" w:rsidRPr="00216965">
              <w:rPr>
                <w:noProof/>
                <w:webHidden/>
              </w:rPr>
            </w:r>
            <w:r w:rsidR="00DE5FCE" w:rsidRPr="00216965">
              <w:rPr>
                <w:noProof/>
                <w:webHidden/>
              </w:rPr>
              <w:fldChar w:fldCharType="separate"/>
            </w:r>
            <w:r w:rsidR="00CE6CD2">
              <w:rPr>
                <w:noProof/>
                <w:webHidden/>
              </w:rPr>
              <w:t>169</w:t>
            </w:r>
            <w:r w:rsidR="00DE5FCE" w:rsidRPr="00216965">
              <w:rPr>
                <w:noProof/>
                <w:webHidden/>
              </w:rPr>
              <w:fldChar w:fldCharType="end"/>
            </w:r>
          </w:hyperlink>
        </w:p>
        <w:p w14:paraId="126471FC" w14:textId="3B31F38F"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0" w:history="1">
            <w:r w:rsidR="00DE5FCE" w:rsidRPr="00216965">
              <w:rPr>
                <w:rStyle w:val="Hyperlink"/>
                <w:noProof/>
              </w:rPr>
              <w:t>5.4.1. Soil toxicity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_Toc86504710 \h </w:instrText>
            </w:r>
            <w:r w:rsidR="00DE5FCE" w:rsidRPr="00216965">
              <w:rPr>
                <w:noProof/>
                <w:webHidden/>
              </w:rPr>
            </w:r>
            <w:r w:rsidR="00DE5FCE" w:rsidRPr="00216965">
              <w:rPr>
                <w:noProof/>
                <w:webHidden/>
              </w:rPr>
              <w:fldChar w:fldCharType="separate"/>
            </w:r>
            <w:r w:rsidR="00CE6CD2">
              <w:rPr>
                <w:noProof/>
                <w:webHidden/>
              </w:rPr>
              <w:t>169</w:t>
            </w:r>
            <w:r w:rsidR="00DE5FCE" w:rsidRPr="00216965">
              <w:rPr>
                <w:noProof/>
                <w:webHidden/>
              </w:rPr>
              <w:fldChar w:fldCharType="end"/>
            </w:r>
          </w:hyperlink>
        </w:p>
        <w:p w14:paraId="327591BC" w14:textId="1EABC6D9"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1" w:history="1">
            <w:r w:rsidR="00DE5FCE" w:rsidRPr="00216965">
              <w:rPr>
                <w:rStyle w:val="Hyperlink"/>
                <w:noProof/>
              </w:rPr>
              <w:t>5.4.2. Effect of organic amendments on soil properties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_Toc86504711 \h </w:instrText>
            </w:r>
            <w:r w:rsidR="00DE5FCE" w:rsidRPr="00216965">
              <w:rPr>
                <w:noProof/>
                <w:webHidden/>
              </w:rPr>
            </w:r>
            <w:r w:rsidR="00DE5FCE" w:rsidRPr="00216965">
              <w:rPr>
                <w:noProof/>
                <w:webHidden/>
              </w:rPr>
              <w:fldChar w:fldCharType="separate"/>
            </w:r>
            <w:r w:rsidR="00CE6CD2">
              <w:rPr>
                <w:noProof/>
                <w:webHidden/>
              </w:rPr>
              <w:t>170</w:t>
            </w:r>
            <w:r w:rsidR="00DE5FCE" w:rsidRPr="00216965">
              <w:rPr>
                <w:noProof/>
                <w:webHidden/>
              </w:rPr>
              <w:fldChar w:fldCharType="end"/>
            </w:r>
          </w:hyperlink>
        </w:p>
        <w:p w14:paraId="6364B42F" w14:textId="70E24FBD"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2" w:history="1">
            <w:r w:rsidR="00DE5FCE" w:rsidRPr="00216965">
              <w:rPr>
                <w:rStyle w:val="Hyperlink"/>
                <w:noProof/>
              </w:rPr>
              <w:t>5.4.3. Mobility and bioavailability of HM</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_Toc86504712 \h </w:instrText>
            </w:r>
            <w:r w:rsidR="00DE5FCE" w:rsidRPr="00216965">
              <w:rPr>
                <w:noProof/>
                <w:webHidden/>
              </w:rPr>
            </w:r>
            <w:r w:rsidR="00DE5FCE" w:rsidRPr="00216965">
              <w:rPr>
                <w:noProof/>
                <w:webHidden/>
              </w:rPr>
              <w:fldChar w:fldCharType="separate"/>
            </w:r>
            <w:r w:rsidR="00CE6CD2">
              <w:rPr>
                <w:noProof/>
                <w:webHidden/>
              </w:rPr>
              <w:t>171</w:t>
            </w:r>
            <w:r w:rsidR="00DE5FCE" w:rsidRPr="00216965">
              <w:rPr>
                <w:noProof/>
                <w:webHidden/>
              </w:rPr>
              <w:fldChar w:fldCharType="end"/>
            </w:r>
          </w:hyperlink>
        </w:p>
        <w:p w14:paraId="29615594" w14:textId="3157865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3" w:history="1">
            <w:r w:rsidR="00DE5FCE" w:rsidRPr="00216965">
              <w:rPr>
                <w:rStyle w:val="Hyperlink"/>
                <w:noProof/>
              </w:rPr>
              <w:t>5.4.4. Distribution of HMs in soil</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_Toc86504713 \h </w:instrText>
            </w:r>
            <w:r w:rsidR="00DE5FCE" w:rsidRPr="00216965">
              <w:rPr>
                <w:noProof/>
                <w:webHidden/>
              </w:rPr>
            </w:r>
            <w:r w:rsidR="00DE5FCE" w:rsidRPr="00216965">
              <w:rPr>
                <w:noProof/>
                <w:webHidden/>
              </w:rPr>
              <w:fldChar w:fldCharType="separate"/>
            </w:r>
            <w:r w:rsidR="00CE6CD2">
              <w:rPr>
                <w:noProof/>
                <w:webHidden/>
              </w:rPr>
              <w:t>173</w:t>
            </w:r>
            <w:r w:rsidR="00DE5FCE" w:rsidRPr="00216965">
              <w:rPr>
                <w:noProof/>
                <w:webHidden/>
              </w:rPr>
              <w:fldChar w:fldCharType="end"/>
            </w:r>
          </w:hyperlink>
        </w:p>
        <w:p w14:paraId="161CD4D4" w14:textId="082AA2E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4" w:history="1">
            <w:r w:rsidR="00DE5FCE" w:rsidRPr="00216965">
              <w:rPr>
                <w:rStyle w:val="Hyperlink"/>
                <w:noProof/>
              </w:rPr>
              <w:t>5.4.5. Plant performance and its effect on soil properties and HM bioavailability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_Toc86504714 \h </w:instrText>
            </w:r>
            <w:r w:rsidR="00DE5FCE" w:rsidRPr="00216965">
              <w:rPr>
                <w:noProof/>
                <w:webHidden/>
              </w:rPr>
            </w:r>
            <w:r w:rsidR="00DE5FCE" w:rsidRPr="00216965">
              <w:rPr>
                <w:noProof/>
                <w:webHidden/>
              </w:rPr>
              <w:fldChar w:fldCharType="separate"/>
            </w:r>
            <w:r w:rsidR="00CE6CD2">
              <w:rPr>
                <w:noProof/>
                <w:webHidden/>
              </w:rPr>
              <w:t>175</w:t>
            </w:r>
            <w:r w:rsidR="00DE5FCE" w:rsidRPr="00216965">
              <w:rPr>
                <w:noProof/>
                <w:webHidden/>
              </w:rPr>
              <w:fldChar w:fldCharType="end"/>
            </w:r>
          </w:hyperlink>
        </w:p>
        <w:p w14:paraId="6B1D761F" w14:textId="03D8126C"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5" w:history="1">
            <w:r w:rsidR="00DE5FCE" w:rsidRPr="00216965">
              <w:rPr>
                <w:rStyle w:val="Hyperlink"/>
                <w:noProof/>
              </w:rPr>
              <w:t>5.4.6. Aging effect on organic amendments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_Toc86504715 \h </w:instrText>
            </w:r>
            <w:r w:rsidR="00DE5FCE" w:rsidRPr="00216965">
              <w:rPr>
                <w:noProof/>
                <w:webHidden/>
              </w:rPr>
            </w:r>
            <w:r w:rsidR="00DE5FCE" w:rsidRPr="00216965">
              <w:rPr>
                <w:noProof/>
                <w:webHidden/>
              </w:rPr>
              <w:fldChar w:fldCharType="separate"/>
            </w:r>
            <w:r w:rsidR="00CE6CD2">
              <w:rPr>
                <w:noProof/>
                <w:webHidden/>
              </w:rPr>
              <w:t>177</w:t>
            </w:r>
            <w:r w:rsidR="00DE5FCE" w:rsidRPr="00216965">
              <w:rPr>
                <w:noProof/>
                <w:webHidden/>
              </w:rPr>
              <w:fldChar w:fldCharType="end"/>
            </w:r>
          </w:hyperlink>
        </w:p>
        <w:p w14:paraId="64496A70" w14:textId="59E9436E"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6" w:history="1">
            <w:r w:rsidR="00DE5FCE" w:rsidRPr="00216965">
              <w:rPr>
                <w:rStyle w:val="Hyperlink"/>
                <w:noProof/>
              </w:rPr>
              <w:t>5.4.7. Microbial diversity and abundance</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_Toc86504716 \h </w:instrText>
            </w:r>
            <w:r w:rsidR="00DE5FCE" w:rsidRPr="00216965">
              <w:rPr>
                <w:noProof/>
                <w:webHidden/>
              </w:rPr>
            </w:r>
            <w:r w:rsidR="00DE5FCE" w:rsidRPr="00216965">
              <w:rPr>
                <w:noProof/>
                <w:webHidden/>
              </w:rPr>
              <w:fldChar w:fldCharType="separate"/>
            </w:r>
            <w:r w:rsidR="00CE6CD2">
              <w:rPr>
                <w:noProof/>
                <w:webHidden/>
              </w:rPr>
              <w:t>179</w:t>
            </w:r>
            <w:r w:rsidR="00DE5FCE" w:rsidRPr="00216965">
              <w:rPr>
                <w:noProof/>
                <w:webHidden/>
              </w:rPr>
              <w:fldChar w:fldCharType="end"/>
            </w:r>
          </w:hyperlink>
        </w:p>
        <w:p w14:paraId="6F85292B" w14:textId="2B306A12" w:rsidR="00DE5FCE" w:rsidRPr="00216965" w:rsidRDefault="00BB30F1" w:rsidP="008A33DA">
          <w:pPr>
            <w:pStyle w:val="TOC3"/>
            <w:tabs>
              <w:tab w:val="right" w:leader="dot" w:pos="8494"/>
            </w:tabs>
            <w:rPr>
              <w:rFonts w:asciiTheme="minorHAnsi" w:hAnsiTheme="minorHAnsi" w:cstheme="minorBidi"/>
              <w:noProof/>
              <w:sz w:val="22"/>
              <w:lang w:val="en-GB"/>
            </w:rPr>
          </w:pPr>
          <w:hyperlink w:anchor="_Toc86504717" w:history="1">
            <w:r w:rsidR="00DE5FCE" w:rsidRPr="00216965">
              <w:rPr>
                <w:rStyle w:val="Hyperlink"/>
                <w:noProof/>
              </w:rPr>
              <w:t>5.4.8. Microbial activity and PLFA</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_Toc86504717 \h </w:instrText>
            </w:r>
            <w:r w:rsidR="00DE5FCE" w:rsidRPr="00216965">
              <w:rPr>
                <w:noProof/>
                <w:webHidden/>
              </w:rPr>
            </w:r>
            <w:r w:rsidR="00DE5FCE" w:rsidRPr="00216965">
              <w:rPr>
                <w:noProof/>
                <w:webHidden/>
              </w:rPr>
              <w:fldChar w:fldCharType="separate"/>
            </w:r>
            <w:r w:rsidR="00CE6CD2">
              <w:rPr>
                <w:noProof/>
                <w:webHidden/>
              </w:rPr>
              <w:t>183</w:t>
            </w:r>
            <w:r w:rsidR="00DE5FCE" w:rsidRPr="00216965">
              <w:rPr>
                <w:noProof/>
                <w:webHidden/>
              </w:rPr>
              <w:fldChar w:fldCharType="end"/>
            </w:r>
          </w:hyperlink>
        </w:p>
        <w:p w14:paraId="628958B2" w14:textId="2C01C350"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18" w:history="1">
            <w:r w:rsidR="00DE5FCE" w:rsidRPr="00216965">
              <w:rPr>
                <w:rStyle w:val="Hyperlink"/>
                <w:noProof/>
              </w:rPr>
              <w:t>5.5. Conclusions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_Toc86504718 \h </w:instrText>
            </w:r>
            <w:r w:rsidR="00DE5FCE" w:rsidRPr="00216965">
              <w:rPr>
                <w:noProof/>
                <w:webHidden/>
              </w:rPr>
            </w:r>
            <w:r w:rsidR="00DE5FCE" w:rsidRPr="00216965">
              <w:rPr>
                <w:noProof/>
                <w:webHidden/>
              </w:rPr>
              <w:fldChar w:fldCharType="separate"/>
            </w:r>
            <w:r w:rsidR="00CE6CD2">
              <w:rPr>
                <w:noProof/>
                <w:webHidden/>
              </w:rPr>
              <w:t>184</w:t>
            </w:r>
            <w:r w:rsidR="00DE5FCE" w:rsidRPr="00216965">
              <w:rPr>
                <w:noProof/>
                <w:webHidden/>
              </w:rPr>
              <w:fldChar w:fldCharType="end"/>
            </w:r>
          </w:hyperlink>
        </w:p>
        <w:p w14:paraId="4A1C8B17" w14:textId="38B1A25B" w:rsidR="00DE5FCE" w:rsidRPr="00216965" w:rsidRDefault="00BB30F1" w:rsidP="008A33DA">
          <w:pPr>
            <w:pStyle w:val="TOC1"/>
            <w:rPr>
              <w:rFonts w:asciiTheme="minorHAnsi" w:hAnsiTheme="minorHAnsi" w:cstheme="minorBidi"/>
              <w:noProof/>
              <w:sz w:val="22"/>
              <w:lang w:val="en-GB"/>
            </w:rPr>
          </w:pPr>
          <w:hyperlink w:anchor="_Toc86504719" w:history="1">
            <w:r w:rsidR="00DE5FCE" w:rsidRPr="00216965">
              <w:rPr>
                <w:rStyle w:val="Hyperlink"/>
                <w:noProof/>
              </w:rPr>
              <w:t>Chapter 6: Synthesis, future research, and conclusion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_Toc86504719 \h </w:instrText>
            </w:r>
            <w:r w:rsidR="00DE5FCE" w:rsidRPr="00216965">
              <w:rPr>
                <w:noProof/>
                <w:webHidden/>
              </w:rPr>
            </w:r>
            <w:r w:rsidR="00DE5FCE" w:rsidRPr="00216965">
              <w:rPr>
                <w:noProof/>
                <w:webHidden/>
              </w:rPr>
              <w:fldChar w:fldCharType="separate"/>
            </w:r>
            <w:r w:rsidR="00CE6CD2">
              <w:rPr>
                <w:noProof/>
                <w:webHidden/>
              </w:rPr>
              <w:t>186</w:t>
            </w:r>
            <w:r w:rsidR="00DE5FCE" w:rsidRPr="00216965">
              <w:rPr>
                <w:noProof/>
                <w:webHidden/>
              </w:rPr>
              <w:fldChar w:fldCharType="end"/>
            </w:r>
          </w:hyperlink>
        </w:p>
        <w:p w14:paraId="4410D6CF" w14:textId="714E02EA"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0" w:history="1">
            <w:r w:rsidR="00DE5FCE" w:rsidRPr="00216965">
              <w:rPr>
                <w:rStyle w:val="Hyperlink"/>
                <w:noProof/>
              </w:rPr>
              <w:t>6.1. Synthesis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_Toc86504720 \h </w:instrText>
            </w:r>
            <w:r w:rsidR="00DE5FCE" w:rsidRPr="00216965">
              <w:rPr>
                <w:noProof/>
                <w:webHidden/>
              </w:rPr>
            </w:r>
            <w:r w:rsidR="00DE5FCE" w:rsidRPr="00216965">
              <w:rPr>
                <w:noProof/>
                <w:webHidden/>
              </w:rPr>
              <w:fldChar w:fldCharType="separate"/>
            </w:r>
            <w:r w:rsidR="00CE6CD2">
              <w:rPr>
                <w:noProof/>
                <w:webHidden/>
              </w:rPr>
              <w:t>186</w:t>
            </w:r>
            <w:r w:rsidR="00DE5FCE" w:rsidRPr="00216965">
              <w:rPr>
                <w:noProof/>
                <w:webHidden/>
              </w:rPr>
              <w:fldChar w:fldCharType="end"/>
            </w:r>
          </w:hyperlink>
        </w:p>
        <w:p w14:paraId="550D9ACA" w14:textId="2FB1164E"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1" w:history="1">
            <w:r w:rsidR="00DE5FCE" w:rsidRPr="00216965">
              <w:rPr>
                <w:rStyle w:val="Hyperlink"/>
                <w:noProof/>
              </w:rPr>
              <w:t>6.2. Immobilisation of heavy metals by biochar</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_Toc86504721 \h </w:instrText>
            </w:r>
            <w:r w:rsidR="00DE5FCE" w:rsidRPr="00216965">
              <w:rPr>
                <w:noProof/>
                <w:webHidden/>
              </w:rPr>
            </w:r>
            <w:r w:rsidR="00DE5FCE" w:rsidRPr="00216965">
              <w:rPr>
                <w:noProof/>
                <w:webHidden/>
              </w:rPr>
              <w:fldChar w:fldCharType="separate"/>
            </w:r>
            <w:r w:rsidR="00CE6CD2">
              <w:rPr>
                <w:noProof/>
                <w:webHidden/>
              </w:rPr>
              <w:t>186</w:t>
            </w:r>
            <w:r w:rsidR="00DE5FCE" w:rsidRPr="00216965">
              <w:rPr>
                <w:noProof/>
                <w:webHidden/>
              </w:rPr>
              <w:fldChar w:fldCharType="end"/>
            </w:r>
          </w:hyperlink>
        </w:p>
        <w:p w14:paraId="05F81E30" w14:textId="242E7BAD"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2" w:history="1">
            <w:r w:rsidR="00DE5FCE" w:rsidRPr="00216965">
              <w:rPr>
                <w:rStyle w:val="Hyperlink"/>
                <w:noProof/>
              </w:rPr>
              <w:t>6.3. Effect of biochar on plants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_Toc86504722 \h </w:instrText>
            </w:r>
            <w:r w:rsidR="00DE5FCE" w:rsidRPr="00216965">
              <w:rPr>
                <w:noProof/>
                <w:webHidden/>
              </w:rPr>
            </w:r>
            <w:r w:rsidR="00DE5FCE" w:rsidRPr="00216965">
              <w:rPr>
                <w:noProof/>
                <w:webHidden/>
              </w:rPr>
              <w:fldChar w:fldCharType="separate"/>
            </w:r>
            <w:r w:rsidR="00CE6CD2">
              <w:rPr>
                <w:noProof/>
                <w:webHidden/>
              </w:rPr>
              <w:t>189</w:t>
            </w:r>
            <w:r w:rsidR="00DE5FCE" w:rsidRPr="00216965">
              <w:rPr>
                <w:noProof/>
                <w:webHidden/>
              </w:rPr>
              <w:fldChar w:fldCharType="end"/>
            </w:r>
          </w:hyperlink>
        </w:p>
        <w:p w14:paraId="1AAAD302" w14:textId="3DE5BB5B"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3" w:history="1">
            <w:r w:rsidR="00DE5FCE" w:rsidRPr="00216965">
              <w:rPr>
                <w:rStyle w:val="Hyperlink"/>
                <w:noProof/>
              </w:rPr>
              <w:t>6.4. Effect of biochar on soil microbial community</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_Toc86504723 \h </w:instrText>
            </w:r>
            <w:r w:rsidR="00DE5FCE" w:rsidRPr="00216965">
              <w:rPr>
                <w:noProof/>
                <w:webHidden/>
              </w:rPr>
            </w:r>
            <w:r w:rsidR="00DE5FCE" w:rsidRPr="00216965">
              <w:rPr>
                <w:noProof/>
                <w:webHidden/>
              </w:rPr>
              <w:fldChar w:fldCharType="separate"/>
            </w:r>
            <w:r w:rsidR="00CE6CD2">
              <w:rPr>
                <w:noProof/>
                <w:webHidden/>
              </w:rPr>
              <w:t>191</w:t>
            </w:r>
            <w:r w:rsidR="00DE5FCE" w:rsidRPr="00216965">
              <w:rPr>
                <w:noProof/>
                <w:webHidden/>
              </w:rPr>
              <w:fldChar w:fldCharType="end"/>
            </w:r>
          </w:hyperlink>
        </w:p>
        <w:p w14:paraId="266DB6B7" w14:textId="5F50F1E5"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4" w:history="1">
            <w:r w:rsidR="00DE5FCE" w:rsidRPr="00216965">
              <w:rPr>
                <w:rStyle w:val="Hyperlink"/>
                <w:noProof/>
              </w:rPr>
              <w:t>6.5. Limitations and future research</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_Toc86504724 \h </w:instrText>
            </w:r>
            <w:r w:rsidR="00DE5FCE" w:rsidRPr="00216965">
              <w:rPr>
                <w:noProof/>
                <w:webHidden/>
              </w:rPr>
            </w:r>
            <w:r w:rsidR="00DE5FCE" w:rsidRPr="00216965">
              <w:rPr>
                <w:noProof/>
                <w:webHidden/>
              </w:rPr>
              <w:fldChar w:fldCharType="separate"/>
            </w:r>
            <w:r w:rsidR="00CE6CD2">
              <w:rPr>
                <w:noProof/>
                <w:webHidden/>
              </w:rPr>
              <w:t>192</w:t>
            </w:r>
            <w:r w:rsidR="00DE5FCE" w:rsidRPr="00216965">
              <w:rPr>
                <w:noProof/>
                <w:webHidden/>
              </w:rPr>
              <w:fldChar w:fldCharType="end"/>
            </w:r>
          </w:hyperlink>
        </w:p>
        <w:p w14:paraId="5A074CCA" w14:textId="5223FB4C"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5" w:history="1">
            <w:r w:rsidR="00DE5FCE" w:rsidRPr="00216965">
              <w:rPr>
                <w:rStyle w:val="Hyperlink"/>
                <w:noProof/>
              </w:rPr>
              <w:t>6.6. Conclusion</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_Toc86504725 \h </w:instrText>
            </w:r>
            <w:r w:rsidR="00DE5FCE" w:rsidRPr="00216965">
              <w:rPr>
                <w:noProof/>
                <w:webHidden/>
              </w:rPr>
            </w:r>
            <w:r w:rsidR="00DE5FCE" w:rsidRPr="00216965">
              <w:rPr>
                <w:noProof/>
                <w:webHidden/>
              </w:rPr>
              <w:fldChar w:fldCharType="separate"/>
            </w:r>
            <w:r w:rsidR="00CE6CD2">
              <w:rPr>
                <w:noProof/>
                <w:webHidden/>
              </w:rPr>
              <w:t>193</w:t>
            </w:r>
            <w:r w:rsidR="00DE5FCE" w:rsidRPr="00216965">
              <w:rPr>
                <w:noProof/>
                <w:webHidden/>
              </w:rPr>
              <w:fldChar w:fldCharType="end"/>
            </w:r>
          </w:hyperlink>
        </w:p>
        <w:p w14:paraId="6519D811" w14:textId="0992A5D3" w:rsidR="00DE5FCE" w:rsidRPr="00216965" w:rsidRDefault="00BB30F1" w:rsidP="008A33DA">
          <w:pPr>
            <w:pStyle w:val="TOC1"/>
            <w:rPr>
              <w:rFonts w:asciiTheme="minorHAnsi" w:hAnsiTheme="minorHAnsi" w:cstheme="minorBidi"/>
              <w:noProof/>
              <w:sz w:val="22"/>
              <w:lang w:val="en-GB"/>
            </w:rPr>
          </w:pPr>
          <w:hyperlink w:anchor="_Toc86504726" w:history="1">
            <w:r w:rsidR="00DE5FCE" w:rsidRPr="00216965">
              <w:rPr>
                <w:rStyle w:val="Hyperlink"/>
                <w:noProof/>
              </w:rPr>
              <w:t>7 References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_Toc86504726 \h </w:instrText>
            </w:r>
            <w:r w:rsidR="00DE5FCE" w:rsidRPr="00216965">
              <w:rPr>
                <w:noProof/>
                <w:webHidden/>
              </w:rPr>
            </w:r>
            <w:r w:rsidR="00DE5FCE" w:rsidRPr="00216965">
              <w:rPr>
                <w:noProof/>
                <w:webHidden/>
              </w:rPr>
              <w:fldChar w:fldCharType="separate"/>
            </w:r>
            <w:r w:rsidR="00CE6CD2">
              <w:rPr>
                <w:noProof/>
                <w:webHidden/>
              </w:rPr>
              <w:t>196</w:t>
            </w:r>
            <w:r w:rsidR="00DE5FCE" w:rsidRPr="00216965">
              <w:rPr>
                <w:noProof/>
                <w:webHidden/>
              </w:rPr>
              <w:fldChar w:fldCharType="end"/>
            </w:r>
          </w:hyperlink>
        </w:p>
        <w:p w14:paraId="2B82F997" w14:textId="13948406" w:rsidR="00DE5FCE" w:rsidRPr="00216965" w:rsidRDefault="00BB30F1" w:rsidP="008A33DA">
          <w:pPr>
            <w:pStyle w:val="TOC1"/>
            <w:rPr>
              <w:rFonts w:asciiTheme="minorHAnsi" w:hAnsiTheme="minorHAnsi" w:cstheme="minorBidi"/>
              <w:noProof/>
              <w:sz w:val="22"/>
              <w:lang w:val="en-GB"/>
            </w:rPr>
          </w:pPr>
          <w:hyperlink w:anchor="_Toc86504727" w:history="1">
            <w:r w:rsidR="00DE5FCE" w:rsidRPr="00216965">
              <w:rPr>
                <w:rStyle w:val="Hyperlink"/>
                <w:noProof/>
              </w:rPr>
              <w:t>8 Appendices</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_Toc86504727 \h </w:instrText>
            </w:r>
            <w:r w:rsidR="00DE5FCE" w:rsidRPr="00216965">
              <w:rPr>
                <w:noProof/>
                <w:webHidden/>
              </w:rPr>
            </w:r>
            <w:r w:rsidR="00DE5FCE" w:rsidRPr="00216965">
              <w:rPr>
                <w:noProof/>
                <w:webHidden/>
              </w:rPr>
              <w:fldChar w:fldCharType="separate"/>
            </w:r>
            <w:r w:rsidR="00CE6CD2">
              <w:rPr>
                <w:noProof/>
                <w:webHidden/>
              </w:rPr>
              <w:t>221</w:t>
            </w:r>
            <w:r w:rsidR="00DE5FCE" w:rsidRPr="00216965">
              <w:rPr>
                <w:noProof/>
                <w:webHidden/>
              </w:rPr>
              <w:fldChar w:fldCharType="end"/>
            </w:r>
          </w:hyperlink>
        </w:p>
        <w:p w14:paraId="5AADE188" w14:textId="0E502AE7"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8" w:history="1">
            <w:r w:rsidR="00DE5FCE" w:rsidRPr="00216965">
              <w:rPr>
                <w:rStyle w:val="Hyperlink"/>
                <w:noProof/>
              </w:rPr>
              <w:t>8.1. Appendix 1</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_Toc86504728 \h </w:instrText>
            </w:r>
            <w:r w:rsidR="00DE5FCE" w:rsidRPr="00216965">
              <w:rPr>
                <w:noProof/>
                <w:webHidden/>
              </w:rPr>
            </w:r>
            <w:r w:rsidR="00DE5FCE" w:rsidRPr="00216965">
              <w:rPr>
                <w:noProof/>
                <w:webHidden/>
              </w:rPr>
              <w:fldChar w:fldCharType="separate"/>
            </w:r>
            <w:r w:rsidR="00CE6CD2">
              <w:rPr>
                <w:noProof/>
                <w:webHidden/>
              </w:rPr>
              <w:t>221</w:t>
            </w:r>
            <w:r w:rsidR="00DE5FCE" w:rsidRPr="00216965">
              <w:rPr>
                <w:noProof/>
                <w:webHidden/>
              </w:rPr>
              <w:fldChar w:fldCharType="end"/>
            </w:r>
          </w:hyperlink>
        </w:p>
        <w:p w14:paraId="5BB209C7" w14:textId="251286A8"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29" w:history="1">
            <w:r w:rsidR="00DE5FCE" w:rsidRPr="00216965">
              <w:rPr>
                <w:rStyle w:val="Hyperlink"/>
                <w:noProof/>
              </w:rPr>
              <w:t>8.2. Appendix 2</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_Toc86504729 \h </w:instrText>
            </w:r>
            <w:r w:rsidR="00DE5FCE" w:rsidRPr="00216965">
              <w:rPr>
                <w:noProof/>
                <w:webHidden/>
              </w:rPr>
            </w:r>
            <w:r w:rsidR="00DE5FCE" w:rsidRPr="00216965">
              <w:rPr>
                <w:noProof/>
                <w:webHidden/>
              </w:rPr>
              <w:fldChar w:fldCharType="separate"/>
            </w:r>
            <w:r w:rsidR="00CE6CD2">
              <w:rPr>
                <w:noProof/>
                <w:webHidden/>
              </w:rPr>
              <w:t>222</w:t>
            </w:r>
            <w:r w:rsidR="00DE5FCE" w:rsidRPr="00216965">
              <w:rPr>
                <w:noProof/>
                <w:webHidden/>
              </w:rPr>
              <w:fldChar w:fldCharType="end"/>
            </w:r>
          </w:hyperlink>
        </w:p>
        <w:p w14:paraId="582DFC4C" w14:textId="7565263F"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0" w:history="1">
            <w:r w:rsidR="00DE5FCE" w:rsidRPr="00216965">
              <w:rPr>
                <w:rStyle w:val="Hyperlink"/>
                <w:noProof/>
              </w:rPr>
              <w:t>8.3. Appendix 3</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_Toc86504730 \h </w:instrText>
            </w:r>
            <w:r w:rsidR="00DE5FCE" w:rsidRPr="00216965">
              <w:rPr>
                <w:noProof/>
                <w:webHidden/>
              </w:rPr>
            </w:r>
            <w:r w:rsidR="00DE5FCE" w:rsidRPr="00216965">
              <w:rPr>
                <w:noProof/>
                <w:webHidden/>
              </w:rPr>
              <w:fldChar w:fldCharType="separate"/>
            </w:r>
            <w:r w:rsidR="00CE6CD2">
              <w:rPr>
                <w:noProof/>
                <w:webHidden/>
              </w:rPr>
              <w:t>223</w:t>
            </w:r>
            <w:r w:rsidR="00DE5FCE" w:rsidRPr="00216965">
              <w:rPr>
                <w:noProof/>
                <w:webHidden/>
              </w:rPr>
              <w:fldChar w:fldCharType="end"/>
            </w:r>
          </w:hyperlink>
        </w:p>
        <w:p w14:paraId="7734C3C0" w14:textId="10A8EC3B"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1" w:history="1">
            <w:r w:rsidR="00DE5FCE" w:rsidRPr="00216965">
              <w:rPr>
                <w:rStyle w:val="Hyperlink"/>
                <w:noProof/>
              </w:rPr>
              <w:t>8.4. Appendix 4</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_Toc86504731 \h </w:instrText>
            </w:r>
            <w:r w:rsidR="00DE5FCE" w:rsidRPr="00216965">
              <w:rPr>
                <w:noProof/>
                <w:webHidden/>
              </w:rPr>
            </w:r>
            <w:r w:rsidR="00DE5FCE" w:rsidRPr="00216965">
              <w:rPr>
                <w:noProof/>
                <w:webHidden/>
              </w:rPr>
              <w:fldChar w:fldCharType="separate"/>
            </w:r>
            <w:r w:rsidR="00CE6CD2">
              <w:rPr>
                <w:noProof/>
                <w:webHidden/>
              </w:rPr>
              <w:t>224</w:t>
            </w:r>
            <w:r w:rsidR="00DE5FCE" w:rsidRPr="00216965">
              <w:rPr>
                <w:noProof/>
                <w:webHidden/>
              </w:rPr>
              <w:fldChar w:fldCharType="end"/>
            </w:r>
          </w:hyperlink>
        </w:p>
        <w:p w14:paraId="3E469C47" w14:textId="46533EC3"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2" w:history="1">
            <w:r w:rsidR="00DE5FCE" w:rsidRPr="00216965">
              <w:rPr>
                <w:rStyle w:val="Hyperlink"/>
                <w:noProof/>
              </w:rPr>
              <w:t>8.5. Appendix 5</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_Toc86504732 \h </w:instrText>
            </w:r>
            <w:r w:rsidR="00DE5FCE" w:rsidRPr="00216965">
              <w:rPr>
                <w:noProof/>
                <w:webHidden/>
              </w:rPr>
            </w:r>
            <w:r w:rsidR="00DE5FCE" w:rsidRPr="00216965">
              <w:rPr>
                <w:noProof/>
                <w:webHidden/>
              </w:rPr>
              <w:fldChar w:fldCharType="separate"/>
            </w:r>
            <w:r w:rsidR="00CE6CD2">
              <w:rPr>
                <w:noProof/>
                <w:webHidden/>
              </w:rPr>
              <w:t>225</w:t>
            </w:r>
            <w:r w:rsidR="00DE5FCE" w:rsidRPr="00216965">
              <w:rPr>
                <w:noProof/>
                <w:webHidden/>
              </w:rPr>
              <w:fldChar w:fldCharType="end"/>
            </w:r>
          </w:hyperlink>
        </w:p>
        <w:p w14:paraId="35E62FA1" w14:textId="09CF3622"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3" w:history="1">
            <w:r w:rsidR="00DE5FCE" w:rsidRPr="00216965">
              <w:rPr>
                <w:rStyle w:val="Hyperlink"/>
                <w:noProof/>
              </w:rPr>
              <w:t>8.6. Appendix 6</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_Toc86504733 \h </w:instrText>
            </w:r>
            <w:r w:rsidR="00DE5FCE" w:rsidRPr="00216965">
              <w:rPr>
                <w:noProof/>
                <w:webHidden/>
              </w:rPr>
            </w:r>
            <w:r w:rsidR="00DE5FCE" w:rsidRPr="00216965">
              <w:rPr>
                <w:noProof/>
                <w:webHidden/>
              </w:rPr>
              <w:fldChar w:fldCharType="separate"/>
            </w:r>
            <w:r w:rsidR="00CE6CD2">
              <w:rPr>
                <w:noProof/>
                <w:webHidden/>
              </w:rPr>
              <w:t>226</w:t>
            </w:r>
            <w:r w:rsidR="00DE5FCE" w:rsidRPr="00216965">
              <w:rPr>
                <w:noProof/>
                <w:webHidden/>
              </w:rPr>
              <w:fldChar w:fldCharType="end"/>
            </w:r>
          </w:hyperlink>
        </w:p>
        <w:p w14:paraId="5ABDF32D" w14:textId="66AE6CFD"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4" w:history="1">
            <w:r w:rsidR="00DE5FCE" w:rsidRPr="00216965">
              <w:rPr>
                <w:rStyle w:val="Hyperlink"/>
                <w:noProof/>
              </w:rPr>
              <w:t>8.7. Appendix 7</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_Toc86504734 \h </w:instrText>
            </w:r>
            <w:r w:rsidR="00DE5FCE" w:rsidRPr="00216965">
              <w:rPr>
                <w:noProof/>
                <w:webHidden/>
              </w:rPr>
            </w:r>
            <w:r w:rsidR="00DE5FCE" w:rsidRPr="00216965">
              <w:rPr>
                <w:noProof/>
                <w:webHidden/>
              </w:rPr>
              <w:fldChar w:fldCharType="separate"/>
            </w:r>
            <w:r w:rsidR="00CE6CD2">
              <w:rPr>
                <w:noProof/>
                <w:webHidden/>
              </w:rPr>
              <w:t>227</w:t>
            </w:r>
            <w:r w:rsidR="00DE5FCE" w:rsidRPr="00216965">
              <w:rPr>
                <w:noProof/>
                <w:webHidden/>
              </w:rPr>
              <w:fldChar w:fldCharType="end"/>
            </w:r>
          </w:hyperlink>
        </w:p>
        <w:p w14:paraId="4426EE52" w14:textId="527A3C4E"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5" w:history="1">
            <w:r w:rsidR="00DE5FCE" w:rsidRPr="00216965">
              <w:rPr>
                <w:rStyle w:val="Hyperlink"/>
                <w:noProof/>
              </w:rPr>
              <w:t>8.8. Appendix 8</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_Toc86504735 \h </w:instrText>
            </w:r>
            <w:r w:rsidR="00DE5FCE" w:rsidRPr="00216965">
              <w:rPr>
                <w:noProof/>
                <w:webHidden/>
              </w:rPr>
            </w:r>
            <w:r w:rsidR="00DE5FCE" w:rsidRPr="00216965">
              <w:rPr>
                <w:noProof/>
                <w:webHidden/>
              </w:rPr>
              <w:fldChar w:fldCharType="separate"/>
            </w:r>
            <w:r w:rsidR="00CE6CD2">
              <w:rPr>
                <w:noProof/>
                <w:webHidden/>
              </w:rPr>
              <w:t>228</w:t>
            </w:r>
            <w:r w:rsidR="00DE5FCE" w:rsidRPr="00216965">
              <w:rPr>
                <w:noProof/>
                <w:webHidden/>
              </w:rPr>
              <w:fldChar w:fldCharType="end"/>
            </w:r>
          </w:hyperlink>
        </w:p>
        <w:p w14:paraId="2491ABFD" w14:textId="3B9236BD"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6" w:history="1">
            <w:r w:rsidR="00DE5FCE" w:rsidRPr="00216965">
              <w:rPr>
                <w:rStyle w:val="Hyperlink"/>
                <w:noProof/>
              </w:rPr>
              <w:t>8.9. Appendix 9</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_Toc86504736 \h </w:instrText>
            </w:r>
            <w:r w:rsidR="00DE5FCE" w:rsidRPr="00216965">
              <w:rPr>
                <w:noProof/>
                <w:webHidden/>
              </w:rPr>
            </w:r>
            <w:r w:rsidR="00DE5FCE" w:rsidRPr="00216965">
              <w:rPr>
                <w:noProof/>
                <w:webHidden/>
              </w:rPr>
              <w:fldChar w:fldCharType="separate"/>
            </w:r>
            <w:r w:rsidR="00CE6CD2">
              <w:rPr>
                <w:noProof/>
                <w:webHidden/>
              </w:rPr>
              <w:t>229</w:t>
            </w:r>
            <w:r w:rsidR="00DE5FCE" w:rsidRPr="00216965">
              <w:rPr>
                <w:noProof/>
                <w:webHidden/>
              </w:rPr>
              <w:fldChar w:fldCharType="end"/>
            </w:r>
          </w:hyperlink>
        </w:p>
        <w:p w14:paraId="037FC77B" w14:textId="1F49D145"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7" w:history="1">
            <w:r w:rsidR="00DE5FCE" w:rsidRPr="00216965">
              <w:rPr>
                <w:rStyle w:val="Hyperlink"/>
                <w:noProof/>
              </w:rPr>
              <w:t>8.10. Appendix 10</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_Toc86504737 \h </w:instrText>
            </w:r>
            <w:r w:rsidR="00DE5FCE" w:rsidRPr="00216965">
              <w:rPr>
                <w:noProof/>
                <w:webHidden/>
              </w:rPr>
            </w:r>
            <w:r w:rsidR="00DE5FCE" w:rsidRPr="00216965">
              <w:rPr>
                <w:noProof/>
                <w:webHidden/>
              </w:rPr>
              <w:fldChar w:fldCharType="separate"/>
            </w:r>
            <w:r w:rsidR="00CE6CD2">
              <w:rPr>
                <w:noProof/>
                <w:webHidden/>
              </w:rPr>
              <w:t>230</w:t>
            </w:r>
            <w:r w:rsidR="00DE5FCE" w:rsidRPr="00216965">
              <w:rPr>
                <w:noProof/>
                <w:webHidden/>
              </w:rPr>
              <w:fldChar w:fldCharType="end"/>
            </w:r>
          </w:hyperlink>
        </w:p>
        <w:p w14:paraId="5814607F" w14:textId="7D7A6894"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8" w:history="1">
            <w:r w:rsidR="00DE5FCE" w:rsidRPr="00216965">
              <w:rPr>
                <w:rStyle w:val="Hyperlink"/>
                <w:noProof/>
              </w:rPr>
              <w:t>8.11. Appendix 11</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_Toc86504738 \h </w:instrText>
            </w:r>
            <w:r w:rsidR="00DE5FCE" w:rsidRPr="00216965">
              <w:rPr>
                <w:noProof/>
                <w:webHidden/>
              </w:rPr>
            </w:r>
            <w:r w:rsidR="00DE5FCE" w:rsidRPr="00216965">
              <w:rPr>
                <w:noProof/>
                <w:webHidden/>
              </w:rPr>
              <w:fldChar w:fldCharType="separate"/>
            </w:r>
            <w:r w:rsidR="00CE6CD2">
              <w:rPr>
                <w:noProof/>
                <w:webHidden/>
              </w:rPr>
              <w:t>231</w:t>
            </w:r>
            <w:r w:rsidR="00DE5FCE" w:rsidRPr="00216965">
              <w:rPr>
                <w:noProof/>
                <w:webHidden/>
              </w:rPr>
              <w:fldChar w:fldCharType="end"/>
            </w:r>
          </w:hyperlink>
        </w:p>
        <w:p w14:paraId="20C6C56D" w14:textId="743E29CC"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39" w:history="1">
            <w:r w:rsidR="00DE5FCE" w:rsidRPr="00216965">
              <w:rPr>
                <w:rStyle w:val="Hyperlink"/>
                <w:noProof/>
              </w:rPr>
              <w:t>8.12. Appendix 12</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_Toc86504739 \h </w:instrText>
            </w:r>
            <w:r w:rsidR="00DE5FCE" w:rsidRPr="00216965">
              <w:rPr>
                <w:noProof/>
                <w:webHidden/>
              </w:rPr>
            </w:r>
            <w:r w:rsidR="00DE5FCE" w:rsidRPr="00216965">
              <w:rPr>
                <w:noProof/>
                <w:webHidden/>
              </w:rPr>
              <w:fldChar w:fldCharType="separate"/>
            </w:r>
            <w:r w:rsidR="00CE6CD2">
              <w:rPr>
                <w:noProof/>
                <w:webHidden/>
              </w:rPr>
              <w:t>232</w:t>
            </w:r>
            <w:r w:rsidR="00DE5FCE" w:rsidRPr="00216965">
              <w:rPr>
                <w:noProof/>
                <w:webHidden/>
              </w:rPr>
              <w:fldChar w:fldCharType="end"/>
            </w:r>
          </w:hyperlink>
        </w:p>
        <w:p w14:paraId="04909F8C" w14:textId="5D733F85" w:rsidR="00DE5FCE" w:rsidRPr="00216965" w:rsidRDefault="00BB30F1" w:rsidP="008A33DA">
          <w:pPr>
            <w:pStyle w:val="TOC2"/>
            <w:tabs>
              <w:tab w:val="right" w:leader="dot" w:pos="8494"/>
            </w:tabs>
            <w:rPr>
              <w:rFonts w:asciiTheme="minorHAnsi" w:hAnsiTheme="minorHAnsi" w:cstheme="minorBidi"/>
              <w:noProof/>
              <w:sz w:val="22"/>
              <w:lang w:val="en-GB"/>
            </w:rPr>
          </w:pPr>
          <w:hyperlink w:anchor="_Toc86504740" w:history="1">
            <w:r w:rsidR="00DE5FCE" w:rsidRPr="00216965">
              <w:rPr>
                <w:rStyle w:val="Hyperlink"/>
                <w:noProof/>
              </w:rPr>
              <w:t>8.13. Appendix 13</w:t>
            </w:r>
            <w:r w:rsidR="00DE5FCE" w:rsidRPr="00216965">
              <w:rPr>
                <w:noProof/>
                <w:webHidden/>
              </w:rPr>
              <w:tab/>
            </w:r>
            <w:r w:rsidR="00DE5FCE" w:rsidRPr="00216965">
              <w:rPr>
                <w:noProof/>
                <w:webHidden/>
              </w:rPr>
              <w:fldChar w:fldCharType="begin"/>
            </w:r>
            <w:r w:rsidR="00DE5FCE" w:rsidRPr="00216965">
              <w:rPr>
                <w:noProof/>
                <w:webHidden/>
              </w:rPr>
              <w:instrText xml:space="preserve"> PAGEREF _Toc86504740 \h </w:instrText>
            </w:r>
            <w:r w:rsidR="00DE5FCE" w:rsidRPr="00216965">
              <w:rPr>
                <w:noProof/>
                <w:webHidden/>
              </w:rPr>
            </w:r>
            <w:r w:rsidR="00DE5FCE" w:rsidRPr="00216965">
              <w:rPr>
                <w:noProof/>
                <w:webHidden/>
              </w:rPr>
              <w:fldChar w:fldCharType="separate"/>
            </w:r>
            <w:r w:rsidR="00CE6CD2">
              <w:rPr>
                <w:noProof/>
                <w:webHidden/>
              </w:rPr>
              <w:t>233</w:t>
            </w:r>
            <w:r w:rsidR="00DE5FCE" w:rsidRPr="00216965">
              <w:rPr>
                <w:noProof/>
                <w:webHidden/>
              </w:rPr>
              <w:fldChar w:fldCharType="end"/>
            </w:r>
          </w:hyperlink>
        </w:p>
        <w:p w14:paraId="519596E8" w14:textId="725EBECF" w:rsidR="004D5278" w:rsidRPr="00216965" w:rsidRDefault="004D5278" w:rsidP="008A33DA">
          <w:r w:rsidRPr="00216965">
            <w:rPr>
              <w:b/>
              <w:bCs/>
              <w:noProof/>
            </w:rPr>
            <w:fldChar w:fldCharType="end"/>
          </w:r>
        </w:p>
      </w:sdtContent>
    </w:sdt>
    <w:p w14:paraId="7B928FCB" w14:textId="77777777" w:rsidR="004D5278" w:rsidRPr="00216965" w:rsidRDefault="004D5278" w:rsidP="008A33DA">
      <w:pPr>
        <w:autoSpaceDE w:val="0"/>
        <w:autoSpaceDN w:val="0"/>
        <w:adjustRightInd w:val="0"/>
        <w:spacing w:after="0" w:line="240" w:lineRule="auto"/>
        <w:rPr>
          <w:rFonts w:cs="Times New Roman"/>
        </w:rPr>
      </w:pPr>
    </w:p>
    <w:p w14:paraId="6E1AFF17" w14:textId="67AFDBEE" w:rsidR="0072628D" w:rsidRPr="00216965" w:rsidRDefault="0072628D" w:rsidP="008A33DA">
      <w:pPr>
        <w:autoSpaceDE w:val="0"/>
        <w:autoSpaceDN w:val="0"/>
        <w:adjustRightInd w:val="0"/>
        <w:spacing w:after="0" w:line="240" w:lineRule="auto"/>
        <w:rPr>
          <w:rFonts w:cs="Times New Roman"/>
        </w:rPr>
      </w:pPr>
    </w:p>
    <w:p w14:paraId="60952F06" w14:textId="5639D2CB" w:rsidR="00DE5FCE" w:rsidRPr="00216965" w:rsidRDefault="00DE5FCE" w:rsidP="008A33DA">
      <w:pPr>
        <w:autoSpaceDE w:val="0"/>
        <w:autoSpaceDN w:val="0"/>
        <w:adjustRightInd w:val="0"/>
        <w:spacing w:after="0" w:line="240" w:lineRule="auto"/>
        <w:rPr>
          <w:rFonts w:cs="Times New Roman"/>
        </w:rPr>
      </w:pPr>
    </w:p>
    <w:p w14:paraId="035898E1" w14:textId="487157D6" w:rsidR="00DE5FCE" w:rsidRPr="00216965" w:rsidRDefault="00DE5FCE" w:rsidP="008A33DA">
      <w:pPr>
        <w:autoSpaceDE w:val="0"/>
        <w:autoSpaceDN w:val="0"/>
        <w:adjustRightInd w:val="0"/>
        <w:spacing w:after="0" w:line="240" w:lineRule="auto"/>
        <w:rPr>
          <w:rFonts w:cs="Times New Roman"/>
        </w:rPr>
      </w:pPr>
    </w:p>
    <w:p w14:paraId="3F4384EF" w14:textId="1C4F96A6" w:rsidR="00EA0F51" w:rsidRPr="00216965" w:rsidRDefault="00EA0F51" w:rsidP="008A33DA">
      <w:pPr>
        <w:autoSpaceDE w:val="0"/>
        <w:autoSpaceDN w:val="0"/>
        <w:adjustRightInd w:val="0"/>
        <w:spacing w:after="0" w:line="240" w:lineRule="auto"/>
        <w:rPr>
          <w:rFonts w:cs="Times New Roman"/>
        </w:rPr>
      </w:pPr>
    </w:p>
    <w:p w14:paraId="34531F45" w14:textId="77777777" w:rsidR="00EA0F51" w:rsidRPr="00216965" w:rsidRDefault="00EA0F51" w:rsidP="008A33DA">
      <w:pPr>
        <w:autoSpaceDE w:val="0"/>
        <w:autoSpaceDN w:val="0"/>
        <w:adjustRightInd w:val="0"/>
        <w:spacing w:after="0" w:line="240" w:lineRule="auto"/>
        <w:rPr>
          <w:rFonts w:cs="Times New Roman"/>
        </w:rPr>
      </w:pPr>
    </w:p>
    <w:p w14:paraId="011213CA" w14:textId="77777777" w:rsidR="00DE5FCE" w:rsidRPr="00216965" w:rsidRDefault="00DE5FCE" w:rsidP="008A33DA">
      <w:pPr>
        <w:autoSpaceDE w:val="0"/>
        <w:autoSpaceDN w:val="0"/>
        <w:adjustRightInd w:val="0"/>
        <w:spacing w:after="0" w:line="240" w:lineRule="auto"/>
        <w:rPr>
          <w:rFonts w:cs="Times New Roman"/>
        </w:rPr>
      </w:pPr>
    </w:p>
    <w:p w14:paraId="7D91A789" w14:textId="0D2A0E4C" w:rsidR="00644F3E" w:rsidRPr="00216965" w:rsidRDefault="00644F3E" w:rsidP="008A33DA">
      <w:pPr>
        <w:pStyle w:val="Heading1"/>
        <w:numPr>
          <w:ilvl w:val="0"/>
          <w:numId w:val="0"/>
        </w:numPr>
        <w:rPr>
          <w:sz w:val="44"/>
          <w:szCs w:val="44"/>
        </w:rPr>
      </w:pPr>
      <w:bookmarkStart w:id="4" w:name="_Toc86504614"/>
      <w:r w:rsidRPr="00216965">
        <w:rPr>
          <w:sz w:val="44"/>
          <w:szCs w:val="44"/>
        </w:rPr>
        <w:lastRenderedPageBreak/>
        <w:t>List of Figures</w:t>
      </w:r>
      <w:bookmarkEnd w:id="4"/>
    </w:p>
    <w:p w14:paraId="7A6B6BB7" w14:textId="44C6931C" w:rsidR="00644F3E" w:rsidRPr="00216965" w:rsidRDefault="00644F3E" w:rsidP="008A33DA">
      <w:pPr>
        <w:pStyle w:val="TableofFigures"/>
        <w:tabs>
          <w:tab w:val="right" w:leader="dot" w:pos="8494"/>
        </w:tabs>
        <w:spacing w:before="120" w:after="120"/>
        <w:rPr>
          <w:rFonts w:asciiTheme="minorHAnsi" w:eastAsiaTheme="minorEastAsia" w:hAnsiTheme="minorHAnsi"/>
          <w:noProof/>
          <w:sz w:val="22"/>
          <w:lang w:eastAsia="en-GB"/>
        </w:rPr>
      </w:pPr>
      <w:r w:rsidRPr="00216965">
        <w:rPr>
          <w:rFonts w:cs="Times New Roman"/>
        </w:rPr>
        <w:fldChar w:fldCharType="begin"/>
      </w:r>
      <w:r w:rsidRPr="00216965">
        <w:rPr>
          <w:rFonts w:cs="Times New Roman"/>
        </w:rPr>
        <w:instrText xml:space="preserve"> TOC \h \z \c "Figure" </w:instrText>
      </w:r>
      <w:r w:rsidRPr="00216965">
        <w:rPr>
          <w:rFonts w:cs="Times New Roman"/>
        </w:rPr>
        <w:fldChar w:fldCharType="separate"/>
      </w:r>
      <w:hyperlink w:anchor="_Toc86439344" w:history="1">
        <w:r w:rsidRPr="00216965">
          <w:rPr>
            <w:rStyle w:val="Hyperlink"/>
            <w:noProof/>
          </w:rPr>
          <w:t>Fig. 2</w:t>
        </w:r>
        <w:r w:rsidRPr="00216965">
          <w:rPr>
            <w:rStyle w:val="Hyperlink"/>
            <w:noProof/>
          </w:rPr>
          <w:noBreakHyphen/>
          <w:t xml:space="preserve">1 </w:t>
        </w:r>
        <w:r w:rsidRPr="00216965">
          <w:rPr>
            <w:rStyle w:val="Hyperlink"/>
            <w:rFonts w:eastAsia="Times New Roman" w:cs="Times New Roman"/>
            <w:noProof/>
          </w:rPr>
          <w:t>Two hypothetical models of the effects of stress such heavy metal toxicity on soil microbial diversity</w:t>
        </w:r>
        <w:r w:rsidRPr="00216965">
          <w:rPr>
            <w:noProof/>
            <w:webHidden/>
          </w:rPr>
          <w:tab/>
        </w:r>
        <w:r w:rsidRPr="00216965">
          <w:rPr>
            <w:noProof/>
            <w:webHidden/>
          </w:rPr>
          <w:fldChar w:fldCharType="begin"/>
        </w:r>
        <w:r w:rsidRPr="00216965">
          <w:rPr>
            <w:noProof/>
            <w:webHidden/>
          </w:rPr>
          <w:instrText xml:space="preserve"> PAGEREF _Toc86439344 \h </w:instrText>
        </w:r>
        <w:r w:rsidRPr="00216965">
          <w:rPr>
            <w:noProof/>
            <w:webHidden/>
          </w:rPr>
        </w:r>
        <w:r w:rsidRPr="00216965">
          <w:rPr>
            <w:noProof/>
            <w:webHidden/>
          </w:rPr>
          <w:fldChar w:fldCharType="separate"/>
        </w:r>
        <w:r w:rsidR="00CE6CD2">
          <w:rPr>
            <w:noProof/>
            <w:webHidden/>
          </w:rPr>
          <w:t>10</w:t>
        </w:r>
        <w:r w:rsidRPr="00216965">
          <w:rPr>
            <w:noProof/>
            <w:webHidden/>
          </w:rPr>
          <w:fldChar w:fldCharType="end"/>
        </w:r>
      </w:hyperlink>
    </w:p>
    <w:p w14:paraId="0610464B" w14:textId="00B55F3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45" w:history="1">
        <w:r w:rsidR="00644F3E" w:rsidRPr="00216965">
          <w:rPr>
            <w:rStyle w:val="Hyperlink"/>
            <w:noProof/>
          </w:rPr>
          <w:t>Fig. 2</w:t>
        </w:r>
        <w:r w:rsidR="00644F3E" w:rsidRPr="00216965">
          <w:rPr>
            <w:rStyle w:val="Hyperlink"/>
            <w:noProof/>
          </w:rPr>
          <w:noBreakHyphen/>
          <w:t xml:space="preserve">2 </w:t>
        </w:r>
        <w:r w:rsidR="00644F3E" w:rsidRPr="00216965">
          <w:rPr>
            <w:rStyle w:val="Hyperlink"/>
            <w:rFonts w:eastAsia="Times New Roman" w:cs="Times New Roman"/>
            <w:noProof/>
          </w:rPr>
          <w:t>Relationship between heavy metal soil phases or operationally defined fractions and its mobility and bioavailability</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_Toc86439345 \h </w:instrText>
        </w:r>
        <w:r w:rsidR="00644F3E" w:rsidRPr="00216965">
          <w:rPr>
            <w:noProof/>
            <w:webHidden/>
          </w:rPr>
        </w:r>
        <w:r w:rsidR="00644F3E" w:rsidRPr="00216965">
          <w:rPr>
            <w:noProof/>
            <w:webHidden/>
          </w:rPr>
          <w:fldChar w:fldCharType="separate"/>
        </w:r>
        <w:r w:rsidR="00CE6CD2">
          <w:rPr>
            <w:noProof/>
            <w:webHidden/>
          </w:rPr>
          <w:t>14</w:t>
        </w:r>
        <w:r w:rsidR="00644F3E" w:rsidRPr="00216965">
          <w:rPr>
            <w:noProof/>
            <w:webHidden/>
          </w:rPr>
          <w:fldChar w:fldCharType="end"/>
        </w:r>
      </w:hyperlink>
    </w:p>
    <w:p w14:paraId="396553A2" w14:textId="0ABADA5F"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46" w:history="1">
        <w:r w:rsidR="00644F3E" w:rsidRPr="00216965">
          <w:rPr>
            <w:rStyle w:val="Hyperlink"/>
            <w:noProof/>
          </w:rPr>
          <w:t>Fig. 2</w:t>
        </w:r>
        <w:r w:rsidR="00644F3E" w:rsidRPr="00216965">
          <w:rPr>
            <w:rStyle w:val="Hyperlink"/>
            <w:noProof/>
          </w:rPr>
          <w:noBreakHyphen/>
          <w:t xml:space="preserve">3 </w:t>
        </w:r>
        <w:r w:rsidR="00644F3E" w:rsidRPr="00216965">
          <w:rPr>
            <w:rStyle w:val="Hyperlink"/>
            <w:rFonts w:eastAsia="Times New Roman" w:cs="Times New Roman"/>
            <w:noProof/>
          </w:rPr>
          <w:t>SEM images of biochar.</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_Toc86439346 \h </w:instrText>
        </w:r>
        <w:r w:rsidR="00644F3E" w:rsidRPr="00216965">
          <w:rPr>
            <w:noProof/>
            <w:webHidden/>
          </w:rPr>
        </w:r>
        <w:r w:rsidR="00644F3E" w:rsidRPr="00216965">
          <w:rPr>
            <w:noProof/>
            <w:webHidden/>
          </w:rPr>
          <w:fldChar w:fldCharType="separate"/>
        </w:r>
        <w:r w:rsidR="00CE6CD2">
          <w:rPr>
            <w:noProof/>
            <w:webHidden/>
          </w:rPr>
          <w:t>19</w:t>
        </w:r>
        <w:r w:rsidR="00644F3E" w:rsidRPr="00216965">
          <w:rPr>
            <w:noProof/>
            <w:webHidden/>
          </w:rPr>
          <w:fldChar w:fldCharType="end"/>
        </w:r>
      </w:hyperlink>
    </w:p>
    <w:p w14:paraId="7F464404" w14:textId="7B624B54"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47" w:history="1">
        <w:r w:rsidR="00644F3E" w:rsidRPr="00216965">
          <w:rPr>
            <w:rStyle w:val="Hyperlink"/>
            <w:noProof/>
          </w:rPr>
          <w:t>Fig. 2</w:t>
        </w:r>
        <w:r w:rsidR="00644F3E" w:rsidRPr="00216965">
          <w:rPr>
            <w:rStyle w:val="Hyperlink"/>
            <w:noProof/>
          </w:rPr>
          <w:noBreakHyphen/>
          <w:t xml:space="preserve">4 </w:t>
        </w:r>
        <w:r w:rsidR="00644F3E" w:rsidRPr="00216965">
          <w:rPr>
            <w:rStyle w:val="Hyperlink"/>
            <w:rFonts w:cs="TimesNewRoman"/>
            <w:noProof/>
          </w:rPr>
          <w:t>Variation of cation exchange capacity (CEC) and pH of pig manure biochar and wheat straw biochar produced at temperatures from 200 to 650⁰C.</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_Toc86439347 \h </w:instrText>
        </w:r>
        <w:r w:rsidR="00644F3E" w:rsidRPr="00216965">
          <w:rPr>
            <w:noProof/>
            <w:webHidden/>
          </w:rPr>
        </w:r>
        <w:r w:rsidR="00644F3E" w:rsidRPr="00216965">
          <w:rPr>
            <w:noProof/>
            <w:webHidden/>
          </w:rPr>
          <w:fldChar w:fldCharType="separate"/>
        </w:r>
        <w:r w:rsidR="00CE6CD2">
          <w:rPr>
            <w:noProof/>
            <w:webHidden/>
          </w:rPr>
          <w:t>22</w:t>
        </w:r>
        <w:r w:rsidR="00644F3E" w:rsidRPr="00216965">
          <w:rPr>
            <w:noProof/>
            <w:webHidden/>
          </w:rPr>
          <w:fldChar w:fldCharType="end"/>
        </w:r>
      </w:hyperlink>
    </w:p>
    <w:p w14:paraId="45AC494F" w14:textId="4E25BC1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48" w:history="1">
        <w:r w:rsidR="00644F3E" w:rsidRPr="00216965">
          <w:rPr>
            <w:rStyle w:val="Hyperlink"/>
            <w:noProof/>
          </w:rPr>
          <w:t>Fig. 2</w:t>
        </w:r>
        <w:r w:rsidR="00644F3E" w:rsidRPr="00216965">
          <w:rPr>
            <w:rStyle w:val="Hyperlink"/>
            <w:noProof/>
          </w:rPr>
          <w:noBreakHyphen/>
          <w:t xml:space="preserve">5. </w:t>
        </w:r>
        <w:r w:rsidR="00644F3E" w:rsidRPr="00216965">
          <w:rPr>
            <w:rStyle w:val="Hyperlink"/>
            <w:rFonts w:cs="TimesNewRoman"/>
            <w:noProof/>
          </w:rPr>
          <w:t>Variation of surface area (left) and ash content (right) for pig manure and wheat straw biochar produced at temperatures from 200 to 650⁰C.</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_Toc86439348 \h </w:instrText>
        </w:r>
        <w:r w:rsidR="00644F3E" w:rsidRPr="00216965">
          <w:rPr>
            <w:noProof/>
            <w:webHidden/>
          </w:rPr>
        </w:r>
        <w:r w:rsidR="00644F3E" w:rsidRPr="00216965">
          <w:rPr>
            <w:noProof/>
            <w:webHidden/>
          </w:rPr>
          <w:fldChar w:fldCharType="separate"/>
        </w:r>
        <w:r w:rsidR="00CE6CD2">
          <w:rPr>
            <w:noProof/>
            <w:webHidden/>
          </w:rPr>
          <w:t>23</w:t>
        </w:r>
        <w:r w:rsidR="00644F3E" w:rsidRPr="00216965">
          <w:rPr>
            <w:noProof/>
            <w:webHidden/>
          </w:rPr>
          <w:fldChar w:fldCharType="end"/>
        </w:r>
      </w:hyperlink>
    </w:p>
    <w:p w14:paraId="7D853F47" w14:textId="0963AAC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49" w:history="1">
        <w:r w:rsidR="00644F3E" w:rsidRPr="00216965">
          <w:rPr>
            <w:rStyle w:val="Hyperlink"/>
            <w:noProof/>
          </w:rPr>
          <w:t>Fig. 2</w:t>
        </w:r>
        <w:r w:rsidR="00644F3E" w:rsidRPr="00216965">
          <w:rPr>
            <w:rStyle w:val="Hyperlink"/>
            <w:noProof/>
          </w:rPr>
          <w:noBreakHyphen/>
          <w:t xml:space="preserve">6 </w:t>
        </w:r>
        <w:r w:rsidR="00644F3E" w:rsidRPr="00216965">
          <w:rPr>
            <w:rStyle w:val="Hyperlink"/>
            <w:rFonts w:eastAsia="Times New Roman" w:cs="Times New Roman"/>
            <w:noProof/>
          </w:rPr>
          <w:t>Proposed mechanisms of biochar interaction with heavy metals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_Toc86439349 \h </w:instrText>
        </w:r>
        <w:r w:rsidR="00644F3E" w:rsidRPr="00216965">
          <w:rPr>
            <w:noProof/>
            <w:webHidden/>
          </w:rPr>
        </w:r>
        <w:r w:rsidR="00644F3E" w:rsidRPr="00216965">
          <w:rPr>
            <w:noProof/>
            <w:webHidden/>
          </w:rPr>
          <w:fldChar w:fldCharType="separate"/>
        </w:r>
        <w:r w:rsidR="00CE6CD2">
          <w:rPr>
            <w:noProof/>
            <w:webHidden/>
          </w:rPr>
          <w:t>26</w:t>
        </w:r>
        <w:r w:rsidR="00644F3E" w:rsidRPr="00216965">
          <w:rPr>
            <w:noProof/>
            <w:webHidden/>
          </w:rPr>
          <w:fldChar w:fldCharType="end"/>
        </w:r>
      </w:hyperlink>
    </w:p>
    <w:p w14:paraId="7BD96FFD" w14:textId="688A0ADF"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0" w:history="1">
        <w:r w:rsidR="00644F3E" w:rsidRPr="00216965">
          <w:rPr>
            <w:rStyle w:val="Hyperlink"/>
            <w:noProof/>
          </w:rPr>
          <w:t>Fig. 2</w:t>
        </w:r>
        <w:r w:rsidR="00644F3E" w:rsidRPr="00216965">
          <w:rPr>
            <w:rStyle w:val="Hyperlink"/>
            <w:noProof/>
          </w:rPr>
          <w:noBreakHyphen/>
          <w:t xml:space="preserve">7 </w:t>
        </w:r>
        <w:r w:rsidR="00644F3E" w:rsidRPr="00216965">
          <w:rPr>
            <w:rStyle w:val="Hyperlink"/>
            <w:rFonts w:eastAsia="Times New Roman" w:cs="Times New Roman"/>
            <w:noProof/>
          </w:rPr>
          <w:t>Schematic illustration of interaction between biochar and soil microorganisms in heavy metal-contaminated soil</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_Toc86439350 \h </w:instrText>
        </w:r>
        <w:r w:rsidR="00644F3E" w:rsidRPr="00216965">
          <w:rPr>
            <w:noProof/>
            <w:webHidden/>
          </w:rPr>
        </w:r>
        <w:r w:rsidR="00644F3E" w:rsidRPr="00216965">
          <w:rPr>
            <w:noProof/>
            <w:webHidden/>
          </w:rPr>
          <w:fldChar w:fldCharType="separate"/>
        </w:r>
        <w:r w:rsidR="00CE6CD2">
          <w:rPr>
            <w:noProof/>
            <w:webHidden/>
          </w:rPr>
          <w:t>29</w:t>
        </w:r>
        <w:r w:rsidR="00644F3E" w:rsidRPr="00216965">
          <w:rPr>
            <w:noProof/>
            <w:webHidden/>
          </w:rPr>
          <w:fldChar w:fldCharType="end"/>
        </w:r>
      </w:hyperlink>
    </w:p>
    <w:p w14:paraId="5FAA3E03" w14:textId="4B97D3B9"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1" w:history="1">
        <w:r w:rsidR="00644F3E" w:rsidRPr="00216965">
          <w:rPr>
            <w:rStyle w:val="Hyperlink"/>
            <w:noProof/>
          </w:rPr>
          <w:t>Fig. 2</w:t>
        </w:r>
        <w:r w:rsidR="00644F3E" w:rsidRPr="00216965">
          <w:rPr>
            <w:rStyle w:val="Hyperlink"/>
            <w:noProof/>
          </w:rPr>
          <w:noBreakHyphen/>
          <w:t xml:space="preserve">8 </w:t>
        </w:r>
        <w:r w:rsidR="00644F3E" w:rsidRPr="00216965">
          <w:rPr>
            <w:rStyle w:val="Hyperlink"/>
            <w:rFonts w:eastAsia="Times New Roman" w:cs="Times New Roman"/>
            <w:noProof/>
          </w:rPr>
          <w:t>Interaction of biochar with plants on heavy metals (HM) contaminated soils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_Toc86439351 \h </w:instrText>
        </w:r>
        <w:r w:rsidR="00644F3E" w:rsidRPr="00216965">
          <w:rPr>
            <w:noProof/>
            <w:webHidden/>
          </w:rPr>
        </w:r>
        <w:r w:rsidR="00644F3E" w:rsidRPr="00216965">
          <w:rPr>
            <w:noProof/>
            <w:webHidden/>
          </w:rPr>
          <w:fldChar w:fldCharType="separate"/>
        </w:r>
        <w:r w:rsidR="00CE6CD2">
          <w:rPr>
            <w:noProof/>
            <w:webHidden/>
          </w:rPr>
          <w:t>31</w:t>
        </w:r>
        <w:r w:rsidR="00644F3E" w:rsidRPr="00216965">
          <w:rPr>
            <w:noProof/>
            <w:webHidden/>
          </w:rPr>
          <w:fldChar w:fldCharType="end"/>
        </w:r>
      </w:hyperlink>
    </w:p>
    <w:p w14:paraId="2119D1BB" w14:textId="2A1FE99F"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2" w:history="1">
        <w:r w:rsidR="00644F3E" w:rsidRPr="00216965">
          <w:rPr>
            <w:rStyle w:val="Hyperlink"/>
            <w:rFonts w:cs="Times New Roman"/>
            <w:noProof/>
          </w:rPr>
          <w:t>Fig. 3</w:t>
        </w:r>
        <w:r w:rsidR="00644F3E" w:rsidRPr="00216965">
          <w:rPr>
            <w:rStyle w:val="Hyperlink"/>
            <w:rFonts w:cs="Times New Roman"/>
            <w:noProof/>
          </w:rPr>
          <w:noBreakHyphen/>
          <w:t>1.</w:t>
        </w:r>
        <w:r w:rsidR="00644F3E" w:rsidRPr="00216965">
          <w:rPr>
            <w:rStyle w:val="Hyperlink"/>
            <w:rFonts w:eastAsia="Times New Roman" w:cs="Times New Roman"/>
            <w:noProof/>
          </w:rPr>
          <w:t xml:space="preserve"> Effect of contact time and solution pH on sorption capacity of Cd, Pb and Zn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_Toc86439352 \h </w:instrText>
        </w:r>
        <w:r w:rsidR="00644F3E" w:rsidRPr="00216965">
          <w:rPr>
            <w:noProof/>
            <w:webHidden/>
          </w:rPr>
        </w:r>
        <w:r w:rsidR="00644F3E" w:rsidRPr="00216965">
          <w:rPr>
            <w:noProof/>
            <w:webHidden/>
          </w:rPr>
          <w:fldChar w:fldCharType="separate"/>
        </w:r>
        <w:r w:rsidR="00CE6CD2">
          <w:rPr>
            <w:noProof/>
            <w:webHidden/>
          </w:rPr>
          <w:t>48</w:t>
        </w:r>
        <w:r w:rsidR="00644F3E" w:rsidRPr="00216965">
          <w:rPr>
            <w:noProof/>
            <w:webHidden/>
          </w:rPr>
          <w:fldChar w:fldCharType="end"/>
        </w:r>
      </w:hyperlink>
    </w:p>
    <w:p w14:paraId="768FC833" w14:textId="29CC474A"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3" w:history="1">
        <w:r w:rsidR="00644F3E" w:rsidRPr="00216965">
          <w:rPr>
            <w:rStyle w:val="Hyperlink"/>
            <w:rFonts w:cs="Times New Roman"/>
            <w:noProof/>
          </w:rPr>
          <w:t>Fig. 3</w:t>
        </w:r>
        <w:r w:rsidR="00644F3E" w:rsidRPr="00216965">
          <w:rPr>
            <w:rStyle w:val="Hyperlink"/>
            <w:rFonts w:cs="Times New Roman"/>
            <w:noProof/>
          </w:rPr>
          <w:noBreakHyphen/>
          <w:t xml:space="preserve">2. </w:t>
        </w:r>
        <w:r w:rsidR="00644F3E" w:rsidRPr="00216965">
          <w:rPr>
            <w:rStyle w:val="Hyperlink"/>
            <w:rFonts w:eastAsia="Times New Roman" w:cs="Times New Roman"/>
            <w:noProof/>
          </w:rPr>
          <w:t>Inorganic speciation of studied elements in synthetic soil pore water. A) Cd, B) Pb, C) Zn.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_Toc86439353 \h </w:instrText>
        </w:r>
        <w:r w:rsidR="00644F3E" w:rsidRPr="00216965">
          <w:rPr>
            <w:noProof/>
            <w:webHidden/>
          </w:rPr>
        </w:r>
        <w:r w:rsidR="00644F3E" w:rsidRPr="00216965">
          <w:rPr>
            <w:noProof/>
            <w:webHidden/>
          </w:rPr>
          <w:fldChar w:fldCharType="separate"/>
        </w:r>
        <w:r w:rsidR="00CE6CD2">
          <w:rPr>
            <w:noProof/>
            <w:webHidden/>
          </w:rPr>
          <w:t>52</w:t>
        </w:r>
        <w:r w:rsidR="00644F3E" w:rsidRPr="00216965">
          <w:rPr>
            <w:noProof/>
            <w:webHidden/>
          </w:rPr>
          <w:fldChar w:fldCharType="end"/>
        </w:r>
      </w:hyperlink>
    </w:p>
    <w:p w14:paraId="0500417F" w14:textId="69C26CA4"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4" w:history="1">
        <w:r w:rsidR="00644F3E" w:rsidRPr="00216965">
          <w:rPr>
            <w:rStyle w:val="Hyperlink"/>
            <w:rFonts w:cs="Times New Roman"/>
            <w:noProof/>
          </w:rPr>
          <w:t>Fig. 3</w:t>
        </w:r>
        <w:r w:rsidR="00644F3E" w:rsidRPr="00216965">
          <w:rPr>
            <w:rStyle w:val="Hyperlink"/>
            <w:rFonts w:cs="Times New Roman"/>
            <w:noProof/>
          </w:rPr>
          <w:noBreakHyphen/>
          <w:t>3 Adsorption isotherms of Cd, Pb and Zn fitted with the Dubinin-Radushkevich, Freundlich, Langmuir, Temkin and Hill sorption models.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_Toc86439354 \h </w:instrText>
        </w:r>
        <w:r w:rsidR="00644F3E" w:rsidRPr="00216965">
          <w:rPr>
            <w:noProof/>
            <w:webHidden/>
          </w:rPr>
        </w:r>
        <w:r w:rsidR="00644F3E" w:rsidRPr="00216965">
          <w:rPr>
            <w:noProof/>
            <w:webHidden/>
          </w:rPr>
          <w:fldChar w:fldCharType="separate"/>
        </w:r>
        <w:r w:rsidR="00CE6CD2">
          <w:rPr>
            <w:noProof/>
            <w:webHidden/>
          </w:rPr>
          <w:t>54</w:t>
        </w:r>
        <w:r w:rsidR="00644F3E" w:rsidRPr="00216965">
          <w:rPr>
            <w:noProof/>
            <w:webHidden/>
          </w:rPr>
          <w:fldChar w:fldCharType="end"/>
        </w:r>
      </w:hyperlink>
    </w:p>
    <w:p w14:paraId="75DD4714" w14:textId="6721DC7F"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5" w:history="1">
        <w:r w:rsidR="00644F3E" w:rsidRPr="00216965">
          <w:rPr>
            <w:rStyle w:val="Hyperlink"/>
            <w:rFonts w:cs="Times New Roman"/>
            <w:noProof/>
          </w:rPr>
          <w:t>Fig. 3</w:t>
        </w:r>
        <w:r w:rsidR="00644F3E" w:rsidRPr="00216965">
          <w:rPr>
            <w:rStyle w:val="Hyperlink"/>
            <w:rFonts w:cs="Times New Roman"/>
            <w:noProof/>
          </w:rPr>
          <w:noBreakHyphen/>
          <w:t>4</w:t>
        </w:r>
        <w:r w:rsidR="00644F3E" w:rsidRPr="00216965">
          <w:rPr>
            <w:rStyle w:val="Hyperlink"/>
            <w:rFonts w:eastAsia="Times New Roman" w:cs="Times New Roman"/>
            <w:noProof/>
          </w:rPr>
          <w:t>. Adsorption isotherms for Cd, Pb and Zn fitted with the Hill sorption model..</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_Toc86439355 \h </w:instrText>
        </w:r>
        <w:r w:rsidR="00644F3E" w:rsidRPr="00216965">
          <w:rPr>
            <w:noProof/>
            <w:webHidden/>
          </w:rPr>
        </w:r>
        <w:r w:rsidR="00644F3E" w:rsidRPr="00216965">
          <w:rPr>
            <w:noProof/>
            <w:webHidden/>
          </w:rPr>
          <w:fldChar w:fldCharType="separate"/>
        </w:r>
        <w:r w:rsidR="00CE6CD2">
          <w:rPr>
            <w:noProof/>
            <w:webHidden/>
          </w:rPr>
          <w:t>55</w:t>
        </w:r>
        <w:r w:rsidR="00644F3E" w:rsidRPr="00216965">
          <w:rPr>
            <w:noProof/>
            <w:webHidden/>
          </w:rPr>
          <w:fldChar w:fldCharType="end"/>
        </w:r>
      </w:hyperlink>
    </w:p>
    <w:p w14:paraId="44FCAEF8" w14:textId="4AC6352D"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6" w:history="1">
        <w:r w:rsidR="00644F3E" w:rsidRPr="00216965">
          <w:rPr>
            <w:rStyle w:val="Hyperlink"/>
            <w:rFonts w:cs="Times New Roman"/>
            <w:noProof/>
          </w:rPr>
          <w:t>Fig. 3</w:t>
        </w:r>
        <w:r w:rsidR="00644F3E" w:rsidRPr="00216965">
          <w:rPr>
            <w:rStyle w:val="Hyperlink"/>
            <w:rFonts w:cs="Times New Roman"/>
            <w:noProof/>
          </w:rPr>
          <w:noBreakHyphen/>
          <w:t>5 ATR-FTIR normalized spectra of biochars before and after sorption of Cd, Pb and Zn.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_Toc86439356 \h </w:instrText>
        </w:r>
        <w:r w:rsidR="00644F3E" w:rsidRPr="00216965">
          <w:rPr>
            <w:noProof/>
            <w:webHidden/>
          </w:rPr>
        </w:r>
        <w:r w:rsidR="00644F3E" w:rsidRPr="00216965">
          <w:rPr>
            <w:noProof/>
            <w:webHidden/>
          </w:rPr>
          <w:fldChar w:fldCharType="separate"/>
        </w:r>
        <w:r w:rsidR="00CE6CD2">
          <w:rPr>
            <w:noProof/>
            <w:webHidden/>
          </w:rPr>
          <w:t>57</w:t>
        </w:r>
        <w:r w:rsidR="00644F3E" w:rsidRPr="00216965">
          <w:rPr>
            <w:noProof/>
            <w:webHidden/>
          </w:rPr>
          <w:fldChar w:fldCharType="end"/>
        </w:r>
      </w:hyperlink>
    </w:p>
    <w:p w14:paraId="2CD13EBB" w14:textId="56A1DF8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7" w:history="1">
        <w:r w:rsidR="00644F3E" w:rsidRPr="00216965">
          <w:rPr>
            <w:rStyle w:val="Hyperlink"/>
            <w:rFonts w:cs="Times New Roman"/>
            <w:noProof/>
          </w:rPr>
          <w:t>Fig. 3</w:t>
        </w:r>
        <w:r w:rsidR="00644F3E" w:rsidRPr="00216965">
          <w:rPr>
            <w:rStyle w:val="Hyperlink"/>
            <w:rFonts w:cs="Times New Roman"/>
            <w:noProof/>
          </w:rPr>
          <w:noBreakHyphen/>
          <w:t>6 Biochar sorption mechanisms for Cd</w:t>
        </w:r>
        <w:r w:rsidR="00644F3E" w:rsidRPr="00216965">
          <w:rPr>
            <w:rStyle w:val="Hyperlink"/>
            <w:rFonts w:cs="Times New Roman"/>
            <w:noProof/>
            <w:vertAlign w:val="superscript"/>
          </w:rPr>
          <w:t>2+</w:t>
        </w:r>
        <w:r w:rsidR="00644F3E" w:rsidRPr="00216965">
          <w:rPr>
            <w:rStyle w:val="Hyperlink"/>
            <w:rFonts w:cs="Times New Roman"/>
            <w:noProof/>
          </w:rPr>
          <w:t>, Pb</w:t>
        </w:r>
        <w:r w:rsidR="00644F3E" w:rsidRPr="00216965">
          <w:rPr>
            <w:rStyle w:val="Hyperlink"/>
            <w:rFonts w:cs="Times New Roman"/>
            <w:noProof/>
            <w:vertAlign w:val="superscript"/>
          </w:rPr>
          <w:t>2+</w:t>
        </w:r>
        <w:r w:rsidR="00644F3E" w:rsidRPr="00216965">
          <w:rPr>
            <w:rStyle w:val="Hyperlink"/>
            <w:rFonts w:cs="Times New Roman"/>
            <w:noProof/>
          </w:rPr>
          <w:t xml:space="preserve"> or Zn</w:t>
        </w:r>
        <w:r w:rsidR="00644F3E" w:rsidRPr="00216965">
          <w:rPr>
            <w:rStyle w:val="Hyperlink"/>
            <w:rFonts w:cs="Times New Roman"/>
            <w:noProof/>
            <w:vertAlign w:val="superscript"/>
          </w:rPr>
          <w:t>2+</w:t>
        </w:r>
        <w:r w:rsidR="00644F3E" w:rsidRPr="00216965">
          <w:rPr>
            <w:rStyle w:val="Hyperlink"/>
            <w:rFonts w:cs="Times New Roman"/>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_Toc86439357 \h </w:instrText>
        </w:r>
        <w:r w:rsidR="00644F3E" w:rsidRPr="00216965">
          <w:rPr>
            <w:noProof/>
            <w:webHidden/>
          </w:rPr>
        </w:r>
        <w:r w:rsidR="00644F3E" w:rsidRPr="00216965">
          <w:rPr>
            <w:noProof/>
            <w:webHidden/>
          </w:rPr>
          <w:fldChar w:fldCharType="separate"/>
        </w:r>
        <w:r w:rsidR="00CE6CD2">
          <w:rPr>
            <w:noProof/>
            <w:webHidden/>
          </w:rPr>
          <w:t>58</w:t>
        </w:r>
        <w:r w:rsidR="00644F3E" w:rsidRPr="00216965">
          <w:rPr>
            <w:noProof/>
            <w:webHidden/>
          </w:rPr>
          <w:fldChar w:fldCharType="end"/>
        </w:r>
      </w:hyperlink>
    </w:p>
    <w:p w14:paraId="72604F37" w14:textId="748151BC"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8" w:history="1">
        <w:r w:rsidR="00644F3E" w:rsidRPr="00216965">
          <w:rPr>
            <w:rStyle w:val="Hyperlink"/>
            <w:noProof/>
          </w:rPr>
          <w:t>Fig. 3</w:t>
        </w:r>
        <w:r w:rsidR="00644F3E" w:rsidRPr="00216965">
          <w:rPr>
            <w:rStyle w:val="Hyperlink"/>
            <w:noProof/>
          </w:rPr>
          <w:noBreakHyphen/>
          <w:t xml:space="preserve">7 </w:t>
        </w:r>
        <w:r w:rsidR="00644F3E" w:rsidRPr="00216965">
          <w:rPr>
            <w:rStyle w:val="Hyperlink"/>
            <w:rFonts w:cs="Times New Roman"/>
            <w:iCs/>
            <w:noProof/>
          </w:rPr>
          <w:t>pH values at equilibrium at different trace element initial concentrations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_Toc86439358 \h </w:instrText>
        </w:r>
        <w:r w:rsidR="00644F3E" w:rsidRPr="00216965">
          <w:rPr>
            <w:noProof/>
            <w:webHidden/>
          </w:rPr>
        </w:r>
        <w:r w:rsidR="00644F3E" w:rsidRPr="00216965">
          <w:rPr>
            <w:noProof/>
            <w:webHidden/>
          </w:rPr>
          <w:fldChar w:fldCharType="separate"/>
        </w:r>
        <w:r w:rsidR="00CE6CD2">
          <w:rPr>
            <w:noProof/>
            <w:webHidden/>
          </w:rPr>
          <w:t>59</w:t>
        </w:r>
        <w:r w:rsidR="00644F3E" w:rsidRPr="00216965">
          <w:rPr>
            <w:noProof/>
            <w:webHidden/>
          </w:rPr>
          <w:fldChar w:fldCharType="end"/>
        </w:r>
      </w:hyperlink>
    </w:p>
    <w:p w14:paraId="73CBF587" w14:textId="577CB1D2"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59" w:history="1">
        <w:r w:rsidR="00644F3E" w:rsidRPr="00216965">
          <w:rPr>
            <w:rStyle w:val="Hyperlink"/>
            <w:rFonts w:cs="Times New Roman"/>
            <w:noProof/>
          </w:rPr>
          <w:t>Fig. 3</w:t>
        </w:r>
        <w:r w:rsidR="00644F3E" w:rsidRPr="00216965">
          <w:rPr>
            <w:rStyle w:val="Hyperlink"/>
            <w:rFonts w:cs="Times New Roman"/>
            <w:noProof/>
          </w:rPr>
          <w:noBreakHyphen/>
          <w:t>8 Principal component analysis (PCA) of normalized ATR-FTIR spectra of plant based biochars. .</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_Toc86439359 \h </w:instrText>
        </w:r>
        <w:r w:rsidR="00644F3E" w:rsidRPr="00216965">
          <w:rPr>
            <w:noProof/>
            <w:webHidden/>
          </w:rPr>
        </w:r>
        <w:r w:rsidR="00644F3E" w:rsidRPr="00216965">
          <w:rPr>
            <w:noProof/>
            <w:webHidden/>
          </w:rPr>
          <w:fldChar w:fldCharType="separate"/>
        </w:r>
        <w:r w:rsidR="00CE6CD2">
          <w:rPr>
            <w:noProof/>
            <w:webHidden/>
          </w:rPr>
          <w:t>60</w:t>
        </w:r>
        <w:r w:rsidR="00644F3E" w:rsidRPr="00216965">
          <w:rPr>
            <w:noProof/>
            <w:webHidden/>
          </w:rPr>
          <w:fldChar w:fldCharType="end"/>
        </w:r>
      </w:hyperlink>
    </w:p>
    <w:p w14:paraId="72972251" w14:textId="1903BECC"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0" w:history="1">
        <w:r w:rsidR="00644F3E" w:rsidRPr="00216965">
          <w:rPr>
            <w:rStyle w:val="Hyperlink"/>
            <w:rFonts w:cs="Times New Roman"/>
            <w:noProof/>
          </w:rPr>
          <w:t>Fig. 3</w:t>
        </w:r>
        <w:r w:rsidR="00644F3E" w:rsidRPr="00216965">
          <w:rPr>
            <w:rStyle w:val="Hyperlink"/>
            <w:rFonts w:cs="Times New Roman"/>
            <w:noProof/>
          </w:rPr>
          <w:noBreakHyphen/>
          <w:t>9.</w:t>
        </w:r>
        <w:r w:rsidR="00644F3E" w:rsidRPr="00216965">
          <w:rPr>
            <w:rStyle w:val="Hyperlink"/>
            <w:noProof/>
          </w:rPr>
          <w:t xml:space="preserve"> </w:t>
        </w:r>
        <w:r w:rsidR="00644F3E" w:rsidRPr="00216965">
          <w:rPr>
            <w:rStyle w:val="Hyperlink"/>
            <w:rFonts w:cs="Times New Roman"/>
            <w:noProof/>
          </w:rPr>
          <w:t>SEM-EDX images of biochar MSP550 after sorption of Cd, Pb and Zn and the main elements identified on its surface</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_Toc86439360 \h </w:instrText>
        </w:r>
        <w:r w:rsidR="00644F3E" w:rsidRPr="00216965">
          <w:rPr>
            <w:noProof/>
            <w:webHidden/>
          </w:rPr>
        </w:r>
        <w:r w:rsidR="00644F3E" w:rsidRPr="00216965">
          <w:rPr>
            <w:noProof/>
            <w:webHidden/>
          </w:rPr>
          <w:fldChar w:fldCharType="separate"/>
        </w:r>
        <w:r w:rsidR="00CE6CD2">
          <w:rPr>
            <w:noProof/>
            <w:webHidden/>
          </w:rPr>
          <w:t>62</w:t>
        </w:r>
        <w:r w:rsidR="00644F3E" w:rsidRPr="00216965">
          <w:rPr>
            <w:noProof/>
            <w:webHidden/>
          </w:rPr>
          <w:fldChar w:fldCharType="end"/>
        </w:r>
      </w:hyperlink>
    </w:p>
    <w:p w14:paraId="2B0C7B62" w14:textId="7B626A9A"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1" w:history="1">
        <w:r w:rsidR="00644F3E" w:rsidRPr="00216965">
          <w:rPr>
            <w:rStyle w:val="Hyperlink"/>
            <w:rFonts w:cs="Times New Roman"/>
            <w:noProof/>
          </w:rPr>
          <w:t>Fig. 3</w:t>
        </w:r>
        <w:r w:rsidR="00644F3E" w:rsidRPr="00216965">
          <w:rPr>
            <w:rStyle w:val="Hyperlink"/>
            <w:rFonts w:cs="Times New Roman"/>
            <w:noProof/>
          </w:rPr>
          <w:noBreakHyphen/>
          <w:t xml:space="preserve">10. </w:t>
        </w:r>
        <w:r w:rsidR="00644F3E" w:rsidRPr="00216965">
          <w:rPr>
            <w:rStyle w:val="Hyperlink"/>
            <w:rFonts w:eastAsia="Times New Roman" w:cs="Times New Roman"/>
            <w:noProof/>
          </w:rPr>
          <w:t>Competitive sorption of HMs onto biochar using binary and tertiary systems.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_Toc86439361 \h </w:instrText>
        </w:r>
        <w:r w:rsidR="00644F3E" w:rsidRPr="00216965">
          <w:rPr>
            <w:noProof/>
            <w:webHidden/>
          </w:rPr>
        </w:r>
        <w:r w:rsidR="00644F3E" w:rsidRPr="00216965">
          <w:rPr>
            <w:noProof/>
            <w:webHidden/>
          </w:rPr>
          <w:fldChar w:fldCharType="separate"/>
        </w:r>
        <w:r w:rsidR="00CE6CD2">
          <w:rPr>
            <w:noProof/>
            <w:webHidden/>
          </w:rPr>
          <w:t>64</w:t>
        </w:r>
        <w:r w:rsidR="00644F3E" w:rsidRPr="00216965">
          <w:rPr>
            <w:noProof/>
            <w:webHidden/>
          </w:rPr>
          <w:fldChar w:fldCharType="end"/>
        </w:r>
      </w:hyperlink>
    </w:p>
    <w:p w14:paraId="18E61F1E" w14:textId="6F925C4A"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2" w:history="1">
        <w:r w:rsidR="00644F3E" w:rsidRPr="00216965">
          <w:rPr>
            <w:rStyle w:val="Hyperlink"/>
            <w:rFonts w:cs="Times New Roman"/>
            <w:noProof/>
          </w:rPr>
          <w:t>Fig. 3</w:t>
        </w:r>
        <w:r w:rsidR="00644F3E" w:rsidRPr="00216965">
          <w:rPr>
            <w:rStyle w:val="Hyperlink"/>
            <w:rFonts w:cs="Times New Roman"/>
            <w:noProof/>
          </w:rPr>
          <w:noBreakHyphen/>
          <w:t>11.</w:t>
        </w:r>
        <w:r w:rsidR="00644F3E" w:rsidRPr="00216965">
          <w:rPr>
            <w:rStyle w:val="Hyperlink"/>
            <w:noProof/>
          </w:rPr>
          <w:t xml:space="preserve"> </w:t>
        </w:r>
        <w:r w:rsidR="00644F3E" w:rsidRPr="00216965">
          <w:rPr>
            <w:rStyle w:val="Hyperlink"/>
            <w:rFonts w:eastAsia="Times New Roman" w:cs="Times New Roman"/>
            <w:noProof/>
          </w:rPr>
          <w:t>Relationship between biochar sorption performance and physico-chemical properties..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_Toc86439362 \h </w:instrText>
        </w:r>
        <w:r w:rsidR="00644F3E" w:rsidRPr="00216965">
          <w:rPr>
            <w:noProof/>
            <w:webHidden/>
          </w:rPr>
        </w:r>
        <w:r w:rsidR="00644F3E" w:rsidRPr="00216965">
          <w:rPr>
            <w:noProof/>
            <w:webHidden/>
          </w:rPr>
          <w:fldChar w:fldCharType="separate"/>
        </w:r>
        <w:r w:rsidR="00CE6CD2">
          <w:rPr>
            <w:noProof/>
            <w:webHidden/>
          </w:rPr>
          <w:t>67</w:t>
        </w:r>
        <w:r w:rsidR="00644F3E" w:rsidRPr="00216965">
          <w:rPr>
            <w:noProof/>
            <w:webHidden/>
          </w:rPr>
          <w:fldChar w:fldCharType="end"/>
        </w:r>
      </w:hyperlink>
    </w:p>
    <w:p w14:paraId="4F44846F" w14:textId="1F0C3E95"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3" w:history="1">
        <w:r w:rsidR="00644F3E" w:rsidRPr="00216965">
          <w:rPr>
            <w:rStyle w:val="Hyperlink"/>
            <w:noProof/>
          </w:rPr>
          <w:t>Fig. 4</w:t>
        </w:r>
        <w:r w:rsidR="00644F3E" w:rsidRPr="00216965">
          <w:rPr>
            <w:rStyle w:val="Hyperlink"/>
            <w:noProof/>
          </w:rPr>
          <w:noBreakHyphen/>
          <w:t>1. Box plot of NH</w:t>
        </w:r>
        <w:r w:rsidR="00644F3E" w:rsidRPr="00216965">
          <w:rPr>
            <w:rStyle w:val="Hyperlink"/>
            <w:noProof/>
            <w:vertAlign w:val="subscript"/>
          </w:rPr>
          <w:t>4</w:t>
        </w:r>
        <w:r w:rsidR="00644F3E" w:rsidRPr="00216965">
          <w:rPr>
            <w:rStyle w:val="Hyperlink"/>
            <w:noProof/>
          </w:rPr>
          <w:t>-NO</w:t>
        </w:r>
        <w:r w:rsidR="00644F3E" w:rsidRPr="00216965">
          <w:rPr>
            <w:rStyle w:val="Hyperlink"/>
            <w:noProof/>
            <w:vertAlign w:val="subscript"/>
          </w:rPr>
          <w:t>3</w:t>
        </w:r>
        <w:r w:rsidR="00644F3E" w:rsidRPr="00216965">
          <w:rPr>
            <w:rStyle w:val="Hyperlink"/>
            <w:noProof/>
          </w:rPr>
          <w:t xml:space="preserve"> extractable HMs in soils treated with biochar at different application rates (</w:t>
        </w:r>
        <w:r w:rsidR="00644F3E" w:rsidRPr="00216965">
          <w:rPr>
            <w:rStyle w:val="Hyperlink"/>
            <w:i/>
            <w:iCs/>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_Toc86439363 \h </w:instrText>
        </w:r>
        <w:r w:rsidR="00644F3E" w:rsidRPr="00216965">
          <w:rPr>
            <w:noProof/>
            <w:webHidden/>
          </w:rPr>
        </w:r>
        <w:r w:rsidR="00644F3E" w:rsidRPr="00216965">
          <w:rPr>
            <w:noProof/>
            <w:webHidden/>
          </w:rPr>
          <w:fldChar w:fldCharType="separate"/>
        </w:r>
        <w:r w:rsidR="00CE6CD2">
          <w:rPr>
            <w:noProof/>
            <w:webHidden/>
          </w:rPr>
          <w:t>82</w:t>
        </w:r>
        <w:r w:rsidR="00644F3E" w:rsidRPr="00216965">
          <w:rPr>
            <w:noProof/>
            <w:webHidden/>
          </w:rPr>
          <w:fldChar w:fldCharType="end"/>
        </w:r>
      </w:hyperlink>
    </w:p>
    <w:p w14:paraId="12997B8E" w14:textId="2ED65B5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4" w:history="1">
        <w:r w:rsidR="00644F3E" w:rsidRPr="00216965">
          <w:rPr>
            <w:rStyle w:val="Hyperlink"/>
            <w:noProof/>
          </w:rPr>
          <w:t>Fig. 4</w:t>
        </w:r>
        <w:r w:rsidR="00644F3E" w:rsidRPr="00216965">
          <w:rPr>
            <w:rStyle w:val="Hyperlink"/>
            <w:noProof/>
          </w:rPr>
          <w:noBreakHyphen/>
          <w:t xml:space="preserve">2. </w:t>
        </w:r>
        <w:r w:rsidR="00644F3E" w:rsidRPr="00216965">
          <w:rPr>
            <w:rStyle w:val="Hyperlink"/>
            <w:i/>
            <w:noProof/>
          </w:rPr>
          <w:t>Arabidopsis thaliana</w:t>
        </w:r>
        <w:r w:rsidR="00644F3E" w:rsidRPr="00216965">
          <w:rPr>
            <w:rStyle w:val="Hyperlink"/>
            <w:noProof/>
          </w:rPr>
          <w:t xml:space="preserve"> growing in soil artificially contaminated with heavy metals.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_Toc86439364 \h </w:instrText>
        </w:r>
        <w:r w:rsidR="00644F3E" w:rsidRPr="00216965">
          <w:rPr>
            <w:noProof/>
            <w:webHidden/>
          </w:rPr>
        </w:r>
        <w:r w:rsidR="00644F3E" w:rsidRPr="00216965">
          <w:rPr>
            <w:noProof/>
            <w:webHidden/>
          </w:rPr>
          <w:fldChar w:fldCharType="separate"/>
        </w:r>
        <w:r w:rsidR="00CE6CD2">
          <w:rPr>
            <w:noProof/>
            <w:webHidden/>
          </w:rPr>
          <w:t>84</w:t>
        </w:r>
        <w:r w:rsidR="00644F3E" w:rsidRPr="00216965">
          <w:rPr>
            <w:noProof/>
            <w:webHidden/>
          </w:rPr>
          <w:fldChar w:fldCharType="end"/>
        </w:r>
      </w:hyperlink>
    </w:p>
    <w:p w14:paraId="2525B946" w14:textId="7DEC0972"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5" w:history="1">
        <w:r w:rsidR="00644F3E" w:rsidRPr="00216965">
          <w:rPr>
            <w:rStyle w:val="Hyperlink"/>
            <w:noProof/>
          </w:rPr>
          <w:t>Fig. 4</w:t>
        </w:r>
        <w:r w:rsidR="00644F3E" w:rsidRPr="00216965">
          <w:rPr>
            <w:rStyle w:val="Hyperlink"/>
            <w:noProof/>
          </w:rPr>
          <w:noBreakHyphen/>
          <w:t xml:space="preserve">3.  </w:t>
        </w:r>
        <w:r w:rsidR="00644F3E" w:rsidRPr="00216965">
          <w:rPr>
            <w:rStyle w:val="Hyperlink"/>
            <w:i/>
            <w:noProof/>
          </w:rPr>
          <w:t>Arabidopsis thaliana</w:t>
        </w:r>
        <w:r w:rsidR="00644F3E" w:rsidRPr="00216965">
          <w:rPr>
            <w:rStyle w:val="Hyperlink"/>
            <w:noProof/>
          </w:rPr>
          <w:t xml:space="preserve"> growing in soil artificially contaminated with heavy metals.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_Toc86439365 \h </w:instrText>
        </w:r>
        <w:r w:rsidR="00644F3E" w:rsidRPr="00216965">
          <w:rPr>
            <w:noProof/>
            <w:webHidden/>
          </w:rPr>
        </w:r>
        <w:r w:rsidR="00644F3E" w:rsidRPr="00216965">
          <w:rPr>
            <w:noProof/>
            <w:webHidden/>
          </w:rPr>
          <w:fldChar w:fldCharType="separate"/>
        </w:r>
        <w:r w:rsidR="00CE6CD2">
          <w:rPr>
            <w:noProof/>
            <w:webHidden/>
          </w:rPr>
          <w:t>85</w:t>
        </w:r>
        <w:r w:rsidR="00644F3E" w:rsidRPr="00216965">
          <w:rPr>
            <w:noProof/>
            <w:webHidden/>
          </w:rPr>
          <w:fldChar w:fldCharType="end"/>
        </w:r>
      </w:hyperlink>
    </w:p>
    <w:p w14:paraId="33417F3B" w14:textId="374FF602"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6" w:history="1">
        <w:r w:rsidR="00644F3E" w:rsidRPr="00216965">
          <w:rPr>
            <w:rStyle w:val="Hyperlink"/>
            <w:noProof/>
          </w:rPr>
          <w:t>Fig. 4</w:t>
        </w:r>
        <w:r w:rsidR="00644F3E" w:rsidRPr="00216965">
          <w:rPr>
            <w:rStyle w:val="Hyperlink"/>
            <w:noProof/>
          </w:rPr>
          <w:noBreakHyphen/>
          <w:t xml:space="preserve">4. </w:t>
        </w:r>
        <w:r w:rsidR="00F44875" w:rsidRPr="00216965">
          <w:rPr>
            <w:rStyle w:val="Hyperlink"/>
            <w:noProof/>
          </w:rPr>
          <w:t>Box plot of d</w:t>
        </w:r>
        <w:r w:rsidR="00644F3E" w:rsidRPr="00216965">
          <w:rPr>
            <w:rStyle w:val="Hyperlink"/>
            <w:noProof/>
          </w:rPr>
          <w:t xml:space="preserve">ry above-ground biomass of </w:t>
        </w:r>
        <w:r w:rsidR="00644F3E" w:rsidRPr="00216965">
          <w:rPr>
            <w:rStyle w:val="Hyperlink"/>
            <w:i/>
            <w:noProof/>
          </w:rPr>
          <w:t>Arabidopsis thaliana</w:t>
        </w:r>
        <w:r w:rsidR="00644F3E" w:rsidRPr="00216965">
          <w:rPr>
            <w:rStyle w:val="Hyperlink"/>
            <w:noProof/>
          </w:rPr>
          <w:t xml:space="preserve"> Col-0 harvested from soil artificially contaminated with HMs and amended with plant-derived biochars at different application rates..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_Toc86439366 \h </w:instrText>
        </w:r>
        <w:r w:rsidR="00644F3E" w:rsidRPr="00216965">
          <w:rPr>
            <w:noProof/>
            <w:webHidden/>
          </w:rPr>
        </w:r>
        <w:r w:rsidR="00644F3E" w:rsidRPr="00216965">
          <w:rPr>
            <w:noProof/>
            <w:webHidden/>
          </w:rPr>
          <w:fldChar w:fldCharType="separate"/>
        </w:r>
        <w:r w:rsidR="00CE6CD2">
          <w:rPr>
            <w:noProof/>
            <w:webHidden/>
          </w:rPr>
          <w:t>86</w:t>
        </w:r>
        <w:r w:rsidR="00644F3E" w:rsidRPr="00216965">
          <w:rPr>
            <w:noProof/>
            <w:webHidden/>
          </w:rPr>
          <w:fldChar w:fldCharType="end"/>
        </w:r>
      </w:hyperlink>
    </w:p>
    <w:p w14:paraId="72BADB3D" w14:textId="59D0A411"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7" w:history="1">
        <w:r w:rsidR="00644F3E" w:rsidRPr="00216965">
          <w:rPr>
            <w:rStyle w:val="Hyperlink"/>
            <w:noProof/>
          </w:rPr>
          <w:t>Fig. 4</w:t>
        </w:r>
        <w:r w:rsidR="00644F3E" w:rsidRPr="00216965">
          <w:rPr>
            <w:rStyle w:val="Hyperlink"/>
            <w:noProof/>
          </w:rPr>
          <w:noBreakHyphen/>
          <w:t xml:space="preserve">5. </w:t>
        </w:r>
        <w:r w:rsidR="00644F3E" w:rsidRPr="00216965">
          <w:rPr>
            <w:rStyle w:val="Hyperlink"/>
            <w:i/>
            <w:noProof/>
          </w:rPr>
          <w:t>Arabidopsis thalian</w:t>
        </w:r>
        <w:r w:rsidR="00644F3E" w:rsidRPr="00216965">
          <w:rPr>
            <w:rStyle w:val="Hyperlink"/>
            <w:noProof/>
          </w:rPr>
          <w:t>a Col-0 mean leaf area over time in plants growing in soil artificially contaminated with single elements Cd, Pb, Zn and a multielement contaminated soil (Mix-soil).</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_Toc86439367 \h </w:instrText>
        </w:r>
        <w:r w:rsidR="00644F3E" w:rsidRPr="00216965">
          <w:rPr>
            <w:noProof/>
            <w:webHidden/>
          </w:rPr>
        </w:r>
        <w:r w:rsidR="00644F3E" w:rsidRPr="00216965">
          <w:rPr>
            <w:noProof/>
            <w:webHidden/>
          </w:rPr>
          <w:fldChar w:fldCharType="separate"/>
        </w:r>
        <w:r w:rsidR="00CE6CD2">
          <w:rPr>
            <w:noProof/>
            <w:webHidden/>
          </w:rPr>
          <w:t>87</w:t>
        </w:r>
        <w:r w:rsidR="00644F3E" w:rsidRPr="00216965">
          <w:rPr>
            <w:noProof/>
            <w:webHidden/>
          </w:rPr>
          <w:fldChar w:fldCharType="end"/>
        </w:r>
      </w:hyperlink>
    </w:p>
    <w:p w14:paraId="0579A714" w14:textId="110E76B2"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8" w:history="1">
        <w:r w:rsidR="00644F3E" w:rsidRPr="00216965">
          <w:rPr>
            <w:rStyle w:val="Hyperlink"/>
            <w:rFonts w:cstheme="majorBidi"/>
            <w:noProof/>
          </w:rPr>
          <w:t>Fig. 4</w:t>
        </w:r>
        <w:r w:rsidR="00644F3E" w:rsidRPr="00216965">
          <w:rPr>
            <w:rStyle w:val="Hyperlink"/>
            <w:rFonts w:cstheme="majorBidi"/>
            <w:noProof/>
          </w:rPr>
          <w:noBreakHyphen/>
          <w:t>6.</w:t>
        </w:r>
        <w:r w:rsidR="00644F3E" w:rsidRPr="00216965">
          <w:rPr>
            <w:rStyle w:val="Hyperlink"/>
            <w:noProof/>
          </w:rPr>
          <w:t xml:space="preserve"> Mean absolute growth rates (AGRs) predicted from the four-parameter logistic model for biochars OSR550, SWP550, MSP550 and MSP550 at application rates 0 (control), 1, 3 and 5 % (</w:t>
        </w:r>
        <w:r w:rsidR="00644F3E" w:rsidRPr="00216965">
          <w:rPr>
            <w:rStyle w:val="Hyperlink"/>
            <w:i/>
            <w:iCs/>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_Toc86439368 \h </w:instrText>
        </w:r>
        <w:r w:rsidR="00644F3E" w:rsidRPr="00216965">
          <w:rPr>
            <w:noProof/>
            <w:webHidden/>
          </w:rPr>
        </w:r>
        <w:r w:rsidR="00644F3E" w:rsidRPr="00216965">
          <w:rPr>
            <w:noProof/>
            <w:webHidden/>
          </w:rPr>
          <w:fldChar w:fldCharType="separate"/>
        </w:r>
        <w:r w:rsidR="00CE6CD2">
          <w:rPr>
            <w:noProof/>
            <w:webHidden/>
          </w:rPr>
          <w:t>88</w:t>
        </w:r>
        <w:r w:rsidR="00644F3E" w:rsidRPr="00216965">
          <w:rPr>
            <w:noProof/>
            <w:webHidden/>
          </w:rPr>
          <w:fldChar w:fldCharType="end"/>
        </w:r>
      </w:hyperlink>
    </w:p>
    <w:p w14:paraId="270B5DBE" w14:textId="38C5519D"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69" w:history="1">
        <w:r w:rsidR="00644F3E" w:rsidRPr="00216965">
          <w:rPr>
            <w:rStyle w:val="Hyperlink"/>
            <w:noProof/>
          </w:rPr>
          <w:t>Fig. 4</w:t>
        </w:r>
        <w:r w:rsidR="00644F3E" w:rsidRPr="00216965">
          <w:rPr>
            <w:rStyle w:val="Hyperlink"/>
            <w:noProof/>
          </w:rPr>
          <w:noBreakHyphen/>
          <w:t>7.  Pairwise comparisons of absolute growth rates (AGRs) between control groups (no biochar) and 1% (</w:t>
        </w:r>
        <w:r w:rsidR="00644F3E" w:rsidRPr="00216965">
          <w:rPr>
            <w:rStyle w:val="Hyperlink"/>
            <w:i/>
            <w:iCs/>
            <w:noProof/>
          </w:rPr>
          <w:t>w/w</w:t>
        </w:r>
        <w:r w:rsidR="00644F3E" w:rsidRPr="00216965">
          <w:rPr>
            <w:rStyle w:val="Hyperlink"/>
            <w:noProof/>
          </w:rPr>
          <w:t>) biochars..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_Toc86439369 \h </w:instrText>
        </w:r>
        <w:r w:rsidR="00644F3E" w:rsidRPr="00216965">
          <w:rPr>
            <w:noProof/>
            <w:webHidden/>
          </w:rPr>
        </w:r>
        <w:r w:rsidR="00644F3E" w:rsidRPr="00216965">
          <w:rPr>
            <w:noProof/>
            <w:webHidden/>
          </w:rPr>
          <w:fldChar w:fldCharType="separate"/>
        </w:r>
        <w:r w:rsidR="00CE6CD2">
          <w:rPr>
            <w:noProof/>
            <w:webHidden/>
          </w:rPr>
          <w:t>90</w:t>
        </w:r>
        <w:r w:rsidR="00644F3E" w:rsidRPr="00216965">
          <w:rPr>
            <w:noProof/>
            <w:webHidden/>
          </w:rPr>
          <w:fldChar w:fldCharType="end"/>
        </w:r>
      </w:hyperlink>
    </w:p>
    <w:p w14:paraId="7A1813B1" w14:textId="301375D0"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0" w:history="1">
        <w:r w:rsidR="00644F3E" w:rsidRPr="00216965">
          <w:rPr>
            <w:rStyle w:val="Hyperlink"/>
            <w:noProof/>
          </w:rPr>
          <w:t>Fig. 4</w:t>
        </w:r>
        <w:r w:rsidR="00644F3E" w:rsidRPr="00216965">
          <w:rPr>
            <w:rStyle w:val="Hyperlink"/>
            <w:noProof/>
          </w:rPr>
          <w:noBreakHyphen/>
          <w:t xml:space="preserve">8. Box plot of the concentration of HMs in above-ground tissue of </w:t>
        </w:r>
        <w:r w:rsidR="00644F3E" w:rsidRPr="00216965">
          <w:rPr>
            <w:rStyle w:val="Hyperlink"/>
            <w:i/>
            <w:noProof/>
          </w:rPr>
          <w:t>Arabidopsis thaliana</w:t>
        </w:r>
        <w:r w:rsidR="00644F3E" w:rsidRPr="00216965">
          <w:rPr>
            <w:rStyle w:val="Hyperlink"/>
            <w:noProof/>
          </w:rPr>
          <w:t xml:space="preserve"> Col-0 growing in artificially contaminated soils..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_Toc86439370 \h </w:instrText>
        </w:r>
        <w:r w:rsidR="00644F3E" w:rsidRPr="00216965">
          <w:rPr>
            <w:noProof/>
            <w:webHidden/>
          </w:rPr>
        </w:r>
        <w:r w:rsidR="00644F3E" w:rsidRPr="00216965">
          <w:rPr>
            <w:noProof/>
            <w:webHidden/>
          </w:rPr>
          <w:fldChar w:fldCharType="separate"/>
        </w:r>
        <w:r w:rsidR="00CE6CD2">
          <w:rPr>
            <w:noProof/>
            <w:webHidden/>
          </w:rPr>
          <w:t>92</w:t>
        </w:r>
        <w:r w:rsidR="00644F3E" w:rsidRPr="00216965">
          <w:rPr>
            <w:noProof/>
            <w:webHidden/>
          </w:rPr>
          <w:fldChar w:fldCharType="end"/>
        </w:r>
      </w:hyperlink>
    </w:p>
    <w:p w14:paraId="08B86D0F" w14:textId="0DE47617"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1" w:history="1">
        <w:r w:rsidR="00644F3E" w:rsidRPr="00216965">
          <w:rPr>
            <w:rStyle w:val="Hyperlink"/>
            <w:rFonts w:eastAsiaTheme="majorEastAsia" w:cstheme="majorBidi"/>
            <w:noProof/>
          </w:rPr>
          <w:t>Fig. 4</w:t>
        </w:r>
        <w:r w:rsidR="00644F3E" w:rsidRPr="00216965">
          <w:rPr>
            <w:rStyle w:val="Hyperlink"/>
            <w:rFonts w:eastAsiaTheme="majorEastAsia" w:cstheme="majorBidi"/>
            <w:noProof/>
          </w:rPr>
          <w:noBreakHyphen/>
          <w:t>9.</w:t>
        </w:r>
        <w:r w:rsidR="00644F3E" w:rsidRPr="00216965">
          <w:rPr>
            <w:rStyle w:val="Hyperlink"/>
            <w:noProof/>
          </w:rPr>
          <w:t xml:space="preserve"> Effect of biochar and application rate on Fv/Fm over time measured in </w:t>
        </w:r>
        <w:r w:rsidR="00644F3E" w:rsidRPr="00216965">
          <w:rPr>
            <w:rStyle w:val="Hyperlink"/>
            <w:i/>
            <w:noProof/>
          </w:rPr>
          <w:t>Arabidopsis thaliana</w:t>
        </w:r>
        <w:r w:rsidR="00644F3E" w:rsidRPr="00216965">
          <w:rPr>
            <w:rStyle w:val="Hyperlink"/>
            <w:noProof/>
          </w:rPr>
          <w:t xml:space="preserve"> col-0 growing in artificially contaminated soils.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_Toc86439371 \h </w:instrText>
        </w:r>
        <w:r w:rsidR="00644F3E" w:rsidRPr="00216965">
          <w:rPr>
            <w:noProof/>
            <w:webHidden/>
          </w:rPr>
        </w:r>
        <w:r w:rsidR="00644F3E" w:rsidRPr="00216965">
          <w:rPr>
            <w:noProof/>
            <w:webHidden/>
          </w:rPr>
          <w:fldChar w:fldCharType="separate"/>
        </w:r>
        <w:r w:rsidR="00CE6CD2">
          <w:rPr>
            <w:noProof/>
            <w:webHidden/>
          </w:rPr>
          <w:t>94</w:t>
        </w:r>
        <w:r w:rsidR="00644F3E" w:rsidRPr="00216965">
          <w:rPr>
            <w:noProof/>
            <w:webHidden/>
          </w:rPr>
          <w:fldChar w:fldCharType="end"/>
        </w:r>
      </w:hyperlink>
    </w:p>
    <w:p w14:paraId="263C8063" w14:textId="799C491D"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2" w:history="1">
        <w:r w:rsidR="00644F3E" w:rsidRPr="00216965">
          <w:rPr>
            <w:rStyle w:val="Hyperlink"/>
            <w:rFonts w:cstheme="majorBidi"/>
            <w:noProof/>
          </w:rPr>
          <w:t>Fig. 4</w:t>
        </w:r>
        <w:r w:rsidR="00644F3E" w:rsidRPr="00216965">
          <w:rPr>
            <w:rStyle w:val="Hyperlink"/>
            <w:rFonts w:cstheme="majorBidi"/>
            <w:noProof/>
          </w:rPr>
          <w:noBreakHyphen/>
          <w:t>10.</w:t>
        </w:r>
        <w:r w:rsidR="00644F3E" w:rsidRPr="00216965">
          <w:rPr>
            <w:rStyle w:val="Hyperlink"/>
            <w:noProof/>
          </w:rPr>
          <w:t xml:space="preserve"> Plot showing significant differences in the effect of biochar and rate on Fv/Fm between control groups (no biochar) and biochars at different application rates.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_Toc86439372 \h </w:instrText>
        </w:r>
        <w:r w:rsidR="00644F3E" w:rsidRPr="00216965">
          <w:rPr>
            <w:noProof/>
            <w:webHidden/>
          </w:rPr>
        </w:r>
        <w:r w:rsidR="00644F3E" w:rsidRPr="00216965">
          <w:rPr>
            <w:noProof/>
            <w:webHidden/>
          </w:rPr>
          <w:fldChar w:fldCharType="separate"/>
        </w:r>
        <w:r w:rsidR="00CE6CD2">
          <w:rPr>
            <w:noProof/>
            <w:webHidden/>
          </w:rPr>
          <w:t>95</w:t>
        </w:r>
        <w:r w:rsidR="00644F3E" w:rsidRPr="00216965">
          <w:rPr>
            <w:noProof/>
            <w:webHidden/>
          </w:rPr>
          <w:fldChar w:fldCharType="end"/>
        </w:r>
      </w:hyperlink>
    </w:p>
    <w:p w14:paraId="7A1628AF" w14:textId="63E6F10B"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3" w:history="1">
        <w:r w:rsidR="00644F3E" w:rsidRPr="00216965">
          <w:rPr>
            <w:rStyle w:val="Hyperlink"/>
            <w:noProof/>
          </w:rPr>
          <w:t>Fig. 4</w:t>
        </w:r>
        <w:r w:rsidR="00644F3E" w:rsidRPr="00216965">
          <w:rPr>
            <w:rStyle w:val="Hyperlink"/>
            <w:noProof/>
          </w:rPr>
          <w:noBreakHyphen/>
          <w:t xml:space="preserve">11 </w:t>
        </w:r>
        <w:r w:rsidR="004663BC" w:rsidRPr="00216965">
          <w:rPr>
            <w:rStyle w:val="Hyperlink"/>
            <w:noProof/>
          </w:rPr>
          <w:t>Box plot of s</w:t>
        </w:r>
        <w:r w:rsidR="00644F3E" w:rsidRPr="00216965">
          <w:rPr>
            <w:rStyle w:val="Hyperlink"/>
            <w:noProof/>
          </w:rPr>
          <w:t>oil pH and EC after treatment with biochars OSR550, SWP550, WSP550 and MSP550 at 0, 1, 3 and 5 % (</w:t>
        </w:r>
        <w:r w:rsidR="00644F3E" w:rsidRPr="00216965">
          <w:rPr>
            <w:rStyle w:val="Hyperlink"/>
            <w:i/>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_Toc86439373 \h </w:instrText>
        </w:r>
        <w:r w:rsidR="00644F3E" w:rsidRPr="00216965">
          <w:rPr>
            <w:noProof/>
            <w:webHidden/>
          </w:rPr>
        </w:r>
        <w:r w:rsidR="00644F3E" w:rsidRPr="00216965">
          <w:rPr>
            <w:noProof/>
            <w:webHidden/>
          </w:rPr>
          <w:fldChar w:fldCharType="separate"/>
        </w:r>
        <w:r w:rsidR="00CE6CD2">
          <w:rPr>
            <w:noProof/>
            <w:webHidden/>
          </w:rPr>
          <w:t>97</w:t>
        </w:r>
        <w:r w:rsidR="00644F3E" w:rsidRPr="00216965">
          <w:rPr>
            <w:noProof/>
            <w:webHidden/>
          </w:rPr>
          <w:fldChar w:fldCharType="end"/>
        </w:r>
      </w:hyperlink>
    </w:p>
    <w:p w14:paraId="3F23AFCB" w14:textId="6F55C2EB"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4" w:history="1">
        <w:r w:rsidR="00644F3E" w:rsidRPr="00216965">
          <w:rPr>
            <w:rStyle w:val="Hyperlink"/>
            <w:noProof/>
          </w:rPr>
          <w:t>Fig. 4</w:t>
        </w:r>
        <w:r w:rsidR="00644F3E" w:rsidRPr="00216965">
          <w:rPr>
            <w:rStyle w:val="Hyperlink"/>
            <w:noProof/>
          </w:rPr>
          <w:noBreakHyphen/>
          <w:t>12. Plot showing correlation between different plant performance indicators and soil physico-chemical properties of soils amended with biochar.</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_Toc86439374 \h </w:instrText>
        </w:r>
        <w:r w:rsidR="00644F3E" w:rsidRPr="00216965">
          <w:rPr>
            <w:noProof/>
            <w:webHidden/>
          </w:rPr>
        </w:r>
        <w:r w:rsidR="00644F3E" w:rsidRPr="00216965">
          <w:rPr>
            <w:noProof/>
            <w:webHidden/>
          </w:rPr>
          <w:fldChar w:fldCharType="separate"/>
        </w:r>
        <w:r w:rsidR="00CE6CD2">
          <w:rPr>
            <w:noProof/>
            <w:webHidden/>
          </w:rPr>
          <w:t>100</w:t>
        </w:r>
        <w:r w:rsidR="00644F3E" w:rsidRPr="00216965">
          <w:rPr>
            <w:noProof/>
            <w:webHidden/>
          </w:rPr>
          <w:fldChar w:fldCharType="end"/>
        </w:r>
      </w:hyperlink>
    </w:p>
    <w:p w14:paraId="571BE014" w14:textId="3BC86730"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5" w:history="1">
        <w:r w:rsidR="00644F3E" w:rsidRPr="00216965">
          <w:rPr>
            <w:rStyle w:val="Hyperlink"/>
            <w:noProof/>
          </w:rPr>
          <w:t>Fig. 4</w:t>
        </w:r>
        <w:r w:rsidR="00644F3E" w:rsidRPr="00216965">
          <w:rPr>
            <w:rStyle w:val="Hyperlink"/>
            <w:noProof/>
          </w:rPr>
          <w:noBreakHyphen/>
          <w:t>13. Plot showing correlation between different plant performance indicators and soil physico-chemical properties in the Mix-soil treatment..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_Toc86439375 \h </w:instrText>
        </w:r>
        <w:r w:rsidR="00644F3E" w:rsidRPr="00216965">
          <w:rPr>
            <w:noProof/>
            <w:webHidden/>
          </w:rPr>
        </w:r>
        <w:r w:rsidR="00644F3E" w:rsidRPr="00216965">
          <w:rPr>
            <w:noProof/>
            <w:webHidden/>
          </w:rPr>
          <w:fldChar w:fldCharType="separate"/>
        </w:r>
        <w:r w:rsidR="00CE6CD2">
          <w:rPr>
            <w:noProof/>
            <w:webHidden/>
          </w:rPr>
          <w:t>102</w:t>
        </w:r>
        <w:r w:rsidR="00644F3E" w:rsidRPr="00216965">
          <w:rPr>
            <w:noProof/>
            <w:webHidden/>
          </w:rPr>
          <w:fldChar w:fldCharType="end"/>
        </w:r>
      </w:hyperlink>
    </w:p>
    <w:p w14:paraId="6370373B" w14:textId="32D8ABB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6" w:history="1">
        <w:r w:rsidR="00644F3E" w:rsidRPr="00216965">
          <w:rPr>
            <w:rStyle w:val="Hyperlink"/>
            <w:noProof/>
          </w:rPr>
          <w:t>Fig. 4</w:t>
        </w:r>
        <w:r w:rsidR="00644F3E" w:rsidRPr="00216965">
          <w:rPr>
            <w:rStyle w:val="Hyperlink"/>
            <w:noProof/>
          </w:rPr>
          <w:noBreakHyphen/>
          <w:t>14 Boxplot of bioavailable HMs (NH</w:t>
        </w:r>
        <w:r w:rsidR="00644F3E" w:rsidRPr="00216965">
          <w:rPr>
            <w:rStyle w:val="Hyperlink"/>
            <w:noProof/>
            <w:vertAlign w:val="subscript"/>
          </w:rPr>
          <w:t>4</w:t>
        </w:r>
        <w:r w:rsidR="00644F3E" w:rsidRPr="00216965">
          <w:rPr>
            <w:rStyle w:val="Hyperlink"/>
            <w:noProof/>
          </w:rPr>
          <w:t>-NO</w:t>
        </w:r>
        <w:r w:rsidR="00644F3E" w:rsidRPr="00216965">
          <w:rPr>
            <w:rStyle w:val="Hyperlink"/>
            <w:noProof/>
            <w:vertAlign w:val="subscript"/>
          </w:rPr>
          <w:t>3</w:t>
        </w:r>
        <w:r w:rsidR="00644F3E" w:rsidRPr="00216965">
          <w:rPr>
            <w:rStyle w:val="Hyperlink"/>
            <w:noProof/>
          </w:rPr>
          <w:t xml:space="preserve"> extracted) in soils artificially contaminated with Pb, Cd, Zn and a ternary mixture of these elements amended with biochars WSP550 and MSP550 at 0, 1 and 3% (</w:t>
        </w:r>
        <w:r w:rsidR="00644F3E" w:rsidRPr="00216965">
          <w:rPr>
            <w:rStyle w:val="Hyperlink"/>
            <w:i/>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_Toc86439376 \h </w:instrText>
        </w:r>
        <w:r w:rsidR="00644F3E" w:rsidRPr="00216965">
          <w:rPr>
            <w:noProof/>
            <w:webHidden/>
          </w:rPr>
        </w:r>
        <w:r w:rsidR="00644F3E" w:rsidRPr="00216965">
          <w:rPr>
            <w:noProof/>
            <w:webHidden/>
          </w:rPr>
          <w:fldChar w:fldCharType="separate"/>
        </w:r>
        <w:r w:rsidR="00CE6CD2">
          <w:rPr>
            <w:noProof/>
            <w:webHidden/>
          </w:rPr>
          <w:t>104</w:t>
        </w:r>
        <w:r w:rsidR="00644F3E" w:rsidRPr="00216965">
          <w:rPr>
            <w:noProof/>
            <w:webHidden/>
          </w:rPr>
          <w:fldChar w:fldCharType="end"/>
        </w:r>
      </w:hyperlink>
    </w:p>
    <w:p w14:paraId="6303B5B6" w14:textId="2F57F5FA"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7" w:history="1">
        <w:r w:rsidR="00644F3E" w:rsidRPr="00216965">
          <w:rPr>
            <w:rStyle w:val="Hyperlink"/>
            <w:noProof/>
          </w:rPr>
          <w:t>Fig. 4</w:t>
        </w:r>
        <w:r w:rsidR="00644F3E" w:rsidRPr="00216965">
          <w:rPr>
            <w:rStyle w:val="Hyperlink"/>
            <w:noProof/>
          </w:rPr>
          <w:noBreakHyphen/>
          <w:t xml:space="preserve">15 Boxplot of dry above-ground biomass of </w:t>
        </w:r>
        <w:r w:rsidR="00644F3E" w:rsidRPr="00216965">
          <w:rPr>
            <w:rStyle w:val="Hyperlink"/>
            <w:i/>
            <w:noProof/>
          </w:rPr>
          <w:t>Lolium perenne</w:t>
        </w:r>
        <w:r w:rsidR="00644F3E" w:rsidRPr="00216965">
          <w:rPr>
            <w:rStyle w:val="Hyperlink"/>
            <w:noProof/>
          </w:rPr>
          <w:t xml:space="preserve"> and </w:t>
        </w:r>
        <w:r w:rsidR="00F24567" w:rsidRPr="00216965">
          <w:rPr>
            <w:rStyle w:val="Hyperlink"/>
            <w:noProof/>
          </w:rPr>
          <w:t>White</w:t>
        </w:r>
        <w:r w:rsidR="00644F3E" w:rsidRPr="00216965">
          <w:rPr>
            <w:rStyle w:val="Hyperlink"/>
            <w:noProof/>
          </w:rPr>
          <w:t xml:space="preserve"> Mustard amended with biochars WSP550 and MSP550 at 0, 1 and 3 % (</w:t>
        </w:r>
        <w:r w:rsidR="00644F3E" w:rsidRPr="00216965">
          <w:rPr>
            <w:rStyle w:val="Hyperlink"/>
            <w:i/>
            <w:iCs/>
            <w:noProof/>
          </w:rPr>
          <w:t>w/w</w:t>
        </w:r>
        <w:r w:rsidR="00644F3E" w:rsidRPr="00216965">
          <w:rPr>
            <w:rStyle w:val="Hyperlink"/>
            <w:noProof/>
          </w:rPr>
          <w:t>) in soils artificially contaminated with Pb, Cd, Zn and a ternary mixture of these elements.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_Toc86439377 \h </w:instrText>
        </w:r>
        <w:r w:rsidR="00644F3E" w:rsidRPr="00216965">
          <w:rPr>
            <w:noProof/>
            <w:webHidden/>
          </w:rPr>
        </w:r>
        <w:r w:rsidR="00644F3E" w:rsidRPr="00216965">
          <w:rPr>
            <w:noProof/>
            <w:webHidden/>
          </w:rPr>
          <w:fldChar w:fldCharType="separate"/>
        </w:r>
        <w:r w:rsidR="00CE6CD2">
          <w:rPr>
            <w:noProof/>
            <w:webHidden/>
          </w:rPr>
          <w:t>106</w:t>
        </w:r>
        <w:r w:rsidR="00644F3E" w:rsidRPr="00216965">
          <w:rPr>
            <w:noProof/>
            <w:webHidden/>
          </w:rPr>
          <w:fldChar w:fldCharType="end"/>
        </w:r>
      </w:hyperlink>
    </w:p>
    <w:p w14:paraId="205EFACF" w14:textId="6A88CA65"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8" w:history="1">
        <w:r w:rsidR="00644F3E" w:rsidRPr="00216965">
          <w:rPr>
            <w:rStyle w:val="Hyperlink"/>
            <w:noProof/>
          </w:rPr>
          <w:t>Fig. 4</w:t>
        </w:r>
        <w:r w:rsidR="00644F3E" w:rsidRPr="00216965">
          <w:rPr>
            <w:rStyle w:val="Hyperlink"/>
            <w:noProof/>
          </w:rPr>
          <w:noBreakHyphen/>
          <w:t>16 Boxplot of concentration of HMs in above-ground tissue of plants grown in soils artificially contaminated with Pb, Cd, Zn and a ternary mixture of these elements amended with biochars WSP550 and MSP550 at 0, 1 and 3% (</w:t>
        </w:r>
        <w:r w:rsidR="00644F3E" w:rsidRPr="00216965">
          <w:rPr>
            <w:rStyle w:val="Hyperlink"/>
            <w:i/>
            <w:iCs/>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_Toc86439378 \h </w:instrText>
        </w:r>
        <w:r w:rsidR="00644F3E" w:rsidRPr="00216965">
          <w:rPr>
            <w:noProof/>
            <w:webHidden/>
          </w:rPr>
        </w:r>
        <w:r w:rsidR="00644F3E" w:rsidRPr="00216965">
          <w:rPr>
            <w:noProof/>
            <w:webHidden/>
          </w:rPr>
          <w:fldChar w:fldCharType="separate"/>
        </w:r>
        <w:r w:rsidR="00CE6CD2">
          <w:rPr>
            <w:noProof/>
            <w:webHidden/>
          </w:rPr>
          <w:t>108</w:t>
        </w:r>
        <w:r w:rsidR="00644F3E" w:rsidRPr="00216965">
          <w:rPr>
            <w:noProof/>
            <w:webHidden/>
          </w:rPr>
          <w:fldChar w:fldCharType="end"/>
        </w:r>
      </w:hyperlink>
    </w:p>
    <w:p w14:paraId="76C89C0E" w14:textId="590BF6D8"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79" w:history="1">
        <w:r w:rsidR="00644F3E" w:rsidRPr="00216965">
          <w:rPr>
            <w:rStyle w:val="Hyperlink"/>
            <w:noProof/>
          </w:rPr>
          <w:t>Fig. 4</w:t>
        </w:r>
        <w:r w:rsidR="00644F3E" w:rsidRPr="00216965">
          <w:rPr>
            <w:rStyle w:val="Hyperlink"/>
            <w:noProof/>
          </w:rPr>
          <w:noBreakHyphen/>
          <w:t>17 Effect of biochar addition to soil properties. A) soil pH, B) soil EC [μS</w:t>
        </w:r>
        <w:r w:rsidR="008563DC" w:rsidRPr="00216965">
          <w:rPr>
            <w:rStyle w:val="Hyperlink"/>
            <w:noProof/>
          </w:rPr>
          <w:t>.cm</w:t>
        </w:r>
        <w:r w:rsidR="00644F3E" w:rsidRPr="00216965">
          <w:rPr>
            <w:rStyle w:val="Hyperlink"/>
            <w:noProof/>
            <w:vertAlign w:val="superscript"/>
          </w:rPr>
          <w:t>-1</w:t>
        </w:r>
        <w:r w:rsidR="00644F3E" w:rsidRPr="00216965">
          <w:rPr>
            <w:rStyle w:val="Hyperlink"/>
            <w:noProof/>
          </w:rPr>
          <w:t>]. Biochars WSP550 and MSP550 addition at  0, 1 and 3 % (</w:t>
        </w:r>
        <w:r w:rsidR="00644F3E" w:rsidRPr="00216965">
          <w:rPr>
            <w:rStyle w:val="Hyperlink"/>
            <w:i/>
            <w:noProof/>
          </w:rPr>
          <w:t>w/w</w:t>
        </w:r>
        <w:r w:rsidR="00644F3E" w:rsidRPr="00216965">
          <w:rPr>
            <w:rStyle w:val="Hyperlink"/>
            <w:noProof/>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_Toc86439379 \h </w:instrText>
        </w:r>
        <w:r w:rsidR="00644F3E" w:rsidRPr="00216965">
          <w:rPr>
            <w:noProof/>
            <w:webHidden/>
          </w:rPr>
        </w:r>
        <w:r w:rsidR="00644F3E" w:rsidRPr="00216965">
          <w:rPr>
            <w:noProof/>
            <w:webHidden/>
          </w:rPr>
          <w:fldChar w:fldCharType="separate"/>
        </w:r>
        <w:r w:rsidR="00CE6CD2">
          <w:rPr>
            <w:noProof/>
            <w:webHidden/>
          </w:rPr>
          <w:t>110</w:t>
        </w:r>
        <w:r w:rsidR="00644F3E" w:rsidRPr="00216965">
          <w:rPr>
            <w:noProof/>
            <w:webHidden/>
          </w:rPr>
          <w:fldChar w:fldCharType="end"/>
        </w:r>
      </w:hyperlink>
    </w:p>
    <w:p w14:paraId="0917C285" w14:textId="469494B9"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0" w:history="1">
        <w:r w:rsidR="00644F3E" w:rsidRPr="00216965">
          <w:rPr>
            <w:rStyle w:val="Hyperlink"/>
            <w:noProof/>
          </w:rPr>
          <w:t>Fig. 4</w:t>
        </w:r>
        <w:r w:rsidR="00644F3E" w:rsidRPr="00216965">
          <w:rPr>
            <w:rStyle w:val="Hyperlink"/>
            <w:noProof/>
          </w:rPr>
          <w:noBreakHyphen/>
          <w:t xml:space="preserve">18 Plot showing correlation between soil properties, bioavailable HMs and tissue HM concentrations in the </w:t>
        </w:r>
        <w:r w:rsidR="00644F3E" w:rsidRPr="00216965">
          <w:rPr>
            <w:rStyle w:val="Hyperlink"/>
            <w:i/>
            <w:noProof/>
          </w:rPr>
          <w:t>Lolium perenne</w:t>
        </w:r>
        <w:r w:rsidR="00644F3E" w:rsidRPr="00216965">
          <w:rPr>
            <w:rStyle w:val="Hyperlink"/>
            <w:noProof/>
          </w:rPr>
          <w:t xml:space="preserve"> treatment.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_Toc86439380 \h </w:instrText>
        </w:r>
        <w:r w:rsidR="00644F3E" w:rsidRPr="00216965">
          <w:rPr>
            <w:noProof/>
            <w:webHidden/>
          </w:rPr>
        </w:r>
        <w:r w:rsidR="00644F3E" w:rsidRPr="00216965">
          <w:rPr>
            <w:noProof/>
            <w:webHidden/>
          </w:rPr>
          <w:fldChar w:fldCharType="separate"/>
        </w:r>
        <w:r w:rsidR="00CE6CD2">
          <w:rPr>
            <w:noProof/>
            <w:webHidden/>
          </w:rPr>
          <w:t>111</w:t>
        </w:r>
        <w:r w:rsidR="00644F3E" w:rsidRPr="00216965">
          <w:rPr>
            <w:noProof/>
            <w:webHidden/>
          </w:rPr>
          <w:fldChar w:fldCharType="end"/>
        </w:r>
      </w:hyperlink>
    </w:p>
    <w:p w14:paraId="6F8E1E7D" w14:textId="2B45F23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1" w:history="1">
        <w:r w:rsidR="00644F3E" w:rsidRPr="00216965">
          <w:rPr>
            <w:rStyle w:val="Hyperlink"/>
            <w:noProof/>
          </w:rPr>
          <w:t>Fig. 4</w:t>
        </w:r>
        <w:r w:rsidR="00644F3E" w:rsidRPr="00216965">
          <w:rPr>
            <w:rStyle w:val="Hyperlink"/>
            <w:noProof/>
          </w:rPr>
          <w:noBreakHyphen/>
          <w:t xml:space="preserve">19 Plot showing correlation between soil properties, bioavailable HMs and tissue HM concentrations in </w:t>
        </w:r>
        <w:r w:rsidR="00F24567" w:rsidRPr="00216965">
          <w:rPr>
            <w:rStyle w:val="Hyperlink"/>
            <w:noProof/>
          </w:rPr>
          <w:t>White</w:t>
        </w:r>
        <w:r w:rsidR="00644F3E" w:rsidRPr="00216965">
          <w:rPr>
            <w:rStyle w:val="Hyperlink"/>
            <w:noProof/>
          </w:rPr>
          <w:t xml:space="preserve"> mustard treatment..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_Toc86439381 \h </w:instrText>
        </w:r>
        <w:r w:rsidR="00644F3E" w:rsidRPr="00216965">
          <w:rPr>
            <w:noProof/>
            <w:webHidden/>
          </w:rPr>
        </w:r>
        <w:r w:rsidR="00644F3E" w:rsidRPr="00216965">
          <w:rPr>
            <w:noProof/>
            <w:webHidden/>
          </w:rPr>
          <w:fldChar w:fldCharType="separate"/>
        </w:r>
        <w:r w:rsidR="00CE6CD2">
          <w:rPr>
            <w:noProof/>
            <w:webHidden/>
          </w:rPr>
          <w:t>112</w:t>
        </w:r>
        <w:r w:rsidR="00644F3E" w:rsidRPr="00216965">
          <w:rPr>
            <w:noProof/>
            <w:webHidden/>
          </w:rPr>
          <w:fldChar w:fldCharType="end"/>
        </w:r>
      </w:hyperlink>
    </w:p>
    <w:p w14:paraId="3A3487C3" w14:textId="6DB08427"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2" w:history="1">
        <w:r w:rsidR="00644F3E" w:rsidRPr="00216965">
          <w:rPr>
            <w:rStyle w:val="Hyperlink"/>
            <w:noProof/>
          </w:rPr>
          <w:t>Fig. 5</w:t>
        </w:r>
        <w:r w:rsidR="00644F3E" w:rsidRPr="00216965">
          <w:rPr>
            <w:rStyle w:val="Hyperlink"/>
            <w:noProof/>
          </w:rPr>
          <w:noBreakHyphen/>
          <w:t>1 Overview of Wemyss mine</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_Toc86439382 \h </w:instrText>
        </w:r>
        <w:r w:rsidR="00644F3E" w:rsidRPr="00216965">
          <w:rPr>
            <w:noProof/>
            <w:webHidden/>
          </w:rPr>
        </w:r>
        <w:r w:rsidR="00644F3E" w:rsidRPr="00216965">
          <w:rPr>
            <w:noProof/>
            <w:webHidden/>
          </w:rPr>
          <w:fldChar w:fldCharType="separate"/>
        </w:r>
        <w:r w:rsidR="00CE6CD2">
          <w:rPr>
            <w:noProof/>
            <w:webHidden/>
          </w:rPr>
          <w:t>130</w:t>
        </w:r>
        <w:r w:rsidR="00644F3E" w:rsidRPr="00216965">
          <w:rPr>
            <w:noProof/>
            <w:webHidden/>
          </w:rPr>
          <w:fldChar w:fldCharType="end"/>
        </w:r>
      </w:hyperlink>
    </w:p>
    <w:p w14:paraId="0C49227A" w14:textId="216A96B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3" w:history="1">
        <w:r w:rsidR="00644F3E" w:rsidRPr="00216965">
          <w:rPr>
            <w:rStyle w:val="Hyperlink"/>
            <w:noProof/>
          </w:rPr>
          <w:t>Fig. 5</w:t>
        </w:r>
        <w:r w:rsidR="00644F3E" w:rsidRPr="00216965">
          <w:rPr>
            <w:rStyle w:val="Hyperlink"/>
            <w:noProof/>
          </w:rPr>
          <w:noBreakHyphen/>
          <w:t>2 Outdoor pot experiment: A) individual pot with insulation cover and Rhizon sampler inserted; B) all 32 pots on the raised bed at the outdoor compound</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_Toc86439383 \h </w:instrText>
        </w:r>
        <w:r w:rsidR="00644F3E" w:rsidRPr="00216965">
          <w:rPr>
            <w:noProof/>
            <w:webHidden/>
          </w:rPr>
        </w:r>
        <w:r w:rsidR="00644F3E" w:rsidRPr="00216965">
          <w:rPr>
            <w:noProof/>
            <w:webHidden/>
          </w:rPr>
          <w:fldChar w:fldCharType="separate"/>
        </w:r>
        <w:r w:rsidR="00CE6CD2">
          <w:rPr>
            <w:noProof/>
            <w:webHidden/>
          </w:rPr>
          <w:t>132</w:t>
        </w:r>
        <w:r w:rsidR="00644F3E" w:rsidRPr="00216965">
          <w:rPr>
            <w:noProof/>
            <w:webHidden/>
          </w:rPr>
          <w:fldChar w:fldCharType="end"/>
        </w:r>
      </w:hyperlink>
    </w:p>
    <w:p w14:paraId="6CBC659B" w14:textId="7A26680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4" w:history="1">
        <w:r w:rsidR="00644F3E" w:rsidRPr="00216965">
          <w:rPr>
            <w:rStyle w:val="Hyperlink"/>
            <w:noProof/>
          </w:rPr>
          <w:t>Fig. 5</w:t>
        </w:r>
        <w:r w:rsidR="00644F3E" w:rsidRPr="00216965">
          <w:rPr>
            <w:rStyle w:val="Hyperlink"/>
            <w:noProof/>
          </w:rPr>
          <w:noBreakHyphen/>
          <w:t>3 Box plot of properties of Wemyss soil treated with different organic amendments after 18 months of incubation at field conditions.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_Toc86439384 \h </w:instrText>
        </w:r>
        <w:r w:rsidR="00644F3E" w:rsidRPr="00216965">
          <w:rPr>
            <w:noProof/>
            <w:webHidden/>
          </w:rPr>
        </w:r>
        <w:r w:rsidR="00644F3E" w:rsidRPr="00216965">
          <w:rPr>
            <w:noProof/>
            <w:webHidden/>
          </w:rPr>
          <w:fldChar w:fldCharType="separate"/>
        </w:r>
        <w:r w:rsidR="00CE6CD2">
          <w:rPr>
            <w:noProof/>
            <w:webHidden/>
          </w:rPr>
          <w:t>143</w:t>
        </w:r>
        <w:r w:rsidR="00644F3E" w:rsidRPr="00216965">
          <w:rPr>
            <w:noProof/>
            <w:webHidden/>
          </w:rPr>
          <w:fldChar w:fldCharType="end"/>
        </w:r>
      </w:hyperlink>
    </w:p>
    <w:p w14:paraId="1292C97F" w14:textId="3EB82CA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5" w:history="1">
        <w:r w:rsidR="00644F3E" w:rsidRPr="00216965">
          <w:rPr>
            <w:rStyle w:val="Hyperlink"/>
            <w:noProof/>
          </w:rPr>
          <w:t>Fig. 5</w:t>
        </w:r>
        <w:r w:rsidR="00644F3E" w:rsidRPr="00216965">
          <w:rPr>
            <w:rStyle w:val="Hyperlink"/>
            <w:noProof/>
          </w:rPr>
          <w:noBreakHyphen/>
          <w:t>4 Box plot of selected properties of soil pore water. Collections were at 2, 6 and 18 months after the establishment of the pot experiment..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_Toc86439385 \h </w:instrText>
        </w:r>
        <w:r w:rsidR="00644F3E" w:rsidRPr="00216965">
          <w:rPr>
            <w:noProof/>
            <w:webHidden/>
          </w:rPr>
        </w:r>
        <w:r w:rsidR="00644F3E" w:rsidRPr="00216965">
          <w:rPr>
            <w:noProof/>
            <w:webHidden/>
          </w:rPr>
          <w:fldChar w:fldCharType="separate"/>
        </w:r>
        <w:r w:rsidR="00CE6CD2">
          <w:rPr>
            <w:noProof/>
            <w:webHidden/>
          </w:rPr>
          <w:t>145</w:t>
        </w:r>
        <w:r w:rsidR="00644F3E" w:rsidRPr="00216965">
          <w:rPr>
            <w:noProof/>
            <w:webHidden/>
          </w:rPr>
          <w:fldChar w:fldCharType="end"/>
        </w:r>
      </w:hyperlink>
    </w:p>
    <w:p w14:paraId="2448CD0D" w14:textId="68827BE9"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6" w:history="1">
        <w:r w:rsidR="00644F3E" w:rsidRPr="00216965">
          <w:rPr>
            <w:rStyle w:val="Hyperlink"/>
            <w:noProof/>
          </w:rPr>
          <w:t>Fig. 5</w:t>
        </w:r>
        <w:r w:rsidR="00644F3E" w:rsidRPr="00216965">
          <w:rPr>
            <w:rStyle w:val="Hyperlink"/>
            <w:noProof/>
          </w:rPr>
          <w:noBreakHyphen/>
          <w:t>5. Box plot of total and bioavailable (acid-soluble) heavy metal concentrations in Wemyss soil treated with different organic amendments.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_Toc86439386 \h </w:instrText>
        </w:r>
        <w:r w:rsidR="00644F3E" w:rsidRPr="00216965">
          <w:rPr>
            <w:noProof/>
            <w:webHidden/>
          </w:rPr>
        </w:r>
        <w:r w:rsidR="00644F3E" w:rsidRPr="00216965">
          <w:rPr>
            <w:noProof/>
            <w:webHidden/>
          </w:rPr>
          <w:fldChar w:fldCharType="separate"/>
        </w:r>
        <w:r w:rsidR="00CE6CD2">
          <w:rPr>
            <w:noProof/>
            <w:webHidden/>
          </w:rPr>
          <w:t>146</w:t>
        </w:r>
        <w:r w:rsidR="00644F3E" w:rsidRPr="00216965">
          <w:rPr>
            <w:noProof/>
            <w:webHidden/>
          </w:rPr>
          <w:fldChar w:fldCharType="end"/>
        </w:r>
      </w:hyperlink>
    </w:p>
    <w:p w14:paraId="17EF433E" w14:textId="61678E7F"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7" w:history="1">
        <w:r w:rsidR="00644F3E" w:rsidRPr="00216965">
          <w:rPr>
            <w:rStyle w:val="Hyperlink"/>
            <w:noProof/>
          </w:rPr>
          <w:t>Fig. 5</w:t>
        </w:r>
        <w:r w:rsidR="00644F3E" w:rsidRPr="00216965">
          <w:rPr>
            <w:rStyle w:val="Hyperlink"/>
            <w:noProof/>
          </w:rPr>
          <w:noBreakHyphen/>
          <w:t>6. Metal fraction distribution in Wemyss soil treated with different organic amendments after18 months of incubation.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_Toc86439387 \h </w:instrText>
        </w:r>
        <w:r w:rsidR="00644F3E" w:rsidRPr="00216965">
          <w:rPr>
            <w:noProof/>
            <w:webHidden/>
          </w:rPr>
        </w:r>
        <w:r w:rsidR="00644F3E" w:rsidRPr="00216965">
          <w:rPr>
            <w:noProof/>
            <w:webHidden/>
          </w:rPr>
          <w:fldChar w:fldCharType="separate"/>
        </w:r>
        <w:r w:rsidR="00CE6CD2">
          <w:rPr>
            <w:noProof/>
            <w:webHidden/>
          </w:rPr>
          <w:t>148</w:t>
        </w:r>
        <w:r w:rsidR="00644F3E" w:rsidRPr="00216965">
          <w:rPr>
            <w:noProof/>
            <w:webHidden/>
          </w:rPr>
          <w:fldChar w:fldCharType="end"/>
        </w:r>
      </w:hyperlink>
    </w:p>
    <w:p w14:paraId="50F35AFE" w14:textId="61127AD0"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8" w:history="1">
        <w:r w:rsidR="00644F3E" w:rsidRPr="00216965">
          <w:rPr>
            <w:rStyle w:val="Hyperlink"/>
            <w:noProof/>
          </w:rPr>
          <w:t>Fig. 5</w:t>
        </w:r>
        <w:r w:rsidR="00644F3E" w:rsidRPr="00216965">
          <w:rPr>
            <w:rStyle w:val="Hyperlink"/>
            <w:noProof/>
          </w:rPr>
          <w:noBreakHyphen/>
          <w:t xml:space="preserve">7. </w:t>
        </w:r>
        <w:r w:rsidR="004663BC" w:rsidRPr="00216965">
          <w:rPr>
            <w:rStyle w:val="Hyperlink"/>
            <w:noProof/>
          </w:rPr>
          <w:t>Box plot of p</w:t>
        </w:r>
        <w:r w:rsidR="00644F3E" w:rsidRPr="00216965">
          <w:rPr>
            <w:rStyle w:val="Hyperlink"/>
            <w:noProof/>
          </w:rPr>
          <w:t xml:space="preserve">lant biomass and metal concentration in above-ground tissue of </w:t>
        </w:r>
        <w:r w:rsidR="00644F3E" w:rsidRPr="00216965">
          <w:rPr>
            <w:rStyle w:val="Hyperlink"/>
            <w:i/>
            <w:noProof/>
          </w:rPr>
          <w:t>Lolium perenne</w:t>
        </w:r>
        <w:r w:rsidR="00644F3E" w:rsidRPr="00216965">
          <w:rPr>
            <w:rStyle w:val="Hyperlink"/>
            <w:noProof/>
          </w:rPr>
          <w:t xml:space="preserve"> grown in Wemyss soil treated with organic amendments during two harvesting seasons.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_Toc86439388 \h </w:instrText>
        </w:r>
        <w:r w:rsidR="00644F3E" w:rsidRPr="00216965">
          <w:rPr>
            <w:noProof/>
            <w:webHidden/>
          </w:rPr>
        </w:r>
        <w:r w:rsidR="00644F3E" w:rsidRPr="00216965">
          <w:rPr>
            <w:noProof/>
            <w:webHidden/>
          </w:rPr>
          <w:fldChar w:fldCharType="separate"/>
        </w:r>
        <w:r w:rsidR="00CE6CD2">
          <w:rPr>
            <w:noProof/>
            <w:webHidden/>
          </w:rPr>
          <w:t>149</w:t>
        </w:r>
        <w:r w:rsidR="00644F3E" w:rsidRPr="00216965">
          <w:rPr>
            <w:noProof/>
            <w:webHidden/>
          </w:rPr>
          <w:fldChar w:fldCharType="end"/>
        </w:r>
      </w:hyperlink>
    </w:p>
    <w:p w14:paraId="22F6A854" w14:textId="241255EB"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89" w:history="1">
        <w:r w:rsidR="00644F3E" w:rsidRPr="00216965">
          <w:rPr>
            <w:rStyle w:val="Hyperlink"/>
            <w:noProof/>
          </w:rPr>
          <w:t>Fig. 5</w:t>
        </w:r>
        <w:r w:rsidR="00644F3E" w:rsidRPr="00216965">
          <w:rPr>
            <w:rStyle w:val="Hyperlink"/>
            <w:noProof/>
          </w:rPr>
          <w:noBreakHyphen/>
          <w:t>8 Cross correlation of soil characteristics for planted and unplanted treatments. Mn, Al, Pb, Zn, Ca, Mg, K and Na corresponded to the concentration in the bioavailable (acid-soluble) fraction..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_Toc86439389 \h </w:instrText>
        </w:r>
        <w:r w:rsidR="00644F3E" w:rsidRPr="00216965">
          <w:rPr>
            <w:noProof/>
            <w:webHidden/>
          </w:rPr>
        </w:r>
        <w:r w:rsidR="00644F3E" w:rsidRPr="00216965">
          <w:rPr>
            <w:noProof/>
            <w:webHidden/>
          </w:rPr>
          <w:fldChar w:fldCharType="separate"/>
        </w:r>
        <w:r w:rsidR="00CE6CD2">
          <w:rPr>
            <w:noProof/>
            <w:webHidden/>
          </w:rPr>
          <w:t>151</w:t>
        </w:r>
        <w:r w:rsidR="00644F3E" w:rsidRPr="00216965">
          <w:rPr>
            <w:noProof/>
            <w:webHidden/>
          </w:rPr>
          <w:fldChar w:fldCharType="end"/>
        </w:r>
      </w:hyperlink>
    </w:p>
    <w:p w14:paraId="6BA46120" w14:textId="663AF110"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0" w:history="1">
        <w:r w:rsidR="00644F3E" w:rsidRPr="00216965">
          <w:rPr>
            <w:rStyle w:val="Hyperlink"/>
            <w:noProof/>
          </w:rPr>
          <w:t>Fig. 5</w:t>
        </w:r>
        <w:r w:rsidR="00644F3E" w:rsidRPr="00216965">
          <w:rPr>
            <w:rStyle w:val="Hyperlink"/>
            <w:noProof/>
          </w:rPr>
          <w:noBreakHyphen/>
          <w:t>9 Box plot of total abundance of soil microorganisms based on gene copy numbers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_Toc86439390 \h </w:instrText>
        </w:r>
        <w:r w:rsidR="00644F3E" w:rsidRPr="00216965">
          <w:rPr>
            <w:noProof/>
            <w:webHidden/>
          </w:rPr>
        </w:r>
        <w:r w:rsidR="00644F3E" w:rsidRPr="00216965">
          <w:rPr>
            <w:noProof/>
            <w:webHidden/>
          </w:rPr>
          <w:fldChar w:fldCharType="separate"/>
        </w:r>
        <w:r w:rsidR="00CE6CD2">
          <w:rPr>
            <w:noProof/>
            <w:webHidden/>
          </w:rPr>
          <w:t>152</w:t>
        </w:r>
        <w:r w:rsidR="00644F3E" w:rsidRPr="00216965">
          <w:rPr>
            <w:noProof/>
            <w:webHidden/>
          </w:rPr>
          <w:fldChar w:fldCharType="end"/>
        </w:r>
      </w:hyperlink>
    </w:p>
    <w:p w14:paraId="1C2EF4D3" w14:textId="10688A88"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1" w:history="1">
        <w:r w:rsidR="00644F3E" w:rsidRPr="00216965">
          <w:rPr>
            <w:rStyle w:val="Hyperlink"/>
            <w:noProof/>
          </w:rPr>
          <w:t>Fig. 5</w:t>
        </w:r>
        <w:r w:rsidR="00644F3E" w:rsidRPr="00216965">
          <w:rPr>
            <w:rStyle w:val="Hyperlink"/>
            <w:noProof/>
          </w:rPr>
          <w:noBreakHyphen/>
          <w:t xml:space="preserve">10 </w:t>
        </w:r>
        <w:r w:rsidR="00B4071A" w:rsidRPr="00216965">
          <w:rPr>
            <w:rStyle w:val="Hyperlink"/>
            <w:noProof/>
          </w:rPr>
          <w:t>Box plot</w:t>
        </w:r>
        <w:r w:rsidR="00644F3E" w:rsidRPr="00216965">
          <w:rPr>
            <w:rStyle w:val="Hyperlink"/>
            <w:noProof/>
          </w:rPr>
          <w:t xml:space="preserve"> of diversity indicators of soil microorganisms..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_Toc86439391 \h </w:instrText>
        </w:r>
        <w:r w:rsidR="00644F3E" w:rsidRPr="00216965">
          <w:rPr>
            <w:noProof/>
            <w:webHidden/>
          </w:rPr>
        </w:r>
        <w:r w:rsidR="00644F3E" w:rsidRPr="00216965">
          <w:rPr>
            <w:noProof/>
            <w:webHidden/>
          </w:rPr>
          <w:fldChar w:fldCharType="separate"/>
        </w:r>
        <w:r w:rsidR="00CE6CD2">
          <w:rPr>
            <w:noProof/>
            <w:webHidden/>
          </w:rPr>
          <w:t>153</w:t>
        </w:r>
        <w:r w:rsidR="00644F3E" w:rsidRPr="00216965">
          <w:rPr>
            <w:noProof/>
            <w:webHidden/>
          </w:rPr>
          <w:fldChar w:fldCharType="end"/>
        </w:r>
      </w:hyperlink>
    </w:p>
    <w:p w14:paraId="50730137" w14:textId="7CB9225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2" w:history="1">
        <w:r w:rsidR="00644F3E" w:rsidRPr="00216965">
          <w:rPr>
            <w:rStyle w:val="Hyperlink"/>
            <w:noProof/>
          </w:rPr>
          <w:t>Fig. 5</w:t>
        </w:r>
        <w:r w:rsidR="00644F3E" w:rsidRPr="00216965">
          <w:rPr>
            <w:rStyle w:val="Hyperlink"/>
            <w:noProof/>
          </w:rPr>
          <w:noBreakHyphen/>
          <w:t>11 Analysis of community composition..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_Toc86439392 \h </w:instrText>
        </w:r>
        <w:r w:rsidR="00644F3E" w:rsidRPr="00216965">
          <w:rPr>
            <w:noProof/>
            <w:webHidden/>
          </w:rPr>
        </w:r>
        <w:r w:rsidR="00644F3E" w:rsidRPr="00216965">
          <w:rPr>
            <w:noProof/>
            <w:webHidden/>
          </w:rPr>
          <w:fldChar w:fldCharType="separate"/>
        </w:r>
        <w:r w:rsidR="00CE6CD2">
          <w:rPr>
            <w:noProof/>
            <w:webHidden/>
          </w:rPr>
          <w:t>156</w:t>
        </w:r>
        <w:r w:rsidR="00644F3E" w:rsidRPr="00216965">
          <w:rPr>
            <w:noProof/>
            <w:webHidden/>
          </w:rPr>
          <w:fldChar w:fldCharType="end"/>
        </w:r>
      </w:hyperlink>
    </w:p>
    <w:p w14:paraId="67028E85" w14:textId="52A0649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3" w:history="1">
        <w:r w:rsidR="00644F3E" w:rsidRPr="00216965">
          <w:rPr>
            <w:rStyle w:val="Hyperlink"/>
            <w:noProof/>
          </w:rPr>
          <w:t>Fig. 5</w:t>
        </w:r>
        <w:r w:rsidR="00644F3E" w:rsidRPr="00216965">
          <w:rPr>
            <w:rStyle w:val="Hyperlink"/>
            <w:noProof/>
          </w:rPr>
          <w:noBreakHyphen/>
          <w:t>12 Venn diagram displaying the number of microbial ASVs shared between treatments containing organic amendments that increased or decreased relative to the untreated soil after the addition of the amendments.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_Toc86439393 \h </w:instrText>
        </w:r>
        <w:r w:rsidR="00644F3E" w:rsidRPr="00216965">
          <w:rPr>
            <w:noProof/>
            <w:webHidden/>
          </w:rPr>
        </w:r>
        <w:r w:rsidR="00644F3E" w:rsidRPr="00216965">
          <w:rPr>
            <w:noProof/>
            <w:webHidden/>
          </w:rPr>
          <w:fldChar w:fldCharType="separate"/>
        </w:r>
        <w:r w:rsidR="00CE6CD2">
          <w:rPr>
            <w:noProof/>
            <w:webHidden/>
          </w:rPr>
          <w:t>158</w:t>
        </w:r>
        <w:r w:rsidR="00644F3E" w:rsidRPr="00216965">
          <w:rPr>
            <w:noProof/>
            <w:webHidden/>
          </w:rPr>
          <w:fldChar w:fldCharType="end"/>
        </w:r>
      </w:hyperlink>
    </w:p>
    <w:p w14:paraId="6822619A" w14:textId="1738537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4" w:history="1">
        <w:r w:rsidR="00644F3E" w:rsidRPr="00216965">
          <w:rPr>
            <w:rStyle w:val="Hyperlink"/>
            <w:noProof/>
          </w:rPr>
          <w:t>Fig. 5</w:t>
        </w:r>
        <w:r w:rsidR="00644F3E" w:rsidRPr="00216965">
          <w:rPr>
            <w:rStyle w:val="Hyperlink"/>
            <w:noProof/>
          </w:rPr>
          <w:noBreakHyphen/>
          <w:t>13 Relative abundance of bacterial ASVs grouped by Phylum that changed with the addition of biochar.</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_Toc86439394 \h </w:instrText>
        </w:r>
        <w:r w:rsidR="00644F3E" w:rsidRPr="00216965">
          <w:rPr>
            <w:noProof/>
            <w:webHidden/>
          </w:rPr>
        </w:r>
        <w:r w:rsidR="00644F3E" w:rsidRPr="00216965">
          <w:rPr>
            <w:noProof/>
            <w:webHidden/>
          </w:rPr>
          <w:fldChar w:fldCharType="separate"/>
        </w:r>
        <w:r w:rsidR="00CE6CD2">
          <w:rPr>
            <w:noProof/>
            <w:webHidden/>
          </w:rPr>
          <w:t>159</w:t>
        </w:r>
        <w:r w:rsidR="00644F3E" w:rsidRPr="00216965">
          <w:rPr>
            <w:noProof/>
            <w:webHidden/>
          </w:rPr>
          <w:fldChar w:fldCharType="end"/>
        </w:r>
      </w:hyperlink>
    </w:p>
    <w:p w14:paraId="0A073042" w14:textId="7E55E30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5" w:history="1">
        <w:r w:rsidR="00644F3E" w:rsidRPr="00216965">
          <w:rPr>
            <w:rStyle w:val="Hyperlink"/>
            <w:noProof/>
          </w:rPr>
          <w:t>Fig. 5</w:t>
        </w:r>
        <w:r w:rsidR="00644F3E" w:rsidRPr="00216965">
          <w:rPr>
            <w:rStyle w:val="Hyperlink"/>
            <w:noProof/>
          </w:rPr>
          <w:noBreakHyphen/>
          <w:t>14 Relative abundance of bacterial ASVs grouped by Phylum that changed with the addition of Compost..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_Toc86439395 \h </w:instrText>
        </w:r>
        <w:r w:rsidR="00644F3E" w:rsidRPr="00216965">
          <w:rPr>
            <w:noProof/>
            <w:webHidden/>
          </w:rPr>
        </w:r>
        <w:r w:rsidR="00644F3E" w:rsidRPr="00216965">
          <w:rPr>
            <w:noProof/>
            <w:webHidden/>
          </w:rPr>
          <w:fldChar w:fldCharType="separate"/>
        </w:r>
        <w:r w:rsidR="00CE6CD2">
          <w:rPr>
            <w:noProof/>
            <w:webHidden/>
          </w:rPr>
          <w:t>161</w:t>
        </w:r>
        <w:r w:rsidR="00644F3E" w:rsidRPr="00216965">
          <w:rPr>
            <w:noProof/>
            <w:webHidden/>
          </w:rPr>
          <w:fldChar w:fldCharType="end"/>
        </w:r>
      </w:hyperlink>
    </w:p>
    <w:p w14:paraId="50D30940" w14:textId="42154BE1"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6" w:history="1">
        <w:r w:rsidR="00644F3E" w:rsidRPr="00216965">
          <w:rPr>
            <w:rStyle w:val="Hyperlink"/>
            <w:noProof/>
          </w:rPr>
          <w:t>Fig. 5</w:t>
        </w:r>
        <w:r w:rsidR="00644F3E" w:rsidRPr="00216965">
          <w:rPr>
            <w:rStyle w:val="Hyperlink"/>
            <w:noProof/>
          </w:rPr>
          <w:noBreakHyphen/>
          <w:t>15 Relative abundance of fungal ASVs grouped by Phylum that changed with the addition of compost.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_Toc86439396 \h </w:instrText>
        </w:r>
        <w:r w:rsidR="00644F3E" w:rsidRPr="00216965">
          <w:rPr>
            <w:noProof/>
            <w:webHidden/>
          </w:rPr>
        </w:r>
        <w:r w:rsidR="00644F3E" w:rsidRPr="00216965">
          <w:rPr>
            <w:noProof/>
            <w:webHidden/>
          </w:rPr>
          <w:fldChar w:fldCharType="separate"/>
        </w:r>
        <w:r w:rsidR="00CE6CD2">
          <w:rPr>
            <w:noProof/>
            <w:webHidden/>
          </w:rPr>
          <w:t>162</w:t>
        </w:r>
        <w:r w:rsidR="00644F3E" w:rsidRPr="00216965">
          <w:rPr>
            <w:noProof/>
            <w:webHidden/>
          </w:rPr>
          <w:fldChar w:fldCharType="end"/>
        </w:r>
      </w:hyperlink>
    </w:p>
    <w:p w14:paraId="4B16BBB5" w14:textId="799A8BC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7" w:history="1">
        <w:r w:rsidR="00644F3E" w:rsidRPr="00216965">
          <w:rPr>
            <w:rStyle w:val="Hyperlink"/>
            <w:noProof/>
          </w:rPr>
          <w:t>Fig. 5</w:t>
        </w:r>
        <w:r w:rsidR="00644F3E" w:rsidRPr="00216965">
          <w:rPr>
            <w:rStyle w:val="Hyperlink"/>
            <w:noProof/>
          </w:rPr>
          <w:noBreakHyphen/>
          <w:t>16 Canonical correspondence analysis of bacterial and fungal ASVs abundance and relevant soil physico-chemical properties.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_Toc86439397 \h </w:instrText>
        </w:r>
        <w:r w:rsidR="00644F3E" w:rsidRPr="00216965">
          <w:rPr>
            <w:noProof/>
            <w:webHidden/>
          </w:rPr>
        </w:r>
        <w:r w:rsidR="00644F3E" w:rsidRPr="00216965">
          <w:rPr>
            <w:noProof/>
            <w:webHidden/>
          </w:rPr>
          <w:fldChar w:fldCharType="separate"/>
        </w:r>
        <w:r w:rsidR="00CE6CD2">
          <w:rPr>
            <w:noProof/>
            <w:webHidden/>
          </w:rPr>
          <w:t>163</w:t>
        </w:r>
        <w:r w:rsidR="00644F3E" w:rsidRPr="00216965">
          <w:rPr>
            <w:noProof/>
            <w:webHidden/>
          </w:rPr>
          <w:fldChar w:fldCharType="end"/>
        </w:r>
      </w:hyperlink>
    </w:p>
    <w:p w14:paraId="422BF854" w14:textId="4C122AA9"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8" w:history="1">
        <w:r w:rsidR="00644F3E" w:rsidRPr="00216965">
          <w:rPr>
            <w:rStyle w:val="Hyperlink"/>
            <w:noProof/>
          </w:rPr>
          <w:t>Fig. 5</w:t>
        </w:r>
        <w:r w:rsidR="00644F3E" w:rsidRPr="00216965">
          <w:rPr>
            <w:rStyle w:val="Hyperlink"/>
            <w:noProof/>
          </w:rPr>
          <w:noBreakHyphen/>
          <w:t>17 Heavy metals in Wemyss soil used in the secondment at BOKU. Soil samples were analysed at 1 and 12 months after the beginning of the incubation experiment.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_Toc86439398 \h </w:instrText>
        </w:r>
        <w:r w:rsidR="00644F3E" w:rsidRPr="00216965">
          <w:rPr>
            <w:noProof/>
            <w:webHidden/>
          </w:rPr>
        </w:r>
        <w:r w:rsidR="00644F3E" w:rsidRPr="00216965">
          <w:rPr>
            <w:noProof/>
            <w:webHidden/>
          </w:rPr>
          <w:fldChar w:fldCharType="separate"/>
        </w:r>
        <w:r w:rsidR="00CE6CD2">
          <w:rPr>
            <w:noProof/>
            <w:webHidden/>
          </w:rPr>
          <w:t>164</w:t>
        </w:r>
        <w:r w:rsidR="00644F3E" w:rsidRPr="00216965">
          <w:rPr>
            <w:noProof/>
            <w:webHidden/>
          </w:rPr>
          <w:fldChar w:fldCharType="end"/>
        </w:r>
      </w:hyperlink>
    </w:p>
    <w:p w14:paraId="2BE285BC" w14:textId="2EECB181"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399" w:history="1">
        <w:r w:rsidR="00644F3E" w:rsidRPr="00216965">
          <w:rPr>
            <w:rStyle w:val="Hyperlink"/>
            <w:noProof/>
          </w:rPr>
          <w:t>Fig. 5</w:t>
        </w:r>
        <w:r w:rsidR="00644F3E" w:rsidRPr="00216965">
          <w:rPr>
            <w:rStyle w:val="Hyperlink"/>
            <w:noProof/>
          </w:rPr>
          <w:noBreakHyphen/>
          <w:t>18 Carbon dioxide production over time.</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_Toc86439399 \h </w:instrText>
        </w:r>
        <w:r w:rsidR="00644F3E" w:rsidRPr="00216965">
          <w:rPr>
            <w:noProof/>
            <w:webHidden/>
          </w:rPr>
        </w:r>
        <w:r w:rsidR="00644F3E" w:rsidRPr="00216965">
          <w:rPr>
            <w:noProof/>
            <w:webHidden/>
          </w:rPr>
          <w:fldChar w:fldCharType="separate"/>
        </w:r>
        <w:r w:rsidR="00CE6CD2">
          <w:rPr>
            <w:noProof/>
            <w:webHidden/>
          </w:rPr>
          <w:t>165</w:t>
        </w:r>
        <w:r w:rsidR="00644F3E" w:rsidRPr="00216965">
          <w:rPr>
            <w:noProof/>
            <w:webHidden/>
          </w:rPr>
          <w:fldChar w:fldCharType="end"/>
        </w:r>
      </w:hyperlink>
    </w:p>
    <w:p w14:paraId="2C314142" w14:textId="0916B7A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0" w:history="1">
        <w:r w:rsidR="00644F3E" w:rsidRPr="00216965">
          <w:rPr>
            <w:rStyle w:val="Hyperlink"/>
            <w:noProof/>
          </w:rPr>
          <w:t>Fig. 5</w:t>
        </w:r>
        <w:r w:rsidR="00644F3E" w:rsidRPr="00216965">
          <w:rPr>
            <w:rStyle w:val="Hyperlink"/>
            <w:noProof/>
          </w:rPr>
          <w:noBreakHyphen/>
          <w:t xml:space="preserve">19 Mean landscape fatty acids and delta </w:t>
        </w:r>
        <w:r w:rsidR="00644F3E" w:rsidRPr="00216965">
          <w:rPr>
            <w:rStyle w:val="Hyperlink"/>
            <w:noProof/>
            <w:vertAlign w:val="superscript"/>
          </w:rPr>
          <w:t>13</w:t>
        </w:r>
        <w:r w:rsidR="00644F3E" w:rsidRPr="00216965">
          <w:rPr>
            <w:rStyle w:val="Hyperlink"/>
            <w:noProof/>
          </w:rPr>
          <w:t>C (Δ</w:t>
        </w:r>
        <w:r w:rsidR="00644F3E" w:rsidRPr="00216965">
          <w:rPr>
            <w:rStyle w:val="Hyperlink"/>
            <w:noProof/>
            <w:vertAlign w:val="superscript"/>
          </w:rPr>
          <w:t>13</w:t>
        </w:r>
        <w:r w:rsidR="00644F3E" w:rsidRPr="00216965">
          <w:rPr>
            <w:rStyle w:val="Hyperlink"/>
            <w:noProof/>
          </w:rPr>
          <w:t>C ‰) in fatty acids after 1 and 12 months from the start of the soil incubation.</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_Toc86439400 \h </w:instrText>
        </w:r>
        <w:r w:rsidR="00644F3E" w:rsidRPr="00216965">
          <w:rPr>
            <w:noProof/>
            <w:webHidden/>
          </w:rPr>
        </w:r>
        <w:r w:rsidR="00644F3E" w:rsidRPr="00216965">
          <w:rPr>
            <w:noProof/>
            <w:webHidden/>
          </w:rPr>
          <w:fldChar w:fldCharType="separate"/>
        </w:r>
        <w:r w:rsidR="00CE6CD2">
          <w:rPr>
            <w:noProof/>
            <w:webHidden/>
          </w:rPr>
          <w:t>167</w:t>
        </w:r>
        <w:r w:rsidR="00644F3E" w:rsidRPr="00216965">
          <w:rPr>
            <w:noProof/>
            <w:webHidden/>
          </w:rPr>
          <w:fldChar w:fldCharType="end"/>
        </w:r>
      </w:hyperlink>
    </w:p>
    <w:p w14:paraId="78A15126" w14:textId="6A150B6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1" w:history="1">
        <w:r w:rsidR="00644F3E" w:rsidRPr="00216965">
          <w:rPr>
            <w:rStyle w:val="Hyperlink"/>
            <w:noProof/>
          </w:rPr>
          <w:t>Fig. 5</w:t>
        </w:r>
        <w:r w:rsidR="00644F3E" w:rsidRPr="00216965">
          <w:rPr>
            <w:rStyle w:val="Hyperlink"/>
            <w:noProof/>
          </w:rPr>
          <w:noBreakHyphen/>
          <w:t>20 Soil microbial dynamics based on total PLFA..</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_Toc86439401 \h </w:instrText>
        </w:r>
        <w:r w:rsidR="00644F3E" w:rsidRPr="00216965">
          <w:rPr>
            <w:noProof/>
            <w:webHidden/>
          </w:rPr>
        </w:r>
        <w:r w:rsidR="00644F3E" w:rsidRPr="00216965">
          <w:rPr>
            <w:noProof/>
            <w:webHidden/>
          </w:rPr>
          <w:fldChar w:fldCharType="separate"/>
        </w:r>
        <w:r w:rsidR="00CE6CD2">
          <w:rPr>
            <w:noProof/>
            <w:webHidden/>
          </w:rPr>
          <w:t>168</w:t>
        </w:r>
        <w:r w:rsidR="00644F3E" w:rsidRPr="00216965">
          <w:rPr>
            <w:noProof/>
            <w:webHidden/>
          </w:rPr>
          <w:fldChar w:fldCharType="end"/>
        </w:r>
      </w:hyperlink>
    </w:p>
    <w:p w14:paraId="5FB30647" w14:textId="3727D6AC"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2" w:history="1">
        <w:r w:rsidR="00644F3E" w:rsidRPr="00216965">
          <w:rPr>
            <w:rStyle w:val="Hyperlink"/>
            <w:rFonts w:cs="Times New Roman"/>
            <w:noProof/>
          </w:rPr>
          <w:t>Fig. 8</w:t>
        </w:r>
        <w:r w:rsidR="00644F3E" w:rsidRPr="00216965">
          <w:rPr>
            <w:rStyle w:val="Hyperlink"/>
            <w:rFonts w:cs="Times New Roman"/>
            <w:noProof/>
          </w:rPr>
          <w:noBreakHyphen/>
          <w:t xml:space="preserve">1 </w:t>
        </w:r>
        <w:r w:rsidR="00644F3E" w:rsidRPr="00216965">
          <w:rPr>
            <w:rStyle w:val="Hyperlink"/>
            <w:rFonts w:eastAsia="Times New Roman" w:cs="Times New Roman"/>
            <w:i/>
            <w:iCs/>
            <w:noProof/>
          </w:rPr>
          <w:t>Arabidopsis thalian</w:t>
        </w:r>
        <w:r w:rsidR="00644F3E" w:rsidRPr="00216965">
          <w:rPr>
            <w:rStyle w:val="Hyperlink"/>
            <w:rFonts w:eastAsia="Times New Roman" w:cs="Times New Roman"/>
            <w:noProof/>
          </w:rPr>
          <w:t xml:space="preserve">a Col-0 leaf area measurements over time in plants growing in soil artificially contaminated with single elements Cd, Pb, Zn and a multielement polluted soil (Mix-soil). </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_Toc86439402 \h </w:instrText>
        </w:r>
        <w:r w:rsidR="00644F3E" w:rsidRPr="00216965">
          <w:rPr>
            <w:noProof/>
            <w:webHidden/>
          </w:rPr>
        </w:r>
        <w:r w:rsidR="00644F3E" w:rsidRPr="00216965">
          <w:rPr>
            <w:noProof/>
            <w:webHidden/>
          </w:rPr>
          <w:fldChar w:fldCharType="separate"/>
        </w:r>
        <w:r w:rsidR="00CE6CD2">
          <w:rPr>
            <w:noProof/>
            <w:webHidden/>
          </w:rPr>
          <w:t>221</w:t>
        </w:r>
        <w:r w:rsidR="00644F3E" w:rsidRPr="00216965">
          <w:rPr>
            <w:noProof/>
            <w:webHidden/>
          </w:rPr>
          <w:fldChar w:fldCharType="end"/>
        </w:r>
      </w:hyperlink>
    </w:p>
    <w:p w14:paraId="7204CC26" w14:textId="4044392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3" w:history="1">
        <w:r w:rsidR="00644F3E" w:rsidRPr="00216965">
          <w:rPr>
            <w:rStyle w:val="Hyperlink"/>
            <w:rFonts w:cs="Times New Roman"/>
            <w:noProof/>
          </w:rPr>
          <w:t>Fig. 8</w:t>
        </w:r>
        <w:r w:rsidR="00644F3E" w:rsidRPr="00216965">
          <w:rPr>
            <w:rStyle w:val="Hyperlink"/>
            <w:rFonts w:cs="Times New Roman"/>
            <w:noProof/>
          </w:rPr>
          <w:noBreakHyphen/>
          <w:t>2.</w:t>
        </w:r>
        <w:r w:rsidR="00644F3E" w:rsidRPr="00216965">
          <w:rPr>
            <w:rStyle w:val="Hyperlink"/>
            <w:noProof/>
          </w:rPr>
          <w:t xml:space="preserve"> </w:t>
        </w:r>
        <w:r w:rsidR="00644F3E" w:rsidRPr="00216965">
          <w:rPr>
            <w:rStyle w:val="Hyperlink"/>
            <w:rFonts w:eastAsia="Times New Roman" w:cs="Times New Roman"/>
            <w:noProof/>
          </w:rPr>
          <w:t xml:space="preserve">Fv/Fm along time measured in </w:t>
        </w:r>
        <w:r w:rsidR="00644F3E" w:rsidRPr="00216965">
          <w:rPr>
            <w:rStyle w:val="Hyperlink"/>
            <w:rFonts w:eastAsia="Times New Roman" w:cs="Times New Roman"/>
            <w:i/>
            <w:iCs/>
            <w:noProof/>
          </w:rPr>
          <w:t>Arabidopsis thaliana</w:t>
        </w:r>
        <w:r w:rsidR="00644F3E" w:rsidRPr="00216965">
          <w:rPr>
            <w:rStyle w:val="Hyperlink"/>
            <w:rFonts w:eastAsia="Times New Roman" w:cs="Times New Roman"/>
            <w:noProof/>
          </w:rPr>
          <w:t xml:space="preserve"> col-0 growing in artificially contaminated soils</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_Toc86439403 \h </w:instrText>
        </w:r>
        <w:r w:rsidR="00644F3E" w:rsidRPr="00216965">
          <w:rPr>
            <w:noProof/>
            <w:webHidden/>
          </w:rPr>
        </w:r>
        <w:r w:rsidR="00644F3E" w:rsidRPr="00216965">
          <w:rPr>
            <w:noProof/>
            <w:webHidden/>
          </w:rPr>
          <w:fldChar w:fldCharType="separate"/>
        </w:r>
        <w:r w:rsidR="00CE6CD2">
          <w:rPr>
            <w:noProof/>
            <w:webHidden/>
          </w:rPr>
          <w:t>222</w:t>
        </w:r>
        <w:r w:rsidR="00644F3E" w:rsidRPr="00216965">
          <w:rPr>
            <w:noProof/>
            <w:webHidden/>
          </w:rPr>
          <w:fldChar w:fldCharType="end"/>
        </w:r>
      </w:hyperlink>
    </w:p>
    <w:p w14:paraId="3D18BF65" w14:textId="1D9B58CB"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4" w:history="1">
        <w:r w:rsidR="00644F3E" w:rsidRPr="00216965">
          <w:rPr>
            <w:rStyle w:val="Hyperlink"/>
            <w:rFonts w:cs="Times New Roman"/>
            <w:noProof/>
          </w:rPr>
          <w:t>Fig 8</w:t>
        </w:r>
        <w:r w:rsidR="00644F3E" w:rsidRPr="00216965">
          <w:rPr>
            <w:rStyle w:val="Hyperlink"/>
            <w:rFonts w:cs="Times New Roman"/>
            <w:noProof/>
          </w:rPr>
          <w:noBreakHyphen/>
          <w:t xml:space="preserve">3. Effect of soil pH on nutrient bioavailability in soils planted with </w:t>
        </w:r>
        <w:r w:rsidR="00644F3E" w:rsidRPr="00216965">
          <w:rPr>
            <w:rStyle w:val="Hyperlink"/>
            <w:rFonts w:cs="Times New Roman"/>
            <w:i/>
            <w:iCs/>
            <w:noProof/>
          </w:rPr>
          <w:t>Lolium perenne</w:t>
        </w:r>
        <w:r w:rsidR="00644F3E" w:rsidRPr="00216965">
          <w:rPr>
            <w:rStyle w:val="Hyperlink"/>
            <w:rFonts w:cs="Times New Roman"/>
            <w:noProof/>
          </w:rPr>
          <w:t xml:space="preserve"> amended with biochar.</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_Toc86439404 \h </w:instrText>
        </w:r>
        <w:r w:rsidR="00644F3E" w:rsidRPr="00216965">
          <w:rPr>
            <w:noProof/>
            <w:webHidden/>
          </w:rPr>
        </w:r>
        <w:r w:rsidR="00644F3E" w:rsidRPr="00216965">
          <w:rPr>
            <w:noProof/>
            <w:webHidden/>
          </w:rPr>
          <w:fldChar w:fldCharType="separate"/>
        </w:r>
        <w:r w:rsidR="00CE6CD2">
          <w:rPr>
            <w:noProof/>
            <w:webHidden/>
          </w:rPr>
          <w:t>223</w:t>
        </w:r>
        <w:r w:rsidR="00644F3E" w:rsidRPr="00216965">
          <w:rPr>
            <w:noProof/>
            <w:webHidden/>
          </w:rPr>
          <w:fldChar w:fldCharType="end"/>
        </w:r>
      </w:hyperlink>
    </w:p>
    <w:p w14:paraId="79736D9D" w14:textId="4D9297DB"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5" w:history="1">
        <w:r w:rsidR="00644F3E" w:rsidRPr="00216965">
          <w:rPr>
            <w:rStyle w:val="Hyperlink"/>
            <w:rFonts w:cs="Times New Roman"/>
            <w:noProof/>
          </w:rPr>
          <w:t>Fig. 8</w:t>
        </w:r>
        <w:r w:rsidR="00644F3E" w:rsidRPr="00216965">
          <w:rPr>
            <w:rStyle w:val="Hyperlink"/>
            <w:rFonts w:cs="Times New Roman"/>
            <w:noProof/>
          </w:rPr>
          <w:noBreakHyphen/>
          <w:t xml:space="preserve">4. </w:t>
        </w:r>
        <w:r w:rsidR="00644F3E" w:rsidRPr="00216965">
          <w:rPr>
            <w:rStyle w:val="Hyperlink"/>
            <w:noProof/>
          </w:rPr>
          <w:t>DNeasy PowerSoil Pro Kit Procedure from Qiagen (2020)</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_Toc86439405 \h </w:instrText>
        </w:r>
        <w:r w:rsidR="00644F3E" w:rsidRPr="00216965">
          <w:rPr>
            <w:noProof/>
            <w:webHidden/>
          </w:rPr>
        </w:r>
        <w:r w:rsidR="00644F3E" w:rsidRPr="00216965">
          <w:rPr>
            <w:noProof/>
            <w:webHidden/>
          </w:rPr>
          <w:fldChar w:fldCharType="separate"/>
        </w:r>
        <w:r w:rsidR="00CE6CD2">
          <w:rPr>
            <w:noProof/>
            <w:webHidden/>
          </w:rPr>
          <w:t>224</w:t>
        </w:r>
        <w:r w:rsidR="00644F3E" w:rsidRPr="00216965">
          <w:rPr>
            <w:noProof/>
            <w:webHidden/>
          </w:rPr>
          <w:fldChar w:fldCharType="end"/>
        </w:r>
      </w:hyperlink>
    </w:p>
    <w:p w14:paraId="5C411DC3" w14:textId="71441FC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6" w:history="1">
        <w:r w:rsidR="00644F3E" w:rsidRPr="00216965">
          <w:rPr>
            <w:rStyle w:val="Hyperlink"/>
            <w:rFonts w:cs="Times New Roman"/>
            <w:noProof/>
          </w:rPr>
          <w:t>Fig. 8</w:t>
        </w:r>
        <w:r w:rsidR="00644F3E" w:rsidRPr="00216965">
          <w:rPr>
            <w:rStyle w:val="Hyperlink"/>
            <w:rFonts w:cs="Times New Roman"/>
            <w:noProof/>
          </w:rPr>
          <w:noBreakHyphen/>
          <w:t>5. Box plot of selected metals in soil pore water.</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_Toc86439406 \h </w:instrText>
        </w:r>
        <w:r w:rsidR="00644F3E" w:rsidRPr="00216965">
          <w:rPr>
            <w:noProof/>
            <w:webHidden/>
          </w:rPr>
        </w:r>
        <w:r w:rsidR="00644F3E" w:rsidRPr="00216965">
          <w:rPr>
            <w:noProof/>
            <w:webHidden/>
          </w:rPr>
          <w:fldChar w:fldCharType="separate"/>
        </w:r>
        <w:r w:rsidR="00CE6CD2">
          <w:rPr>
            <w:noProof/>
            <w:webHidden/>
          </w:rPr>
          <w:t>225</w:t>
        </w:r>
        <w:r w:rsidR="00644F3E" w:rsidRPr="00216965">
          <w:rPr>
            <w:noProof/>
            <w:webHidden/>
          </w:rPr>
          <w:fldChar w:fldCharType="end"/>
        </w:r>
      </w:hyperlink>
    </w:p>
    <w:p w14:paraId="491FBA40" w14:textId="58653D93"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7" w:history="1">
        <w:r w:rsidR="00644F3E" w:rsidRPr="00216965">
          <w:rPr>
            <w:rStyle w:val="Hyperlink"/>
            <w:rFonts w:cs="Times New Roman"/>
            <w:noProof/>
          </w:rPr>
          <w:t>Fig. 8</w:t>
        </w:r>
        <w:r w:rsidR="00644F3E" w:rsidRPr="00216965">
          <w:rPr>
            <w:rStyle w:val="Hyperlink"/>
            <w:rFonts w:cs="Times New Roman"/>
            <w:noProof/>
          </w:rPr>
          <w:noBreakHyphen/>
          <w:t xml:space="preserve">6. </w:t>
        </w:r>
        <w:r w:rsidR="00644F3E" w:rsidRPr="00216965">
          <w:rPr>
            <w:rStyle w:val="Hyperlink"/>
            <w:noProof/>
          </w:rPr>
          <w:t>Correlation matrix for the Pb fractions obtained after sequential extraction for each of the treatments used.</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_Toc86439407 \h </w:instrText>
        </w:r>
        <w:r w:rsidR="00644F3E" w:rsidRPr="00216965">
          <w:rPr>
            <w:noProof/>
            <w:webHidden/>
          </w:rPr>
        </w:r>
        <w:r w:rsidR="00644F3E" w:rsidRPr="00216965">
          <w:rPr>
            <w:noProof/>
            <w:webHidden/>
          </w:rPr>
          <w:fldChar w:fldCharType="separate"/>
        </w:r>
        <w:r w:rsidR="00CE6CD2">
          <w:rPr>
            <w:noProof/>
            <w:webHidden/>
          </w:rPr>
          <w:t>226</w:t>
        </w:r>
        <w:r w:rsidR="00644F3E" w:rsidRPr="00216965">
          <w:rPr>
            <w:noProof/>
            <w:webHidden/>
          </w:rPr>
          <w:fldChar w:fldCharType="end"/>
        </w:r>
      </w:hyperlink>
    </w:p>
    <w:p w14:paraId="6138FF1E" w14:textId="248EC198"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8" w:history="1">
        <w:r w:rsidR="00644F3E" w:rsidRPr="00216965">
          <w:rPr>
            <w:rStyle w:val="Hyperlink"/>
            <w:noProof/>
          </w:rPr>
          <w:t>Fig. 8</w:t>
        </w:r>
        <w:r w:rsidR="00644F3E" w:rsidRPr="00216965">
          <w:rPr>
            <w:rStyle w:val="Hyperlink"/>
            <w:noProof/>
          </w:rPr>
          <w:noBreakHyphen/>
          <w:t>7 Correlation matrix for the Zn fractions obtained after sequential extraction for each of the treatments used..</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_Toc86439408 \h </w:instrText>
        </w:r>
        <w:r w:rsidR="00644F3E" w:rsidRPr="00216965">
          <w:rPr>
            <w:noProof/>
            <w:webHidden/>
          </w:rPr>
        </w:r>
        <w:r w:rsidR="00644F3E" w:rsidRPr="00216965">
          <w:rPr>
            <w:noProof/>
            <w:webHidden/>
          </w:rPr>
          <w:fldChar w:fldCharType="separate"/>
        </w:r>
        <w:r w:rsidR="00CE6CD2">
          <w:rPr>
            <w:noProof/>
            <w:webHidden/>
          </w:rPr>
          <w:t>227</w:t>
        </w:r>
        <w:r w:rsidR="00644F3E" w:rsidRPr="00216965">
          <w:rPr>
            <w:noProof/>
            <w:webHidden/>
          </w:rPr>
          <w:fldChar w:fldCharType="end"/>
        </w:r>
      </w:hyperlink>
    </w:p>
    <w:p w14:paraId="62A001E1" w14:textId="4EF920BE"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09" w:history="1">
        <w:r w:rsidR="00644F3E" w:rsidRPr="00216965">
          <w:rPr>
            <w:rStyle w:val="Hyperlink"/>
            <w:noProof/>
          </w:rPr>
          <w:t>Fig. 8</w:t>
        </w:r>
        <w:r w:rsidR="00644F3E" w:rsidRPr="00216965">
          <w:rPr>
            <w:rStyle w:val="Hyperlink"/>
            <w:noProof/>
          </w:rPr>
          <w:noBreakHyphen/>
          <w:t xml:space="preserve">8 Phylum </w:t>
        </w:r>
        <w:r w:rsidR="00644F3E" w:rsidRPr="00216965">
          <w:rPr>
            <w:rStyle w:val="Hyperlink"/>
            <w:rFonts w:cs="Times New Roman"/>
            <w:noProof/>
          </w:rPr>
          <w:t>Proteobacteria grouped by Class that increased with the addition of compost.</w:t>
        </w:r>
        <w:r w:rsidR="00644F3E" w:rsidRPr="00216965">
          <w:rPr>
            <w:rStyle w:val="Hyperlink"/>
            <w:rFonts w:cs="Times New Roman"/>
            <w:noProof/>
            <w:lang w:val="en-US"/>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_Toc86439409 \h </w:instrText>
        </w:r>
        <w:r w:rsidR="00644F3E" w:rsidRPr="00216965">
          <w:rPr>
            <w:noProof/>
            <w:webHidden/>
          </w:rPr>
        </w:r>
        <w:r w:rsidR="00644F3E" w:rsidRPr="00216965">
          <w:rPr>
            <w:noProof/>
            <w:webHidden/>
          </w:rPr>
          <w:fldChar w:fldCharType="separate"/>
        </w:r>
        <w:r w:rsidR="00CE6CD2">
          <w:rPr>
            <w:noProof/>
            <w:webHidden/>
          </w:rPr>
          <w:t>228</w:t>
        </w:r>
        <w:r w:rsidR="00644F3E" w:rsidRPr="00216965">
          <w:rPr>
            <w:noProof/>
            <w:webHidden/>
          </w:rPr>
          <w:fldChar w:fldCharType="end"/>
        </w:r>
      </w:hyperlink>
    </w:p>
    <w:p w14:paraId="2F7508BB" w14:textId="473693E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10" w:history="1">
        <w:r w:rsidR="00644F3E" w:rsidRPr="00216965">
          <w:rPr>
            <w:rStyle w:val="Hyperlink"/>
            <w:noProof/>
          </w:rPr>
          <w:t>Fig. 8</w:t>
        </w:r>
        <w:r w:rsidR="00644F3E" w:rsidRPr="00216965">
          <w:rPr>
            <w:rStyle w:val="Hyperlink"/>
            <w:noProof/>
          </w:rPr>
          <w:noBreakHyphen/>
          <w:t xml:space="preserve">9 Phylum </w:t>
        </w:r>
        <w:r w:rsidR="00644F3E" w:rsidRPr="00216965">
          <w:rPr>
            <w:rStyle w:val="Hyperlink"/>
            <w:rFonts w:cs="Times New Roman"/>
            <w:noProof/>
          </w:rPr>
          <w:t>Proteobacteria grouped by Class that decreased with the addition of compost.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_Toc86439410 \h </w:instrText>
        </w:r>
        <w:r w:rsidR="00644F3E" w:rsidRPr="00216965">
          <w:rPr>
            <w:noProof/>
            <w:webHidden/>
          </w:rPr>
        </w:r>
        <w:r w:rsidR="00644F3E" w:rsidRPr="00216965">
          <w:rPr>
            <w:noProof/>
            <w:webHidden/>
          </w:rPr>
          <w:fldChar w:fldCharType="separate"/>
        </w:r>
        <w:r w:rsidR="00CE6CD2">
          <w:rPr>
            <w:noProof/>
            <w:webHidden/>
          </w:rPr>
          <w:t>229</w:t>
        </w:r>
        <w:r w:rsidR="00644F3E" w:rsidRPr="00216965">
          <w:rPr>
            <w:noProof/>
            <w:webHidden/>
          </w:rPr>
          <w:fldChar w:fldCharType="end"/>
        </w:r>
      </w:hyperlink>
    </w:p>
    <w:p w14:paraId="37DCA84E" w14:textId="3932528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11" w:history="1">
        <w:r w:rsidR="00644F3E" w:rsidRPr="00216965">
          <w:rPr>
            <w:rStyle w:val="Hyperlink"/>
            <w:noProof/>
          </w:rPr>
          <w:t>Fig. 8</w:t>
        </w:r>
        <w:r w:rsidR="00644F3E" w:rsidRPr="00216965">
          <w:rPr>
            <w:rStyle w:val="Hyperlink"/>
            <w:noProof/>
          </w:rPr>
          <w:noBreakHyphen/>
          <w:t xml:space="preserve">10 </w:t>
        </w:r>
        <w:r w:rsidR="00644F3E" w:rsidRPr="00216965">
          <w:rPr>
            <w:rStyle w:val="Hyperlink"/>
            <w:rFonts w:cs="Times New Roman"/>
            <w:noProof/>
          </w:rPr>
          <w:t>Firmicutes grouped by Class that increased with the addition of compost.</w:t>
        </w:r>
        <w:r w:rsidR="00644F3E" w:rsidRPr="00216965">
          <w:rPr>
            <w:rStyle w:val="Hyperlink"/>
            <w:rFonts w:cs="Times New Roman"/>
            <w:noProof/>
            <w:lang w:val="en-US"/>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_Toc86439411 \h </w:instrText>
        </w:r>
        <w:r w:rsidR="00644F3E" w:rsidRPr="00216965">
          <w:rPr>
            <w:noProof/>
            <w:webHidden/>
          </w:rPr>
        </w:r>
        <w:r w:rsidR="00644F3E" w:rsidRPr="00216965">
          <w:rPr>
            <w:noProof/>
            <w:webHidden/>
          </w:rPr>
          <w:fldChar w:fldCharType="separate"/>
        </w:r>
        <w:r w:rsidR="00CE6CD2">
          <w:rPr>
            <w:noProof/>
            <w:webHidden/>
          </w:rPr>
          <w:t>230</w:t>
        </w:r>
        <w:r w:rsidR="00644F3E" w:rsidRPr="00216965">
          <w:rPr>
            <w:noProof/>
            <w:webHidden/>
          </w:rPr>
          <w:fldChar w:fldCharType="end"/>
        </w:r>
      </w:hyperlink>
    </w:p>
    <w:p w14:paraId="27317EEC" w14:textId="4FE1DBF9"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12" w:history="1">
        <w:r w:rsidR="00644F3E" w:rsidRPr="00216965">
          <w:rPr>
            <w:rStyle w:val="Hyperlink"/>
            <w:noProof/>
          </w:rPr>
          <w:t>Fig. 8</w:t>
        </w:r>
        <w:r w:rsidR="00644F3E" w:rsidRPr="00216965">
          <w:rPr>
            <w:rStyle w:val="Hyperlink"/>
            <w:noProof/>
          </w:rPr>
          <w:noBreakHyphen/>
          <w:t xml:space="preserve">11 Phylum Actinobacteriota </w:t>
        </w:r>
        <w:r w:rsidR="00644F3E" w:rsidRPr="00216965">
          <w:rPr>
            <w:rStyle w:val="Hyperlink"/>
            <w:rFonts w:cs="Times New Roman"/>
            <w:noProof/>
          </w:rPr>
          <w:t>grouped by Class that increased with the addition of compost.</w:t>
        </w:r>
        <w:r w:rsidR="00644F3E" w:rsidRPr="00216965">
          <w:rPr>
            <w:rStyle w:val="Hyperlink"/>
            <w:rFonts w:cs="Times New Roman"/>
            <w:noProof/>
            <w:lang w:val="en-US"/>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_Toc86439412 \h </w:instrText>
        </w:r>
        <w:r w:rsidR="00644F3E" w:rsidRPr="00216965">
          <w:rPr>
            <w:noProof/>
            <w:webHidden/>
          </w:rPr>
        </w:r>
        <w:r w:rsidR="00644F3E" w:rsidRPr="00216965">
          <w:rPr>
            <w:noProof/>
            <w:webHidden/>
          </w:rPr>
          <w:fldChar w:fldCharType="separate"/>
        </w:r>
        <w:r w:rsidR="00CE6CD2">
          <w:rPr>
            <w:noProof/>
            <w:webHidden/>
          </w:rPr>
          <w:t>231</w:t>
        </w:r>
        <w:r w:rsidR="00644F3E" w:rsidRPr="00216965">
          <w:rPr>
            <w:noProof/>
            <w:webHidden/>
          </w:rPr>
          <w:fldChar w:fldCharType="end"/>
        </w:r>
      </w:hyperlink>
    </w:p>
    <w:p w14:paraId="30DEDB42" w14:textId="79253CDA"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13" w:history="1">
        <w:r w:rsidR="00644F3E" w:rsidRPr="00216965">
          <w:rPr>
            <w:rStyle w:val="Hyperlink"/>
            <w:noProof/>
          </w:rPr>
          <w:t>Fig. 8</w:t>
        </w:r>
        <w:r w:rsidR="00644F3E" w:rsidRPr="00216965">
          <w:rPr>
            <w:rStyle w:val="Hyperlink"/>
            <w:noProof/>
          </w:rPr>
          <w:noBreakHyphen/>
          <w:t xml:space="preserve">12 Phylum </w:t>
        </w:r>
        <w:r w:rsidR="00644F3E" w:rsidRPr="00216965">
          <w:rPr>
            <w:rStyle w:val="Hyperlink"/>
            <w:rFonts w:cs="Times New Roman"/>
            <w:noProof/>
          </w:rPr>
          <w:t>Actinobacteriota grouped by Class that decreased with the addition of compost.</w:t>
        </w:r>
        <w:r w:rsidR="00644F3E" w:rsidRPr="00216965">
          <w:rPr>
            <w:rStyle w:val="Hyperlink"/>
            <w:rFonts w:cs="Times New Roman"/>
            <w:noProof/>
            <w:lang w:val="en-US"/>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_Toc86439413 \h </w:instrText>
        </w:r>
        <w:r w:rsidR="00644F3E" w:rsidRPr="00216965">
          <w:rPr>
            <w:noProof/>
            <w:webHidden/>
          </w:rPr>
        </w:r>
        <w:r w:rsidR="00644F3E" w:rsidRPr="00216965">
          <w:rPr>
            <w:noProof/>
            <w:webHidden/>
          </w:rPr>
          <w:fldChar w:fldCharType="separate"/>
        </w:r>
        <w:r w:rsidR="00CE6CD2">
          <w:rPr>
            <w:noProof/>
            <w:webHidden/>
          </w:rPr>
          <w:t>232</w:t>
        </w:r>
        <w:r w:rsidR="00644F3E" w:rsidRPr="00216965">
          <w:rPr>
            <w:noProof/>
            <w:webHidden/>
          </w:rPr>
          <w:fldChar w:fldCharType="end"/>
        </w:r>
      </w:hyperlink>
    </w:p>
    <w:p w14:paraId="708E3D4E" w14:textId="6B96B976" w:rsidR="00644F3E"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39414" w:history="1">
        <w:r w:rsidR="00644F3E" w:rsidRPr="00216965">
          <w:rPr>
            <w:rStyle w:val="Hyperlink"/>
            <w:noProof/>
          </w:rPr>
          <w:t>Fig. 8</w:t>
        </w:r>
        <w:r w:rsidR="00644F3E" w:rsidRPr="00216965">
          <w:rPr>
            <w:rStyle w:val="Hyperlink"/>
            <w:noProof/>
          </w:rPr>
          <w:noBreakHyphen/>
          <w:t xml:space="preserve">13 Phylum </w:t>
        </w:r>
        <w:r w:rsidR="00644F3E" w:rsidRPr="00216965">
          <w:rPr>
            <w:rStyle w:val="Hyperlink"/>
            <w:rFonts w:cs="Times New Roman"/>
            <w:noProof/>
          </w:rPr>
          <w:t>Acidobacteriota grouped by Class that decreased with the addition of compost.</w:t>
        </w:r>
        <w:r w:rsidR="00644F3E" w:rsidRPr="00216965">
          <w:rPr>
            <w:rStyle w:val="Hyperlink"/>
            <w:rFonts w:cs="Times New Roman"/>
            <w:noProof/>
            <w:lang w:val="en-US"/>
          </w:rPr>
          <w:t>.</w:t>
        </w:r>
        <w:r w:rsidR="00644F3E" w:rsidRPr="00216965">
          <w:rPr>
            <w:noProof/>
            <w:webHidden/>
          </w:rPr>
          <w:tab/>
        </w:r>
        <w:r w:rsidR="00644F3E" w:rsidRPr="00216965">
          <w:rPr>
            <w:noProof/>
            <w:webHidden/>
          </w:rPr>
          <w:fldChar w:fldCharType="begin"/>
        </w:r>
        <w:r w:rsidR="00644F3E" w:rsidRPr="00216965">
          <w:rPr>
            <w:noProof/>
            <w:webHidden/>
          </w:rPr>
          <w:instrText xml:space="preserve"> PAGEREF _Toc86439414 \h </w:instrText>
        </w:r>
        <w:r w:rsidR="00644F3E" w:rsidRPr="00216965">
          <w:rPr>
            <w:noProof/>
            <w:webHidden/>
          </w:rPr>
        </w:r>
        <w:r w:rsidR="00644F3E" w:rsidRPr="00216965">
          <w:rPr>
            <w:noProof/>
            <w:webHidden/>
          </w:rPr>
          <w:fldChar w:fldCharType="separate"/>
        </w:r>
        <w:r w:rsidR="00CE6CD2">
          <w:rPr>
            <w:noProof/>
            <w:webHidden/>
          </w:rPr>
          <w:t>233</w:t>
        </w:r>
        <w:r w:rsidR="00644F3E" w:rsidRPr="00216965">
          <w:rPr>
            <w:noProof/>
            <w:webHidden/>
          </w:rPr>
          <w:fldChar w:fldCharType="end"/>
        </w:r>
      </w:hyperlink>
    </w:p>
    <w:p w14:paraId="47C8BEEB" w14:textId="1BD2BA5F" w:rsidR="00644F3E" w:rsidRPr="00216965" w:rsidRDefault="00644F3E" w:rsidP="008A33DA">
      <w:pPr>
        <w:autoSpaceDE w:val="0"/>
        <w:autoSpaceDN w:val="0"/>
        <w:adjustRightInd w:val="0"/>
        <w:spacing w:after="0" w:line="240" w:lineRule="auto"/>
        <w:rPr>
          <w:rFonts w:cs="Times New Roman"/>
        </w:rPr>
      </w:pPr>
      <w:r w:rsidRPr="00216965">
        <w:rPr>
          <w:rFonts w:cs="Times New Roman"/>
        </w:rPr>
        <w:fldChar w:fldCharType="end"/>
      </w:r>
    </w:p>
    <w:p w14:paraId="7B994F46" w14:textId="77777777" w:rsidR="00644F3E" w:rsidRPr="00216965" w:rsidRDefault="00644F3E" w:rsidP="008A33DA">
      <w:pPr>
        <w:rPr>
          <w:sz w:val="40"/>
          <w:szCs w:val="36"/>
        </w:rPr>
      </w:pPr>
    </w:p>
    <w:p w14:paraId="1932E80E" w14:textId="77777777" w:rsidR="00644F3E" w:rsidRPr="00216965" w:rsidRDefault="00644F3E" w:rsidP="008A33DA">
      <w:pPr>
        <w:rPr>
          <w:sz w:val="40"/>
          <w:szCs w:val="36"/>
        </w:rPr>
      </w:pPr>
    </w:p>
    <w:p w14:paraId="1BFB9C98" w14:textId="77777777" w:rsidR="00644F3E" w:rsidRPr="00216965" w:rsidRDefault="00644F3E" w:rsidP="008A33DA">
      <w:pPr>
        <w:rPr>
          <w:sz w:val="40"/>
          <w:szCs w:val="36"/>
        </w:rPr>
      </w:pPr>
    </w:p>
    <w:p w14:paraId="5B811995" w14:textId="77777777" w:rsidR="00644F3E" w:rsidRPr="00216965" w:rsidRDefault="00644F3E" w:rsidP="008A33DA">
      <w:pPr>
        <w:rPr>
          <w:sz w:val="40"/>
          <w:szCs w:val="36"/>
        </w:rPr>
      </w:pPr>
    </w:p>
    <w:p w14:paraId="00D77A7B" w14:textId="77777777" w:rsidR="00644F3E" w:rsidRPr="00216965" w:rsidRDefault="00644F3E" w:rsidP="008A33DA">
      <w:pPr>
        <w:rPr>
          <w:sz w:val="40"/>
          <w:szCs w:val="36"/>
        </w:rPr>
      </w:pPr>
    </w:p>
    <w:p w14:paraId="5A897C39" w14:textId="77777777" w:rsidR="00644F3E" w:rsidRPr="00216965" w:rsidRDefault="00644F3E" w:rsidP="008A33DA">
      <w:pPr>
        <w:rPr>
          <w:sz w:val="40"/>
          <w:szCs w:val="36"/>
        </w:rPr>
      </w:pPr>
    </w:p>
    <w:p w14:paraId="3C48797C" w14:textId="77777777" w:rsidR="00644F3E" w:rsidRPr="00216965" w:rsidRDefault="00644F3E" w:rsidP="008A33DA">
      <w:pPr>
        <w:rPr>
          <w:sz w:val="40"/>
          <w:szCs w:val="36"/>
        </w:rPr>
      </w:pPr>
    </w:p>
    <w:p w14:paraId="3C74B549" w14:textId="693DD746" w:rsidR="00644F3E" w:rsidRPr="00216965" w:rsidRDefault="00325900" w:rsidP="008A33DA">
      <w:pPr>
        <w:pStyle w:val="Heading1"/>
        <w:numPr>
          <w:ilvl w:val="0"/>
          <w:numId w:val="0"/>
        </w:numPr>
        <w:rPr>
          <w:sz w:val="44"/>
          <w:szCs w:val="44"/>
        </w:rPr>
      </w:pPr>
      <w:bookmarkStart w:id="5" w:name="_Toc86504615"/>
      <w:r w:rsidRPr="00216965">
        <w:rPr>
          <w:sz w:val="44"/>
          <w:szCs w:val="44"/>
        </w:rPr>
        <w:lastRenderedPageBreak/>
        <w:t>List of Tables</w:t>
      </w:r>
      <w:bookmarkEnd w:id="5"/>
    </w:p>
    <w:p w14:paraId="7F70C37C" w14:textId="3638A166" w:rsidR="00325900" w:rsidRPr="00216965" w:rsidRDefault="00325900" w:rsidP="008A33DA">
      <w:pPr>
        <w:pStyle w:val="TableofFigures"/>
        <w:tabs>
          <w:tab w:val="right" w:leader="dot" w:pos="8494"/>
        </w:tabs>
        <w:spacing w:before="120" w:after="120"/>
        <w:rPr>
          <w:rFonts w:asciiTheme="minorHAnsi" w:eastAsiaTheme="minorEastAsia" w:hAnsiTheme="minorHAnsi"/>
          <w:noProof/>
          <w:sz w:val="22"/>
          <w:lang w:eastAsia="en-GB"/>
        </w:rPr>
      </w:pPr>
      <w:r w:rsidRPr="00216965">
        <w:rPr>
          <w:sz w:val="40"/>
          <w:szCs w:val="36"/>
        </w:rPr>
        <w:fldChar w:fldCharType="begin"/>
      </w:r>
      <w:r w:rsidRPr="00216965">
        <w:rPr>
          <w:sz w:val="40"/>
          <w:szCs w:val="36"/>
        </w:rPr>
        <w:instrText xml:space="preserve"> TOC \h \z \c "Table" </w:instrText>
      </w:r>
      <w:r w:rsidRPr="00216965">
        <w:rPr>
          <w:sz w:val="40"/>
          <w:szCs w:val="36"/>
        </w:rPr>
        <w:fldChar w:fldCharType="separate"/>
      </w:r>
      <w:hyperlink w:anchor="_Toc86440357" w:history="1">
        <w:r w:rsidRPr="00216965">
          <w:rPr>
            <w:rStyle w:val="Hyperlink"/>
            <w:noProof/>
          </w:rPr>
          <w:t>Table 2</w:t>
        </w:r>
        <w:r w:rsidRPr="00216965">
          <w:rPr>
            <w:rStyle w:val="Hyperlink"/>
            <w:noProof/>
          </w:rPr>
          <w:noBreakHyphen/>
          <w:t>1</w:t>
        </w:r>
        <w:r w:rsidR="007E2C08" w:rsidRPr="00216965">
          <w:rPr>
            <w:noProof/>
          </w:rPr>
          <w:t xml:space="preserve"> </w:t>
        </w:r>
        <w:r w:rsidR="007E2C08" w:rsidRPr="00216965">
          <w:rPr>
            <w:rStyle w:val="Hyperlink"/>
            <w:noProof/>
          </w:rPr>
          <w:t>Examples of heavy metal concentrations reported for different land uses around the world.</w:t>
        </w:r>
        <w:r w:rsidRPr="00216965">
          <w:rPr>
            <w:rStyle w:val="Hyperlink"/>
            <w:noProof/>
          </w:rPr>
          <w:t>.</w:t>
        </w:r>
        <w:r w:rsidRPr="00216965">
          <w:rPr>
            <w:noProof/>
            <w:webHidden/>
          </w:rPr>
          <w:tab/>
        </w:r>
        <w:r w:rsidRPr="00216965">
          <w:rPr>
            <w:noProof/>
            <w:webHidden/>
          </w:rPr>
          <w:fldChar w:fldCharType="begin"/>
        </w:r>
        <w:r w:rsidRPr="00216965">
          <w:rPr>
            <w:noProof/>
            <w:webHidden/>
          </w:rPr>
          <w:instrText xml:space="preserve"> PAGEREF _Toc86440357 \h </w:instrText>
        </w:r>
        <w:r w:rsidRPr="00216965">
          <w:rPr>
            <w:noProof/>
            <w:webHidden/>
          </w:rPr>
        </w:r>
        <w:r w:rsidRPr="00216965">
          <w:rPr>
            <w:noProof/>
            <w:webHidden/>
          </w:rPr>
          <w:fldChar w:fldCharType="separate"/>
        </w:r>
        <w:r w:rsidR="00CE6CD2">
          <w:rPr>
            <w:noProof/>
            <w:webHidden/>
          </w:rPr>
          <w:t>8</w:t>
        </w:r>
        <w:r w:rsidRPr="00216965">
          <w:rPr>
            <w:noProof/>
            <w:webHidden/>
          </w:rPr>
          <w:fldChar w:fldCharType="end"/>
        </w:r>
      </w:hyperlink>
    </w:p>
    <w:p w14:paraId="240869DA" w14:textId="37CEDE4A"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58" w:history="1">
        <w:r w:rsidR="00325900" w:rsidRPr="00216965">
          <w:rPr>
            <w:rStyle w:val="Hyperlink"/>
            <w:noProof/>
          </w:rPr>
          <w:t>Table 2</w:t>
        </w:r>
        <w:r w:rsidR="00325900" w:rsidRPr="00216965">
          <w:rPr>
            <w:rStyle w:val="Hyperlink"/>
            <w:noProof/>
          </w:rPr>
          <w:noBreakHyphen/>
          <w:t xml:space="preserve">2 </w:t>
        </w:r>
        <w:r w:rsidR="00325900" w:rsidRPr="00216965">
          <w:rPr>
            <w:rStyle w:val="Hyperlink"/>
            <w:rFonts w:eastAsia="Times New Roman" w:cs="Times New Roman"/>
            <w:noProof/>
          </w:rPr>
          <w:t>Concentration ranges of heavy metals in plants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_Toc86440358 \h </w:instrText>
        </w:r>
        <w:r w:rsidR="00325900" w:rsidRPr="00216965">
          <w:rPr>
            <w:noProof/>
            <w:webHidden/>
          </w:rPr>
        </w:r>
        <w:r w:rsidR="00325900" w:rsidRPr="00216965">
          <w:rPr>
            <w:noProof/>
            <w:webHidden/>
          </w:rPr>
          <w:fldChar w:fldCharType="separate"/>
        </w:r>
        <w:r w:rsidR="00CE6CD2">
          <w:rPr>
            <w:noProof/>
            <w:webHidden/>
          </w:rPr>
          <w:t>9</w:t>
        </w:r>
        <w:r w:rsidR="00325900" w:rsidRPr="00216965">
          <w:rPr>
            <w:noProof/>
            <w:webHidden/>
          </w:rPr>
          <w:fldChar w:fldCharType="end"/>
        </w:r>
      </w:hyperlink>
    </w:p>
    <w:p w14:paraId="71D1A922" w14:textId="269C4032"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59" w:history="1">
        <w:r w:rsidR="00325900" w:rsidRPr="00216965">
          <w:rPr>
            <w:rStyle w:val="Hyperlink"/>
            <w:noProof/>
          </w:rPr>
          <w:t>Table 2</w:t>
        </w:r>
        <w:r w:rsidR="00325900" w:rsidRPr="00216965">
          <w:rPr>
            <w:rStyle w:val="Hyperlink"/>
            <w:noProof/>
          </w:rPr>
          <w:noBreakHyphen/>
          <w:t xml:space="preserve">3 </w:t>
        </w:r>
        <w:r w:rsidR="00325900" w:rsidRPr="00216965">
          <w:rPr>
            <w:rStyle w:val="Hyperlink"/>
            <w:noProof/>
            <w:lang w:val="en-US"/>
          </w:rPr>
          <w:t>Range of normal concentration of heavy metal concentration in soils and UK guideline values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_Toc86440359 \h </w:instrText>
        </w:r>
        <w:r w:rsidR="00325900" w:rsidRPr="00216965">
          <w:rPr>
            <w:noProof/>
            <w:webHidden/>
          </w:rPr>
        </w:r>
        <w:r w:rsidR="00325900" w:rsidRPr="00216965">
          <w:rPr>
            <w:noProof/>
            <w:webHidden/>
          </w:rPr>
          <w:fldChar w:fldCharType="separate"/>
        </w:r>
        <w:r w:rsidR="00CE6CD2">
          <w:rPr>
            <w:noProof/>
            <w:webHidden/>
          </w:rPr>
          <w:t>12</w:t>
        </w:r>
        <w:r w:rsidR="00325900" w:rsidRPr="00216965">
          <w:rPr>
            <w:noProof/>
            <w:webHidden/>
          </w:rPr>
          <w:fldChar w:fldCharType="end"/>
        </w:r>
      </w:hyperlink>
    </w:p>
    <w:p w14:paraId="13526E7F" w14:textId="1C34C0FE"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0" w:history="1">
        <w:r w:rsidR="00325900" w:rsidRPr="00216965">
          <w:rPr>
            <w:rStyle w:val="Hyperlink"/>
            <w:noProof/>
          </w:rPr>
          <w:t>Table 2</w:t>
        </w:r>
        <w:r w:rsidR="00325900" w:rsidRPr="00216965">
          <w:rPr>
            <w:rStyle w:val="Hyperlink"/>
            <w:noProof/>
          </w:rPr>
          <w:noBreakHyphen/>
          <w:t xml:space="preserve">4 </w:t>
        </w:r>
        <w:r w:rsidR="00325900" w:rsidRPr="00216965">
          <w:rPr>
            <w:rStyle w:val="Hyperlink"/>
            <w:rFonts w:eastAsia="Times New Roman" w:cs="Times New Roman"/>
            <w:noProof/>
          </w:rPr>
          <w:t>Toxic trace element concentrations in soils and soil solution.</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_Toc86440360 \h </w:instrText>
        </w:r>
        <w:r w:rsidR="00325900" w:rsidRPr="00216965">
          <w:rPr>
            <w:noProof/>
            <w:webHidden/>
          </w:rPr>
        </w:r>
        <w:r w:rsidR="00325900" w:rsidRPr="00216965">
          <w:rPr>
            <w:noProof/>
            <w:webHidden/>
          </w:rPr>
          <w:fldChar w:fldCharType="separate"/>
        </w:r>
        <w:r w:rsidR="00CE6CD2">
          <w:rPr>
            <w:noProof/>
            <w:webHidden/>
          </w:rPr>
          <w:t>16</w:t>
        </w:r>
        <w:r w:rsidR="00325900" w:rsidRPr="00216965">
          <w:rPr>
            <w:noProof/>
            <w:webHidden/>
          </w:rPr>
          <w:fldChar w:fldCharType="end"/>
        </w:r>
      </w:hyperlink>
    </w:p>
    <w:p w14:paraId="5C65BC67" w14:textId="1D54594F"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1" w:history="1">
        <w:r w:rsidR="00325900" w:rsidRPr="00216965">
          <w:rPr>
            <w:rStyle w:val="Hyperlink"/>
            <w:noProof/>
          </w:rPr>
          <w:t>Table 2</w:t>
        </w:r>
        <w:r w:rsidR="00325900" w:rsidRPr="00216965">
          <w:rPr>
            <w:rStyle w:val="Hyperlink"/>
            <w:noProof/>
          </w:rPr>
          <w:noBreakHyphen/>
          <w:t xml:space="preserve">5 </w:t>
        </w:r>
        <w:r w:rsidR="00325900" w:rsidRPr="00216965">
          <w:rPr>
            <w:rStyle w:val="Hyperlink"/>
            <w:rFonts w:eastAsia="Times New Roman" w:cs="Times New Roman"/>
            <w:noProof/>
          </w:rPr>
          <w:t>Physicochemical properties and structural characteristics of biochar derived from different source materials produced in a similar range of temperatures.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_Toc86440361 \h </w:instrText>
        </w:r>
        <w:r w:rsidR="00325900" w:rsidRPr="00216965">
          <w:rPr>
            <w:noProof/>
            <w:webHidden/>
          </w:rPr>
        </w:r>
        <w:r w:rsidR="00325900" w:rsidRPr="00216965">
          <w:rPr>
            <w:noProof/>
            <w:webHidden/>
          </w:rPr>
          <w:fldChar w:fldCharType="separate"/>
        </w:r>
        <w:r w:rsidR="00CE6CD2">
          <w:rPr>
            <w:noProof/>
            <w:webHidden/>
          </w:rPr>
          <w:t>21</w:t>
        </w:r>
        <w:r w:rsidR="00325900" w:rsidRPr="00216965">
          <w:rPr>
            <w:noProof/>
            <w:webHidden/>
          </w:rPr>
          <w:fldChar w:fldCharType="end"/>
        </w:r>
      </w:hyperlink>
    </w:p>
    <w:p w14:paraId="45F99316" w14:textId="55C95889"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2" w:history="1">
        <w:r w:rsidR="00325900" w:rsidRPr="00216965">
          <w:rPr>
            <w:rStyle w:val="Hyperlink"/>
            <w:noProof/>
          </w:rPr>
          <w:t>Table 2</w:t>
        </w:r>
        <w:r w:rsidR="00325900" w:rsidRPr="00216965">
          <w:rPr>
            <w:rStyle w:val="Hyperlink"/>
            <w:noProof/>
          </w:rPr>
          <w:noBreakHyphen/>
          <w:t xml:space="preserve">6 </w:t>
        </w:r>
        <w:r w:rsidR="00325900" w:rsidRPr="00216965">
          <w:rPr>
            <w:rStyle w:val="Hyperlink"/>
            <w:rFonts w:eastAsia="Times New Roman" w:cs="Times New Roman"/>
            <w:noProof/>
          </w:rPr>
          <w:t>Overview of studies using biochar for the remediation of heavy metal-polluted soils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_Toc86440362 \h </w:instrText>
        </w:r>
        <w:r w:rsidR="00325900" w:rsidRPr="00216965">
          <w:rPr>
            <w:noProof/>
            <w:webHidden/>
          </w:rPr>
        </w:r>
        <w:r w:rsidR="00325900" w:rsidRPr="00216965">
          <w:rPr>
            <w:noProof/>
            <w:webHidden/>
          </w:rPr>
          <w:fldChar w:fldCharType="separate"/>
        </w:r>
        <w:r w:rsidR="00CE6CD2">
          <w:rPr>
            <w:noProof/>
            <w:webHidden/>
          </w:rPr>
          <w:t>25</w:t>
        </w:r>
        <w:r w:rsidR="00325900" w:rsidRPr="00216965">
          <w:rPr>
            <w:noProof/>
            <w:webHidden/>
          </w:rPr>
          <w:fldChar w:fldCharType="end"/>
        </w:r>
      </w:hyperlink>
    </w:p>
    <w:p w14:paraId="128C7A67" w14:textId="40D990E0"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3" w:history="1">
        <w:r w:rsidR="00325900" w:rsidRPr="00216965">
          <w:rPr>
            <w:rStyle w:val="Hyperlink"/>
            <w:noProof/>
          </w:rPr>
          <w:t>Table 2</w:t>
        </w:r>
        <w:r w:rsidR="00325900" w:rsidRPr="00216965">
          <w:rPr>
            <w:rStyle w:val="Hyperlink"/>
            <w:noProof/>
          </w:rPr>
          <w:noBreakHyphen/>
          <w:t xml:space="preserve">7 </w:t>
        </w:r>
        <w:r w:rsidR="00325900" w:rsidRPr="00216965">
          <w:rPr>
            <w:rStyle w:val="Hyperlink"/>
            <w:rFonts w:eastAsia="Times New Roman" w:cs="Times New Roman"/>
            <w:noProof/>
          </w:rPr>
          <w:t>Current approaches used for monitoring soil toxicity after biochar application based on living organisms response</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_Toc86440363 \h </w:instrText>
        </w:r>
        <w:r w:rsidR="00325900" w:rsidRPr="00216965">
          <w:rPr>
            <w:noProof/>
            <w:webHidden/>
          </w:rPr>
        </w:r>
        <w:r w:rsidR="00325900" w:rsidRPr="00216965">
          <w:rPr>
            <w:noProof/>
            <w:webHidden/>
          </w:rPr>
          <w:fldChar w:fldCharType="separate"/>
        </w:r>
        <w:r w:rsidR="00CE6CD2">
          <w:rPr>
            <w:noProof/>
            <w:webHidden/>
          </w:rPr>
          <w:t>35</w:t>
        </w:r>
        <w:r w:rsidR="00325900" w:rsidRPr="00216965">
          <w:rPr>
            <w:noProof/>
            <w:webHidden/>
          </w:rPr>
          <w:fldChar w:fldCharType="end"/>
        </w:r>
      </w:hyperlink>
    </w:p>
    <w:p w14:paraId="324078DE" w14:textId="21F37795"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4" w:history="1">
        <w:r w:rsidR="00325900" w:rsidRPr="00216965">
          <w:rPr>
            <w:rStyle w:val="Hyperlink"/>
            <w:noProof/>
          </w:rPr>
          <w:t>Table 3</w:t>
        </w:r>
        <w:r w:rsidR="00325900" w:rsidRPr="00216965">
          <w:rPr>
            <w:rStyle w:val="Hyperlink"/>
            <w:noProof/>
          </w:rPr>
          <w:noBreakHyphen/>
          <w:t xml:space="preserve">1 </w:t>
        </w:r>
        <w:r w:rsidR="00325900" w:rsidRPr="00216965">
          <w:rPr>
            <w:rStyle w:val="Hyperlink"/>
            <w:rFonts w:eastAsia="Times New Roman" w:cs="Times New Roman"/>
            <w:noProof/>
          </w:rPr>
          <w:t>Biochar properties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_Toc86440364 \h </w:instrText>
        </w:r>
        <w:r w:rsidR="00325900" w:rsidRPr="00216965">
          <w:rPr>
            <w:noProof/>
            <w:webHidden/>
          </w:rPr>
        </w:r>
        <w:r w:rsidR="00325900" w:rsidRPr="00216965">
          <w:rPr>
            <w:noProof/>
            <w:webHidden/>
          </w:rPr>
          <w:fldChar w:fldCharType="separate"/>
        </w:r>
        <w:r w:rsidR="00CE6CD2">
          <w:rPr>
            <w:noProof/>
            <w:webHidden/>
          </w:rPr>
          <w:t>42</w:t>
        </w:r>
        <w:r w:rsidR="00325900" w:rsidRPr="00216965">
          <w:rPr>
            <w:noProof/>
            <w:webHidden/>
          </w:rPr>
          <w:fldChar w:fldCharType="end"/>
        </w:r>
      </w:hyperlink>
    </w:p>
    <w:p w14:paraId="6E69A002" w14:textId="02D81A30"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5" w:history="1">
        <w:r w:rsidR="00325900" w:rsidRPr="00216965">
          <w:rPr>
            <w:rStyle w:val="Hyperlink"/>
            <w:noProof/>
          </w:rPr>
          <w:t>Table 3</w:t>
        </w:r>
        <w:r w:rsidR="00325900" w:rsidRPr="00216965">
          <w:rPr>
            <w:rStyle w:val="Hyperlink"/>
            <w:noProof/>
          </w:rPr>
          <w:noBreakHyphen/>
          <w:t>2 AIC values for kinetic and adsorption isotherm models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_Toc86440365 \h </w:instrText>
        </w:r>
        <w:r w:rsidR="00325900" w:rsidRPr="00216965">
          <w:rPr>
            <w:noProof/>
            <w:webHidden/>
          </w:rPr>
        </w:r>
        <w:r w:rsidR="00325900" w:rsidRPr="00216965">
          <w:rPr>
            <w:noProof/>
            <w:webHidden/>
          </w:rPr>
          <w:fldChar w:fldCharType="separate"/>
        </w:r>
        <w:r w:rsidR="00CE6CD2">
          <w:rPr>
            <w:noProof/>
            <w:webHidden/>
          </w:rPr>
          <w:t>49</w:t>
        </w:r>
        <w:r w:rsidR="00325900" w:rsidRPr="00216965">
          <w:rPr>
            <w:noProof/>
            <w:webHidden/>
          </w:rPr>
          <w:fldChar w:fldCharType="end"/>
        </w:r>
      </w:hyperlink>
    </w:p>
    <w:p w14:paraId="652C51E1" w14:textId="7592A39A"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6" w:history="1">
        <w:r w:rsidR="00325900" w:rsidRPr="00216965">
          <w:rPr>
            <w:rStyle w:val="Hyperlink"/>
            <w:noProof/>
          </w:rPr>
          <w:t>Table 3</w:t>
        </w:r>
        <w:r w:rsidR="00325900" w:rsidRPr="00216965">
          <w:rPr>
            <w:rStyle w:val="Hyperlink"/>
            <w:noProof/>
          </w:rPr>
          <w:noBreakHyphen/>
          <w:t>3 Second order kinetic model and Hill sorption model parameters for the adsorption of Cd, Pb and Zn onto biochars.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_Toc86440366 \h </w:instrText>
        </w:r>
        <w:r w:rsidR="00325900" w:rsidRPr="00216965">
          <w:rPr>
            <w:noProof/>
            <w:webHidden/>
          </w:rPr>
        </w:r>
        <w:r w:rsidR="00325900" w:rsidRPr="00216965">
          <w:rPr>
            <w:noProof/>
            <w:webHidden/>
          </w:rPr>
          <w:fldChar w:fldCharType="separate"/>
        </w:r>
        <w:r w:rsidR="00CE6CD2">
          <w:rPr>
            <w:noProof/>
            <w:webHidden/>
          </w:rPr>
          <w:t>50</w:t>
        </w:r>
        <w:r w:rsidR="00325900" w:rsidRPr="00216965">
          <w:rPr>
            <w:noProof/>
            <w:webHidden/>
          </w:rPr>
          <w:fldChar w:fldCharType="end"/>
        </w:r>
      </w:hyperlink>
    </w:p>
    <w:p w14:paraId="704E06F7" w14:textId="5EB051C2"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7" w:history="1">
        <w:r w:rsidR="00325900" w:rsidRPr="00216965">
          <w:rPr>
            <w:rStyle w:val="Hyperlink"/>
            <w:noProof/>
          </w:rPr>
          <w:t>Table 3</w:t>
        </w:r>
        <w:r w:rsidR="00325900" w:rsidRPr="00216965">
          <w:rPr>
            <w:rStyle w:val="Hyperlink"/>
            <w:noProof/>
          </w:rPr>
          <w:noBreakHyphen/>
          <w:t>4 Linear models which describe biochar sorption capacity (qm) for Pb, Zn and Cd.</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_Toc86440367 \h </w:instrText>
        </w:r>
        <w:r w:rsidR="00325900" w:rsidRPr="00216965">
          <w:rPr>
            <w:noProof/>
            <w:webHidden/>
          </w:rPr>
        </w:r>
        <w:r w:rsidR="00325900" w:rsidRPr="00216965">
          <w:rPr>
            <w:noProof/>
            <w:webHidden/>
          </w:rPr>
          <w:fldChar w:fldCharType="separate"/>
        </w:r>
        <w:r w:rsidR="00CE6CD2">
          <w:rPr>
            <w:noProof/>
            <w:webHidden/>
          </w:rPr>
          <w:t>70</w:t>
        </w:r>
        <w:r w:rsidR="00325900" w:rsidRPr="00216965">
          <w:rPr>
            <w:noProof/>
            <w:webHidden/>
          </w:rPr>
          <w:fldChar w:fldCharType="end"/>
        </w:r>
      </w:hyperlink>
    </w:p>
    <w:p w14:paraId="7C6E36F3" w14:textId="7811F827"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8" w:history="1">
        <w:r w:rsidR="00325900" w:rsidRPr="00216965">
          <w:rPr>
            <w:rStyle w:val="Hyperlink"/>
            <w:noProof/>
          </w:rPr>
          <w:t>Table 4</w:t>
        </w:r>
        <w:r w:rsidR="00325900" w:rsidRPr="00216965">
          <w:rPr>
            <w:rStyle w:val="Hyperlink"/>
            <w:noProof/>
          </w:rPr>
          <w:noBreakHyphen/>
          <w:t>1 Characteristics of soil treatments contaminated artificially with Pb, Cd and Zn and a mixture of these elements.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_Toc86440368 \h </w:instrText>
        </w:r>
        <w:r w:rsidR="00325900" w:rsidRPr="00216965">
          <w:rPr>
            <w:noProof/>
            <w:webHidden/>
          </w:rPr>
        </w:r>
        <w:r w:rsidR="00325900" w:rsidRPr="00216965">
          <w:rPr>
            <w:noProof/>
            <w:webHidden/>
          </w:rPr>
          <w:fldChar w:fldCharType="separate"/>
        </w:r>
        <w:r w:rsidR="00CE6CD2">
          <w:rPr>
            <w:noProof/>
            <w:webHidden/>
          </w:rPr>
          <w:t>80</w:t>
        </w:r>
        <w:r w:rsidR="00325900" w:rsidRPr="00216965">
          <w:rPr>
            <w:noProof/>
            <w:webHidden/>
          </w:rPr>
          <w:fldChar w:fldCharType="end"/>
        </w:r>
      </w:hyperlink>
    </w:p>
    <w:p w14:paraId="2B3F06FC" w14:textId="5E0789DB"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69" w:history="1">
        <w:r w:rsidR="00325900" w:rsidRPr="00216965">
          <w:rPr>
            <w:rStyle w:val="Hyperlink"/>
            <w:noProof/>
          </w:rPr>
          <w:t>Table 4</w:t>
        </w:r>
        <w:r w:rsidR="00325900" w:rsidRPr="00216965">
          <w:rPr>
            <w:rStyle w:val="Hyperlink"/>
            <w:noProof/>
          </w:rPr>
          <w:noBreakHyphen/>
          <w:t>2 Soil properties for the Mix-soil treatment...</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_Toc86440369 \h </w:instrText>
        </w:r>
        <w:r w:rsidR="00325900" w:rsidRPr="00216965">
          <w:rPr>
            <w:noProof/>
            <w:webHidden/>
          </w:rPr>
        </w:r>
        <w:r w:rsidR="00325900" w:rsidRPr="00216965">
          <w:rPr>
            <w:noProof/>
            <w:webHidden/>
          </w:rPr>
          <w:fldChar w:fldCharType="separate"/>
        </w:r>
        <w:r w:rsidR="00CE6CD2">
          <w:rPr>
            <w:noProof/>
            <w:webHidden/>
          </w:rPr>
          <w:t>98</w:t>
        </w:r>
        <w:r w:rsidR="00325900" w:rsidRPr="00216965">
          <w:rPr>
            <w:noProof/>
            <w:webHidden/>
          </w:rPr>
          <w:fldChar w:fldCharType="end"/>
        </w:r>
      </w:hyperlink>
    </w:p>
    <w:p w14:paraId="2BFBAB05" w14:textId="0E469AE2"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0" w:history="1">
        <w:r w:rsidR="00325900" w:rsidRPr="00216965">
          <w:rPr>
            <w:rStyle w:val="Hyperlink"/>
            <w:noProof/>
          </w:rPr>
          <w:t>Table 4</w:t>
        </w:r>
        <w:r w:rsidR="00325900" w:rsidRPr="00216965">
          <w:rPr>
            <w:rStyle w:val="Hyperlink"/>
            <w:noProof/>
          </w:rPr>
          <w:noBreakHyphen/>
          <w:t>3. Species distribution predicted for Cd, Pb and Zn present in the Mix-soil treatment according to Visual MINTEQ 3.1.</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_Toc86440370 \h </w:instrText>
        </w:r>
        <w:r w:rsidR="00325900" w:rsidRPr="00216965">
          <w:rPr>
            <w:noProof/>
            <w:webHidden/>
          </w:rPr>
        </w:r>
        <w:r w:rsidR="00325900" w:rsidRPr="00216965">
          <w:rPr>
            <w:noProof/>
            <w:webHidden/>
          </w:rPr>
          <w:fldChar w:fldCharType="separate"/>
        </w:r>
        <w:r w:rsidR="00CE6CD2">
          <w:rPr>
            <w:noProof/>
            <w:webHidden/>
          </w:rPr>
          <w:t>99</w:t>
        </w:r>
        <w:r w:rsidR="00325900" w:rsidRPr="00216965">
          <w:rPr>
            <w:noProof/>
            <w:webHidden/>
          </w:rPr>
          <w:fldChar w:fldCharType="end"/>
        </w:r>
      </w:hyperlink>
    </w:p>
    <w:p w14:paraId="70DC9E81" w14:textId="44B52A8F"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1" w:history="1">
        <w:r w:rsidR="00325900" w:rsidRPr="00216965">
          <w:rPr>
            <w:rStyle w:val="Hyperlink"/>
            <w:noProof/>
          </w:rPr>
          <w:t>Table 5</w:t>
        </w:r>
        <w:r w:rsidR="00325900" w:rsidRPr="00216965">
          <w:rPr>
            <w:rStyle w:val="Hyperlink"/>
            <w:noProof/>
          </w:rPr>
          <w:noBreakHyphen/>
          <w:t>1 Characteristics of experimental soil and biochar WSP550.</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_Toc86440371 \h </w:instrText>
        </w:r>
        <w:r w:rsidR="00325900" w:rsidRPr="00216965">
          <w:rPr>
            <w:noProof/>
            <w:webHidden/>
          </w:rPr>
        </w:r>
        <w:r w:rsidR="00325900" w:rsidRPr="00216965">
          <w:rPr>
            <w:noProof/>
            <w:webHidden/>
          </w:rPr>
          <w:fldChar w:fldCharType="separate"/>
        </w:r>
        <w:r w:rsidR="00CE6CD2">
          <w:rPr>
            <w:noProof/>
            <w:webHidden/>
          </w:rPr>
          <w:t>131</w:t>
        </w:r>
        <w:r w:rsidR="00325900" w:rsidRPr="00216965">
          <w:rPr>
            <w:noProof/>
            <w:webHidden/>
          </w:rPr>
          <w:fldChar w:fldCharType="end"/>
        </w:r>
      </w:hyperlink>
    </w:p>
    <w:p w14:paraId="5AB9A3D6" w14:textId="6C9DBE01"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2" w:history="1">
        <w:r w:rsidR="00325900" w:rsidRPr="00216965">
          <w:rPr>
            <w:rStyle w:val="Hyperlink"/>
            <w:noProof/>
          </w:rPr>
          <w:t>Table 5</w:t>
        </w:r>
        <w:r w:rsidR="00325900" w:rsidRPr="00216965">
          <w:rPr>
            <w:rStyle w:val="Hyperlink"/>
            <w:noProof/>
          </w:rPr>
          <w:noBreakHyphen/>
          <w:t>2 Three step BCR sequential extraction procedure conditions</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_Toc86440372 \h </w:instrText>
        </w:r>
        <w:r w:rsidR="00325900" w:rsidRPr="00216965">
          <w:rPr>
            <w:noProof/>
            <w:webHidden/>
          </w:rPr>
        </w:r>
        <w:r w:rsidR="00325900" w:rsidRPr="00216965">
          <w:rPr>
            <w:noProof/>
            <w:webHidden/>
          </w:rPr>
          <w:fldChar w:fldCharType="separate"/>
        </w:r>
        <w:r w:rsidR="00CE6CD2">
          <w:rPr>
            <w:noProof/>
            <w:webHidden/>
          </w:rPr>
          <w:t>134</w:t>
        </w:r>
        <w:r w:rsidR="00325900" w:rsidRPr="00216965">
          <w:rPr>
            <w:noProof/>
            <w:webHidden/>
          </w:rPr>
          <w:fldChar w:fldCharType="end"/>
        </w:r>
      </w:hyperlink>
    </w:p>
    <w:p w14:paraId="1ECF3504" w14:textId="7B43F703"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3" w:history="1">
        <w:r w:rsidR="00325900" w:rsidRPr="00216965">
          <w:rPr>
            <w:rStyle w:val="Hyperlink"/>
            <w:noProof/>
          </w:rPr>
          <w:t>Table 5</w:t>
        </w:r>
        <w:r w:rsidR="00325900" w:rsidRPr="00216965">
          <w:rPr>
            <w:rStyle w:val="Hyperlink"/>
            <w:noProof/>
          </w:rPr>
          <w:noBreakHyphen/>
          <w:t>3 Characteristics of soil treatments before outdoor incubation (time zero).</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_Toc86440373 \h </w:instrText>
        </w:r>
        <w:r w:rsidR="00325900" w:rsidRPr="00216965">
          <w:rPr>
            <w:noProof/>
            <w:webHidden/>
          </w:rPr>
        </w:r>
        <w:r w:rsidR="00325900" w:rsidRPr="00216965">
          <w:rPr>
            <w:noProof/>
            <w:webHidden/>
          </w:rPr>
          <w:fldChar w:fldCharType="separate"/>
        </w:r>
        <w:r w:rsidR="00CE6CD2">
          <w:rPr>
            <w:noProof/>
            <w:webHidden/>
          </w:rPr>
          <w:t>142</w:t>
        </w:r>
        <w:r w:rsidR="00325900" w:rsidRPr="00216965">
          <w:rPr>
            <w:noProof/>
            <w:webHidden/>
          </w:rPr>
          <w:fldChar w:fldCharType="end"/>
        </w:r>
      </w:hyperlink>
    </w:p>
    <w:p w14:paraId="0E319FFD" w14:textId="3FB18CCD"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4" w:history="1">
        <w:r w:rsidR="00325900" w:rsidRPr="00216965">
          <w:rPr>
            <w:rStyle w:val="Hyperlink"/>
            <w:noProof/>
          </w:rPr>
          <w:t>Table 5</w:t>
        </w:r>
        <w:r w:rsidR="00325900" w:rsidRPr="00216965">
          <w:rPr>
            <w:rStyle w:val="Hyperlink"/>
            <w:noProof/>
          </w:rPr>
          <w:noBreakHyphen/>
          <w:t>4  Summary of pairwise comparisons using permutational multivariate analysis of variance (PERMANOVA) between soil treatments (n=4, α=0.05)</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_Toc86440374 \h </w:instrText>
        </w:r>
        <w:r w:rsidR="00325900" w:rsidRPr="00216965">
          <w:rPr>
            <w:noProof/>
            <w:webHidden/>
          </w:rPr>
        </w:r>
        <w:r w:rsidR="00325900" w:rsidRPr="00216965">
          <w:rPr>
            <w:noProof/>
            <w:webHidden/>
          </w:rPr>
          <w:fldChar w:fldCharType="separate"/>
        </w:r>
        <w:r w:rsidR="00CE6CD2">
          <w:rPr>
            <w:noProof/>
            <w:webHidden/>
          </w:rPr>
          <w:t>155</w:t>
        </w:r>
        <w:r w:rsidR="00325900" w:rsidRPr="00216965">
          <w:rPr>
            <w:noProof/>
            <w:webHidden/>
          </w:rPr>
          <w:fldChar w:fldCharType="end"/>
        </w:r>
      </w:hyperlink>
    </w:p>
    <w:p w14:paraId="20D375F8" w14:textId="524E15AA"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5" w:history="1">
        <w:r w:rsidR="00325900" w:rsidRPr="00216965">
          <w:rPr>
            <w:rStyle w:val="Hyperlink"/>
            <w:noProof/>
          </w:rPr>
          <w:t>Table 5</w:t>
        </w:r>
        <w:r w:rsidR="00325900" w:rsidRPr="00216965">
          <w:rPr>
            <w:rStyle w:val="Hyperlink"/>
            <w:noProof/>
          </w:rPr>
          <w:noBreakHyphen/>
          <w:t>5 Properties of soil used during the secondment at BOKU.</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_Toc86440375 \h </w:instrText>
        </w:r>
        <w:r w:rsidR="00325900" w:rsidRPr="00216965">
          <w:rPr>
            <w:noProof/>
            <w:webHidden/>
          </w:rPr>
        </w:r>
        <w:r w:rsidR="00325900" w:rsidRPr="00216965">
          <w:rPr>
            <w:noProof/>
            <w:webHidden/>
          </w:rPr>
          <w:fldChar w:fldCharType="separate"/>
        </w:r>
        <w:r w:rsidR="00CE6CD2">
          <w:rPr>
            <w:noProof/>
            <w:webHidden/>
          </w:rPr>
          <w:t>164</w:t>
        </w:r>
        <w:r w:rsidR="00325900" w:rsidRPr="00216965">
          <w:rPr>
            <w:noProof/>
            <w:webHidden/>
          </w:rPr>
          <w:fldChar w:fldCharType="end"/>
        </w:r>
      </w:hyperlink>
    </w:p>
    <w:p w14:paraId="6B616263" w14:textId="24514CE0" w:rsidR="00325900" w:rsidRPr="00216965" w:rsidRDefault="00BB30F1" w:rsidP="008A33DA">
      <w:pPr>
        <w:pStyle w:val="TableofFigures"/>
        <w:tabs>
          <w:tab w:val="right" w:leader="dot" w:pos="8494"/>
        </w:tabs>
        <w:spacing w:before="120" w:after="120"/>
        <w:rPr>
          <w:rFonts w:asciiTheme="minorHAnsi" w:eastAsiaTheme="minorEastAsia" w:hAnsiTheme="minorHAnsi"/>
          <w:noProof/>
          <w:sz w:val="22"/>
          <w:lang w:eastAsia="en-GB"/>
        </w:rPr>
      </w:pPr>
      <w:hyperlink w:anchor="_Toc86440376" w:history="1">
        <w:r w:rsidR="00325900" w:rsidRPr="00216965">
          <w:rPr>
            <w:rStyle w:val="Hyperlink"/>
            <w:noProof/>
          </w:rPr>
          <w:t>Table 5</w:t>
        </w:r>
        <w:r w:rsidR="00325900" w:rsidRPr="00216965">
          <w:rPr>
            <w:rStyle w:val="Hyperlink"/>
            <w:noProof/>
          </w:rPr>
          <w:noBreakHyphen/>
          <w:t>6 Coefficients from the fit of CO</w:t>
        </w:r>
        <w:r w:rsidR="00325900" w:rsidRPr="00216965">
          <w:rPr>
            <w:rStyle w:val="Hyperlink"/>
            <w:noProof/>
            <w:vertAlign w:val="subscript"/>
          </w:rPr>
          <w:t xml:space="preserve">2 </w:t>
        </w:r>
        <w:r w:rsidR="00325900" w:rsidRPr="00216965">
          <w:rPr>
            <w:rStyle w:val="Hyperlink"/>
            <w:noProof/>
          </w:rPr>
          <w:t>along time with the logistic model</w:t>
        </w:r>
        <w:r w:rsidR="00325900" w:rsidRPr="00216965">
          <w:rPr>
            <w:noProof/>
            <w:webHidden/>
          </w:rPr>
          <w:tab/>
        </w:r>
        <w:r w:rsidR="00325900" w:rsidRPr="00216965">
          <w:rPr>
            <w:noProof/>
            <w:webHidden/>
          </w:rPr>
          <w:fldChar w:fldCharType="begin"/>
        </w:r>
        <w:r w:rsidR="00325900" w:rsidRPr="00216965">
          <w:rPr>
            <w:noProof/>
            <w:webHidden/>
          </w:rPr>
          <w:instrText xml:space="preserve"> PAGEREF _Toc86440376 \h </w:instrText>
        </w:r>
        <w:r w:rsidR="00325900" w:rsidRPr="00216965">
          <w:rPr>
            <w:noProof/>
            <w:webHidden/>
          </w:rPr>
        </w:r>
        <w:r w:rsidR="00325900" w:rsidRPr="00216965">
          <w:rPr>
            <w:noProof/>
            <w:webHidden/>
          </w:rPr>
          <w:fldChar w:fldCharType="separate"/>
        </w:r>
        <w:r w:rsidR="00CE6CD2">
          <w:rPr>
            <w:noProof/>
            <w:webHidden/>
          </w:rPr>
          <w:t>166</w:t>
        </w:r>
        <w:r w:rsidR="00325900" w:rsidRPr="00216965">
          <w:rPr>
            <w:noProof/>
            <w:webHidden/>
          </w:rPr>
          <w:fldChar w:fldCharType="end"/>
        </w:r>
      </w:hyperlink>
    </w:p>
    <w:p w14:paraId="04787D83" w14:textId="1208721E" w:rsidR="00325900" w:rsidRPr="00216965" w:rsidRDefault="00325900" w:rsidP="008A33DA">
      <w:pPr>
        <w:spacing w:before="120" w:after="120"/>
        <w:rPr>
          <w:sz w:val="40"/>
          <w:szCs w:val="36"/>
        </w:rPr>
      </w:pPr>
      <w:r w:rsidRPr="00216965">
        <w:rPr>
          <w:sz w:val="40"/>
          <w:szCs w:val="36"/>
        </w:rPr>
        <w:fldChar w:fldCharType="end"/>
      </w:r>
    </w:p>
    <w:p w14:paraId="2596CA43" w14:textId="77777777" w:rsidR="00644F3E" w:rsidRPr="00216965" w:rsidRDefault="00644F3E" w:rsidP="008A33DA">
      <w:pPr>
        <w:rPr>
          <w:sz w:val="40"/>
          <w:szCs w:val="36"/>
        </w:rPr>
      </w:pPr>
    </w:p>
    <w:p w14:paraId="6167AB0D" w14:textId="77777777" w:rsidR="00644F3E" w:rsidRPr="00216965" w:rsidRDefault="00644F3E" w:rsidP="008A33DA">
      <w:pPr>
        <w:rPr>
          <w:sz w:val="40"/>
          <w:szCs w:val="36"/>
        </w:rPr>
      </w:pPr>
    </w:p>
    <w:p w14:paraId="68FC9D37" w14:textId="610A982E" w:rsidR="00580188" w:rsidRPr="00216965" w:rsidRDefault="009417FD" w:rsidP="008A33DA">
      <w:pPr>
        <w:pStyle w:val="Heading1"/>
        <w:numPr>
          <w:ilvl w:val="0"/>
          <w:numId w:val="0"/>
        </w:numPr>
        <w:rPr>
          <w:sz w:val="44"/>
          <w:szCs w:val="44"/>
        </w:rPr>
      </w:pPr>
      <w:bookmarkStart w:id="6" w:name="_Toc86504616"/>
      <w:r w:rsidRPr="00216965">
        <w:rPr>
          <w:sz w:val="44"/>
          <w:szCs w:val="44"/>
        </w:rPr>
        <w:lastRenderedPageBreak/>
        <w:t>Nomenclature</w:t>
      </w:r>
      <w:bookmarkEnd w:id="6"/>
    </w:p>
    <w:p w14:paraId="0A12EDE9" w14:textId="133DA85D" w:rsidR="009417FD" w:rsidRPr="00216965" w:rsidRDefault="009417FD" w:rsidP="008A33DA">
      <w:pPr>
        <w:autoSpaceDE w:val="0"/>
        <w:autoSpaceDN w:val="0"/>
        <w:adjustRightInd w:val="0"/>
        <w:spacing w:after="0" w:line="240" w:lineRule="auto"/>
        <w:rPr>
          <w:rFonts w:cs="Times New Roman"/>
        </w:rPr>
      </w:pPr>
    </w:p>
    <w:tbl>
      <w:tblPr>
        <w:tblW w:w="9010" w:type="dxa"/>
        <w:tblLook w:val="04A0" w:firstRow="1" w:lastRow="0" w:firstColumn="1" w:lastColumn="0" w:noHBand="0" w:noVBand="1"/>
      </w:tblPr>
      <w:tblGrid>
        <w:gridCol w:w="1610"/>
        <w:gridCol w:w="7400"/>
      </w:tblGrid>
      <w:tr w:rsidR="00274061" w:rsidRPr="00216965" w14:paraId="6185F188" w14:textId="77777777" w:rsidTr="008A33DA">
        <w:trPr>
          <w:trHeight w:val="312"/>
        </w:trPr>
        <w:tc>
          <w:tcPr>
            <w:tcW w:w="1610" w:type="dxa"/>
            <w:shd w:val="clear" w:color="auto" w:fill="auto"/>
            <w:noWrap/>
            <w:vAlign w:val="bottom"/>
            <w:hideMark/>
          </w:tcPr>
          <w:p w14:paraId="446B8457"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AGR</w:t>
            </w:r>
          </w:p>
        </w:tc>
        <w:tc>
          <w:tcPr>
            <w:tcW w:w="7400" w:type="dxa"/>
            <w:shd w:val="clear" w:color="auto" w:fill="auto"/>
            <w:noWrap/>
            <w:vAlign w:val="bottom"/>
            <w:hideMark/>
          </w:tcPr>
          <w:p w14:paraId="6BC0E10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Absolute growth rate</w:t>
            </w:r>
          </w:p>
        </w:tc>
      </w:tr>
      <w:tr w:rsidR="00274061" w:rsidRPr="00216965" w14:paraId="33AB93C8" w14:textId="77777777" w:rsidTr="008A33DA">
        <w:trPr>
          <w:trHeight w:val="288"/>
        </w:trPr>
        <w:tc>
          <w:tcPr>
            <w:tcW w:w="1610" w:type="dxa"/>
            <w:shd w:val="clear" w:color="auto" w:fill="auto"/>
            <w:noWrap/>
            <w:vAlign w:val="bottom"/>
            <w:hideMark/>
          </w:tcPr>
          <w:p w14:paraId="6A8FD18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AIC</w:t>
            </w:r>
          </w:p>
        </w:tc>
        <w:tc>
          <w:tcPr>
            <w:tcW w:w="7400" w:type="dxa"/>
            <w:shd w:val="clear" w:color="auto" w:fill="auto"/>
            <w:noWrap/>
            <w:vAlign w:val="bottom"/>
            <w:hideMark/>
          </w:tcPr>
          <w:p w14:paraId="2A665A8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Akaike Information Criterion</w:t>
            </w:r>
          </w:p>
        </w:tc>
      </w:tr>
      <w:tr w:rsidR="00274061" w:rsidRPr="00216965" w14:paraId="46E103BA" w14:textId="77777777" w:rsidTr="008A33DA">
        <w:trPr>
          <w:trHeight w:val="288"/>
        </w:trPr>
        <w:tc>
          <w:tcPr>
            <w:tcW w:w="1610" w:type="dxa"/>
            <w:shd w:val="clear" w:color="auto" w:fill="auto"/>
            <w:noWrap/>
            <w:vAlign w:val="bottom"/>
            <w:hideMark/>
          </w:tcPr>
          <w:p w14:paraId="585135F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ANCOVA</w:t>
            </w:r>
          </w:p>
        </w:tc>
        <w:tc>
          <w:tcPr>
            <w:tcW w:w="7400" w:type="dxa"/>
            <w:shd w:val="clear" w:color="auto" w:fill="auto"/>
            <w:noWrap/>
            <w:vAlign w:val="bottom"/>
            <w:hideMark/>
          </w:tcPr>
          <w:p w14:paraId="3E9074E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Analysis of covariance</w:t>
            </w:r>
          </w:p>
        </w:tc>
      </w:tr>
      <w:tr w:rsidR="00274061" w:rsidRPr="00216965" w14:paraId="4F532AFA" w14:textId="77777777" w:rsidTr="008A33DA">
        <w:trPr>
          <w:trHeight w:val="288"/>
        </w:trPr>
        <w:tc>
          <w:tcPr>
            <w:tcW w:w="1610" w:type="dxa"/>
            <w:shd w:val="clear" w:color="auto" w:fill="auto"/>
            <w:noWrap/>
            <w:vAlign w:val="bottom"/>
            <w:hideMark/>
          </w:tcPr>
          <w:p w14:paraId="4158D98D"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ANOVA</w:t>
            </w:r>
          </w:p>
        </w:tc>
        <w:tc>
          <w:tcPr>
            <w:tcW w:w="7400" w:type="dxa"/>
            <w:shd w:val="clear" w:color="auto" w:fill="auto"/>
            <w:noWrap/>
            <w:vAlign w:val="bottom"/>
            <w:hideMark/>
          </w:tcPr>
          <w:p w14:paraId="089ECE0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Analysis of variance</w:t>
            </w:r>
          </w:p>
        </w:tc>
      </w:tr>
      <w:tr w:rsidR="00274061" w:rsidRPr="00216965" w14:paraId="66BBE4CC" w14:textId="77777777" w:rsidTr="008A33DA">
        <w:trPr>
          <w:trHeight w:val="288"/>
        </w:trPr>
        <w:tc>
          <w:tcPr>
            <w:tcW w:w="1610" w:type="dxa"/>
            <w:shd w:val="clear" w:color="auto" w:fill="auto"/>
            <w:noWrap/>
            <w:vAlign w:val="bottom"/>
            <w:hideMark/>
          </w:tcPr>
          <w:p w14:paraId="44A48E6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AS</w:t>
            </w:r>
          </w:p>
        </w:tc>
        <w:tc>
          <w:tcPr>
            <w:tcW w:w="7400" w:type="dxa"/>
            <w:shd w:val="clear" w:color="auto" w:fill="auto"/>
            <w:noWrap/>
            <w:vAlign w:val="bottom"/>
            <w:hideMark/>
          </w:tcPr>
          <w:p w14:paraId="77F7566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Acid soluble fraction</w:t>
            </w:r>
          </w:p>
        </w:tc>
      </w:tr>
      <w:tr w:rsidR="00274061" w:rsidRPr="00216965" w14:paraId="3E84F1CC" w14:textId="77777777" w:rsidTr="008A33DA">
        <w:trPr>
          <w:trHeight w:val="288"/>
        </w:trPr>
        <w:tc>
          <w:tcPr>
            <w:tcW w:w="1610" w:type="dxa"/>
            <w:shd w:val="clear" w:color="auto" w:fill="auto"/>
            <w:noWrap/>
            <w:vAlign w:val="bottom"/>
            <w:hideMark/>
          </w:tcPr>
          <w:p w14:paraId="5145455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ASV</w:t>
            </w:r>
          </w:p>
        </w:tc>
        <w:tc>
          <w:tcPr>
            <w:tcW w:w="7400" w:type="dxa"/>
            <w:shd w:val="clear" w:color="auto" w:fill="auto"/>
            <w:noWrap/>
            <w:vAlign w:val="bottom"/>
            <w:hideMark/>
          </w:tcPr>
          <w:p w14:paraId="698215A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Amplicon sequence variant</w:t>
            </w:r>
          </w:p>
        </w:tc>
      </w:tr>
      <w:tr w:rsidR="00274061" w:rsidRPr="00216965" w14:paraId="7C5B6E3B" w14:textId="77777777" w:rsidTr="008A33DA">
        <w:trPr>
          <w:trHeight w:val="288"/>
        </w:trPr>
        <w:tc>
          <w:tcPr>
            <w:tcW w:w="1610" w:type="dxa"/>
            <w:shd w:val="clear" w:color="auto" w:fill="auto"/>
            <w:noWrap/>
            <w:vAlign w:val="bottom"/>
            <w:hideMark/>
          </w:tcPr>
          <w:p w14:paraId="0D3CE1F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ATR-FTIR</w:t>
            </w:r>
          </w:p>
        </w:tc>
        <w:tc>
          <w:tcPr>
            <w:tcW w:w="7400" w:type="dxa"/>
            <w:shd w:val="clear" w:color="auto" w:fill="auto"/>
            <w:noWrap/>
            <w:vAlign w:val="bottom"/>
            <w:hideMark/>
          </w:tcPr>
          <w:p w14:paraId="73B4DBA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Attenuated Total Reflection Fourier Transform Infrared</w:t>
            </w:r>
          </w:p>
        </w:tc>
      </w:tr>
      <w:tr w:rsidR="00274061" w:rsidRPr="00216965" w14:paraId="57B85958" w14:textId="77777777" w:rsidTr="008A33DA">
        <w:trPr>
          <w:trHeight w:val="288"/>
        </w:trPr>
        <w:tc>
          <w:tcPr>
            <w:tcW w:w="1610" w:type="dxa"/>
            <w:shd w:val="clear" w:color="auto" w:fill="auto"/>
            <w:noWrap/>
            <w:vAlign w:val="bottom"/>
            <w:hideMark/>
          </w:tcPr>
          <w:p w14:paraId="5AA0C23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BCR</w:t>
            </w:r>
          </w:p>
        </w:tc>
        <w:tc>
          <w:tcPr>
            <w:tcW w:w="7400" w:type="dxa"/>
            <w:shd w:val="clear" w:color="auto" w:fill="auto"/>
            <w:noWrap/>
            <w:vAlign w:val="bottom"/>
            <w:hideMark/>
          </w:tcPr>
          <w:p w14:paraId="6448CB9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Community Bureau of Reference</w:t>
            </w:r>
          </w:p>
        </w:tc>
      </w:tr>
      <w:tr w:rsidR="00274061" w:rsidRPr="00216965" w14:paraId="0CF12680" w14:textId="77777777" w:rsidTr="008A33DA">
        <w:trPr>
          <w:trHeight w:val="288"/>
        </w:trPr>
        <w:tc>
          <w:tcPr>
            <w:tcW w:w="1610" w:type="dxa"/>
            <w:shd w:val="clear" w:color="auto" w:fill="auto"/>
            <w:noWrap/>
            <w:vAlign w:val="bottom"/>
            <w:hideMark/>
          </w:tcPr>
          <w:p w14:paraId="564862DA"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BET</w:t>
            </w:r>
          </w:p>
        </w:tc>
        <w:tc>
          <w:tcPr>
            <w:tcW w:w="7400" w:type="dxa"/>
            <w:shd w:val="clear" w:color="auto" w:fill="auto"/>
            <w:noWrap/>
            <w:vAlign w:val="bottom"/>
            <w:hideMark/>
          </w:tcPr>
          <w:p w14:paraId="320535E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Brunauer-Emmett-Teller surface area method</w:t>
            </w:r>
          </w:p>
        </w:tc>
      </w:tr>
      <w:tr w:rsidR="00274061" w:rsidRPr="00216965" w14:paraId="293FDB97" w14:textId="77777777" w:rsidTr="008A33DA">
        <w:trPr>
          <w:trHeight w:val="288"/>
        </w:trPr>
        <w:tc>
          <w:tcPr>
            <w:tcW w:w="1610" w:type="dxa"/>
            <w:shd w:val="clear" w:color="auto" w:fill="auto"/>
            <w:noWrap/>
            <w:vAlign w:val="bottom"/>
            <w:hideMark/>
          </w:tcPr>
          <w:p w14:paraId="1A5EB89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BOKU</w:t>
            </w:r>
          </w:p>
        </w:tc>
        <w:tc>
          <w:tcPr>
            <w:tcW w:w="7400" w:type="dxa"/>
            <w:shd w:val="clear" w:color="auto" w:fill="auto"/>
            <w:noWrap/>
            <w:vAlign w:val="bottom"/>
            <w:hideMark/>
          </w:tcPr>
          <w:p w14:paraId="3EDC6C9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University of Natural Resources and Applied Life Sciences, Vienna-Austria</w:t>
            </w:r>
          </w:p>
        </w:tc>
      </w:tr>
      <w:tr w:rsidR="00274061" w:rsidRPr="00216965" w14:paraId="6C1C85B0" w14:textId="77777777" w:rsidTr="008A33DA">
        <w:trPr>
          <w:trHeight w:val="288"/>
        </w:trPr>
        <w:tc>
          <w:tcPr>
            <w:tcW w:w="1610" w:type="dxa"/>
            <w:shd w:val="clear" w:color="auto" w:fill="auto"/>
            <w:noWrap/>
            <w:vAlign w:val="bottom"/>
            <w:hideMark/>
          </w:tcPr>
          <w:p w14:paraId="11D802C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CCA</w:t>
            </w:r>
          </w:p>
        </w:tc>
        <w:tc>
          <w:tcPr>
            <w:tcW w:w="7400" w:type="dxa"/>
            <w:shd w:val="clear" w:color="auto" w:fill="auto"/>
            <w:noWrap/>
            <w:vAlign w:val="bottom"/>
            <w:hideMark/>
          </w:tcPr>
          <w:p w14:paraId="26F04F3C" w14:textId="4FFD2A22" w:rsidR="00274061" w:rsidRPr="00216965" w:rsidRDefault="00925BBE"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w:t>
            </w:r>
            <w:r w:rsidR="00274061" w:rsidRPr="00216965">
              <w:rPr>
                <w:rFonts w:eastAsia="Times New Roman" w:cs="Times New Roman"/>
                <w:color w:val="000000"/>
                <w:sz w:val="22"/>
                <w:lang w:eastAsia="en-GB"/>
              </w:rPr>
              <w:t>anonical correspondence analysis</w:t>
            </w:r>
          </w:p>
        </w:tc>
      </w:tr>
      <w:tr w:rsidR="00274061" w:rsidRPr="00216965" w14:paraId="4DB79B67" w14:textId="77777777" w:rsidTr="008A33DA">
        <w:trPr>
          <w:trHeight w:val="288"/>
        </w:trPr>
        <w:tc>
          <w:tcPr>
            <w:tcW w:w="1610" w:type="dxa"/>
            <w:shd w:val="clear" w:color="auto" w:fill="auto"/>
            <w:noWrap/>
            <w:vAlign w:val="bottom"/>
            <w:hideMark/>
          </w:tcPr>
          <w:p w14:paraId="1D41A96D"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CEC</w:t>
            </w:r>
          </w:p>
        </w:tc>
        <w:tc>
          <w:tcPr>
            <w:tcW w:w="7400" w:type="dxa"/>
            <w:shd w:val="clear" w:color="auto" w:fill="auto"/>
            <w:noWrap/>
            <w:vAlign w:val="bottom"/>
            <w:hideMark/>
          </w:tcPr>
          <w:p w14:paraId="7B0D711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Cation exchange capacity</w:t>
            </w:r>
          </w:p>
        </w:tc>
      </w:tr>
      <w:tr w:rsidR="00274061" w:rsidRPr="00216965" w14:paraId="77234BBF" w14:textId="77777777" w:rsidTr="008A33DA">
        <w:trPr>
          <w:trHeight w:val="288"/>
        </w:trPr>
        <w:tc>
          <w:tcPr>
            <w:tcW w:w="1610" w:type="dxa"/>
            <w:shd w:val="clear" w:color="auto" w:fill="auto"/>
            <w:noWrap/>
            <w:vAlign w:val="bottom"/>
            <w:hideMark/>
          </w:tcPr>
          <w:p w14:paraId="17D18C9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CLEA</w:t>
            </w:r>
          </w:p>
        </w:tc>
        <w:tc>
          <w:tcPr>
            <w:tcW w:w="7400" w:type="dxa"/>
            <w:shd w:val="clear" w:color="auto" w:fill="auto"/>
            <w:noWrap/>
            <w:vAlign w:val="bottom"/>
            <w:hideMark/>
          </w:tcPr>
          <w:p w14:paraId="5D0A81D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 xml:space="preserve">Contaminated Land Exposure Assessment </w:t>
            </w:r>
          </w:p>
        </w:tc>
      </w:tr>
      <w:tr w:rsidR="00274061" w:rsidRPr="00216965" w14:paraId="76C19CB3" w14:textId="77777777" w:rsidTr="008A33DA">
        <w:trPr>
          <w:trHeight w:val="288"/>
        </w:trPr>
        <w:tc>
          <w:tcPr>
            <w:tcW w:w="1610" w:type="dxa"/>
            <w:shd w:val="clear" w:color="auto" w:fill="auto"/>
            <w:noWrap/>
            <w:vAlign w:val="bottom"/>
            <w:hideMark/>
          </w:tcPr>
          <w:p w14:paraId="201DE54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DHA</w:t>
            </w:r>
          </w:p>
        </w:tc>
        <w:tc>
          <w:tcPr>
            <w:tcW w:w="7400" w:type="dxa"/>
            <w:shd w:val="clear" w:color="auto" w:fill="auto"/>
            <w:noWrap/>
            <w:vAlign w:val="bottom"/>
            <w:hideMark/>
          </w:tcPr>
          <w:p w14:paraId="35F0ED05"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Dehydrogenase activity</w:t>
            </w:r>
          </w:p>
        </w:tc>
      </w:tr>
      <w:tr w:rsidR="00274061" w:rsidRPr="00216965" w14:paraId="55AC0D6A" w14:textId="77777777" w:rsidTr="008A33DA">
        <w:trPr>
          <w:trHeight w:val="288"/>
        </w:trPr>
        <w:tc>
          <w:tcPr>
            <w:tcW w:w="1610" w:type="dxa"/>
            <w:shd w:val="clear" w:color="auto" w:fill="auto"/>
            <w:noWrap/>
            <w:vAlign w:val="bottom"/>
            <w:hideMark/>
          </w:tcPr>
          <w:p w14:paraId="7CA56E9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DNA</w:t>
            </w:r>
          </w:p>
        </w:tc>
        <w:tc>
          <w:tcPr>
            <w:tcW w:w="7400" w:type="dxa"/>
            <w:shd w:val="clear" w:color="auto" w:fill="auto"/>
            <w:noWrap/>
            <w:vAlign w:val="bottom"/>
            <w:hideMark/>
          </w:tcPr>
          <w:p w14:paraId="7190A8E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Deoxyribonucleic acid</w:t>
            </w:r>
          </w:p>
        </w:tc>
      </w:tr>
      <w:tr w:rsidR="00274061" w:rsidRPr="00216965" w14:paraId="70A19EDB" w14:textId="77777777" w:rsidTr="008A33DA">
        <w:trPr>
          <w:trHeight w:val="288"/>
        </w:trPr>
        <w:tc>
          <w:tcPr>
            <w:tcW w:w="1610" w:type="dxa"/>
            <w:shd w:val="clear" w:color="auto" w:fill="auto"/>
            <w:noWrap/>
            <w:vAlign w:val="bottom"/>
            <w:hideMark/>
          </w:tcPr>
          <w:p w14:paraId="448B8C9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DOC</w:t>
            </w:r>
          </w:p>
        </w:tc>
        <w:tc>
          <w:tcPr>
            <w:tcW w:w="7400" w:type="dxa"/>
            <w:shd w:val="clear" w:color="auto" w:fill="auto"/>
            <w:noWrap/>
            <w:vAlign w:val="bottom"/>
            <w:hideMark/>
          </w:tcPr>
          <w:p w14:paraId="389CC0EA"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Dissolved organic carbon</w:t>
            </w:r>
          </w:p>
        </w:tc>
      </w:tr>
      <w:tr w:rsidR="00274061" w:rsidRPr="00216965" w14:paraId="43FDB923" w14:textId="77777777" w:rsidTr="008A33DA">
        <w:trPr>
          <w:trHeight w:val="288"/>
        </w:trPr>
        <w:tc>
          <w:tcPr>
            <w:tcW w:w="1610" w:type="dxa"/>
            <w:shd w:val="clear" w:color="auto" w:fill="auto"/>
            <w:noWrap/>
            <w:vAlign w:val="bottom"/>
            <w:hideMark/>
          </w:tcPr>
          <w:p w14:paraId="03582D3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DTPA</w:t>
            </w:r>
          </w:p>
        </w:tc>
        <w:tc>
          <w:tcPr>
            <w:tcW w:w="7400" w:type="dxa"/>
            <w:shd w:val="clear" w:color="auto" w:fill="auto"/>
            <w:noWrap/>
            <w:vAlign w:val="bottom"/>
            <w:hideMark/>
          </w:tcPr>
          <w:p w14:paraId="68CAB7E5"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Diethylene triamine penta-acetic acid</w:t>
            </w:r>
          </w:p>
        </w:tc>
      </w:tr>
      <w:tr w:rsidR="00274061" w:rsidRPr="00216965" w14:paraId="55739D76" w14:textId="77777777" w:rsidTr="008A33DA">
        <w:trPr>
          <w:trHeight w:val="288"/>
        </w:trPr>
        <w:tc>
          <w:tcPr>
            <w:tcW w:w="1610" w:type="dxa"/>
            <w:shd w:val="clear" w:color="auto" w:fill="auto"/>
            <w:noWrap/>
            <w:vAlign w:val="bottom"/>
            <w:hideMark/>
          </w:tcPr>
          <w:p w14:paraId="77B4519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EA-IRMS</w:t>
            </w:r>
          </w:p>
        </w:tc>
        <w:tc>
          <w:tcPr>
            <w:tcW w:w="7400" w:type="dxa"/>
            <w:shd w:val="clear" w:color="auto" w:fill="auto"/>
            <w:noWrap/>
            <w:vAlign w:val="bottom"/>
            <w:hideMark/>
          </w:tcPr>
          <w:p w14:paraId="5BAB4B4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Elemental Analysis-Isotopic Ratio Mass Spectrometry</w:t>
            </w:r>
          </w:p>
        </w:tc>
      </w:tr>
      <w:tr w:rsidR="00274061" w:rsidRPr="00216965" w14:paraId="2252266A" w14:textId="77777777" w:rsidTr="008A33DA">
        <w:trPr>
          <w:trHeight w:val="288"/>
        </w:trPr>
        <w:tc>
          <w:tcPr>
            <w:tcW w:w="1610" w:type="dxa"/>
            <w:shd w:val="clear" w:color="auto" w:fill="auto"/>
            <w:noWrap/>
            <w:vAlign w:val="bottom"/>
            <w:hideMark/>
          </w:tcPr>
          <w:p w14:paraId="4F6C9A5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EC</w:t>
            </w:r>
          </w:p>
        </w:tc>
        <w:tc>
          <w:tcPr>
            <w:tcW w:w="7400" w:type="dxa"/>
            <w:shd w:val="clear" w:color="auto" w:fill="auto"/>
            <w:noWrap/>
            <w:vAlign w:val="bottom"/>
            <w:hideMark/>
          </w:tcPr>
          <w:p w14:paraId="14692F8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Electrical Conductivity</w:t>
            </w:r>
          </w:p>
        </w:tc>
      </w:tr>
      <w:tr w:rsidR="00274061" w:rsidRPr="00216965" w14:paraId="23D5D3D0" w14:textId="77777777" w:rsidTr="008A33DA">
        <w:trPr>
          <w:trHeight w:val="288"/>
        </w:trPr>
        <w:tc>
          <w:tcPr>
            <w:tcW w:w="1610" w:type="dxa"/>
            <w:shd w:val="clear" w:color="auto" w:fill="auto"/>
            <w:noWrap/>
            <w:vAlign w:val="bottom"/>
            <w:hideMark/>
          </w:tcPr>
          <w:p w14:paraId="44988374"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EDTA</w:t>
            </w:r>
          </w:p>
        </w:tc>
        <w:tc>
          <w:tcPr>
            <w:tcW w:w="7400" w:type="dxa"/>
            <w:shd w:val="clear" w:color="auto" w:fill="auto"/>
            <w:noWrap/>
            <w:vAlign w:val="bottom"/>
            <w:hideMark/>
          </w:tcPr>
          <w:p w14:paraId="29F7D5E7"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Ethylenediaminetetraacetic acid</w:t>
            </w:r>
          </w:p>
        </w:tc>
      </w:tr>
      <w:tr w:rsidR="00274061" w:rsidRPr="00216965" w14:paraId="00EB5A03" w14:textId="77777777" w:rsidTr="008A33DA">
        <w:trPr>
          <w:trHeight w:val="288"/>
        </w:trPr>
        <w:tc>
          <w:tcPr>
            <w:tcW w:w="1610" w:type="dxa"/>
            <w:shd w:val="clear" w:color="auto" w:fill="auto"/>
            <w:noWrap/>
            <w:vAlign w:val="bottom"/>
            <w:hideMark/>
          </w:tcPr>
          <w:p w14:paraId="5D2BA4A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EEA</w:t>
            </w:r>
          </w:p>
        </w:tc>
        <w:tc>
          <w:tcPr>
            <w:tcW w:w="7400" w:type="dxa"/>
            <w:shd w:val="clear" w:color="auto" w:fill="auto"/>
            <w:noWrap/>
            <w:vAlign w:val="bottom"/>
            <w:hideMark/>
          </w:tcPr>
          <w:p w14:paraId="6E59AA6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European environment Agency</w:t>
            </w:r>
          </w:p>
        </w:tc>
      </w:tr>
      <w:tr w:rsidR="00274061" w:rsidRPr="00216965" w14:paraId="41D0283E" w14:textId="77777777" w:rsidTr="008A33DA">
        <w:trPr>
          <w:trHeight w:val="288"/>
        </w:trPr>
        <w:tc>
          <w:tcPr>
            <w:tcW w:w="1610" w:type="dxa"/>
            <w:shd w:val="clear" w:color="auto" w:fill="auto"/>
            <w:noWrap/>
            <w:vAlign w:val="bottom"/>
            <w:hideMark/>
          </w:tcPr>
          <w:p w14:paraId="5FE8CCE0"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FAME</w:t>
            </w:r>
          </w:p>
        </w:tc>
        <w:tc>
          <w:tcPr>
            <w:tcW w:w="7400" w:type="dxa"/>
            <w:shd w:val="clear" w:color="auto" w:fill="auto"/>
            <w:noWrap/>
            <w:vAlign w:val="bottom"/>
            <w:hideMark/>
          </w:tcPr>
          <w:p w14:paraId="01089887"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Fatty acid methyl esters</w:t>
            </w:r>
          </w:p>
        </w:tc>
      </w:tr>
      <w:tr w:rsidR="00274061" w:rsidRPr="00216965" w14:paraId="0687E514" w14:textId="77777777" w:rsidTr="008A33DA">
        <w:trPr>
          <w:trHeight w:val="288"/>
        </w:trPr>
        <w:tc>
          <w:tcPr>
            <w:tcW w:w="1610" w:type="dxa"/>
            <w:shd w:val="clear" w:color="auto" w:fill="auto"/>
            <w:noWrap/>
            <w:vAlign w:val="bottom"/>
            <w:hideMark/>
          </w:tcPr>
          <w:p w14:paraId="69A4AB0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Fv/Fm</w:t>
            </w:r>
          </w:p>
        </w:tc>
        <w:tc>
          <w:tcPr>
            <w:tcW w:w="7400" w:type="dxa"/>
            <w:shd w:val="clear" w:color="auto" w:fill="auto"/>
            <w:noWrap/>
            <w:vAlign w:val="bottom"/>
            <w:hideMark/>
          </w:tcPr>
          <w:p w14:paraId="6D418B3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Maximum photochemical quantum yield of photosystem II</w:t>
            </w:r>
          </w:p>
        </w:tc>
      </w:tr>
      <w:tr w:rsidR="00274061" w:rsidRPr="00216965" w14:paraId="3C89D63E" w14:textId="77777777" w:rsidTr="008A33DA">
        <w:trPr>
          <w:trHeight w:val="288"/>
        </w:trPr>
        <w:tc>
          <w:tcPr>
            <w:tcW w:w="1610" w:type="dxa"/>
            <w:shd w:val="clear" w:color="auto" w:fill="auto"/>
            <w:noWrap/>
            <w:vAlign w:val="bottom"/>
            <w:hideMark/>
          </w:tcPr>
          <w:p w14:paraId="266BE70A"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GC-c-IRMS</w:t>
            </w:r>
          </w:p>
        </w:tc>
        <w:tc>
          <w:tcPr>
            <w:tcW w:w="7400" w:type="dxa"/>
            <w:shd w:val="clear" w:color="auto" w:fill="auto"/>
            <w:noWrap/>
            <w:vAlign w:val="bottom"/>
            <w:hideMark/>
          </w:tcPr>
          <w:p w14:paraId="148B3C0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Gas chromatography-combustion-isotopic ratio mass spectrometry</w:t>
            </w:r>
          </w:p>
        </w:tc>
      </w:tr>
      <w:tr w:rsidR="00274061" w:rsidRPr="00216965" w14:paraId="2534D3CA" w14:textId="77777777" w:rsidTr="008A33DA">
        <w:trPr>
          <w:trHeight w:val="288"/>
        </w:trPr>
        <w:tc>
          <w:tcPr>
            <w:tcW w:w="1610" w:type="dxa"/>
            <w:shd w:val="clear" w:color="auto" w:fill="auto"/>
            <w:noWrap/>
            <w:vAlign w:val="bottom"/>
            <w:hideMark/>
          </w:tcPr>
          <w:p w14:paraId="0EECE73C"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HM</w:t>
            </w:r>
          </w:p>
        </w:tc>
        <w:tc>
          <w:tcPr>
            <w:tcW w:w="7400" w:type="dxa"/>
            <w:shd w:val="clear" w:color="auto" w:fill="auto"/>
            <w:noWrap/>
            <w:vAlign w:val="bottom"/>
            <w:hideMark/>
          </w:tcPr>
          <w:p w14:paraId="316FB30D"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Heavy metal</w:t>
            </w:r>
          </w:p>
        </w:tc>
      </w:tr>
      <w:tr w:rsidR="00274061" w:rsidRPr="00216965" w14:paraId="7F12CE04" w14:textId="77777777" w:rsidTr="008A33DA">
        <w:trPr>
          <w:trHeight w:val="288"/>
        </w:trPr>
        <w:tc>
          <w:tcPr>
            <w:tcW w:w="1610" w:type="dxa"/>
            <w:shd w:val="clear" w:color="auto" w:fill="auto"/>
            <w:noWrap/>
            <w:vAlign w:val="bottom"/>
            <w:hideMark/>
          </w:tcPr>
          <w:p w14:paraId="76ADAC9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HMs</w:t>
            </w:r>
          </w:p>
        </w:tc>
        <w:tc>
          <w:tcPr>
            <w:tcW w:w="7400" w:type="dxa"/>
            <w:shd w:val="clear" w:color="auto" w:fill="auto"/>
            <w:noWrap/>
            <w:vAlign w:val="bottom"/>
            <w:hideMark/>
          </w:tcPr>
          <w:p w14:paraId="7FC3369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Heavy metals</w:t>
            </w:r>
          </w:p>
        </w:tc>
      </w:tr>
      <w:tr w:rsidR="00274061" w:rsidRPr="00216965" w14:paraId="43383B88" w14:textId="77777777" w:rsidTr="008A33DA">
        <w:trPr>
          <w:trHeight w:val="288"/>
        </w:trPr>
        <w:tc>
          <w:tcPr>
            <w:tcW w:w="1610" w:type="dxa"/>
            <w:shd w:val="clear" w:color="auto" w:fill="auto"/>
            <w:noWrap/>
            <w:vAlign w:val="bottom"/>
            <w:hideMark/>
          </w:tcPr>
          <w:p w14:paraId="0F767D7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HSBA</w:t>
            </w:r>
          </w:p>
        </w:tc>
        <w:tc>
          <w:tcPr>
            <w:tcW w:w="7400" w:type="dxa"/>
            <w:shd w:val="clear" w:color="auto" w:fill="auto"/>
            <w:noWrap/>
            <w:vAlign w:val="bottom"/>
            <w:hideMark/>
          </w:tcPr>
          <w:p w14:paraId="4FB739F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Hard and soft (Lewis) acids and bases</w:t>
            </w:r>
          </w:p>
        </w:tc>
      </w:tr>
      <w:tr w:rsidR="00274061" w:rsidRPr="00216965" w14:paraId="4451A1B1" w14:textId="77777777" w:rsidTr="008A33DA">
        <w:trPr>
          <w:trHeight w:val="288"/>
        </w:trPr>
        <w:tc>
          <w:tcPr>
            <w:tcW w:w="1610" w:type="dxa"/>
            <w:shd w:val="clear" w:color="auto" w:fill="auto"/>
            <w:noWrap/>
            <w:vAlign w:val="bottom"/>
            <w:hideMark/>
          </w:tcPr>
          <w:p w14:paraId="5F50B914"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HSD</w:t>
            </w:r>
          </w:p>
        </w:tc>
        <w:tc>
          <w:tcPr>
            <w:tcW w:w="7400" w:type="dxa"/>
            <w:shd w:val="clear" w:color="auto" w:fill="auto"/>
            <w:noWrap/>
            <w:vAlign w:val="bottom"/>
            <w:hideMark/>
          </w:tcPr>
          <w:p w14:paraId="36D92AF4"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Honestly significant difference post hoc test</w:t>
            </w:r>
          </w:p>
        </w:tc>
      </w:tr>
      <w:tr w:rsidR="00274061" w:rsidRPr="00216965" w14:paraId="0CF994CF" w14:textId="77777777" w:rsidTr="008A33DA">
        <w:trPr>
          <w:trHeight w:val="288"/>
        </w:trPr>
        <w:tc>
          <w:tcPr>
            <w:tcW w:w="1610" w:type="dxa"/>
            <w:shd w:val="clear" w:color="auto" w:fill="auto"/>
            <w:noWrap/>
            <w:vAlign w:val="bottom"/>
            <w:hideMark/>
          </w:tcPr>
          <w:p w14:paraId="0AB4CEF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ICP-MS</w:t>
            </w:r>
          </w:p>
        </w:tc>
        <w:tc>
          <w:tcPr>
            <w:tcW w:w="7400" w:type="dxa"/>
            <w:shd w:val="clear" w:color="auto" w:fill="auto"/>
            <w:noWrap/>
            <w:vAlign w:val="bottom"/>
            <w:hideMark/>
          </w:tcPr>
          <w:p w14:paraId="5575383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Inductively coupled plasma mass spectrometry</w:t>
            </w:r>
          </w:p>
        </w:tc>
      </w:tr>
      <w:tr w:rsidR="00274061" w:rsidRPr="00216965" w14:paraId="182BBA05" w14:textId="77777777" w:rsidTr="008A33DA">
        <w:trPr>
          <w:trHeight w:val="288"/>
        </w:trPr>
        <w:tc>
          <w:tcPr>
            <w:tcW w:w="1610" w:type="dxa"/>
            <w:shd w:val="clear" w:color="auto" w:fill="auto"/>
            <w:noWrap/>
            <w:vAlign w:val="bottom"/>
            <w:hideMark/>
          </w:tcPr>
          <w:p w14:paraId="5DCE76F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ICP-OES</w:t>
            </w:r>
          </w:p>
        </w:tc>
        <w:tc>
          <w:tcPr>
            <w:tcW w:w="7400" w:type="dxa"/>
            <w:shd w:val="clear" w:color="auto" w:fill="auto"/>
            <w:noWrap/>
            <w:vAlign w:val="bottom"/>
            <w:hideMark/>
          </w:tcPr>
          <w:p w14:paraId="54B7545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Inductively coupled plasma optical emission spectrometry</w:t>
            </w:r>
          </w:p>
        </w:tc>
      </w:tr>
      <w:tr w:rsidR="00274061" w:rsidRPr="00216965" w14:paraId="054E9047" w14:textId="77777777" w:rsidTr="008A33DA">
        <w:trPr>
          <w:trHeight w:val="288"/>
        </w:trPr>
        <w:tc>
          <w:tcPr>
            <w:tcW w:w="1610" w:type="dxa"/>
            <w:shd w:val="clear" w:color="auto" w:fill="auto"/>
            <w:noWrap/>
            <w:vAlign w:val="bottom"/>
            <w:hideMark/>
          </w:tcPr>
          <w:p w14:paraId="608C039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ITS</w:t>
            </w:r>
          </w:p>
        </w:tc>
        <w:tc>
          <w:tcPr>
            <w:tcW w:w="7400" w:type="dxa"/>
            <w:shd w:val="clear" w:color="auto" w:fill="auto"/>
            <w:noWrap/>
            <w:vAlign w:val="bottom"/>
            <w:hideMark/>
          </w:tcPr>
          <w:p w14:paraId="7671C2E4"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Internal transcribed spacer</w:t>
            </w:r>
          </w:p>
        </w:tc>
      </w:tr>
      <w:tr w:rsidR="00274061" w:rsidRPr="00216965" w14:paraId="1236C060" w14:textId="77777777" w:rsidTr="008A33DA">
        <w:trPr>
          <w:trHeight w:val="288"/>
        </w:trPr>
        <w:tc>
          <w:tcPr>
            <w:tcW w:w="1610" w:type="dxa"/>
            <w:shd w:val="clear" w:color="auto" w:fill="auto"/>
            <w:noWrap/>
            <w:vAlign w:val="bottom"/>
            <w:hideMark/>
          </w:tcPr>
          <w:p w14:paraId="3201B98D"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OM</w:t>
            </w:r>
          </w:p>
        </w:tc>
        <w:tc>
          <w:tcPr>
            <w:tcW w:w="7400" w:type="dxa"/>
            <w:shd w:val="clear" w:color="auto" w:fill="auto"/>
            <w:noWrap/>
            <w:vAlign w:val="bottom"/>
            <w:hideMark/>
          </w:tcPr>
          <w:p w14:paraId="07383430"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Organic matter</w:t>
            </w:r>
          </w:p>
        </w:tc>
      </w:tr>
      <w:tr w:rsidR="00274061" w:rsidRPr="00216965" w14:paraId="1718410F" w14:textId="77777777" w:rsidTr="008A33DA">
        <w:trPr>
          <w:trHeight w:val="288"/>
        </w:trPr>
        <w:tc>
          <w:tcPr>
            <w:tcW w:w="1610" w:type="dxa"/>
            <w:shd w:val="clear" w:color="auto" w:fill="auto"/>
            <w:noWrap/>
            <w:vAlign w:val="bottom"/>
            <w:hideMark/>
          </w:tcPr>
          <w:p w14:paraId="597ED96C"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OX</w:t>
            </w:r>
          </w:p>
        </w:tc>
        <w:tc>
          <w:tcPr>
            <w:tcW w:w="7400" w:type="dxa"/>
            <w:shd w:val="clear" w:color="auto" w:fill="auto"/>
            <w:noWrap/>
            <w:vAlign w:val="bottom"/>
            <w:hideMark/>
          </w:tcPr>
          <w:p w14:paraId="7267E710"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Oxidisable fraction</w:t>
            </w:r>
          </w:p>
        </w:tc>
      </w:tr>
      <w:tr w:rsidR="00274061" w:rsidRPr="00216965" w14:paraId="5D4C0945" w14:textId="77777777" w:rsidTr="008A33DA">
        <w:trPr>
          <w:trHeight w:val="288"/>
        </w:trPr>
        <w:tc>
          <w:tcPr>
            <w:tcW w:w="1610" w:type="dxa"/>
            <w:shd w:val="clear" w:color="auto" w:fill="auto"/>
            <w:noWrap/>
            <w:vAlign w:val="bottom"/>
            <w:hideMark/>
          </w:tcPr>
          <w:p w14:paraId="188493D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PAHs</w:t>
            </w:r>
          </w:p>
        </w:tc>
        <w:tc>
          <w:tcPr>
            <w:tcW w:w="7400" w:type="dxa"/>
            <w:shd w:val="clear" w:color="auto" w:fill="auto"/>
            <w:noWrap/>
            <w:vAlign w:val="bottom"/>
            <w:hideMark/>
          </w:tcPr>
          <w:p w14:paraId="3127C20C"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Polycyclic aromatic hydrocarbons</w:t>
            </w:r>
          </w:p>
        </w:tc>
      </w:tr>
      <w:tr w:rsidR="00274061" w:rsidRPr="00216965" w14:paraId="1EA2D68D" w14:textId="77777777" w:rsidTr="008A33DA">
        <w:trPr>
          <w:trHeight w:val="288"/>
        </w:trPr>
        <w:tc>
          <w:tcPr>
            <w:tcW w:w="1610" w:type="dxa"/>
            <w:shd w:val="clear" w:color="auto" w:fill="auto"/>
            <w:noWrap/>
            <w:vAlign w:val="bottom"/>
            <w:hideMark/>
          </w:tcPr>
          <w:p w14:paraId="490C7DC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lastRenderedPageBreak/>
              <w:t>PAM</w:t>
            </w:r>
          </w:p>
        </w:tc>
        <w:tc>
          <w:tcPr>
            <w:tcW w:w="7400" w:type="dxa"/>
            <w:shd w:val="clear" w:color="auto" w:fill="auto"/>
            <w:noWrap/>
            <w:vAlign w:val="bottom"/>
            <w:hideMark/>
          </w:tcPr>
          <w:p w14:paraId="7F41E95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Pulse amplitude modulated</w:t>
            </w:r>
          </w:p>
        </w:tc>
      </w:tr>
      <w:tr w:rsidR="00274061" w:rsidRPr="00216965" w14:paraId="3EA9C1BE" w14:textId="77777777" w:rsidTr="008A33DA">
        <w:trPr>
          <w:trHeight w:val="288"/>
        </w:trPr>
        <w:tc>
          <w:tcPr>
            <w:tcW w:w="1610" w:type="dxa"/>
            <w:shd w:val="clear" w:color="auto" w:fill="auto"/>
            <w:noWrap/>
            <w:vAlign w:val="bottom"/>
            <w:hideMark/>
          </w:tcPr>
          <w:p w14:paraId="680DAE9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PCA</w:t>
            </w:r>
          </w:p>
        </w:tc>
        <w:tc>
          <w:tcPr>
            <w:tcW w:w="7400" w:type="dxa"/>
            <w:shd w:val="clear" w:color="auto" w:fill="auto"/>
            <w:noWrap/>
            <w:vAlign w:val="bottom"/>
            <w:hideMark/>
          </w:tcPr>
          <w:p w14:paraId="6FEEFE9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Principal component analysis</w:t>
            </w:r>
          </w:p>
        </w:tc>
      </w:tr>
      <w:tr w:rsidR="00274061" w:rsidRPr="00216965" w14:paraId="7531DBCE" w14:textId="77777777" w:rsidTr="008A33DA">
        <w:trPr>
          <w:trHeight w:val="288"/>
        </w:trPr>
        <w:tc>
          <w:tcPr>
            <w:tcW w:w="1610" w:type="dxa"/>
            <w:shd w:val="clear" w:color="auto" w:fill="auto"/>
            <w:noWrap/>
            <w:vAlign w:val="bottom"/>
            <w:hideMark/>
          </w:tcPr>
          <w:p w14:paraId="117A7C9A"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PCR</w:t>
            </w:r>
          </w:p>
        </w:tc>
        <w:tc>
          <w:tcPr>
            <w:tcW w:w="7400" w:type="dxa"/>
            <w:shd w:val="clear" w:color="auto" w:fill="auto"/>
            <w:noWrap/>
            <w:vAlign w:val="bottom"/>
            <w:hideMark/>
          </w:tcPr>
          <w:p w14:paraId="230AECF9" w14:textId="25B79433" w:rsidR="00274061" w:rsidRPr="00216965" w:rsidRDefault="00925BBE"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w:t>
            </w:r>
            <w:r w:rsidR="00274061" w:rsidRPr="00216965">
              <w:rPr>
                <w:rFonts w:eastAsia="Times New Roman" w:cs="Times New Roman"/>
                <w:color w:val="000000"/>
                <w:sz w:val="22"/>
                <w:lang w:eastAsia="en-GB"/>
              </w:rPr>
              <w:t>olymerase chain reaction</w:t>
            </w:r>
          </w:p>
        </w:tc>
      </w:tr>
      <w:tr w:rsidR="00274061" w:rsidRPr="00216965" w14:paraId="2EFFFE71" w14:textId="77777777" w:rsidTr="008A33DA">
        <w:trPr>
          <w:trHeight w:val="288"/>
        </w:trPr>
        <w:tc>
          <w:tcPr>
            <w:tcW w:w="1610" w:type="dxa"/>
            <w:shd w:val="clear" w:color="auto" w:fill="auto"/>
            <w:noWrap/>
            <w:vAlign w:val="bottom"/>
            <w:hideMark/>
          </w:tcPr>
          <w:p w14:paraId="14CA5564"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PERMANOVA</w:t>
            </w:r>
          </w:p>
        </w:tc>
        <w:tc>
          <w:tcPr>
            <w:tcW w:w="7400" w:type="dxa"/>
            <w:shd w:val="clear" w:color="auto" w:fill="auto"/>
            <w:noWrap/>
            <w:vAlign w:val="bottom"/>
            <w:hideMark/>
          </w:tcPr>
          <w:p w14:paraId="313A920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Permutational multivariate analysis of variance</w:t>
            </w:r>
          </w:p>
        </w:tc>
      </w:tr>
      <w:tr w:rsidR="00274061" w:rsidRPr="00216965" w14:paraId="1C34DEC9" w14:textId="77777777" w:rsidTr="008A33DA">
        <w:trPr>
          <w:trHeight w:val="288"/>
        </w:trPr>
        <w:tc>
          <w:tcPr>
            <w:tcW w:w="1610" w:type="dxa"/>
            <w:shd w:val="clear" w:color="auto" w:fill="auto"/>
            <w:noWrap/>
            <w:vAlign w:val="bottom"/>
            <w:hideMark/>
          </w:tcPr>
          <w:p w14:paraId="2DD0F2D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PII</w:t>
            </w:r>
          </w:p>
        </w:tc>
        <w:tc>
          <w:tcPr>
            <w:tcW w:w="7400" w:type="dxa"/>
            <w:shd w:val="clear" w:color="auto" w:fill="auto"/>
            <w:noWrap/>
            <w:vAlign w:val="bottom"/>
            <w:hideMark/>
          </w:tcPr>
          <w:p w14:paraId="440202D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Photosystem II</w:t>
            </w:r>
          </w:p>
        </w:tc>
      </w:tr>
      <w:tr w:rsidR="00274061" w:rsidRPr="00216965" w14:paraId="0C686F14" w14:textId="77777777" w:rsidTr="008A33DA">
        <w:trPr>
          <w:trHeight w:val="288"/>
        </w:trPr>
        <w:tc>
          <w:tcPr>
            <w:tcW w:w="1610" w:type="dxa"/>
            <w:shd w:val="clear" w:color="auto" w:fill="auto"/>
            <w:noWrap/>
            <w:vAlign w:val="bottom"/>
            <w:hideMark/>
          </w:tcPr>
          <w:p w14:paraId="33537A3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PLFA</w:t>
            </w:r>
          </w:p>
        </w:tc>
        <w:tc>
          <w:tcPr>
            <w:tcW w:w="7400" w:type="dxa"/>
            <w:shd w:val="clear" w:color="auto" w:fill="auto"/>
            <w:noWrap/>
            <w:vAlign w:val="bottom"/>
            <w:hideMark/>
          </w:tcPr>
          <w:p w14:paraId="24848ED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Phospholipid fatty acids</w:t>
            </w:r>
          </w:p>
        </w:tc>
      </w:tr>
      <w:tr w:rsidR="00274061" w:rsidRPr="00216965" w14:paraId="54A1C96D" w14:textId="77777777" w:rsidTr="008A33DA">
        <w:trPr>
          <w:trHeight w:val="288"/>
        </w:trPr>
        <w:tc>
          <w:tcPr>
            <w:tcW w:w="1610" w:type="dxa"/>
            <w:shd w:val="clear" w:color="auto" w:fill="auto"/>
            <w:noWrap/>
            <w:vAlign w:val="bottom"/>
            <w:hideMark/>
          </w:tcPr>
          <w:p w14:paraId="1D7A02B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PTEs</w:t>
            </w:r>
          </w:p>
        </w:tc>
        <w:tc>
          <w:tcPr>
            <w:tcW w:w="7400" w:type="dxa"/>
            <w:shd w:val="clear" w:color="auto" w:fill="auto"/>
            <w:noWrap/>
            <w:vAlign w:val="bottom"/>
            <w:hideMark/>
          </w:tcPr>
          <w:p w14:paraId="6CC820D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Potentially toxic elements</w:t>
            </w:r>
          </w:p>
        </w:tc>
      </w:tr>
      <w:tr w:rsidR="00274061" w:rsidRPr="00216965" w14:paraId="06FAC38A" w14:textId="77777777" w:rsidTr="008A33DA">
        <w:trPr>
          <w:trHeight w:val="288"/>
        </w:trPr>
        <w:tc>
          <w:tcPr>
            <w:tcW w:w="1610" w:type="dxa"/>
            <w:shd w:val="clear" w:color="auto" w:fill="auto"/>
            <w:noWrap/>
            <w:vAlign w:val="bottom"/>
            <w:hideMark/>
          </w:tcPr>
          <w:p w14:paraId="5DB9404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qRT- PCR</w:t>
            </w:r>
          </w:p>
        </w:tc>
        <w:tc>
          <w:tcPr>
            <w:tcW w:w="7400" w:type="dxa"/>
            <w:shd w:val="clear" w:color="auto" w:fill="auto"/>
            <w:noWrap/>
            <w:vAlign w:val="bottom"/>
            <w:hideMark/>
          </w:tcPr>
          <w:p w14:paraId="26E3A9ED" w14:textId="77777777" w:rsidR="00274061" w:rsidRPr="00216965" w:rsidRDefault="00274061" w:rsidP="00274061">
            <w:pPr>
              <w:spacing w:after="0" w:line="360" w:lineRule="auto"/>
              <w:rPr>
                <w:rFonts w:eastAsia="Times New Roman" w:cs="Times New Roman"/>
                <w:color w:val="000000"/>
                <w:sz w:val="22"/>
                <w:lang w:val="fr-FR" w:eastAsia="en-GB"/>
              </w:rPr>
            </w:pPr>
            <w:r w:rsidRPr="00216965">
              <w:rPr>
                <w:rFonts w:eastAsia="Times New Roman" w:cs="Times New Roman"/>
                <w:color w:val="000000"/>
                <w:sz w:val="22"/>
                <w:lang w:val="fr-FR" w:eastAsia="en-GB"/>
              </w:rPr>
              <w:t>Quantitative reverse transcription polymerase chain reaction</w:t>
            </w:r>
          </w:p>
        </w:tc>
      </w:tr>
      <w:tr w:rsidR="00274061" w:rsidRPr="00216965" w14:paraId="67910BE8" w14:textId="77777777" w:rsidTr="008A33DA">
        <w:trPr>
          <w:trHeight w:val="288"/>
        </w:trPr>
        <w:tc>
          <w:tcPr>
            <w:tcW w:w="1610" w:type="dxa"/>
            <w:shd w:val="clear" w:color="auto" w:fill="auto"/>
            <w:noWrap/>
            <w:vAlign w:val="bottom"/>
            <w:hideMark/>
          </w:tcPr>
          <w:p w14:paraId="5D2C41D3"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RD</w:t>
            </w:r>
          </w:p>
        </w:tc>
        <w:tc>
          <w:tcPr>
            <w:tcW w:w="7400" w:type="dxa"/>
            <w:shd w:val="clear" w:color="auto" w:fill="auto"/>
            <w:noWrap/>
            <w:vAlign w:val="bottom"/>
            <w:hideMark/>
          </w:tcPr>
          <w:p w14:paraId="05E61A7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Reducible fraction</w:t>
            </w:r>
          </w:p>
        </w:tc>
      </w:tr>
      <w:tr w:rsidR="00274061" w:rsidRPr="00216965" w14:paraId="780912EA" w14:textId="77777777" w:rsidTr="008A33DA">
        <w:trPr>
          <w:trHeight w:val="288"/>
        </w:trPr>
        <w:tc>
          <w:tcPr>
            <w:tcW w:w="1610" w:type="dxa"/>
            <w:shd w:val="clear" w:color="auto" w:fill="auto"/>
            <w:noWrap/>
            <w:vAlign w:val="bottom"/>
            <w:hideMark/>
          </w:tcPr>
          <w:p w14:paraId="4282BF9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RES</w:t>
            </w:r>
          </w:p>
        </w:tc>
        <w:tc>
          <w:tcPr>
            <w:tcW w:w="7400" w:type="dxa"/>
            <w:shd w:val="clear" w:color="auto" w:fill="auto"/>
            <w:noWrap/>
            <w:vAlign w:val="bottom"/>
            <w:hideMark/>
          </w:tcPr>
          <w:p w14:paraId="2CFCC47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Residual fraction</w:t>
            </w:r>
          </w:p>
        </w:tc>
      </w:tr>
      <w:tr w:rsidR="00274061" w:rsidRPr="00216965" w14:paraId="1D7C67AB" w14:textId="77777777" w:rsidTr="008A33DA">
        <w:trPr>
          <w:trHeight w:val="288"/>
        </w:trPr>
        <w:tc>
          <w:tcPr>
            <w:tcW w:w="1610" w:type="dxa"/>
            <w:shd w:val="clear" w:color="auto" w:fill="auto"/>
            <w:noWrap/>
            <w:vAlign w:val="bottom"/>
            <w:hideMark/>
          </w:tcPr>
          <w:p w14:paraId="0F27A27B"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RGB</w:t>
            </w:r>
          </w:p>
        </w:tc>
        <w:tc>
          <w:tcPr>
            <w:tcW w:w="7400" w:type="dxa"/>
            <w:shd w:val="clear" w:color="auto" w:fill="auto"/>
            <w:noWrap/>
            <w:vAlign w:val="bottom"/>
            <w:hideMark/>
          </w:tcPr>
          <w:p w14:paraId="7E910BB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Red, green, and blue</w:t>
            </w:r>
          </w:p>
        </w:tc>
      </w:tr>
      <w:tr w:rsidR="00274061" w:rsidRPr="00216965" w14:paraId="7B027BB3" w14:textId="77777777" w:rsidTr="008A33DA">
        <w:trPr>
          <w:trHeight w:val="288"/>
        </w:trPr>
        <w:tc>
          <w:tcPr>
            <w:tcW w:w="1610" w:type="dxa"/>
            <w:shd w:val="clear" w:color="auto" w:fill="auto"/>
            <w:noWrap/>
            <w:vAlign w:val="bottom"/>
            <w:hideMark/>
          </w:tcPr>
          <w:p w14:paraId="48A1D77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rRNA</w:t>
            </w:r>
          </w:p>
        </w:tc>
        <w:tc>
          <w:tcPr>
            <w:tcW w:w="7400" w:type="dxa"/>
            <w:shd w:val="clear" w:color="auto" w:fill="auto"/>
            <w:noWrap/>
            <w:vAlign w:val="bottom"/>
            <w:hideMark/>
          </w:tcPr>
          <w:p w14:paraId="03D41A5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Ribosomal ribonucleic acid</w:t>
            </w:r>
          </w:p>
        </w:tc>
      </w:tr>
      <w:tr w:rsidR="00274061" w:rsidRPr="00216965" w14:paraId="2CAE8997" w14:textId="77777777" w:rsidTr="008A33DA">
        <w:trPr>
          <w:trHeight w:val="288"/>
        </w:trPr>
        <w:tc>
          <w:tcPr>
            <w:tcW w:w="1610" w:type="dxa"/>
            <w:shd w:val="clear" w:color="auto" w:fill="auto"/>
            <w:noWrap/>
            <w:vAlign w:val="bottom"/>
            <w:hideMark/>
          </w:tcPr>
          <w:p w14:paraId="29507FE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SA</w:t>
            </w:r>
          </w:p>
        </w:tc>
        <w:tc>
          <w:tcPr>
            <w:tcW w:w="7400" w:type="dxa"/>
            <w:shd w:val="clear" w:color="auto" w:fill="auto"/>
            <w:noWrap/>
            <w:vAlign w:val="bottom"/>
            <w:hideMark/>
          </w:tcPr>
          <w:p w14:paraId="1047C71E"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Surface area</w:t>
            </w:r>
          </w:p>
        </w:tc>
      </w:tr>
      <w:tr w:rsidR="00274061" w:rsidRPr="00216965" w14:paraId="773FBF86" w14:textId="77777777" w:rsidTr="008A33DA">
        <w:trPr>
          <w:trHeight w:val="288"/>
        </w:trPr>
        <w:tc>
          <w:tcPr>
            <w:tcW w:w="1610" w:type="dxa"/>
            <w:shd w:val="clear" w:color="auto" w:fill="auto"/>
            <w:noWrap/>
            <w:vAlign w:val="bottom"/>
            <w:hideMark/>
          </w:tcPr>
          <w:p w14:paraId="3EE1287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SDG</w:t>
            </w:r>
          </w:p>
        </w:tc>
        <w:tc>
          <w:tcPr>
            <w:tcW w:w="7400" w:type="dxa"/>
            <w:shd w:val="clear" w:color="auto" w:fill="auto"/>
            <w:noWrap/>
            <w:vAlign w:val="bottom"/>
            <w:hideMark/>
          </w:tcPr>
          <w:p w14:paraId="5EDA496D"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Sustainable development goal</w:t>
            </w:r>
          </w:p>
        </w:tc>
      </w:tr>
      <w:tr w:rsidR="00274061" w:rsidRPr="00216965" w14:paraId="4FD75F8A" w14:textId="77777777" w:rsidTr="008A33DA">
        <w:trPr>
          <w:trHeight w:val="288"/>
        </w:trPr>
        <w:tc>
          <w:tcPr>
            <w:tcW w:w="1610" w:type="dxa"/>
            <w:shd w:val="clear" w:color="auto" w:fill="auto"/>
            <w:noWrap/>
            <w:vAlign w:val="bottom"/>
            <w:hideMark/>
          </w:tcPr>
          <w:p w14:paraId="63A36B3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SEM</w:t>
            </w:r>
          </w:p>
        </w:tc>
        <w:tc>
          <w:tcPr>
            <w:tcW w:w="7400" w:type="dxa"/>
            <w:shd w:val="clear" w:color="auto" w:fill="auto"/>
            <w:noWrap/>
            <w:vAlign w:val="bottom"/>
            <w:hideMark/>
          </w:tcPr>
          <w:p w14:paraId="0F5520C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Scanning electron microscopy</w:t>
            </w:r>
          </w:p>
        </w:tc>
      </w:tr>
      <w:tr w:rsidR="00274061" w:rsidRPr="00216965" w14:paraId="47176CC8" w14:textId="77777777" w:rsidTr="008A33DA">
        <w:trPr>
          <w:trHeight w:val="288"/>
        </w:trPr>
        <w:tc>
          <w:tcPr>
            <w:tcW w:w="1610" w:type="dxa"/>
            <w:shd w:val="clear" w:color="auto" w:fill="auto"/>
            <w:noWrap/>
            <w:vAlign w:val="bottom"/>
            <w:hideMark/>
          </w:tcPr>
          <w:p w14:paraId="1479048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SEM-EDX</w:t>
            </w:r>
          </w:p>
        </w:tc>
        <w:tc>
          <w:tcPr>
            <w:tcW w:w="7400" w:type="dxa"/>
            <w:shd w:val="clear" w:color="auto" w:fill="auto"/>
            <w:noWrap/>
            <w:vAlign w:val="bottom"/>
            <w:hideMark/>
          </w:tcPr>
          <w:p w14:paraId="01AF8F4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Scanning electron microscopy coupled with Energy Dispersive X-Ray Spectroscopy</w:t>
            </w:r>
          </w:p>
        </w:tc>
      </w:tr>
      <w:tr w:rsidR="00274061" w:rsidRPr="00216965" w14:paraId="14CFF7DF" w14:textId="77777777" w:rsidTr="008A33DA">
        <w:trPr>
          <w:trHeight w:val="288"/>
        </w:trPr>
        <w:tc>
          <w:tcPr>
            <w:tcW w:w="1610" w:type="dxa"/>
            <w:shd w:val="clear" w:color="auto" w:fill="auto"/>
            <w:noWrap/>
            <w:vAlign w:val="bottom"/>
            <w:hideMark/>
          </w:tcPr>
          <w:p w14:paraId="68B50907"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SGVs</w:t>
            </w:r>
          </w:p>
        </w:tc>
        <w:tc>
          <w:tcPr>
            <w:tcW w:w="7400" w:type="dxa"/>
            <w:shd w:val="clear" w:color="auto" w:fill="auto"/>
            <w:noWrap/>
            <w:vAlign w:val="bottom"/>
            <w:hideMark/>
          </w:tcPr>
          <w:p w14:paraId="0428304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Soil guideline values</w:t>
            </w:r>
          </w:p>
        </w:tc>
      </w:tr>
      <w:tr w:rsidR="00274061" w:rsidRPr="00216965" w14:paraId="2AAAD6B1" w14:textId="77777777" w:rsidTr="008A33DA">
        <w:trPr>
          <w:trHeight w:val="288"/>
        </w:trPr>
        <w:tc>
          <w:tcPr>
            <w:tcW w:w="1610" w:type="dxa"/>
            <w:shd w:val="clear" w:color="auto" w:fill="auto"/>
            <w:noWrap/>
            <w:vAlign w:val="bottom"/>
            <w:hideMark/>
          </w:tcPr>
          <w:p w14:paraId="0964D9B7"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SIR</w:t>
            </w:r>
          </w:p>
        </w:tc>
        <w:tc>
          <w:tcPr>
            <w:tcW w:w="7400" w:type="dxa"/>
            <w:shd w:val="clear" w:color="auto" w:fill="auto"/>
            <w:noWrap/>
            <w:vAlign w:val="bottom"/>
            <w:hideMark/>
          </w:tcPr>
          <w:p w14:paraId="7D0101B1"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Substrate-induced respiration</w:t>
            </w:r>
          </w:p>
        </w:tc>
      </w:tr>
      <w:tr w:rsidR="00274061" w:rsidRPr="00216965" w14:paraId="0899E29A" w14:textId="77777777" w:rsidTr="008A33DA">
        <w:trPr>
          <w:trHeight w:val="288"/>
        </w:trPr>
        <w:tc>
          <w:tcPr>
            <w:tcW w:w="1610" w:type="dxa"/>
            <w:shd w:val="clear" w:color="auto" w:fill="auto"/>
            <w:noWrap/>
            <w:vAlign w:val="bottom"/>
            <w:hideMark/>
          </w:tcPr>
          <w:p w14:paraId="76FB13A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SOC</w:t>
            </w:r>
          </w:p>
        </w:tc>
        <w:tc>
          <w:tcPr>
            <w:tcW w:w="7400" w:type="dxa"/>
            <w:shd w:val="clear" w:color="auto" w:fill="auto"/>
            <w:noWrap/>
            <w:vAlign w:val="bottom"/>
            <w:hideMark/>
          </w:tcPr>
          <w:p w14:paraId="192DAEDC"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Soil organic carbon</w:t>
            </w:r>
          </w:p>
        </w:tc>
      </w:tr>
      <w:tr w:rsidR="00274061" w:rsidRPr="00216965" w14:paraId="7D1D55D5" w14:textId="77777777" w:rsidTr="008A33DA">
        <w:trPr>
          <w:trHeight w:val="288"/>
        </w:trPr>
        <w:tc>
          <w:tcPr>
            <w:tcW w:w="1610" w:type="dxa"/>
            <w:shd w:val="clear" w:color="auto" w:fill="auto"/>
            <w:noWrap/>
            <w:vAlign w:val="bottom"/>
            <w:hideMark/>
          </w:tcPr>
          <w:p w14:paraId="1296D5A9"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SPAD</w:t>
            </w:r>
          </w:p>
        </w:tc>
        <w:tc>
          <w:tcPr>
            <w:tcW w:w="7400" w:type="dxa"/>
            <w:shd w:val="clear" w:color="auto" w:fill="auto"/>
            <w:noWrap/>
            <w:vAlign w:val="bottom"/>
            <w:hideMark/>
          </w:tcPr>
          <w:p w14:paraId="3F8F723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Non-destructive measurement of chlorophyll content from the last expanded leaf</w:t>
            </w:r>
          </w:p>
        </w:tc>
      </w:tr>
      <w:tr w:rsidR="00274061" w:rsidRPr="00216965" w14:paraId="1D49CD8D" w14:textId="77777777" w:rsidTr="008A33DA">
        <w:trPr>
          <w:trHeight w:val="288"/>
        </w:trPr>
        <w:tc>
          <w:tcPr>
            <w:tcW w:w="1610" w:type="dxa"/>
            <w:shd w:val="clear" w:color="auto" w:fill="auto"/>
            <w:noWrap/>
            <w:vAlign w:val="bottom"/>
            <w:hideMark/>
          </w:tcPr>
          <w:p w14:paraId="6972D2D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TC</w:t>
            </w:r>
          </w:p>
        </w:tc>
        <w:tc>
          <w:tcPr>
            <w:tcW w:w="7400" w:type="dxa"/>
            <w:shd w:val="clear" w:color="auto" w:fill="auto"/>
            <w:noWrap/>
            <w:vAlign w:val="bottom"/>
            <w:hideMark/>
          </w:tcPr>
          <w:p w14:paraId="7510B702"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Total carbon content</w:t>
            </w:r>
          </w:p>
        </w:tc>
      </w:tr>
      <w:tr w:rsidR="00274061" w:rsidRPr="00216965" w14:paraId="51E2663D" w14:textId="77777777" w:rsidTr="008A33DA">
        <w:trPr>
          <w:trHeight w:val="288"/>
        </w:trPr>
        <w:tc>
          <w:tcPr>
            <w:tcW w:w="1610" w:type="dxa"/>
            <w:shd w:val="clear" w:color="auto" w:fill="auto"/>
            <w:noWrap/>
            <w:vAlign w:val="bottom"/>
            <w:hideMark/>
          </w:tcPr>
          <w:p w14:paraId="335F5D96"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VM</w:t>
            </w:r>
          </w:p>
        </w:tc>
        <w:tc>
          <w:tcPr>
            <w:tcW w:w="7400" w:type="dxa"/>
            <w:shd w:val="clear" w:color="auto" w:fill="auto"/>
            <w:noWrap/>
            <w:vAlign w:val="bottom"/>
            <w:hideMark/>
          </w:tcPr>
          <w:p w14:paraId="6C96024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Volatile organic matter</w:t>
            </w:r>
          </w:p>
        </w:tc>
      </w:tr>
      <w:tr w:rsidR="00274061" w:rsidRPr="00216965" w14:paraId="0F4629C7" w14:textId="77777777" w:rsidTr="008A33DA">
        <w:trPr>
          <w:trHeight w:val="288"/>
        </w:trPr>
        <w:tc>
          <w:tcPr>
            <w:tcW w:w="1610" w:type="dxa"/>
            <w:shd w:val="clear" w:color="auto" w:fill="auto"/>
            <w:noWrap/>
            <w:vAlign w:val="bottom"/>
            <w:hideMark/>
          </w:tcPr>
          <w:p w14:paraId="75790328"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WHC</w:t>
            </w:r>
          </w:p>
        </w:tc>
        <w:tc>
          <w:tcPr>
            <w:tcW w:w="7400" w:type="dxa"/>
            <w:shd w:val="clear" w:color="auto" w:fill="auto"/>
            <w:noWrap/>
            <w:vAlign w:val="bottom"/>
            <w:hideMark/>
          </w:tcPr>
          <w:p w14:paraId="3E7AFCEF" w14:textId="77777777" w:rsidR="00274061" w:rsidRPr="00216965" w:rsidRDefault="00274061" w:rsidP="00274061">
            <w:pPr>
              <w:spacing w:after="0" w:line="360" w:lineRule="auto"/>
              <w:rPr>
                <w:rFonts w:eastAsia="Times New Roman" w:cs="Times New Roman"/>
                <w:color w:val="000000"/>
                <w:sz w:val="22"/>
                <w:lang w:eastAsia="en-GB"/>
              </w:rPr>
            </w:pPr>
            <w:r w:rsidRPr="00216965">
              <w:rPr>
                <w:rFonts w:eastAsia="Times New Roman" w:cs="Times New Roman"/>
                <w:color w:val="000000"/>
                <w:sz w:val="22"/>
                <w:lang w:eastAsia="en-GB"/>
              </w:rPr>
              <w:t>Water holding capacity</w:t>
            </w:r>
          </w:p>
        </w:tc>
      </w:tr>
    </w:tbl>
    <w:p w14:paraId="3F70AB69" w14:textId="77777777" w:rsidR="009417FD" w:rsidRPr="00216965" w:rsidRDefault="009417FD" w:rsidP="008A33DA">
      <w:pPr>
        <w:autoSpaceDE w:val="0"/>
        <w:autoSpaceDN w:val="0"/>
        <w:adjustRightInd w:val="0"/>
        <w:spacing w:after="0" w:line="240" w:lineRule="auto"/>
        <w:rPr>
          <w:rFonts w:cs="Times New Roman"/>
        </w:rPr>
      </w:pPr>
    </w:p>
    <w:p w14:paraId="2B493828" w14:textId="32FC1D7D" w:rsidR="00580188" w:rsidRPr="00216965" w:rsidRDefault="00580188" w:rsidP="008A33DA">
      <w:pPr>
        <w:autoSpaceDE w:val="0"/>
        <w:autoSpaceDN w:val="0"/>
        <w:adjustRightInd w:val="0"/>
        <w:spacing w:after="0" w:line="240" w:lineRule="auto"/>
        <w:rPr>
          <w:rFonts w:cs="Times New Roman"/>
        </w:rPr>
      </w:pPr>
    </w:p>
    <w:p w14:paraId="0D041EC7" w14:textId="33A5D573" w:rsidR="00580188" w:rsidRPr="00216965" w:rsidRDefault="00580188" w:rsidP="008A33DA">
      <w:pPr>
        <w:autoSpaceDE w:val="0"/>
        <w:autoSpaceDN w:val="0"/>
        <w:adjustRightInd w:val="0"/>
        <w:spacing w:after="0" w:line="240" w:lineRule="auto"/>
        <w:rPr>
          <w:rFonts w:cs="Times New Roman"/>
        </w:rPr>
      </w:pPr>
    </w:p>
    <w:p w14:paraId="7BFA6860" w14:textId="71679B3C" w:rsidR="005563EE" w:rsidRPr="00216965" w:rsidRDefault="005563EE" w:rsidP="008A33DA">
      <w:pPr>
        <w:autoSpaceDE w:val="0"/>
        <w:autoSpaceDN w:val="0"/>
        <w:adjustRightInd w:val="0"/>
        <w:spacing w:after="0" w:line="240" w:lineRule="auto"/>
        <w:rPr>
          <w:rFonts w:cs="Times New Roman"/>
        </w:rPr>
      </w:pPr>
    </w:p>
    <w:p w14:paraId="2EBB5099" w14:textId="630FC48A" w:rsidR="00274061" w:rsidRPr="00216965" w:rsidRDefault="00274061" w:rsidP="008A33DA">
      <w:pPr>
        <w:autoSpaceDE w:val="0"/>
        <w:autoSpaceDN w:val="0"/>
        <w:adjustRightInd w:val="0"/>
        <w:spacing w:after="0" w:line="240" w:lineRule="auto"/>
        <w:rPr>
          <w:rFonts w:cs="Times New Roman"/>
        </w:rPr>
      </w:pPr>
    </w:p>
    <w:p w14:paraId="6EF3BC7E" w14:textId="1793303A" w:rsidR="00274061" w:rsidRPr="00216965" w:rsidRDefault="00274061" w:rsidP="008A33DA">
      <w:pPr>
        <w:autoSpaceDE w:val="0"/>
        <w:autoSpaceDN w:val="0"/>
        <w:adjustRightInd w:val="0"/>
        <w:spacing w:after="0" w:line="240" w:lineRule="auto"/>
        <w:rPr>
          <w:rFonts w:cs="Times New Roman"/>
        </w:rPr>
      </w:pPr>
    </w:p>
    <w:p w14:paraId="04ADDDB1" w14:textId="1D1E80C2" w:rsidR="00274061" w:rsidRPr="00216965" w:rsidRDefault="00274061" w:rsidP="008A33DA">
      <w:pPr>
        <w:autoSpaceDE w:val="0"/>
        <w:autoSpaceDN w:val="0"/>
        <w:adjustRightInd w:val="0"/>
        <w:spacing w:after="0" w:line="240" w:lineRule="auto"/>
        <w:rPr>
          <w:rFonts w:cs="Times New Roman"/>
        </w:rPr>
      </w:pPr>
    </w:p>
    <w:p w14:paraId="363E4175" w14:textId="0D61FB13" w:rsidR="00274061" w:rsidRPr="00216965" w:rsidRDefault="00274061" w:rsidP="008A33DA">
      <w:pPr>
        <w:autoSpaceDE w:val="0"/>
        <w:autoSpaceDN w:val="0"/>
        <w:adjustRightInd w:val="0"/>
        <w:spacing w:after="0" w:line="240" w:lineRule="auto"/>
        <w:rPr>
          <w:rFonts w:cs="Times New Roman"/>
        </w:rPr>
      </w:pPr>
    </w:p>
    <w:p w14:paraId="02E9CC04" w14:textId="5E446D33" w:rsidR="00274061" w:rsidRPr="00216965" w:rsidRDefault="00274061" w:rsidP="008A33DA">
      <w:pPr>
        <w:autoSpaceDE w:val="0"/>
        <w:autoSpaceDN w:val="0"/>
        <w:adjustRightInd w:val="0"/>
        <w:spacing w:after="0" w:line="240" w:lineRule="auto"/>
        <w:rPr>
          <w:rFonts w:cs="Times New Roman"/>
        </w:rPr>
      </w:pPr>
    </w:p>
    <w:p w14:paraId="021E1CC5" w14:textId="03BE6522" w:rsidR="00274061" w:rsidRPr="00216965" w:rsidRDefault="00274061" w:rsidP="008A33DA">
      <w:pPr>
        <w:autoSpaceDE w:val="0"/>
        <w:autoSpaceDN w:val="0"/>
        <w:adjustRightInd w:val="0"/>
        <w:spacing w:after="0" w:line="240" w:lineRule="auto"/>
        <w:rPr>
          <w:rFonts w:cs="Times New Roman"/>
        </w:rPr>
      </w:pPr>
    </w:p>
    <w:p w14:paraId="3A3A81FF" w14:textId="7199F9C3" w:rsidR="004D5278" w:rsidRPr="00216965" w:rsidRDefault="004D5278" w:rsidP="008A33DA">
      <w:pPr>
        <w:autoSpaceDE w:val="0"/>
        <w:autoSpaceDN w:val="0"/>
        <w:adjustRightInd w:val="0"/>
        <w:spacing w:after="0" w:line="240" w:lineRule="auto"/>
        <w:rPr>
          <w:rFonts w:cs="Times New Roman"/>
        </w:rPr>
      </w:pPr>
    </w:p>
    <w:p w14:paraId="3B0F9DC9" w14:textId="6124E9E1" w:rsidR="004D5278" w:rsidRPr="00216965" w:rsidRDefault="004D5278" w:rsidP="008A33DA">
      <w:pPr>
        <w:autoSpaceDE w:val="0"/>
        <w:autoSpaceDN w:val="0"/>
        <w:adjustRightInd w:val="0"/>
        <w:spacing w:after="0" w:line="240" w:lineRule="auto"/>
        <w:rPr>
          <w:rFonts w:cs="Times New Roman"/>
        </w:rPr>
      </w:pPr>
    </w:p>
    <w:p w14:paraId="602D4FFA" w14:textId="45621199" w:rsidR="004D5278" w:rsidRPr="00216965" w:rsidRDefault="004D5278" w:rsidP="008A33DA">
      <w:pPr>
        <w:autoSpaceDE w:val="0"/>
        <w:autoSpaceDN w:val="0"/>
        <w:adjustRightInd w:val="0"/>
        <w:spacing w:after="0" w:line="240" w:lineRule="auto"/>
        <w:rPr>
          <w:rFonts w:cs="Times New Roman"/>
        </w:rPr>
      </w:pPr>
    </w:p>
    <w:p w14:paraId="5E49E403" w14:textId="53BD213A" w:rsidR="004D5278" w:rsidRPr="00216965" w:rsidRDefault="004D5278" w:rsidP="008A33DA">
      <w:pPr>
        <w:autoSpaceDE w:val="0"/>
        <w:autoSpaceDN w:val="0"/>
        <w:adjustRightInd w:val="0"/>
        <w:spacing w:after="0" w:line="240" w:lineRule="auto"/>
        <w:rPr>
          <w:rFonts w:cs="Times New Roman"/>
        </w:rPr>
      </w:pPr>
    </w:p>
    <w:p w14:paraId="19B09B9E" w14:textId="274EC54E" w:rsidR="004D5278" w:rsidRPr="00216965" w:rsidRDefault="004D5278" w:rsidP="008A33DA">
      <w:pPr>
        <w:autoSpaceDE w:val="0"/>
        <w:autoSpaceDN w:val="0"/>
        <w:adjustRightInd w:val="0"/>
        <w:spacing w:after="0" w:line="240" w:lineRule="auto"/>
        <w:rPr>
          <w:rFonts w:cs="Times New Roman"/>
        </w:rPr>
      </w:pPr>
    </w:p>
    <w:p w14:paraId="13F41110" w14:textId="153F507B" w:rsidR="004D5278" w:rsidRPr="00216965" w:rsidRDefault="004D5278" w:rsidP="008A33DA">
      <w:pPr>
        <w:autoSpaceDE w:val="0"/>
        <w:autoSpaceDN w:val="0"/>
        <w:adjustRightInd w:val="0"/>
        <w:spacing w:after="0" w:line="240" w:lineRule="auto"/>
        <w:rPr>
          <w:rFonts w:cs="Times New Roman"/>
        </w:rPr>
      </w:pPr>
    </w:p>
    <w:p w14:paraId="65940FE4" w14:textId="77777777" w:rsidR="00FA639F" w:rsidRPr="00216965" w:rsidRDefault="00FA639F" w:rsidP="008A33DA">
      <w:pPr>
        <w:autoSpaceDE w:val="0"/>
        <w:autoSpaceDN w:val="0"/>
        <w:adjustRightInd w:val="0"/>
        <w:spacing w:after="0" w:line="240" w:lineRule="auto"/>
        <w:rPr>
          <w:rFonts w:cs="Times New Roman"/>
        </w:rPr>
        <w:sectPr w:rsidR="00FA639F" w:rsidRPr="00216965" w:rsidSect="00566DBB">
          <w:footerReference w:type="default" r:id="rId12"/>
          <w:pgSz w:w="11906" w:h="16838"/>
          <w:pgMar w:top="1417" w:right="1701" w:bottom="1417" w:left="1701" w:header="708" w:footer="708" w:gutter="0"/>
          <w:pgNumType w:fmt="lowerRoman" w:start="1"/>
          <w:cols w:space="720"/>
        </w:sectPr>
      </w:pPr>
    </w:p>
    <w:p w14:paraId="44E11542" w14:textId="77777777" w:rsidR="00632101" w:rsidRPr="00216965" w:rsidRDefault="00632101" w:rsidP="008A33DA">
      <w:pPr>
        <w:pStyle w:val="Heading1"/>
      </w:pPr>
      <w:bookmarkStart w:id="7" w:name="_Toc86504617"/>
      <w:r w:rsidRPr="00216965">
        <w:lastRenderedPageBreak/>
        <w:t>General Introduction</w:t>
      </w:r>
      <w:bookmarkEnd w:id="7"/>
    </w:p>
    <w:p w14:paraId="09F96A82" w14:textId="77777777" w:rsidR="00632101" w:rsidRPr="00216965" w:rsidRDefault="00632101" w:rsidP="008A33DA"/>
    <w:p w14:paraId="4077B56C" w14:textId="77777777" w:rsidR="00632101" w:rsidRPr="00216965" w:rsidRDefault="00632101" w:rsidP="008A33DA">
      <w:pPr>
        <w:pStyle w:val="Heading2"/>
      </w:pPr>
      <w:bookmarkStart w:id="8" w:name="_Toc86504618"/>
      <w:r w:rsidRPr="00216965">
        <w:t>Background</w:t>
      </w:r>
      <w:bookmarkEnd w:id="8"/>
    </w:p>
    <w:p w14:paraId="3DEB48ED" w14:textId="6ED6D7FB" w:rsidR="00FD5FFA" w:rsidRPr="00216965" w:rsidRDefault="00632101" w:rsidP="008A33DA">
      <w:pPr>
        <w:spacing w:line="360" w:lineRule="auto"/>
        <w:jc w:val="both"/>
        <w:rPr>
          <w:lang w:val="en-US"/>
        </w:rPr>
      </w:pPr>
      <w:r w:rsidRPr="00216965">
        <w:t>L</w:t>
      </w:r>
      <w:r w:rsidRPr="00216965">
        <w:rPr>
          <w:lang w:val="en-US"/>
        </w:rPr>
        <w:t xml:space="preserve">and and soil are essential to sustain life on our planet. “It is on land that we produce most of our food and we build our homes, we cannot live without healthy land and soil” </w:t>
      </w:r>
      <w:r w:rsidRPr="00216965">
        <w:rPr>
          <w:lang w:val="en-US"/>
        </w:rPr>
        <w:fldChar w:fldCharType="begin" w:fldLock="1"/>
      </w:r>
      <w:r w:rsidR="00F56BD7" w:rsidRPr="00216965">
        <w:rPr>
          <w:lang w:val="en-US"/>
        </w:rPr>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2019)","plainTextFormattedCitation":"(Bruyninckx, 2019)","previouslyFormattedCitation":"(Bruyninckx, 2019)"},"properties":{"noteIndex":0},"schema":"https://github.com/citation-style-language/schema/raw/master/csl-citation.json"}</w:instrText>
      </w:r>
      <w:r w:rsidRPr="00216965">
        <w:rPr>
          <w:lang w:val="en-US"/>
        </w:rPr>
        <w:fldChar w:fldCharType="separate"/>
      </w:r>
      <w:r w:rsidR="00330A4F" w:rsidRPr="00216965">
        <w:rPr>
          <w:noProof/>
          <w:lang w:val="en-US"/>
        </w:rPr>
        <w:t>(Bruyninckx, 2019)</w:t>
      </w:r>
      <w:r w:rsidRPr="00216965">
        <w:rPr>
          <w:lang w:val="en-US"/>
        </w:rPr>
        <w:fldChar w:fldCharType="end"/>
      </w:r>
      <w:r w:rsidRPr="00216965">
        <w:rPr>
          <w:lang w:val="en-US"/>
        </w:rPr>
        <w:t xml:space="preserve">. However, </w:t>
      </w:r>
      <w:r w:rsidRPr="00216965">
        <w:t xml:space="preserve">worldwide changes in land-use, driven by the need to provide goods and services to an increasing population have caused extensive environmental damage </w:t>
      </w:r>
      <w:r w:rsidRPr="00216965">
        <w:fldChar w:fldCharType="begin" w:fldLock="1"/>
      </w:r>
      <w:r w:rsidR="006C06AA" w:rsidRPr="00216965">
        <w:instrText>ADDIN CSL_CITATION {"citationItems":[{"id":"ITEM-1","itemData":{"DOI":"10.1126/science.1111772","author":[{"dropping-particle":"","family":"Foley","given":"Jonathan A","non-dropping-particle":"","parse-names":false,"suffix":""},{"dropping-particle":"","family":"Defries","given":"Ruth","non-dropping-particle":"","parse-names":false,"suffix":""},{"dropping-particle":"","family":"Asner","given":"Gregory P","non-dropping-particle":"","parse-names":false,"suffix":""},{"dropping-particle":"","family":"Barford","given":"Carol","non-dropping-particle":"","parse-names":false,"suffix":""},{"dropping-particle":"","family":"Bonan","given":"Gordon","non-dropping-particle":"","parse-names":false,"suffix":""},{"dropping-particle":"","family":"Carpenter","given":"Stephen R","non-dropping-particle":"","parse-names":false,"suffix":""},{"dropping-particle":"","family":"Chapin","given":"F Stuart","non-dropping-particle":"","parse-names":false,"suffix":""},{"dropping-particle":"","family":"Coe","given":"Michael T","non-dropping-particle":"","parse-names":false,"suffix":""},{"dropping-particle":"","family":"Daily","given":"Gretchen C","non-dropping-particle":"","parse-names":false,"suffix":""},{"dropping-particle":"","family":"Gibbs","given":"Holly K","non-dropping-particle":"","parse-names":false,"suffix":""},{"dropping-particle":"","family":"Helkowski","given":"Joseph H","non-dropping-particle":"","parse-names":false,"suffix":""},{"dropping-particle":"","family":"Holloway","given":"Tracey","non-dropping-particle":"","parse-names":false,"suffix":""},{"dropping-particle":"","family":"Howard","given":"Erica A","non-dropping-particle":"","parse-names":false,"suffix":""},{"dropping-particle":"","family":"Kucharik","given":"Christopher J","non-dropping-particle":"","parse-names":false,"suffix":""},{"dropping-particle":"","family":"Monfreda","given":"Chad","non-dropping-particle":"","parse-names":false,"suffix":""},{"dropping-particle":"","family":"Patz","given":"Jonathan A","non-dropping-particle":"","parse-names":false,"suffix":""},{"dropping-particle":"","family":"Prentice","given":"I Colin","non-dropping-particle":"","parse-names":false,"suffix":""},{"dropping-particle":"","family":"Ramankutty","given":"Navin","non-dropping-particle":"","parse-names":false,"suffix":""},{"dropping-particle":"","family":"Snyder","given":"Peter K","non-dropping-particle":"","parse-names":false,"suffix":""}],"container-title":"Science","id":"ITEM-1","issued":{"date-parts":[["2005"]]},"page":"570-574","title":"Global consequences of land use","type":"article-journal","volume":"309"},"uris":["http://www.mendeley.com/documents/?uuid=c7a95947-2e16-4cff-950c-ecdcaffe309e"]}],"mendeley":{"formattedCitation":"(Foley et al., 2005)","plainTextFormattedCitation":"(Foley et al., 2005)","previouslyFormattedCitation":"(Foley et al., 2005)"},"properties":{"noteIndex":0},"schema":"https://github.com/citation-style-language/schema/raw/master/csl-citation.json"}</w:instrText>
      </w:r>
      <w:r w:rsidRPr="00216965">
        <w:fldChar w:fldCharType="separate"/>
      </w:r>
      <w:r w:rsidR="00C83E62" w:rsidRPr="00216965">
        <w:rPr>
          <w:noProof/>
        </w:rPr>
        <w:t>(Foley et al., 2005)</w:t>
      </w:r>
      <w:r w:rsidRPr="00216965">
        <w:fldChar w:fldCharType="end"/>
      </w:r>
      <w:r w:rsidRPr="00216965">
        <w:rPr>
          <w:lang w:val="en-US"/>
        </w:rPr>
        <w:t xml:space="preserve">. Many sectors, including industry, agriculture, households and even waste water treatment release pollutants to land and soil, which can significantly impact ecosystems </w:t>
      </w:r>
      <w:r w:rsidRPr="00216965">
        <w:rPr>
          <w:lang w:val="en-US"/>
        </w:rPr>
        <w:fldChar w:fldCharType="begin" w:fldLock="1"/>
      </w:r>
      <w:r w:rsidR="00F56BD7" w:rsidRPr="00216965">
        <w:rPr>
          <w:lang w:val="en-US"/>
        </w:rPr>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2019)","manualFormatting":"(EEA, 2019)","plainTextFormattedCitation":"(Bruyninckx, 2019)","previouslyFormattedCitation":"(Bruyninckx, 2019)"},"properties":{"noteIndex":0},"schema":"https://github.com/citation-style-language/schema/raw/master/csl-citation.json"}</w:instrText>
      </w:r>
      <w:r w:rsidRPr="00216965">
        <w:rPr>
          <w:lang w:val="en-US"/>
        </w:rPr>
        <w:fldChar w:fldCharType="separate"/>
      </w:r>
      <w:r w:rsidRPr="00216965">
        <w:rPr>
          <w:noProof/>
          <w:lang w:val="en-US"/>
        </w:rPr>
        <w:t>(EEA, 2019)</w:t>
      </w:r>
      <w:r w:rsidRPr="00216965">
        <w:rPr>
          <w:lang w:val="en-US"/>
        </w:rPr>
        <w:fldChar w:fldCharType="end"/>
      </w:r>
      <w:r w:rsidRPr="00216965">
        <w:rPr>
          <w:lang w:val="en-US"/>
        </w:rPr>
        <w:t>.</w:t>
      </w:r>
    </w:p>
    <w:p w14:paraId="4B77D2EA" w14:textId="612EB3F9" w:rsidR="00632101" w:rsidRPr="00216965" w:rsidRDefault="00632101" w:rsidP="008A33DA">
      <w:pPr>
        <w:spacing w:line="360" w:lineRule="auto"/>
        <w:jc w:val="both"/>
      </w:pPr>
      <w:r w:rsidRPr="00216965">
        <w:rPr>
          <w:lang w:val="en-US"/>
        </w:rPr>
        <w:t xml:space="preserve">In Europe, soil contamination was reported to be around 2.5 million potentially contaminated sites in 2011, with an estimated annual cost due to soil degradation between €2.4 billion and €17.3 billion. Heavy metals (HM), also known as potentially toxic elements (PTEs), are reported as the most frequent soil contaminants according to the </w:t>
      </w:r>
      <w:r w:rsidRPr="00216965">
        <w:rPr>
          <w:lang w:val="en-US"/>
        </w:rPr>
        <w:fldChar w:fldCharType="begin" w:fldLock="1"/>
      </w:r>
      <w:r w:rsidR="00F56BD7" w:rsidRPr="00216965">
        <w:rPr>
          <w:lang w:val="en-US"/>
        </w:rPr>
        <w:instrText>ADDIN CSL_CITATION {"citationItems":[{"id":"ITEM-1","itemData":{"abstract":"Soil contamination requiring clean up is present at approximately 250000 sites in the EEA member countries, according to recent estimates. And this number is expected to grow. Potentially polluting activities are estimated to have occurred at nearly 3 million sites (including the 250000 sites already mentioned) and investigation is needed to establish whether remediation is required. If current investigation trends continue, the number of sites needing remediation will increase by 50% by 2025. By contrast, more than 80000 sites have been cleaned up in the last 30 years in the countries where data on remediation is available. Although the range of polluting activities (and their relative importance as localised sources of soil contamination) may vary considerably across Europe, industrial and commercial activities as well as the treatment and disposal of waste are reported to be the most important sources. National reports indicate that heavy metals and mineral oil are the most frequent soil contaminants at investigated sites, while mineral oil and chlorinated hydrocarbons are the most frequent contaminants found in groundwater. A considerable share of remediation expenditure, about 35% on average, comes from public budgets. Although considerable efforts have been made already, it will take decades to clean up a legacy of contamination.","author":[{"dropping-particle":"","family":"EEA","given":"","non-dropping-particle":"","parse-names":false,"suffix":""}],"id":"ITEM-1","issued":{"date-parts":[["2014"]]},"page":"1-51","title":"Progress in management of contaminated sites - Indicator Assessment | Data and maps","type":"article-journal"},"uris":["http://www.mendeley.com/documents/?uuid=7c10cc44-d7d1-45d0-baab-c3cbf2894364"]}],"mendeley":{"formattedCitation":"(EEA, 2014)","manualFormatting":"EEA (2014)","plainTextFormattedCitation":"(EEA, 2014)","previouslyFormattedCitation":"(EEA, 2014)"},"properties":{"noteIndex":0},"schema":"https://github.com/citation-style-language/schema/raw/master/csl-citation.json"}</w:instrText>
      </w:r>
      <w:r w:rsidRPr="00216965">
        <w:rPr>
          <w:lang w:val="en-US"/>
        </w:rPr>
        <w:fldChar w:fldCharType="separate"/>
      </w:r>
      <w:r w:rsidRPr="00216965">
        <w:rPr>
          <w:noProof/>
          <w:lang w:val="en-US"/>
        </w:rPr>
        <w:t>E</w:t>
      </w:r>
      <w:bookmarkStart w:id="9" w:name="_Hlk82686089"/>
      <w:r w:rsidRPr="00216965">
        <w:rPr>
          <w:noProof/>
          <w:lang w:val="en-US"/>
        </w:rPr>
        <w:t>EA (2014)</w:t>
      </w:r>
      <w:bookmarkEnd w:id="9"/>
      <w:r w:rsidRPr="00216965">
        <w:rPr>
          <w:lang w:val="en-US"/>
        </w:rPr>
        <w:fldChar w:fldCharType="end"/>
      </w:r>
      <w:r w:rsidRPr="00216965">
        <w:rPr>
          <w:lang w:val="en-US"/>
        </w:rPr>
        <w:t>. At trace quantities (&lt;0.1%) some HM such as Fe, Cu and Zn are essential micronutrients for plants and microorganisms (&lt;50 mg.g</w:t>
      </w:r>
      <w:r w:rsidR="008A33DA" w:rsidRPr="00216965">
        <w:rPr>
          <w:vertAlign w:val="superscript"/>
          <w:lang w:val="en-US"/>
        </w:rPr>
        <w:t>-</w:t>
      </w:r>
      <w:r w:rsidRPr="00216965">
        <w:rPr>
          <w:vertAlign w:val="superscript"/>
          <w:lang w:val="en-US"/>
        </w:rPr>
        <w:t>1</w:t>
      </w:r>
      <w:r w:rsidRPr="00216965">
        <w:rPr>
          <w:lang w:val="en-US"/>
        </w:rPr>
        <w:t xml:space="preserve"> in the plant) </w:t>
      </w:r>
      <w:r w:rsidRPr="00216965">
        <w:rPr>
          <w:rFonts w:cs="Times New Roman"/>
          <w:szCs w:val="24"/>
        </w:rPr>
        <w:fldChar w:fldCharType="begin" w:fldLock="1"/>
      </w:r>
      <w:r w:rsidR="006C06AA" w:rsidRPr="00216965">
        <w:rPr>
          <w:rFonts w:cs="Times New Roman"/>
          <w:szCs w:val="24"/>
        </w:rPr>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Chemistry","type":"book"},"uris":["http://www.mendeley.com/documents/?uuid=2e8cdb2d-9122-4c0b-8580-27a612fa364d"]},{"id":"ITEM-2","itemData":{"DOI":"10.1007/s10311-010-0297-8","ISBN":"1610-3653","ISSN":"16103653","abstract":"Metal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Letters","id":"ITEM-2","issue":"3","issued":{"date-parts":[["2010"]]},"page":"199-216","title":"Heavy metals, occurrence and toxicity for plants: A review","type":"article-journal","volume":"8"},"uris":["http://www.mendeley.com/documents/?uuid=c3cf0d3a-0f37-4d68-898c-8d5404c4a140"]}],"mendeley":{"formattedCitation":"(Nagajyoti et al., 2010; Sparks, 2003)","plainTextFormattedCitation":"(Nagajyoti et al., 2010; Sparks, 2003)","previouslyFormattedCitation":"(Nagajyoti et al., 2010; Sparks, 2003)"},"properties":{"noteIndex":0},"schema":"https://github.com/citation-style-language/schema/raw/master/csl-citation.json"}</w:instrText>
      </w:r>
      <w:r w:rsidRPr="00216965">
        <w:rPr>
          <w:rFonts w:cs="Times New Roman"/>
          <w:szCs w:val="24"/>
        </w:rPr>
        <w:fldChar w:fldCharType="separate"/>
      </w:r>
      <w:r w:rsidR="001974AA" w:rsidRPr="00216965">
        <w:rPr>
          <w:rFonts w:cs="Times New Roman"/>
          <w:noProof/>
          <w:szCs w:val="24"/>
        </w:rPr>
        <w:t>(Nagajyoti et al., 2010; Sparks, 2003)</w:t>
      </w:r>
      <w:r w:rsidRPr="00216965">
        <w:rPr>
          <w:rFonts w:cs="Times New Roman"/>
          <w:szCs w:val="24"/>
        </w:rPr>
        <w:fldChar w:fldCharType="end"/>
      </w:r>
      <w:r w:rsidRPr="00216965">
        <w:rPr>
          <w:lang w:val="en-US"/>
        </w:rPr>
        <w:t>. However, in elevated concentrations (i.e.; Cu &gt; 40, Cd &gt; 1, Zn &gt;150, Pb &gt; 50 mg.kg</w:t>
      </w:r>
      <w:r w:rsidRPr="00216965">
        <w:rPr>
          <w:vertAlign w:val="superscript"/>
          <w:lang w:val="en-US"/>
        </w:rPr>
        <w:t>-1</w:t>
      </w:r>
      <w:r w:rsidRPr="00216965">
        <w:rPr>
          <w:lang w:val="en-US"/>
        </w:rPr>
        <w:t xml:space="preserve"> in soil), they pose a serious threat to the health of natural ecosystems and humans </w:t>
      </w:r>
      <w:r w:rsidRPr="00216965">
        <w:rPr>
          <w:lang w:val="en-US"/>
        </w:rPr>
        <w:fldChar w:fldCharType="begin" w:fldLock="1"/>
      </w:r>
      <w:r w:rsidR="006C06AA" w:rsidRPr="00216965">
        <w:rPr>
          <w:lang w:val="en-US"/>
        </w:rPr>
        <w:instrText>ADDIN CSL_CITATION {"citationItems":[{"id":"ITEM-1","itemData":{"DOI":"10.1016/j.biotechadv.2016.07.003","ISSN":"07349750","abstract":"Heavy metal (HM)-accumulating herbaceous and woody plants are employed for phytoremediation. To develop improved strategies for enhancing phytoremediation efficiency, knowledge of the microstructural, physiological and molecular responses underlying HM-accumulation is required. Here we review the progress in understanding the structural, physiological and molecular mechanisms underlying HM uptake, transport, sequestration and detoxification, as well as the regulation of these processes by signal transduction in response to HM exposure. The significance of genetic engineering for enhancing phytoremediation efficiency is also discussed. In herbaceous plants, HMs are taken up by roots and transported into the root cells via transmembrane carriers for nutritional ions. The HMs absorbed by root cells can be further translocated to the xylem vessels and unloaded into the xylem sap, thereby reaching the aerial parts of plants. HMs can be sequestered in the cell walls, vacuoles and the Golgi apparatuses. Plant roots initially perceive HM stress and trigger the signal transduction, thereby mediating changes at the molecular, physiological, and microstructural level. Signaling molecules such as phytohormones, reactive oxygen species (ROS) and nitric oxide (NO), modulate plant responses to HMs via differentially expressed genes, activation of the antioxidative system and coordinated cross talk among different signaling molecules. A number of genes participated in HM uptake, transport, sequestration and detoxification have been functionally characterized and transformed to target plants for enhancing phytoremediation efficiency. Fast growing woody plants hold an advantage over herbaceous plants for phytoremediation in terms of accumulation of high HM-amounts in their large biomass. Presumably, woody plants accumulate HMs using similar mechanisms as herbaceous counterparts, but the processes of HM accumulation and signal transduction can be more complex in woody plants.","author":[{"dropping-particle":"Bin","family":"Luo","given":"Zhi","non-dropping-particle":"","parse-names":false,"suffix":""},{"dropping-particle":"","family":"He","given":"Jiali","non-dropping-particle":"","parse-names":false,"suffix":""},{"dropping-particle":"","family":"Polle","given":"Andrea","non-dropping-particle":"","parse-names":false,"suffix":""},{"dropping-particle":"","family":"Rennenberg","given":"Heinz","non-dropping-particle":"","parse-names":false,"suffix":""}],"container-title":"Biotechnology Advances","id":"ITEM-1","issue":"6","issued":{"date-parts":[["2016","11","1"]]},"page":"1131-1148","publisher":"Elsevier Inc.","title":"Heavy metal accumulation and signal transduction in herbaceous and woody plants: Paving the way for enhancing phytoremediation efficiency","type":"article-journal","volume":"34"},"uris":["http://www.mendeley.com/documents/?uuid=c23a62b3-128a-3e84-a581-795f46d6d994"]},{"id":"ITEM-2","itemData":{"DOI":"10.1007/s10653-015-9695-y","ISBN":"1065301596","ISSN":"15732983","PMID":"25841357","abstract":"Worldwide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Health","id":"ITEM-2","issue":"6","issued":{"date-parts":[["2015"]]},"page":"1041-1061","publisher":"Springer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 Luo et al., 2016)","plainTextFormattedCitation":"(Kim et al., 2015; Luo et al., 2016)","previouslyFormattedCitation":"(Kim et al., 2015; Luo et al., 2016)"},"properties":{"noteIndex":0},"schema":"https://github.com/citation-style-language/schema/raw/master/csl-citation.json"}</w:instrText>
      </w:r>
      <w:r w:rsidRPr="00216965">
        <w:rPr>
          <w:lang w:val="en-US"/>
        </w:rPr>
        <w:fldChar w:fldCharType="separate"/>
      </w:r>
      <w:r w:rsidR="00C83E62" w:rsidRPr="00216965">
        <w:rPr>
          <w:noProof/>
        </w:rPr>
        <w:t>(Kim et al., 2015; Luo et al., 2016)</w:t>
      </w:r>
      <w:r w:rsidRPr="00216965">
        <w:rPr>
          <w:lang w:val="en-US"/>
        </w:rPr>
        <w:fldChar w:fldCharType="end"/>
      </w:r>
      <w:r w:rsidRPr="00216965">
        <w:rPr>
          <w:lang w:val="en-US"/>
        </w:rPr>
        <w:t>.</w:t>
      </w:r>
    </w:p>
    <w:p w14:paraId="1C2DD4EA" w14:textId="77777777" w:rsidR="00FD5FFA" w:rsidRPr="00216965" w:rsidRDefault="00632101" w:rsidP="008A33DA">
      <w:pPr>
        <w:spacing w:line="360" w:lineRule="auto"/>
        <w:jc w:val="both"/>
        <w:rPr>
          <w:lang w:val="en-US"/>
        </w:rPr>
      </w:pPr>
      <w:r w:rsidRPr="00216965">
        <w:t xml:space="preserve">Soil is a very complex component of land and plays a crucial role in natural cycles, particularly the water cycle and nutrient cycles </w:t>
      </w:r>
      <w:r w:rsidRPr="00216965">
        <w:rPr>
          <w:lang w:val="en-US"/>
        </w:rPr>
        <w:fldChar w:fldCharType="begin" w:fldLock="1"/>
      </w:r>
      <w:r w:rsidR="00F56BD7" w:rsidRPr="00216965">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2019)","manualFormatting":"(EEA, 2019)","plainTextFormattedCitation":"(Bruyninckx, 2019)","previouslyFormattedCitation":"(Bruyninckx, 2019)"},"properties":{"noteIndex":0},"schema":"https://github.com/citation-style-language/schema/raw/master/csl-citation.json"}</w:instrText>
      </w:r>
      <w:r w:rsidRPr="00216965">
        <w:rPr>
          <w:lang w:val="en-US"/>
        </w:rPr>
        <w:fldChar w:fldCharType="separate"/>
      </w:r>
      <w:r w:rsidRPr="00216965">
        <w:rPr>
          <w:noProof/>
          <w:lang w:val="en-US"/>
        </w:rPr>
        <w:t>(EEA, 2019)</w:t>
      </w:r>
      <w:r w:rsidRPr="00216965">
        <w:rPr>
          <w:lang w:val="en-US"/>
        </w:rPr>
        <w:fldChar w:fldCharType="end"/>
      </w:r>
      <w:r w:rsidRPr="00216965">
        <w:rPr>
          <w:lang w:val="en-US"/>
        </w:rPr>
        <w:t xml:space="preserve">. Because of its importance, the protection of soil functions has been included in the global agenda. Some of the Sustainable Development Goals (SDGs) are linked to soil, from clean water and climate change mitigation, to zero hunger. For example, the sustainable development goal (SDG) 15 (Life on Land) aims to achieve a land degradation-neutral world by 2030 </w:t>
      </w:r>
      <w:r w:rsidRPr="00216965">
        <w:rPr>
          <w:lang w:val="en-US"/>
        </w:rPr>
        <w:fldChar w:fldCharType="begin" w:fldLock="1"/>
      </w:r>
      <w:r w:rsidR="00F56BD7" w:rsidRPr="00216965">
        <w:rPr>
          <w:lang w:val="en-US"/>
        </w:rPr>
        <w:instrText>ADDIN CSL_CITATION {"citationItems":[{"id":"ITEM-1","itemData":{"DOI":"accessed 26 July 2015","ISBN":"978-92-1-101284-2","ISSN":"15206882","PMID":"22147689","author":[{"dropping-particle":"","family":"United Nations","given":"","non-dropping-particle":"","parse-names":false,"suffix":""}],"container-title":"United Nations","id":"ITEM-1","issued":{"date-parts":[["2015"]]},"number-of-pages":"2000-2008","publisher-place":"New York","title":"The Millennium Development Goals Report","type":"report"},"uris":["http://www.mendeley.com/documents/?uuid=82e4e5ea-992a-42ae-acd4-8eaf0a3eb0a5"]}],"mendeley":{"formattedCitation":"(United Nations, 2015)","plainTextFormattedCitation":"(United Nations, 2015)","previouslyFormattedCitation":"(United Nations, 2015)"},"properties":{"noteIndex":0},"schema":"https://github.com/citation-style-language/schema/raw/master/csl-citation.json"}</w:instrText>
      </w:r>
      <w:r w:rsidRPr="00216965">
        <w:rPr>
          <w:lang w:val="en-US"/>
        </w:rPr>
        <w:fldChar w:fldCharType="separate"/>
      </w:r>
      <w:r w:rsidR="00330A4F" w:rsidRPr="00216965">
        <w:rPr>
          <w:noProof/>
          <w:lang w:val="en-US"/>
        </w:rPr>
        <w:t>(United Nations, 2015)</w:t>
      </w:r>
      <w:r w:rsidRPr="00216965">
        <w:rPr>
          <w:lang w:val="en-US"/>
        </w:rPr>
        <w:fldChar w:fldCharType="end"/>
      </w:r>
      <w:r w:rsidRPr="00216965">
        <w:rPr>
          <w:lang w:val="en-US"/>
        </w:rPr>
        <w:t xml:space="preserve">. </w:t>
      </w:r>
    </w:p>
    <w:p w14:paraId="4EE33D50" w14:textId="0545840A" w:rsidR="00632101" w:rsidRPr="00216965" w:rsidRDefault="00632101" w:rsidP="008A33DA">
      <w:pPr>
        <w:spacing w:line="360" w:lineRule="auto"/>
        <w:jc w:val="both"/>
        <w:rPr>
          <w:lang w:val="en-US"/>
        </w:rPr>
      </w:pPr>
      <w:r w:rsidRPr="00216965">
        <w:rPr>
          <w:lang w:val="en-US"/>
        </w:rPr>
        <w:t>To succeed in climate change mitigation and adaptation, safeguarding healthy and resilient soil ecosystems is of critical importance. Urgent action is required to achieve sustainable land use and management, including the remediation of contaminated soil to enable reuse and re</w:t>
      </w:r>
      <w:r w:rsidRPr="00216965">
        <w:rPr>
          <w:rFonts w:cs="Times New Roman"/>
          <w:lang w:val="en-US"/>
        </w:rPr>
        <w:t>‑</w:t>
      </w:r>
      <w:r w:rsidRPr="00216965">
        <w:rPr>
          <w:lang w:val="en-US"/>
        </w:rPr>
        <w:t xml:space="preserve">purposing of land already taken and to conserve existing soil </w:t>
      </w:r>
      <w:r w:rsidRPr="00216965">
        <w:rPr>
          <w:lang w:val="en-US"/>
        </w:rPr>
        <w:lastRenderedPageBreak/>
        <w:t xml:space="preserve">resources </w:t>
      </w:r>
      <w:r w:rsidRPr="00216965">
        <w:rPr>
          <w:lang w:val="en-US"/>
        </w:rPr>
        <w:fldChar w:fldCharType="begin" w:fldLock="1"/>
      </w:r>
      <w:r w:rsidR="00F56BD7" w:rsidRPr="00216965">
        <w:rPr>
          <w:lang w:val="en-US"/>
        </w:rPr>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2019)","plainTextFormattedCitation":"(Bruyninckx, 2019)","previouslyFormattedCitation":"(Bruyninckx, 2019)"},"properties":{"noteIndex":0},"schema":"https://github.com/citation-style-language/schema/raw/master/csl-citation.json"}</w:instrText>
      </w:r>
      <w:r w:rsidRPr="00216965">
        <w:rPr>
          <w:lang w:val="en-US"/>
        </w:rPr>
        <w:fldChar w:fldCharType="separate"/>
      </w:r>
      <w:r w:rsidR="00330A4F" w:rsidRPr="00216965">
        <w:rPr>
          <w:noProof/>
          <w:lang w:val="en-US"/>
        </w:rPr>
        <w:t>(Bruyninckx, 2019)</w:t>
      </w:r>
      <w:r w:rsidRPr="00216965">
        <w:rPr>
          <w:lang w:val="en-US"/>
        </w:rPr>
        <w:fldChar w:fldCharType="end"/>
      </w:r>
      <w:r w:rsidRPr="00216965">
        <w:rPr>
          <w:lang w:val="en-US"/>
        </w:rPr>
        <w:t>. For instance, in line with SDGs the EU aims to achieve ‘no net land take by 2050’ by making better use of the existing urban space (land recycling)</w:t>
      </w:r>
      <w:r w:rsidRPr="00216965">
        <w:rPr>
          <w:rFonts w:cs="Times New Roman"/>
          <w:lang w:val="en-US"/>
        </w:rPr>
        <w:t xml:space="preserve"> </w:t>
      </w:r>
      <w:r w:rsidRPr="00216965">
        <w:rPr>
          <w:lang w:val="en-US"/>
        </w:rPr>
        <w:t xml:space="preserve">to limit urban expansion </w:t>
      </w:r>
      <w:r w:rsidRPr="00216965">
        <w:rPr>
          <w:lang w:val="en-US"/>
        </w:rPr>
        <w:fldChar w:fldCharType="begin" w:fldLock="1"/>
      </w:r>
      <w:r w:rsidR="00F56BD7" w:rsidRPr="00216965">
        <w:rPr>
          <w:lang w:val="en-US"/>
        </w:rPr>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2019)","plainTextFormattedCitation":"(Bruyninckx, 2019)","previouslyFormattedCitation":"(Bruyninckx, 2019)"},"properties":{"noteIndex":0},"schema":"https://github.com/citation-style-language/schema/raw/master/csl-citation.json"}</w:instrText>
      </w:r>
      <w:r w:rsidRPr="00216965">
        <w:rPr>
          <w:lang w:val="en-US"/>
        </w:rPr>
        <w:fldChar w:fldCharType="separate"/>
      </w:r>
      <w:r w:rsidR="00330A4F" w:rsidRPr="00216965">
        <w:rPr>
          <w:noProof/>
          <w:lang w:val="en-US"/>
        </w:rPr>
        <w:t>(Bruyninckx, 2019)</w:t>
      </w:r>
      <w:r w:rsidRPr="00216965">
        <w:rPr>
          <w:lang w:val="en-US"/>
        </w:rPr>
        <w:fldChar w:fldCharType="end"/>
      </w:r>
      <w:r w:rsidRPr="00216965">
        <w:rPr>
          <w:lang w:val="en-US"/>
        </w:rPr>
        <w:t xml:space="preserve">. However, the economic cost of soil remediation is high and is estimated to be 5.5 million euros (€) per year in Europe alone for the most commonly used techniques such as excavation and off-site disposal </w:t>
      </w:r>
      <w:r w:rsidRPr="00216965">
        <w:rPr>
          <w:lang w:val="en-US"/>
        </w:rPr>
        <w:fldChar w:fldCharType="begin" w:fldLock="1"/>
      </w:r>
      <w:r w:rsidR="00F56BD7" w:rsidRPr="00216965">
        <w:rPr>
          <w:lang w:val="en-US"/>
        </w:rPr>
        <w:instrText>ADDIN CSL_CITATION {"citationItems":[{"id":"ITEM-1","itemData":{"abstract":"Soil contamination requiring clean up is present at approximately 250000 sites in the EEA member countries, according to recent estimates. And this number is expected to grow. Potentially polluting activities are estimated to have occurred at nearly 3 million sites (including the 250000 sites already mentioned) and investigation is needed to establish whether remediation is required. If current investigation trends continue, the number of sites needing remediation will increase by 50% by 2025. By contrast, more than 80000 sites have been cleaned up in the last 30 years in the countries where data on remediation is available. Although the range of polluting activities (and their relative importance as localised sources of soil contamination) may vary considerably across Europe, industrial and commercial activities as well as the treatment and disposal of waste are reported to be the most important sources. National reports indicate that heavy metals and mineral oil are the most frequent soil contaminants at investigated sites, while mineral oil and chlorinated hydrocarbons are the most frequent contaminants found in groundwater. A considerable share of remediation expenditure, about 35% on average, comes from public budgets. Although considerable efforts have been made already, it will take decades to clean up a legacy of contamination.","author":[{"dropping-particle":"","family":"EEA","given":"","non-dropping-particle":"","parse-names":false,"suffix":""}],"id":"ITEM-1","issued":{"date-parts":[["2014"]]},"page":"1-51","title":"Progress in management of contaminated sites - Indicator Assessment | Data and maps","type":"article-journal"},"uris":["http://www.mendeley.com/documents/?uuid=7c10cc44-d7d1-45d0-baab-c3cbf2894364"]}],"mendeley":{"formattedCitation":"(EEA, 2014)","plainTextFormattedCitation":"(EEA, 2014)","previouslyFormattedCitation":"(EEA, 2014)"},"properties":{"noteIndex":0},"schema":"https://github.com/citation-style-language/schema/raw/master/csl-citation.json"}</w:instrText>
      </w:r>
      <w:r w:rsidRPr="00216965">
        <w:rPr>
          <w:lang w:val="en-US"/>
        </w:rPr>
        <w:fldChar w:fldCharType="separate"/>
      </w:r>
      <w:r w:rsidR="00330A4F" w:rsidRPr="00216965">
        <w:rPr>
          <w:noProof/>
          <w:lang w:val="en-US"/>
        </w:rPr>
        <w:t>(EEA, 2014)</w:t>
      </w:r>
      <w:r w:rsidRPr="00216965">
        <w:rPr>
          <w:lang w:val="en-US"/>
        </w:rPr>
        <w:fldChar w:fldCharType="end"/>
      </w:r>
      <w:r w:rsidRPr="00216965">
        <w:rPr>
          <w:lang w:val="en-US"/>
        </w:rPr>
        <w:t xml:space="preserve">. Nonetheless, increasing regulations for landfills and elevated costs associated with these techniques demand a shift in current remediation practices </w:t>
      </w:r>
      <w:r w:rsidRPr="00216965">
        <w:rPr>
          <w:lang w:val="en-US"/>
        </w:rPr>
        <w:fldChar w:fldCharType="begin" w:fldLock="1"/>
      </w:r>
      <w:r w:rsidR="006C06AA" w:rsidRPr="00216965">
        <w:rPr>
          <w:lang w:val="en-US"/>
        </w:rPr>
        <w:instrText>ADDIN CSL_CITATION {"citationItems":[{"id":"ITEM-1","itemData":{"DOI":"10.1007/s10653-017-9964-z","abstract":"The major frequent contaminants in soil are heavy metals which may be responsible for detrimental health effects. The remediation of heavy metals in contaminated soils is considered as one of the most complicated tasks. Among different tech-nologies, in situ immobilization of metals has received a great deal of attention and turned out to be a promising solution for soil remediation. In this review, remediation methods for removal of heavy metals in soil are explored with an emphasis on the in situ immobilization technique of metal(loid)s. Besides, the immobilization technique in contaminated soils is evaluated through the manipulation of the bioavail-ability of heavy metals using a range of soil amend-ment conditions. This technique is expected to efficiently alleviate the risk of groundwater contam-ination, plant uptake, and exposure to other living organisms. The efficacy of several amendments (e.g., red mud, biochar, phosphate rock) has been examined to emphasize the need for the simultaneous measure-ment of leaching and the phytoavailability of heavy metals. In addition, some amendments that are used in this technique are inexpensive and readily available in large quantities because they have been derived from bio-products or industrial by-products (e.g., biochar, red mud, and steel slag). Among different amend-ments, iron-rich compounds and biochars show high efficiency to remediate multi-metal contaminated soils. Thereupon, immobilization technique can be considered a preferable option as it is inexpensive and easily applicable to large quantities of contaminants derived from various sources.","author":[{"dropping-particle":"","family":"Derakhshan","given":"Zahra","non-dropping-particle":"","parse-names":false,"suffix":""},{"dropping-particle":"","family":"Chae","given":"Myung","non-dropping-particle":"","parse-names":false,"suffix":""},{"dropping-particle":"","family":"Ki-Hyun","given":"Kim","non-dropping-particle":"","parse-names":false,"suffix":""}],"container-title":"Environmental Geochemistry and Health","id":"ITEM-1","issued":{"date-parts":[["2017"]]},"title":"Remediation of soils contaminated with heavy metals with an emphasis on immobilization technology","type":"article-journal"},"uris":["http://www.mendeley.com/documents/?uuid=807b718e-beed-3aa5-aad4-942c59374ff5"]}],"mendeley":{"formattedCitation":"(Derakhshan et al., 2017)","plainTextFormattedCitation":"(Derakhshan et al., 2017)","previouslyFormattedCitation":"(Derakhshan et al., 2017)"},"properties":{"noteIndex":0},"schema":"https://github.com/citation-style-language/schema/raw/master/csl-citation.json"}</w:instrText>
      </w:r>
      <w:r w:rsidRPr="00216965">
        <w:rPr>
          <w:lang w:val="en-US"/>
        </w:rPr>
        <w:fldChar w:fldCharType="separate"/>
      </w:r>
      <w:r w:rsidR="001974AA" w:rsidRPr="00216965">
        <w:rPr>
          <w:noProof/>
          <w:lang w:val="en-US"/>
        </w:rPr>
        <w:t>(Derakhshan et al., 2017)</w:t>
      </w:r>
      <w:r w:rsidRPr="00216965">
        <w:rPr>
          <w:lang w:val="en-US"/>
        </w:rPr>
        <w:fldChar w:fldCharType="end"/>
      </w:r>
      <w:r w:rsidRPr="00216965">
        <w:rPr>
          <w:lang w:val="en-US"/>
        </w:rPr>
        <w:t xml:space="preserve">. The search for low cost and sustainable approaches has led to interest in the use of various organic wastes as soil amendments </w:t>
      </w:r>
      <w:bookmarkStart w:id="10" w:name="_Hlk99209855"/>
      <w:r w:rsidRPr="00216965">
        <w:rPr>
          <w:lang w:val="en-US"/>
        </w:rPr>
        <w:fldChar w:fldCharType="begin" w:fldLock="1"/>
      </w:r>
      <w:r w:rsidR="006C06AA" w:rsidRPr="00216965">
        <w:rPr>
          <w:lang w:val="en-US"/>
        </w:rPr>
        <w:instrText>ADDIN CSL_CITATION {"citationItems":[{"id":"ITEM-1","itemData":{"DOI":"10.1016/j.scitotenv.2020.137852","ISSN":"18791026","PMID":"32213438","abstract":"Soils in intensively farmed areas of the world are prone to degradation. Amendment of such soils with organic waste materials attempts to restore soil quality. Organic amendments are heterogeneous media, which are a source of soil organic matter (SOM) and maintain or restore chemical, physical, biological and ecological functionality. More specifically, an increase in SOM can influence the soil microclimate, microbial community structure, biomass turnover and mineralisation of nutrients. The search is on-going for locally sourced alternatives as many forms may be costly or geographically limiting. The present review focuses on a heterogeneous group of amendments i.e. biochar and brown coal waste (BCW). Both biochar (made from a variety of feedstocks at various temperatures) and BCW (mined extensively) are options that have worldwide applicability. These materials have very high C contents and soil stability, therefore can be used for long-term C sequestration to abate greenhouse gas emissions and as conditioners to improve soil quality. However, biochar is costly for large-scale applications and BCW may have inherently high moisture and pollutant contents. Future studies should focus on the long-term application of these amendments and determine the physicochemical properties of the soil, bioavailability of soil contaminants, diversity of soil communities and productivity of selected crops. Furthermore, the development of in situ technologies to lower production and processing costs of biochar and BCW would improve their economic feasibility for large-scale application.","author":[{"dropping-particle":"","family":"Amoah-Antwi","given":"Collins","non-dropping-particle":"","parse-names":false,"suffix":""},{"dropping-particle":"","family":"Kwiatkowska-Malina","given":"Jolanta","non-dropping-particle":"","parse-names":false,"suffix":""},{"dropping-particle":"","family":"Thornton","given":"Steven F.","non-dropping-particle":"","parse-names":false,"suffix":""},{"dropping-particle":"","family":"Fenton","given":"Owen","non-dropping-particle":"","parse-names":false,"suffix":""},{"dropping-particle":"","family":"Malina","given":"Grzegorz","non-dropping-particle":"","parse-names":false,"suffix":""},{"dropping-particle":"","family":"Szara","given":"Ewa","non-dropping-particle":"","parse-names":false,"suffix":""}],"container-title":"Science of the Total Environment","id":"ITEM-1","issued":{"date-parts":[["2020","6","20"]]},"page":"137852","publisher":"Elsevier B.V.","title":"Restoration of soil quality using biochar and brown coal waste: A review","type":"article-journal","volume":"722"},"uris":["http://www.mendeley.com/documents/?uuid=b4280b74-e92b-39fe-b8c8-ba1a4b98eee6"]}],"mendeley":{"formattedCitation":"(Collins Amoah-Antwi et al., 2020)","plainTextFormattedCitation":"(Collins Amoah-Antwi et al., 2020)","previouslyFormattedCitation":"(Collins Amoah-Antwi et al., 2020)"},"properties":{"noteIndex":0},"schema":"https://github.com/citation-style-language/schema/raw/master/csl-citation.json"}</w:instrText>
      </w:r>
      <w:r w:rsidRPr="00216965">
        <w:rPr>
          <w:lang w:val="en-US"/>
        </w:rPr>
        <w:fldChar w:fldCharType="separate"/>
      </w:r>
      <w:r w:rsidR="00C83E62" w:rsidRPr="00216965">
        <w:rPr>
          <w:noProof/>
          <w:lang w:val="en-US"/>
        </w:rPr>
        <w:t>(Collins Amoah-Antwi et al., 2020)</w:t>
      </w:r>
      <w:r w:rsidRPr="00216965">
        <w:rPr>
          <w:lang w:val="en-US"/>
        </w:rPr>
        <w:fldChar w:fldCharType="end"/>
      </w:r>
      <w:bookmarkEnd w:id="10"/>
      <w:r w:rsidRPr="00216965">
        <w:rPr>
          <w:lang w:val="en-US"/>
        </w:rPr>
        <w:t xml:space="preserve">. Within these, biochar is highlighted as </w:t>
      </w:r>
      <w:r w:rsidRPr="00216965">
        <w:t>an environmentally friendly option</w:t>
      </w:r>
      <w:r w:rsidRPr="00216965">
        <w:rPr>
          <w:lang w:val="en-US"/>
        </w:rPr>
        <w:t xml:space="preserve"> for the remediation of HM-contaminated soil.</w:t>
      </w:r>
    </w:p>
    <w:p w14:paraId="7EB40BE3" w14:textId="6FFF14B7" w:rsidR="00632101" w:rsidRPr="00216965" w:rsidRDefault="00632101" w:rsidP="008A33DA">
      <w:pPr>
        <w:spacing w:line="360" w:lineRule="auto"/>
        <w:jc w:val="both"/>
      </w:pPr>
      <w:r w:rsidRPr="00216965">
        <w:t xml:space="preserve">Biochar is an organic material produced from the thermal decomposition of residual biomass; it is a black carbon with high specific surface area and rich in oxygenated functional groups </w:t>
      </w:r>
      <w:r w:rsidRPr="00216965">
        <w:fldChar w:fldCharType="begin" w:fldLock="1"/>
      </w:r>
      <w:r w:rsidR="006C06AA" w:rsidRPr="00216965">
        <w:instrText>ADDIN CSL_CITATION {"citationItems":[{"id":"ITEM-1","itemData":{"DOI":"Novak,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Science","id":"ITEM-1","issued":{"date-parts":[["2009"]]},"page":"195-206","title":"Characterization of designer biochar produced at different temperatures and their effects on a loamy sand","type":"article-journal","volume":"3"},"uris":["http://www.mendeley.com/documents/?uuid=3c7aa499-9e43-4da0-9234-dbfde814e0c3"]},{"id":"ITEM-2","itemData":{"DOI":"10.1016/j.jbiosc.2013.05.035","ISBN":"1347-4421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Bioengineering","id":"ITEM-2","issue":"6","issued":{"date-parts":[["2013"]]},"page":"653-659","publisher":"Elsevier Ltd","title":"Characteristics of biochar and its application in remediation of contaminated soil","type":"article-journal","volume":"116"},"uris":["http://www.mendeley.com/documents/?uuid=f1de9e6e-b7e1-4802-a8e9-d2fd999dd84c"]}],"mendeley":{"formattedCitation":"(Novak et al., 2009; Tang et al., 2013)","plainTextFormattedCitation":"(Novak et al., 2009; Tang et al., 2013)","previouslyFormattedCitation":"(Novak et al., 2009; Tang et al., 2013)"},"properties":{"noteIndex":0},"schema":"https://github.com/citation-style-language/schema/raw/master/csl-citation.json"}</w:instrText>
      </w:r>
      <w:r w:rsidRPr="00216965">
        <w:fldChar w:fldCharType="separate"/>
      </w:r>
      <w:r w:rsidR="00C83E62" w:rsidRPr="00216965">
        <w:rPr>
          <w:noProof/>
        </w:rPr>
        <w:t>(Novak et al., 2009; Tang et al., 2013)</w:t>
      </w:r>
      <w:r w:rsidRPr="00216965">
        <w:fldChar w:fldCharType="end"/>
      </w:r>
      <w:r w:rsidRPr="00216965">
        <w:t xml:space="preserve">. These properties have prompted interest in the use of biochar as a promising soil amendment for different reasons: 1) as an enhancer of soil fertility by releasing nutrients and regulating soil pH; 2) as an adsorbent of organic or inorganic soil pollutants; and 3) to enhance carbon sequestration in soils by acting as a stable carbon sink </w:t>
      </w:r>
      <w:bookmarkStart w:id="11" w:name="_Hlk99212341"/>
      <w:r w:rsidRPr="00216965">
        <w:fldChar w:fldCharType="begin" w:fldLock="1"/>
      </w:r>
      <w:r w:rsidR="006C06AA" w:rsidRPr="00216965">
        <w:instrText>ADDIN CSL_CITATION {"citationItems":[{"id":"ITEM-1","itemData":{"DOI":"10.1016/j.biortech.2016.10.033","ISSN":"18732976","abstract":"The magnetic biochars were easily fabricated by thermal pyrolysis of Fe(NO3)3 and distillation residue derived from rice straw pyrolysis oil at 400, 600 and 800 ??C. The effects of pyrolysis temperature on characteristics of magnetic biochars as well as adsorption capacity for aromatic contaminants (i.e., anisole, phenol and guaiacol) were investigated carefully. The degree of carbonization of magnetic biochars become higher as pyrolysis temperature increasing. The magnetic biochar reached the largest surface area and pore volume at the pyrolysis temperature of 600 ??C due to pores blocking in biochar during pyrolysis at 800 ??C. Based on batch adsorption experiments, the used adsorbent could be magnetically separated and the adsorption capacity of anisole on magnetic biochars was stronger than that of phenol and guaiacol. The properties of magnetic biochar, including surface area, pore volume, aromaticity, grapheme-like-structure and iron oxide (??-Fe2O3) particles, showed pronounced effects on the adsorption performance of aromatic contaminants.","author":[{"dropping-particle":"","family":"Li","given":"Hao","non-dropping-particle":"","parse-names":false,"suffix":""},{"dropping-particle":"","family":"Mahyoub","given":"Samah Awadh Ali","non-dropping-particle":"","parse-names":false,"suffix":""},{"dropping-particle":"","family":"Liao","given":"Wenjie","non-dropping-particle":"","parse-names":false,"suffix":""},{"dropping-particle":"","family":"Xia","given":"Shuqian","non-dropping-particle":"","parse-names":false,"suffix":""},{"dropping-particle":"","family":"Zhao","given":"Hechuan","non-dropping-particle":"","parse-names":false,"suffix":""},{"dropping-particle":"","family":"Guo","given":"Mengya","non-dropping-particle":"","parse-names":false,"suffix":""},{"dropping-particle":"","family":"Ma","given":"Peisheng","non-dropping-particle":"","parse-names":false,"suffix":""}],"container-title":"Bioresource Technology","id":"ITEM-1","issued":{"date-parts":[["2017"]]},"page":"20-26","publisher":"Elsevier Ltd","title":"Effect of pyrolysis temperature on characteristics and aromatic contaminants adsorption behavior of magnetic biochar derived from pyrolysis oil distillation residue","type":"article-journal","volume":"223"},"uris":["http://www.mendeley.com/documents/?uuid=ce7bb04a-c707-42aa-a234-3f3c36f45f7e"]},{"id":"ITEM-2","itemData":{"DOI":"10.1016/j.biortech.2012.05.042","ISBN":"1873-2976 (Electronic)\\n0960-8524 (Linking)","ISSN":"09608524","PMID":"22721877","abstract":"Conversion of crop residues into biochars (BCs) via pyrolysis is beneficial to environment compared to their direct combustion in agricultural field. Biochars developed from soybean stover at 300 and 700. °C (S-BC300 and S-BC700, respectively) and peanut shells at 300 and 700. °C (P-BC300 and P-BC700, respectively) were used for the removal of trichloroethylene (TCE) from water. Batch adsorption experiments showed that the TCE adsorption was strongly dependent on the BCs properties. Linear relationships were obtained between sorption parameters (K M and S M) and molar elemental ratios as well as surface area of the BCs. The high adsorption capacity of BCs produced at 700. °C was attributed to their high aromaticity and low polarity. The efficacy of S-BC700 and P-BC700 for removing TCE from water was comparable to that of activated carbon (AC). Pyrolysis temperature influencing the BC properties was a critical factor to assess the removal efficiency of TCE from water. © 2012 Elsevier Ltd.","author":[{"dropping-particle":"","family":"Ahmad","given":"Mahtab","non-dropping-particle":"","parse-names":false,"suffix":""},{"dropping-particle":"","family":"Lee","given":"Sang Soo","non-dropping-particle":"","parse-names":false,"suffix":""},{"dropping-particle":"","family":"Dou","given":"Xiaomin","non-dropping-particle":"","parse-names":false,"suffix":""},{"dropping-particle":"","family":"Mohan","given":"Dinesh","non-dropping-particle":"","parse-names":false,"suffix":""},{"dropping-particle":"","family":"Sung","given":"Jwa Kyung","non-dropping-particle":"","parse-names":false,"suffix":""},{"dropping-particle":"","family":"Yang","given":"Jae E.","non-dropping-particle":"","parse-names":false,"suffix":""},{"dropping-particle":"","family":"Ok","given":"Yong Sik","non-dropping-particle":"","parse-names":false,"suffix":""}],"container-title":"Bioresource Technology","id":"ITEM-2","issued":{"date-parts":[["2012"]]},"page":"536-544","publisher":"Elsevier Ltd","title":"Effects of pyrolysis temperature on soybean stover- and peanut shell-derived biochar properties and TCE adsorption in water","type":"article-journal","volume":"118"},"uris":["http://www.mendeley.com/documents/?uuid=10508bba-712c-452f-bde2-61716ef53b76"]}],"mendeley":{"formattedCitation":"(Ahmad et al., 2012; Hao Li et al., 2017)","plainTextFormattedCitation":"(Ahmad et al., 2012; Hao Li et al., 2017)","previouslyFormattedCitation":"(Ahmad et al., 2012; Hao Li et al., 2017)"},"properties":{"noteIndex":0},"schema":"https://github.com/citation-style-language/schema/raw/master/csl-citation.json"}</w:instrText>
      </w:r>
      <w:r w:rsidRPr="00216965">
        <w:fldChar w:fldCharType="separate"/>
      </w:r>
      <w:r w:rsidR="00C83E62" w:rsidRPr="00216965">
        <w:rPr>
          <w:noProof/>
        </w:rPr>
        <w:t>(Ahmad et al., 2012; Hao Li et al., 2017)</w:t>
      </w:r>
      <w:r w:rsidRPr="00216965">
        <w:fldChar w:fldCharType="end"/>
      </w:r>
      <w:r w:rsidRPr="00216965">
        <w:t>.</w:t>
      </w:r>
      <w:bookmarkEnd w:id="11"/>
      <w:r w:rsidRPr="00216965">
        <w:t xml:space="preserve"> These qualities highlight the exceptional potential of biochar for improving soil quality. However, there are important knowledge gaps that must be addressed before biochar can be utilised more generally in large scale soil remediation processes.</w:t>
      </w:r>
    </w:p>
    <w:p w14:paraId="5C38FDE5" w14:textId="19B613D3" w:rsidR="00632101" w:rsidRPr="00216965" w:rsidRDefault="00632101" w:rsidP="008A33DA">
      <w:pPr>
        <w:spacing w:line="360" w:lineRule="auto"/>
        <w:jc w:val="both"/>
      </w:pPr>
      <w:r w:rsidRPr="00216965">
        <w:t xml:space="preserve">Biochar can be produced from various feedstocks, such as forestry and agricultural residues, domestic garbage, sewage sludge among others </w:t>
      </w:r>
      <w:r w:rsidRPr="00216965">
        <w:fldChar w:fldCharType="begin" w:fldLock="1"/>
      </w:r>
      <w:r w:rsidR="006C06AA" w:rsidRPr="00216965">
        <w:instrText>ADDIN CSL_CITATION {"citationItems":[{"id":"ITEM-1","itemData":{"DOI":"10.1016/j.envpol.2020.115001","ISSN":"18736424","PMID":"32563143","abstract":"Cadmium (Cd) is one of the most harmful and widespread environmental pollutants. Despite decades-long research efforts, the remediation of water contaminated by Cd has remained a significant challenge. A novel carbon material, pinecone biochar, was previously hypothesized to be a promising adsorbent for Cd, while so far, it has received little attention. This study evaluated the sorption capacity of pinecone biochar through isotherm experiments. Based on Langmuir model, the adsorption maximum for Cd(II) was up to 92.7 mg g−1. The mechanism of Cd(II) adsorption on pinecone biochar was also explored through both thermodynamic and kinetics adsorption experiments, as well as both solution and solid-phase microstructure characterization. The solid-solution partitioning behaviour of Cd(II) fitted best with the Tόth model while the adsorption process followed a pseudo-second-order rate, suggesting that the Cd(II) adsorption on the pinecone biochar was mainly a chemisorption process. Microstructure characteristics and mechanism analysis further suggested that coprecipitation and surface complexation were the main mechanisms of Cd adsorption by biochar. Coprecipitation occurred mainly through the forms of Cd(OH)2 and CdCO3. Our results demonstrated that pinecone biochar was an efficient adsorbent which holds a huge potential for Cd(II) removal from aqueous solution.","author":[{"dropping-particle":"","family":"Teng","given":"Dongye","non-dropping-particle":"","parse-names":false,"suffix":""},{"dropping-particle":"","family":"Zhang","given":"Bingbing","non-dropping-particle":"","parse-names":false,"suffix":""},{"dropping-particle":"","family":"Xu","given":"Guomin","non-dropping-particle":"","parse-names":false,"suffix":""},{"dropping-particle":"","family":"Wang","given":"Bing","non-dropping-particle":"","parse-names":false,"suffix":""},{"dropping-particle":"","family":"Mao","given":"Kang","non-dropping-particle":"","parse-names":false,"suffix":""},{"dropping-particle":"","family":"Wang","given":"Jianxu","non-dropping-particle":"","parse-names":false,"suffix":""},{"dropping-particle":"","family":"Sun","given":"Jing","non-dropping-particle":"","parse-names":false,"suffix":""},{"dropping-particle":"","family":"Feng","given":"Xinbin","non-dropping-particle":"","parse-names":false,"suffix":""},{"dropping-particle":"","family":"Yang","given":"Zhugen","non-dropping-particle":"","parse-names":false,"suffix":""},{"dropping-particle":"","family":"Zhang","given":"Hua","non-dropping-particle":"","parse-names":false,"suffix":""}],"container-title":"Environmental Pollution","id":"ITEM-1","issued":{"date-parts":[["2020","10","1"]]},"page":"115001","publisher":"Elsevier Ltd","title":"Efficient removal of Cd(II) from aqueous solution by pinecone biochar: Sorption performance and governing mechanisms","type":"article-journal","volume":"265"},"uris":["http://www.mendeley.com/documents/?uuid=8ab9e61c-dadd-3dca-b541-269325ebdb6f"]}],"mendeley":{"formattedCitation":"(Teng et al., 2020)","plainTextFormattedCitation":"(Teng et al., 2020)","previouslyFormattedCitation":"(Teng et al., 2020)"},"properties":{"noteIndex":0},"schema":"https://github.com/citation-style-language/schema/raw/master/csl-citation.json"}</w:instrText>
      </w:r>
      <w:r w:rsidRPr="00216965">
        <w:fldChar w:fldCharType="separate"/>
      </w:r>
      <w:r w:rsidR="00C83E62" w:rsidRPr="00216965">
        <w:rPr>
          <w:noProof/>
        </w:rPr>
        <w:t>(Teng et al., 2020)</w:t>
      </w:r>
      <w:r w:rsidRPr="00216965">
        <w:fldChar w:fldCharType="end"/>
      </w:r>
      <w:r w:rsidRPr="00216965">
        <w:t xml:space="preserve">. Recently, biochars produced from plant residues are gaining attention within the circular economy model that fosters the recycling of agricultural waste and non-edible biomasses for new applications </w:t>
      </w:r>
      <w:r w:rsidRPr="00216965">
        <w:fldChar w:fldCharType="begin" w:fldLock="1"/>
      </w:r>
      <w:r w:rsidR="006C06AA" w:rsidRPr="00216965">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benefits","type":"article-journal","volume":"12"},"uris":["http://www.mendeley.com/documents/?uuid=ca76da3f-ee2b-3484-b359-2d2ed0c558ad"]},{"id":"ITEM-2","itemData":{"DOI":"10.1016/j.biombioe.2018.10.010","ISSN":"18732909","abstract":"In this work three biomasses, two ligneous (rubberwood and eucalyptus) and one herbaceous (Phragmites australis), were fed to three different pyrolysis reactors: the Jiggled Bed Reactor (JBR) and a Mechanically Fluidized Reactor (MFR), working in slow batch pyrolysis mode, and a Bubbling Bed Reactor (BBR) operating as a continuous fast pyrolysis process. The obtained biochars were successively physically activated in the batch JBR. The research had three objectives: 1. Investigate biochar production through two different pyrolysis routes (slow-intermediate batch vs fast-continuous) and three different reactor designs (MFR vs BBR vs JBR); 2. Analyze the efficiency of biochar physical activation processes performed through JBR reactor; 3. Compare activated biochars to evaluate whether an herbaceous feedstock may be effective as ligneous biomasses. The results of the study disclosed a good validation of the performances of the JBR. In detail, the two-step JBR process (bio-char production + activation) resulted in the highest yields. Secondly, it returned analogous values of surface area (385 m2 g−1) and micro-pores area (283 m2 g−1) respectively, compared to the BBR and the MFR. Thirdly, micro-pore volume (0.13 cm3 g−1) and pore size (21 Å) were similar to the values obtained with both the MFR and the BBR. Finally, the overall results demonstrated that Phragmites australis can be employed for the production of biochar and activated carbon, showing a behavior similar to ligneous biomasses.","author":[{"dropping-particle":"","family":"Fiore","given":"Silvia","non-dropping-particle":"","parse-names":false,"suffix":""},{"dropping-particle":"","family":"Berruti","given":"Franco","non-dropping-particle":"","parse-names":false,"suffix":""},{"dropping-particle":"","family":"Briens","given":"Cedric","non-dropping-particle":"","parse-names":false,"suffix":""}],"container-title":"Biomass and Bioenergy","id":"ITEM-2","issued":{"date-parts":[["2018","12","1"]]},"page":"381-391","publisher":"Elsevier Ltd","title":"Investigation of innovative and conventional pyrolysis of ligneous and herbaceous biomasses for biochar production","type":"article-journal","volume":"119"},"uris":["http://www.mendeley.com/documents/?uuid=514047e5-f24c-3f19-92c0-e5c648899026"]}],"mendeley":{"formattedCitation":"(Domingues et al., 2017; Fiore et al., 2018)","plainTextFormattedCitation":"(Domingues et al., 2017; Fiore et al., 2018)","previouslyFormattedCitation":"(Domingues et al., 2017; Fiore et al., 2018)"},"properties":{"noteIndex":0},"schema":"https://github.com/citation-style-language/schema/raw/master/csl-citation.json"}</w:instrText>
      </w:r>
      <w:r w:rsidRPr="00216965">
        <w:fldChar w:fldCharType="separate"/>
      </w:r>
      <w:r w:rsidR="001974AA" w:rsidRPr="00216965">
        <w:rPr>
          <w:noProof/>
        </w:rPr>
        <w:t>(Domingues et al., 2017; Fiore et al., 2018)</w:t>
      </w:r>
      <w:r w:rsidRPr="00216965">
        <w:fldChar w:fldCharType="end"/>
      </w:r>
      <w:r w:rsidRPr="00216965">
        <w:t>. Previous studies have proposed plant-based biochars to be an effective and environmentally friendly sorbent for different HMs</w:t>
      </w:r>
      <w:r w:rsidR="002D5CDE" w:rsidRPr="00216965">
        <w:t xml:space="preserve"> </w:t>
      </w:r>
      <w:r w:rsidR="002D5CDE" w:rsidRPr="00216965">
        <w:fldChar w:fldCharType="begin" w:fldLock="1"/>
      </w:r>
      <w:r w:rsidR="006C06AA" w:rsidRPr="00216965">
        <w:instrText>ADDIN CSL_CITATION {"citationItems":[{"id":"ITEM-1","itemData":{"DOI":"10.1680/jenge.18.00091","abstract":"Biochar has seized interest because of its significant effect on the remediation of heavy-metal-contaminated soil. Based on research achievements of biochar remediation of heavy-metal-contaminated soils in recent years, research status and progress in this field are reviewed from several important aspects, including production and properties of biochar, remediation mechanisms, remediation effect and affecting factors. The following findings were obtained: (a) biochar has the advantages of low price, high efficiency, greenness and soil improvement. (b) The physico-chemical properties of biochar are affected by biomass materials and pyrolysis temperatures. Activation, magnetisation, oxidation and digestion can improve the adsorption of heavy metals on biochar. (c) The effect of biochar on heavy metal mobility and bioavailability includes two conflicting aspects: immobilising heavy metals to reduce bioavailability or mobilising heavy metal to increase bioavailability. (d) Biochar can be applied with other solidifying materials to enhance the strength of treated soil. (e) The adsorption mechanisms of heavy metals on biochar include physical adsorption, ion exchange, electrostatic interaction, complexation and precipitation. Finally, future research is suggested, including establishing a uniform classification criterion of biochar; exploring the efficiency of biochar on the remediation of sites containing multicontaminants; illustrating the interactions between biochar and heavy metals in the complex soil environment; expanding the research scale from laboratory-and small-scale in situ tests to large-scale and long-term studies; and carrying out solidification experiments considering mechanical properties for biochar application in soil remediation.","author":[{"dropping-particle":"","family":"Wang","given":"Yue","non-dropping-particle":"","parse-names":false,"suffix":""},{"dropping-particle":"","family":"Wang","given":"Hong-Sheng","non-dropping-particle":"","parse-names":false,"suffix":""},{"dropping-particle":"","family":"Tang","given":"Chao-Sheng","non-dropping-particle":"","parse-names":false,"suffix":""},{"dropping-particle":"","family":"Gu","given":"Kai","non-dropping-particle":"","parse-names":false,"suffix":""},{"dropping-particle":"","family":"Shi","given":"Bin","non-dropping-particle":"","parse-names":false,"suffix":""}],"container-title":"Environmental Geotechnics","id":"ITEM-1","issued":{"date-parts":[["2019"]]},"page":"1800091","title":"Remediation of heavy metal contaminated soils by biochar: a Review","type":"article-journal"},"uris":["http://www.mendeley.com/documents/?uuid=a3345671-6b27-3ade-acd1-96d85979732c"]},{"id":"ITEM-2","itemData":{"DOI":"10.1016/j.jbiosc.2013.05.035","ISBN":"1347-4421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Bioengineering","id":"ITEM-2","issue":"6","issued":{"date-parts":[["2013"]]},"page":"653-659","publisher":"Elsevier Ltd","title":"Characteristics of biochar and its application in remediation of contaminated soil","type":"article-journal","volume":"116"},"uris":["http://www.mendeley.com/documents/?uuid=f1de9e6e-b7e1-4802-a8e9-d2fd999dd84c"]}],"mendeley":{"formattedCitation":"(Tang et al., 2013; Y. Wang et al., 2019)","manualFormatting":"(Tang et al., 2013; Y. Wang et al., 2019)","plainTextFormattedCitation":"(Tang et al., 2013; Y. Wang et al., 2019)","previouslyFormattedCitation":"(Tang et al., 2013; Y. Wang et al., 2019)"},"properties":{"noteIndex":0},"schema":"https://github.com/citation-style-language/schema/raw/master/csl-citation.json"}</w:instrText>
      </w:r>
      <w:r w:rsidR="002D5CDE" w:rsidRPr="00216965">
        <w:fldChar w:fldCharType="separate"/>
      </w:r>
      <w:r w:rsidR="002D5CDE" w:rsidRPr="00216965">
        <w:rPr>
          <w:noProof/>
        </w:rPr>
        <w:t xml:space="preserve">(Tang </w:t>
      </w:r>
      <w:r w:rsidR="002D5CDE" w:rsidRPr="00216965">
        <w:rPr>
          <w:iCs/>
          <w:noProof/>
        </w:rPr>
        <w:t>et al</w:t>
      </w:r>
      <w:r w:rsidR="002D5CDE" w:rsidRPr="00216965">
        <w:rPr>
          <w:i/>
          <w:noProof/>
        </w:rPr>
        <w:t>.</w:t>
      </w:r>
      <w:r w:rsidR="002D5CDE" w:rsidRPr="00216965">
        <w:rPr>
          <w:noProof/>
        </w:rPr>
        <w:t xml:space="preserve">, 2013; Y. Wang </w:t>
      </w:r>
      <w:r w:rsidR="002D5CDE" w:rsidRPr="00216965">
        <w:rPr>
          <w:iCs/>
          <w:noProof/>
        </w:rPr>
        <w:t>et al</w:t>
      </w:r>
      <w:r w:rsidR="002D5CDE" w:rsidRPr="00216965">
        <w:rPr>
          <w:i/>
          <w:noProof/>
        </w:rPr>
        <w:t>.</w:t>
      </w:r>
      <w:r w:rsidR="002D5CDE" w:rsidRPr="00216965">
        <w:rPr>
          <w:noProof/>
        </w:rPr>
        <w:t>, 2019)</w:t>
      </w:r>
      <w:r w:rsidR="002D5CDE" w:rsidRPr="00216965">
        <w:fldChar w:fldCharType="end"/>
      </w:r>
      <w:r w:rsidRPr="00216965">
        <w:t xml:space="preserve">. Biochars can immobilize HMs by different physico-chemical mechanisms limiting their bioavailability and mobility, hence reducing the toxicity to living organisms </w:t>
      </w:r>
      <w:bookmarkStart w:id="12" w:name="_Hlk99212354"/>
      <w:r w:rsidRPr="00216965">
        <w:fldChar w:fldCharType="begin" w:fldLock="1"/>
      </w:r>
      <w:r w:rsidR="006C06AA" w:rsidRPr="00216965">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modifications","type":"article-journal","volume":"178"},"uris":["http://www.mendeley.com/documents/?uuid=86ada9eb-8f5a-356c-ba86-8ed24fd91759"]}],"mendeley":{"formattedCitation":"(Hongbo Li et al., 2017)","plainTextFormattedCitation":"(Hongbo Li et al., 2017)","previouslyFormattedCitation":"(Hongbo Li et al., 2017)"},"properties":{"noteIndex":0},"schema":"https://github.com/citation-style-language/schema/raw/master/csl-citation.json"}</w:instrText>
      </w:r>
      <w:r w:rsidRPr="00216965">
        <w:fldChar w:fldCharType="separate"/>
      </w:r>
      <w:r w:rsidR="00C83E62" w:rsidRPr="00216965">
        <w:rPr>
          <w:noProof/>
        </w:rPr>
        <w:t>(Hongbo Li et al., 2017)</w:t>
      </w:r>
      <w:r w:rsidRPr="00216965">
        <w:fldChar w:fldCharType="end"/>
      </w:r>
      <w:bookmarkEnd w:id="12"/>
      <w:r w:rsidRPr="00216965">
        <w:t xml:space="preserve">. However, results of biochar use in the restoration of HMs contaminated soils vary in sorption capacities, affinities and sorption mechanisms for different trace elements. These varied outcomes have been attributed to feedstock properties and production conditions of biochar as well as soil </w:t>
      </w:r>
      <w:r w:rsidRPr="00216965">
        <w:lastRenderedPageBreak/>
        <w:t xml:space="preserve">properties </w:t>
      </w:r>
      <w:r w:rsidRPr="00216965">
        <w:fldChar w:fldCharType="begin" w:fldLock="1"/>
      </w:r>
      <w:r w:rsidR="006C06AA" w:rsidRPr="00216965">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biochars","type":"article-journal","volume":"162"},"uris":["http://www.mendeley.com/documents/?uuid=fb799e3b-320c-45b9-af26-4ace74302f75"]}],"mendeley":{"formattedCitation":"(Janus et al., 2015)","plainTextFormattedCitation":"(Janus et al., 2015)","previouslyFormattedCitation":"(Janus et al., 2015)"},"properties":{"noteIndex":0},"schema":"https://github.com/citation-style-language/schema/raw/master/csl-citation.json"}</w:instrText>
      </w:r>
      <w:r w:rsidRPr="00216965">
        <w:fldChar w:fldCharType="separate"/>
      </w:r>
      <w:r w:rsidR="00C83E62" w:rsidRPr="00216965">
        <w:rPr>
          <w:noProof/>
        </w:rPr>
        <w:t>(Janus et al., 2015)</w:t>
      </w:r>
      <w:r w:rsidRPr="00216965">
        <w:fldChar w:fldCharType="end"/>
      </w:r>
      <w:r w:rsidRPr="00216965">
        <w:t xml:space="preserve">. Similarly, the reported impacts of biochar on plants range from inhibition to stimulation depending on biochar properties, application rate and specific sensitivity of different plant species </w:t>
      </w:r>
      <w:r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Pr="00216965">
        <w:fldChar w:fldCharType="separate"/>
      </w:r>
      <w:r w:rsidR="00C83E62" w:rsidRPr="00216965">
        <w:rPr>
          <w:noProof/>
        </w:rPr>
        <w:t>(Joseph et al., 2021)</w:t>
      </w:r>
      <w:r w:rsidRPr="00216965">
        <w:fldChar w:fldCharType="end"/>
      </w:r>
      <w:r w:rsidRPr="00216965">
        <w:t xml:space="preserve">. The wide variety of biochars available and the heterogeneous nature of these materials complicate the identification of biochars with suitable characteristics for immobilisation of HMs. </w:t>
      </w:r>
    </w:p>
    <w:p w14:paraId="36F0ED9D" w14:textId="543C9C25" w:rsidR="00FD5FFA" w:rsidRPr="00216965" w:rsidRDefault="00632101" w:rsidP="008A33DA">
      <w:pPr>
        <w:spacing w:line="360" w:lineRule="auto"/>
        <w:jc w:val="both"/>
      </w:pPr>
      <w:bookmarkStart w:id="13" w:name="_Hlk99575050"/>
      <w:r w:rsidRPr="00216965">
        <w:t>Although knowledge in the use of biochar has advanced considerably</w:t>
      </w:r>
      <w:r w:rsidR="003E772D" w:rsidRPr="00216965">
        <w:t xml:space="preserve"> in recent years</w:t>
      </w:r>
      <w:bookmarkEnd w:id="13"/>
      <w:r w:rsidRPr="00216965">
        <w:t xml:space="preserve">, the complex interactions between biochar, soil geochemistry, HM, plants and microorganisms remains unclear </w:t>
      </w:r>
      <w:r w:rsidRPr="00216965">
        <w:fldChar w:fldCharType="begin" w:fldLock="1"/>
      </w:r>
      <w:r w:rsidR="006C06AA" w:rsidRPr="00216965">
        <w:instrText>ADDIN CSL_CITATION {"citationItems":[{"id":"ITEM-1","itemData":{"DOI":"10.1080/10643389.2021.1894064","abstract":"Environmental contamination by toxic trace elements is a global issue faced by soil-plant-human systems. Biochar has gained substantial attention as a soil amendment to reduce toxic trace element impacts on plant and human health due to biochar's capacity to influence trace element biogeochemistry. This review focuses on the key roles of bio-char with respect to trace element interactions, mobility and phytoavailability in soil-plant systems. In addition to direct interactions, various biochar types can impact soil physicochemical properties and subsequently trace element biogeochemical behavior. A critical literature review revealed increasing and/or decreasing trends with respect to biochar-induced variation in soil physicochemical characteristics and soil-plant trace element transfer. Data analysis revealed that biochar-mediated an overall decrease in the phyto-uptake of As, Cd, Cu, Ni, Pb, and Zn by 48%, 40%, 38%, 44%, 28%, and 22%, respectively. This article also discusses the possible biochar-mediated alleviations of human health hazards (41% less cancer risk) due to consuming trace elements-contaminated foods. Likewise, for the first time, the effect of soil biochar application on plant physiological and morphological attributes, as well as activation of tolerance mechanisms (enzymatic and non-enzymatic) is critically discussed. HIGHLIGHTS Literature review revealed biochar applications increased soil trace element sorption and decreased phyto-uptake. Plant uptake of trace element depends on soil and biochar properties as well as trace element and plant type. Biochar-mediated trace element phytoavailability reductions cause lower toxicity in plant-human systems. Biochar alters plant detoxification and tolerance mechanisms directly or indirectly.","author":[{"dropping-particle":"","family":"Natasha","given":"Natasha","non-dropping-particle":"","parse-names":false,"suffix":""},{"dropping-particle":"","family":"Shahid","given":"Muhammad","non-dropping-particle":"","parse-names":false,"suffix":""},{"dropping-particle":"","family":"Sana","given":"Khalid","non-dropping-particle":"","parse-names":false,"suffix":""},{"dropping-particle":"","family":"Irshad","given":"Bibi","non-dropping-particle":"","parse-names":false,"suffix":""},{"dropping-particle":"","family":"Asif Naeem","given":"Muhammad","non-dropping-particle":"","parse-names":false,"suffix":""},{"dropping-particle":"","family":"Khan Niazi","given":"Nabeel","non-dropping-particle":"","parse-names":false,"suffix":""},{"dropping-particle":"","family":"G Tack","given":"Filip M","non-dropping-particle":"","parse-names":false,"suffix":""},{"dropping-particle":"","family":"Ippolito","given":"James","non-dropping-particle":"","parse-names":false,"suffix":""},{"dropping-particle":"","family":"Rinklebe","given":"Jörg","non-dropping-particle":"","parse-names":false,"suffix":""}],"container-title":"Critical Reviews in Environmental Science and Technology","id":"ITEM-1","issued":{"date-parts":[["2021"]]},"title":"Influence of biochar on trace element uptake, toxicity and detoxification in plants and associated health risks: A critical review","type":"article-journal"},"uris":["http://www.mendeley.com/documents/?uuid=bcb663b1-e47c-3868-92b3-32af43f404ff"]},{"id":"ITEM-2","itemData":{"DOI":"10.1021/acs.est.8b01200","ISSN":"15205851","author":[{"dropping-particle":"","family":"Sedlak","given":"David","non-dropping-particle":"","parse-names":false,"suffix":""}],"container-title":"Environmental Science and Technology","id":"ITEM-2","issued":{"date-parts":[["2018","3","20"]]},"page":"3327-3328","publisher":"American Chemical Society","title":"Sifting through the embers","type":"article-journal","volume":"52"},"uris":["http://www.mendeley.com/documents/?uuid=2d8c7aa4-8e31-3bd7-b626-97ee94be716d"]}],"mendeley":{"formattedCitation":"(Natasha et al., 2021; Sedlak, 2018)","plainTextFormattedCitation":"(Natasha et al., 2021; Sedlak, 2018)","previouslyFormattedCitation":"(Natasha et al., 2021; Sedlak, 2018)"},"properties":{"noteIndex":0},"schema":"https://github.com/citation-style-language/schema/raw/master/csl-citation.json"}</w:instrText>
      </w:r>
      <w:r w:rsidRPr="00216965">
        <w:fldChar w:fldCharType="separate"/>
      </w:r>
      <w:r w:rsidR="001974AA" w:rsidRPr="00216965">
        <w:rPr>
          <w:noProof/>
        </w:rPr>
        <w:t>(Natasha et al., 2021; Sedlak, 2018)</w:t>
      </w:r>
      <w:r w:rsidRPr="00216965">
        <w:fldChar w:fldCharType="end"/>
      </w:r>
      <w:r w:rsidRPr="00216965">
        <w:t xml:space="preserve">. In this context, this thesis explores the potential of different plant-based biochars to restore soil contaminated with HMs by a series of experiments including batch sorption tests, soil incubations under controlled environment and field conditions. This research addresses important knowledge gaps concerning the key properties and mechanisms of plant-based biochars that drive the sorption of different HMs in soils. </w:t>
      </w:r>
    </w:p>
    <w:p w14:paraId="05CDECCB" w14:textId="254DDBAB" w:rsidR="00357EAE" w:rsidRPr="00216965" w:rsidRDefault="00632101" w:rsidP="008A33DA">
      <w:pPr>
        <w:spacing w:line="360" w:lineRule="auto"/>
        <w:jc w:val="both"/>
      </w:pPr>
      <w:r w:rsidRPr="00216965">
        <w:t>With a holistic approach this research assesses the effect of biochar on soil health in the short and long term by studying biological indicators such as plant performance and microbial dynamics in combination with chemical analysis of soil properties. Imaging techniques based on chlorophyll fluorescence were used to study the physiological response of plants to different biochar amendments. Soil microbial communities were studied by a combined approach of metataxonomics and  stable isotope microbial phospholipid biomarkers (</w:t>
      </w:r>
      <w:r w:rsidRPr="00216965">
        <w:rPr>
          <w:vertAlign w:val="superscript"/>
        </w:rPr>
        <w:t>13</w:t>
      </w:r>
      <w:r w:rsidRPr="00216965">
        <w:t>C PLFA). This research provides criteria for biochar selection, estimation of application rates and new insight  into the role of biochar in supporting the health of soil polluted with HMs. The findings of this work provide further clarity of the use of biochar for restoration of contaminated soil and contributes to achieving sustainable use of soil and land.</w:t>
      </w:r>
    </w:p>
    <w:p w14:paraId="36905E15" w14:textId="5B762BFC" w:rsidR="00BD29C4" w:rsidRPr="00216965" w:rsidRDefault="00BD29C4" w:rsidP="008A33DA">
      <w:pPr>
        <w:spacing w:line="360" w:lineRule="auto"/>
        <w:jc w:val="both"/>
      </w:pPr>
    </w:p>
    <w:p w14:paraId="5F825303" w14:textId="25B78C95" w:rsidR="00BD29C4" w:rsidRPr="00216965" w:rsidRDefault="00BD29C4" w:rsidP="008A33DA">
      <w:pPr>
        <w:spacing w:line="360" w:lineRule="auto"/>
        <w:jc w:val="both"/>
      </w:pPr>
    </w:p>
    <w:p w14:paraId="0D98F897" w14:textId="40855EC5" w:rsidR="00BD29C4" w:rsidRPr="00216965" w:rsidRDefault="00BD29C4" w:rsidP="008A33DA">
      <w:pPr>
        <w:spacing w:line="360" w:lineRule="auto"/>
        <w:jc w:val="both"/>
      </w:pPr>
    </w:p>
    <w:p w14:paraId="579181F5" w14:textId="04337E68" w:rsidR="00BD29C4" w:rsidRPr="00216965" w:rsidRDefault="00BD29C4" w:rsidP="008A33DA">
      <w:pPr>
        <w:spacing w:line="360" w:lineRule="auto"/>
        <w:jc w:val="both"/>
      </w:pPr>
    </w:p>
    <w:p w14:paraId="46850C8F" w14:textId="793FAD4D" w:rsidR="00BD29C4" w:rsidRPr="00216965" w:rsidRDefault="00BD29C4" w:rsidP="008A33DA">
      <w:pPr>
        <w:spacing w:line="360" w:lineRule="auto"/>
        <w:jc w:val="both"/>
      </w:pPr>
    </w:p>
    <w:p w14:paraId="1AE85DA2" w14:textId="5F5CD0AA" w:rsidR="00BD29C4" w:rsidRPr="00216965" w:rsidRDefault="00BD29C4" w:rsidP="008A33DA">
      <w:pPr>
        <w:spacing w:line="360" w:lineRule="auto"/>
        <w:jc w:val="both"/>
      </w:pPr>
    </w:p>
    <w:p w14:paraId="4EAC0762" w14:textId="365670AD" w:rsidR="00BD29C4" w:rsidRPr="00216965" w:rsidRDefault="00BD29C4" w:rsidP="008A33DA">
      <w:pPr>
        <w:pStyle w:val="Heading2"/>
      </w:pPr>
      <w:bookmarkStart w:id="14" w:name="_Toc86504619"/>
      <w:r w:rsidRPr="00216965">
        <w:lastRenderedPageBreak/>
        <w:t>Thesis aim, objectives and structure</w:t>
      </w:r>
      <w:bookmarkEnd w:id="14"/>
    </w:p>
    <w:p w14:paraId="38A414F7" w14:textId="77777777" w:rsidR="00BD29C4" w:rsidRPr="00216965" w:rsidRDefault="00BD29C4" w:rsidP="008A33DA">
      <w:pPr>
        <w:pStyle w:val="Heading3"/>
      </w:pPr>
      <w:bookmarkStart w:id="15" w:name="_Toc86504620"/>
      <w:r w:rsidRPr="00216965">
        <w:t>Aim</w:t>
      </w:r>
      <w:bookmarkEnd w:id="15"/>
    </w:p>
    <w:p w14:paraId="7BFE7C5D" w14:textId="56D702D2" w:rsidR="00A47D54" w:rsidRPr="00216965" w:rsidRDefault="00BD29C4" w:rsidP="008A33DA">
      <w:pPr>
        <w:spacing w:line="360" w:lineRule="auto"/>
        <w:jc w:val="both"/>
      </w:pPr>
      <w:r w:rsidRPr="00216965">
        <w:t xml:space="preserve">The aim of this thesis is to </w:t>
      </w:r>
      <w:r w:rsidR="00A47D54" w:rsidRPr="00216965">
        <w:t>explore the potential of different plant-based biochars to</w:t>
      </w:r>
      <w:r w:rsidR="00C71AAF" w:rsidRPr="00216965">
        <w:t xml:space="preserve"> restore</w:t>
      </w:r>
      <w:r w:rsidR="00A47D54" w:rsidRPr="00216965">
        <w:t xml:space="preserve"> soil contaminated with HMs </w:t>
      </w:r>
      <w:r w:rsidR="00C71AAF" w:rsidRPr="00216965">
        <w:t xml:space="preserve">by </w:t>
      </w:r>
      <w:r w:rsidR="00A47D54" w:rsidRPr="00216965">
        <w:t>assess</w:t>
      </w:r>
      <w:r w:rsidR="00C71AAF" w:rsidRPr="00216965">
        <w:t>ing</w:t>
      </w:r>
      <w:r w:rsidR="00A47D54" w:rsidRPr="00216965">
        <w:t xml:space="preserve"> </w:t>
      </w:r>
      <w:r w:rsidRPr="00216965">
        <w:t xml:space="preserve">the impact </w:t>
      </w:r>
      <w:r w:rsidR="00A47D54" w:rsidRPr="00216965">
        <w:t xml:space="preserve">of these </w:t>
      </w:r>
      <w:r w:rsidR="00C71AAF" w:rsidRPr="00216965">
        <w:t xml:space="preserve">organic materials </w:t>
      </w:r>
      <w:r w:rsidRPr="00216965">
        <w:t>on soil health</w:t>
      </w:r>
      <w:bookmarkStart w:id="16" w:name="_Toc86504621"/>
      <w:r w:rsidR="00C71AAF" w:rsidRPr="00216965">
        <w:t>.</w:t>
      </w:r>
    </w:p>
    <w:p w14:paraId="6AFBEBD4" w14:textId="586D8119" w:rsidR="00BD29C4" w:rsidRPr="00216965" w:rsidRDefault="00BD29C4" w:rsidP="008A33DA">
      <w:pPr>
        <w:pStyle w:val="Heading3"/>
      </w:pPr>
      <w:r w:rsidRPr="00216965">
        <w:t>Research objectives</w:t>
      </w:r>
      <w:bookmarkEnd w:id="16"/>
    </w:p>
    <w:p w14:paraId="5D931B3A" w14:textId="77777777" w:rsidR="00BD29C4" w:rsidRPr="00216965" w:rsidRDefault="00BD29C4" w:rsidP="008A33DA">
      <w:pPr>
        <w:pBdr>
          <w:top w:val="nil"/>
          <w:left w:val="nil"/>
          <w:bottom w:val="nil"/>
          <w:right w:val="nil"/>
          <w:between w:val="nil"/>
        </w:pBdr>
        <w:spacing w:after="0" w:line="360" w:lineRule="auto"/>
        <w:jc w:val="both"/>
      </w:pPr>
      <w:r w:rsidRPr="00216965">
        <w:t>The objectives which must be completed to achieve the aim of the research, are :</w:t>
      </w:r>
    </w:p>
    <w:p w14:paraId="6F88599B" w14:textId="77777777" w:rsidR="00BD29C4" w:rsidRPr="00216965" w:rsidRDefault="00BD29C4" w:rsidP="008A33DA">
      <w:pPr>
        <w:numPr>
          <w:ilvl w:val="0"/>
          <w:numId w:val="6"/>
        </w:numPr>
        <w:pBdr>
          <w:top w:val="nil"/>
          <w:left w:val="nil"/>
          <w:bottom w:val="nil"/>
          <w:right w:val="nil"/>
          <w:between w:val="nil"/>
        </w:pBdr>
        <w:spacing w:after="0" w:line="360" w:lineRule="auto"/>
        <w:jc w:val="both"/>
      </w:pPr>
      <w:r w:rsidRPr="00216965">
        <w:t>To c</w:t>
      </w:r>
      <w:r w:rsidRPr="00216965">
        <w:rPr>
          <w:color w:val="000000"/>
        </w:rPr>
        <w:t>haracterize the properties of plant-based biochars produced from different feedstock that influence the immobilization of Pb, Cd and Zn and determine the nature of the immobilization mechanisms to provide criteria for biochar selection;</w:t>
      </w:r>
    </w:p>
    <w:p w14:paraId="5CE291D5" w14:textId="686F1093" w:rsidR="00BD29C4" w:rsidRPr="00216965" w:rsidRDefault="00BD29C4" w:rsidP="008A33DA">
      <w:pPr>
        <w:numPr>
          <w:ilvl w:val="0"/>
          <w:numId w:val="6"/>
        </w:numPr>
        <w:pBdr>
          <w:top w:val="nil"/>
          <w:left w:val="nil"/>
          <w:bottom w:val="nil"/>
          <w:right w:val="nil"/>
          <w:between w:val="nil"/>
        </w:pBdr>
        <w:spacing w:after="0" w:line="360" w:lineRule="auto"/>
        <w:jc w:val="both"/>
      </w:pPr>
      <w:r w:rsidRPr="00216965">
        <w:t>To d</w:t>
      </w:r>
      <w:r w:rsidRPr="00216965">
        <w:rPr>
          <w:color w:val="000000"/>
        </w:rPr>
        <w:t>etermine the effect of biochar amendments on HM</w:t>
      </w:r>
      <w:r w:rsidRPr="00216965">
        <w:t>-</w:t>
      </w:r>
      <w:r w:rsidRPr="00216965">
        <w:rPr>
          <w:color w:val="000000"/>
        </w:rPr>
        <w:t xml:space="preserve">contaminated soils, with respect to HM bioavailability and </w:t>
      </w:r>
      <w:r w:rsidR="00DD6F27" w:rsidRPr="00216965">
        <w:rPr>
          <w:color w:val="000000"/>
        </w:rPr>
        <w:t xml:space="preserve">chemical speciation </w:t>
      </w:r>
      <w:r w:rsidRPr="00216965">
        <w:rPr>
          <w:color w:val="000000"/>
        </w:rPr>
        <w:t>in the short- and long-term, to assess the potential of biochar for reducing the ecological risk of HMs in soil;</w:t>
      </w:r>
    </w:p>
    <w:p w14:paraId="7B018266" w14:textId="77777777" w:rsidR="00BD29C4" w:rsidRPr="00216965" w:rsidRDefault="00BD29C4" w:rsidP="008A33DA">
      <w:pPr>
        <w:numPr>
          <w:ilvl w:val="0"/>
          <w:numId w:val="6"/>
        </w:numPr>
        <w:pBdr>
          <w:top w:val="nil"/>
          <w:left w:val="nil"/>
          <w:bottom w:val="nil"/>
          <w:right w:val="nil"/>
          <w:between w:val="nil"/>
        </w:pBdr>
        <w:spacing w:line="360" w:lineRule="auto"/>
        <w:jc w:val="both"/>
      </w:pPr>
      <w:r w:rsidRPr="00216965">
        <w:t>To d</w:t>
      </w:r>
      <w:r w:rsidRPr="00216965">
        <w:rPr>
          <w:color w:val="000000"/>
        </w:rPr>
        <w:t>etermine the effect of biochar addition to HM</w:t>
      </w:r>
      <w:r w:rsidRPr="00216965">
        <w:t>-</w:t>
      </w:r>
      <w:r w:rsidRPr="00216965">
        <w:rPr>
          <w:color w:val="000000"/>
        </w:rPr>
        <w:t>contaminated soil on plant and microbial performance, to understand the i</w:t>
      </w:r>
      <w:r w:rsidRPr="00216965">
        <w:t xml:space="preserve">nfluence </w:t>
      </w:r>
      <w:r w:rsidRPr="00216965">
        <w:rPr>
          <w:color w:val="000000"/>
        </w:rPr>
        <w:t>of biochar on soil health.</w:t>
      </w:r>
    </w:p>
    <w:p w14:paraId="03F48416" w14:textId="77777777" w:rsidR="00BD29C4" w:rsidRPr="00216965" w:rsidRDefault="00BD29C4" w:rsidP="008A33DA">
      <w:pPr>
        <w:pStyle w:val="Heading3"/>
      </w:pPr>
      <w:bookmarkStart w:id="17" w:name="_Toc86504622"/>
      <w:r w:rsidRPr="00216965">
        <w:t>Thesis structure</w:t>
      </w:r>
      <w:bookmarkEnd w:id="17"/>
    </w:p>
    <w:p w14:paraId="567BEB60" w14:textId="77777777" w:rsidR="00BD29C4" w:rsidRPr="00216965" w:rsidRDefault="00BD29C4" w:rsidP="008A33DA">
      <w:pPr>
        <w:spacing w:line="360" w:lineRule="auto"/>
        <w:jc w:val="both"/>
      </w:pPr>
      <w:r w:rsidRPr="00216965">
        <w:t>The document is organized under the “Publication Format Thesis”, according to guidance provided by the Research Services of the University of Sheffield. Chapters 1-2 are traditional thesis chapters. Chapters 3-5 are original contributions presented in a format suitable for publication in a peer-reviewed journal.  Finally, Chapter 6 presents a general discussion, the limitations of the research and conclusions. The primary contributor to the writing of each of the papers (chapters), including the design and execution of the reported research, is the author of this thesis.</w:t>
      </w:r>
    </w:p>
    <w:p w14:paraId="6B01A23B" w14:textId="371733FE" w:rsidR="00BD29C4" w:rsidRPr="00216965" w:rsidRDefault="00BD29C4" w:rsidP="008A33DA">
      <w:pPr>
        <w:pStyle w:val="Heading4"/>
      </w:pPr>
      <w:r w:rsidRPr="00216965">
        <w:t>Chapter 1</w:t>
      </w:r>
      <w:r w:rsidR="00EE57BC" w:rsidRPr="00216965">
        <w:t>:</w:t>
      </w:r>
      <w:r w:rsidRPr="00216965">
        <w:t xml:space="preserve"> Introduction</w:t>
      </w:r>
    </w:p>
    <w:p w14:paraId="38B9A1E7" w14:textId="77777777" w:rsidR="00BD29C4" w:rsidRPr="00216965" w:rsidRDefault="00BD29C4" w:rsidP="008A33DA">
      <w:pPr>
        <w:spacing w:line="360" w:lineRule="auto"/>
        <w:jc w:val="both"/>
        <w:rPr>
          <w:szCs w:val="24"/>
        </w:rPr>
      </w:pPr>
      <w:r w:rsidRPr="00216965">
        <w:rPr>
          <w:szCs w:val="24"/>
        </w:rPr>
        <w:t>The chapter introduces the problems related to soil contamination by heavy metals and the challenges facing current remediation approaches. Biochar is then presented as a novel low-cost material with potential for the restoration of HM-contaminated soil.</w:t>
      </w:r>
    </w:p>
    <w:p w14:paraId="4484E71F" w14:textId="103275FC" w:rsidR="00BD29C4" w:rsidRPr="00216965" w:rsidRDefault="00BD29C4" w:rsidP="008A33DA">
      <w:pPr>
        <w:pStyle w:val="Heading4"/>
      </w:pPr>
      <w:r w:rsidRPr="00216965">
        <w:t>Chapter 2</w:t>
      </w:r>
      <w:r w:rsidR="00EE57BC" w:rsidRPr="00216965">
        <w:t>:</w:t>
      </w:r>
      <w:r w:rsidRPr="00216965">
        <w:t xml:space="preserve"> Literature review</w:t>
      </w:r>
    </w:p>
    <w:p w14:paraId="39A35FB0" w14:textId="77777777" w:rsidR="00BD29C4" w:rsidRPr="00216965" w:rsidRDefault="00BD29C4" w:rsidP="008A33DA">
      <w:pPr>
        <w:spacing w:line="360" w:lineRule="auto"/>
        <w:jc w:val="both"/>
        <w:rPr>
          <w:szCs w:val="24"/>
        </w:rPr>
      </w:pPr>
      <w:r w:rsidRPr="00216965">
        <w:rPr>
          <w:szCs w:val="24"/>
        </w:rPr>
        <w:t xml:space="preserve">This chapter presents a comprehensive review on the state-of-the-art related to current understanding of the toxic effects of heavy metals in soils, their geochemical fractionation </w:t>
      </w:r>
      <w:r w:rsidRPr="00216965">
        <w:rPr>
          <w:szCs w:val="24"/>
        </w:rPr>
        <w:lastRenderedPageBreak/>
        <w:t>and current remediation technologies for HM-contaminated soil. It introduces the importance of finding low cost amendments for application in soil remediation. Biochar is presented as an appropriate organic amendment with suitable properties to immobilize bioavailable HMs. The importance of biochar feedstock and production conditions on the resulting biochar properties are presented as key factors that influence biochar performance. The effect of biochar on soil physico-chemical properties, soil microorganisms and plants is discussed, together with the current challenges and limitations reported to date in the application of biochar for soil remediation purposes.</w:t>
      </w:r>
    </w:p>
    <w:p w14:paraId="4B9AAB18" w14:textId="77777777" w:rsidR="00BD29C4" w:rsidRPr="00216965" w:rsidRDefault="00BD29C4" w:rsidP="008A33DA">
      <w:pPr>
        <w:pStyle w:val="Heading4"/>
        <w:rPr>
          <w:rFonts w:eastAsia="Times New Roman" w:cs="Times New Roman"/>
        </w:rPr>
      </w:pPr>
      <w:r w:rsidRPr="00216965">
        <w:t xml:space="preserve">Chapter 3: The relationship between properties of plant-based biochars and sorption of Cd(II), Pb(II) and Zn(II) in soil model systems </w:t>
      </w:r>
    </w:p>
    <w:p w14:paraId="07A28E7D" w14:textId="77777777" w:rsidR="00BD29C4" w:rsidRPr="00216965" w:rsidRDefault="00BD29C4" w:rsidP="008A33DA">
      <w:pPr>
        <w:pBdr>
          <w:top w:val="nil"/>
          <w:left w:val="nil"/>
          <w:bottom w:val="nil"/>
          <w:right w:val="nil"/>
          <w:between w:val="nil"/>
        </w:pBdr>
        <w:spacing w:after="0" w:line="240" w:lineRule="auto"/>
        <w:rPr>
          <w:rFonts w:ascii="TUOS Blake" w:eastAsia="TUOS Blake" w:hAnsi="TUOS Blake" w:cs="TUOS Blake"/>
          <w:color w:val="000000"/>
          <w:sz w:val="20"/>
          <w:szCs w:val="20"/>
        </w:rPr>
      </w:pPr>
    </w:p>
    <w:p w14:paraId="024111ED" w14:textId="2F5FF75F" w:rsidR="00BD29C4" w:rsidRPr="00216965" w:rsidRDefault="00BD29C4" w:rsidP="008A33DA">
      <w:pPr>
        <w:spacing w:line="360" w:lineRule="auto"/>
        <w:jc w:val="both"/>
      </w:pPr>
      <w:r w:rsidRPr="00216965">
        <w:t xml:space="preserve">This chapter describes the relationship between the physico-chemical properties of plant-based biochars </w:t>
      </w:r>
      <w:r w:rsidR="003E772D" w:rsidRPr="00216965">
        <w:t>and</w:t>
      </w:r>
      <w:r w:rsidRPr="00216965">
        <w:t xml:space="preserve"> the sorption of cadmium, lead and zinc in soil pore water to address </w:t>
      </w:r>
      <w:r w:rsidRPr="00216965">
        <w:rPr>
          <w:i/>
        </w:rPr>
        <w:t>objective 1</w:t>
      </w:r>
      <w:r w:rsidRPr="00216965">
        <w:t>. It comprises the characterization of five biochars and a series of batch test experiments which evaluate the kinetics of metal sorption, effect of pH, effect of adsorbent dose, single sorption isotherms and competitive sorption tests. The results of this chapter describe the nature of the mechanisms involved in the immobilization of the studied elements by the different biochars and the sorption capacities for each element. This chapter has been published in the form of the following peer-reviewed journal paper:</w:t>
      </w:r>
    </w:p>
    <w:p w14:paraId="4741CE3C" w14:textId="73CE4D74" w:rsidR="00BD29C4" w:rsidRPr="00216965" w:rsidRDefault="00BD29C4" w:rsidP="008A33DA">
      <w:pPr>
        <w:widowControl w:val="0"/>
        <w:spacing w:line="240" w:lineRule="auto"/>
        <w:ind w:left="480" w:hanging="480"/>
        <w:rPr>
          <w:sz w:val="22"/>
        </w:rPr>
      </w:pPr>
      <w:r w:rsidRPr="00216965">
        <w:rPr>
          <w:sz w:val="22"/>
        </w:rPr>
        <w:t xml:space="preserve">Soria, R.I., Rolfe, S.A., Betancourth, M.P. and Thornton, S.F. (2020). The relationship between properties of plant-based biochars and sorption of Cd(II), Pb(II) and Zn(II) in soil model systems. Heliyon 6. </w:t>
      </w:r>
      <w:hyperlink r:id="rId13" w:history="1">
        <w:r w:rsidRPr="00216965">
          <w:rPr>
            <w:rStyle w:val="Hyperlink"/>
            <w:sz w:val="22"/>
          </w:rPr>
          <w:t>https://doi.org/10.1016/j.heliyon.2020.e05388</w:t>
        </w:r>
      </w:hyperlink>
    </w:p>
    <w:p w14:paraId="23B5F316" w14:textId="082FB298" w:rsidR="00BD29C4" w:rsidRPr="00216965" w:rsidRDefault="00BD29C4" w:rsidP="008A33DA">
      <w:pPr>
        <w:pStyle w:val="Heading4"/>
      </w:pPr>
      <w:r w:rsidRPr="00216965">
        <w:t>Chapter 4: Potential of biochar to reduce toxicity of Cd(II), Pb(II) and Zn(II) to plants in a controlled environment incubation</w:t>
      </w:r>
    </w:p>
    <w:p w14:paraId="163B4652" w14:textId="0B9D35B0" w:rsidR="00BD29C4" w:rsidRPr="00216965" w:rsidRDefault="00BD29C4" w:rsidP="008A33DA">
      <w:pPr>
        <w:spacing w:line="360" w:lineRule="auto"/>
        <w:jc w:val="both"/>
      </w:pPr>
      <w:r w:rsidRPr="00216965">
        <w:t xml:space="preserve">To address </w:t>
      </w:r>
      <w:r w:rsidRPr="00216965">
        <w:rPr>
          <w:i/>
        </w:rPr>
        <w:t>objective 2</w:t>
      </w:r>
      <w:r w:rsidRPr="00216965">
        <w:t xml:space="preserve"> this chapter explores the effect of biochar in alleviating metal toxicity in soil artificially contaminated with HMs in a series of short-term incubations under controlled conditions. Considering the outcome of </w:t>
      </w:r>
      <w:r w:rsidRPr="00216965">
        <w:rPr>
          <w:b/>
        </w:rPr>
        <w:t>Chapter 3</w:t>
      </w:r>
      <w:r w:rsidRPr="00216965">
        <w:t xml:space="preserve">, four biochars were selected and used at different application rates in soil contaminated with cadmium, lead and zinc as single metals and as a mixture. To address </w:t>
      </w:r>
      <w:r w:rsidRPr="00216965">
        <w:rPr>
          <w:i/>
        </w:rPr>
        <w:t>objective 3</w:t>
      </w:r>
      <w:r w:rsidRPr="00216965">
        <w:t xml:space="preserve"> the effect of biochar on plant growth was evaluated using </w:t>
      </w:r>
      <w:r w:rsidRPr="00216965">
        <w:rPr>
          <w:i/>
        </w:rPr>
        <w:t>Arabidopsis thaliana</w:t>
      </w:r>
      <w:r w:rsidRPr="00216965">
        <w:t xml:space="preserve">, </w:t>
      </w:r>
      <w:r w:rsidR="00335953" w:rsidRPr="00216965">
        <w:rPr>
          <w:i/>
          <w:iCs/>
        </w:rPr>
        <w:t>Sinapsis alba</w:t>
      </w:r>
      <w:r w:rsidRPr="00216965">
        <w:t xml:space="preserve"> and </w:t>
      </w:r>
      <w:r w:rsidRPr="00216965">
        <w:rPr>
          <w:i/>
        </w:rPr>
        <w:t>Lolium</w:t>
      </w:r>
      <w:r w:rsidRPr="00216965">
        <w:t xml:space="preserve"> </w:t>
      </w:r>
      <w:r w:rsidRPr="00216965">
        <w:rPr>
          <w:i/>
        </w:rPr>
        <w:t xml:space="preserve">perenne </w:t>
      </w:r>
      <w:r w:rsidRPr="00216965">
        <w:t xml:space="preserve">plants. It is intended to submit this chapter for publication in the </w:t>
      </w:r>
      <w:r w:rsidRPr="00216965">
        <w:rPr>
          <w:i/>
        </w:rPr>
        <w:t>Plant and Soil</w:t>
      </w:r>
      <w:r w:rsidRPr="00216965">
        <w:t xml:space="preserve"> journal (Springer).</w:t>
      </w:r>
    </w:p>
    <w:p w14:paraId="7B057B85" w14:textId="3313BC94" w:rsidR="00BD29C4" w:rsidRPr="00216965" w:rsidRDefault="00BD29C4" w:rsidP="008A33DA">
      <w:pPr>
        <w:pStyle w:val="Heading4"/>
      </w:pPr>
      <w:bookmarkStart w:id="18" w:name="_Toc86439210"/>
      <w:bookmarkStart w:id="19" w:name="_Toc86442210"/>
      <w:bookmarkStart w:id="20" w:name="_Toc86443569"/>
      <w:bookmarkStart w:id="21" w:name="_Toc86504623"/>
      <w:r w:rsidRPr="00216965">
        <w:rPr>
          <w:rStyle w:val="Heading3Char"/>
          <w:b/>
          <w:bCs/>
        </w:rPr>
        <w:lastRenderedPageBreak/>
        <w:t>Chapter 5:</w:t>
      </w:r>
      <w:bookmarkEnd w:id="18"/>
      <w:bookmarkEnd w:id="19"/>
      <w:bookmarkEnd w:id="20"/>
      <w:bookmarkEnd w:id="21"/>
      <w:r w:rsidRPr="00216965">
        <w:t xml:space="preserve"> The effect of biochar on bioavailable Pb(II) and Zn(II) and its influence on soil health: an outdoor pot experiment</w:t>
      </w:r>
    </w:p>
    <w:p w14:paraId="1C60A550" w14:textId="1B2967DC" w:rsidR="00BD29C4" w:rsidRPr="00216965" w:rsidRDefault="00BD29C4" w:rsidP="008A33DA">
      <w:pPr>
        <w:spacing w:line="360" w:lineRule="auto"/>
        <w:jc w:val="both"/>
      </w:pPr>
      <w:r w:rsidRPr="00216965">
        <w:t>This chapter comprises a long-term pot-based field experiment where the effect of biochar addition on a highly contaminated mining soil is evaluated (</w:t>
      </w:r>
      <w:r w:rsidRPr="00216965">
        <w:rPr>
          <w:i/>
        </w:rPr>
        <w:t>objective 2</w:t>
      </w:r>
      <w:r w:rsidRPr="00216965">
        <w:t xml:space="preserve">). Considering the results from </w:t>
      </w:r>
      <w:r w:rsidRPr="00216965">
        <w:rPr>
          <w:b/>
        </w:rPr>
        <w:t>Chapter 4</w:t>
      </w:r>
      <w:r w:rsidRPr="00216965">
        <w:t>, one biochar is used to evaluate its effect on soil bioavailable heavy metal concentrations, plant performance (</w:t>
      </w:r>
      <w:r w:rsidRPr="00216965">
        <w:rPr>
          <w:i/>
        </w:rPr>
        <w:t>Lolium perenne</w:t>
      </w:r>
      <w:r w:rsidRPr="00216965">
        <w:t xml:space="preserve">) and soil microbial community, by using high-throughput sequencing sequencing and </w:t>
      </w:r>
      <w:r w:rsidRPr="00216965">
        <w:rPr>
          <w:vertAlign w:val="superscript"/>
        </w:rPr>
        <w:t>13</w:t>
      </w:r>
      <w:r w:rsidRPr="00216965">
        <w:t>C PLFA techniques (</w:t>
      </w:r>
      <w:r w:rsidRPr="00216965">
        <w:rPr>
          <w:i/>
        </w:rPr>
        <w:t>objective 3</w:t>
      </w:r>
      <w:r w:rsidRPr="00216965">
        <w:t xml:space="preserve">). In parallel, green waste compost is studied as an alternative amendment and in combination with biochar. The changes in soil microbial abundance and composition are correlated with soil properties using canonical correlation analysis. The role of biochar to enhance soil microbial activity and soil physicochemical properties is discussed. The contents of this chapter are intended for publication as a paper in the </w:t>
      </w:r>
      <w:r w:rsidRPr="00216965">
        <w:rPr>
          <w:i/>
        </w:rPr>
        <w:t xml:space="preserve">Environmental Pollution </w:t>
      </w:r>
      <w:r w:rsidRPr="00216965">
        <w:t>journal.</w:t>
      </w:r>
    </w:p>
    <w:p w14:paraId="42B2BB9D" w14:textId="1DEC1E8D" w:rsidR="00BD29C4" w:rsidRPr="00216965" w:rsidRDefault="00BD29C4" w:rsidP="008A33DA">
      <w:pPr>
        <w:pStyle w:val="Heading4"/>
      </w:pPr>
      <w:bookmarkStart w:id="22" w:name="_Toc86439211"/>
      <w:bookmarkStart w:id="23" w:name="_Toc86442211"/>
      <w:bookmarkStart w:id="24" w:name="_Toc86443570"/>
      <w:bookmarkStart w:id="25" w:name="_Toc86504624"/>
      <w:r w:rsidRPr="00216965">
        <w:rPr>
          <w:rStyle w:val="Heading3Char"/>
          <w:b/>
          <w:bCs/>
        </w:rPr>
        <w:t>Chapter 6:</w:t>
      </w:r>
      <w:bookmarkEnd w:id="22"/>
      <w:bookmarkEnd w:id="23"/>
      <w:bookmarkEnd w:id="24"/>
      <w:bookmarkEnd w:id="25"/>
      <w:r w:rsidRPr="00216965">
        <w:t xml:space="preserve"> Synthesis, limitations, future research, and conclusion</w:t>
      </w:r>
    </w:p>
    <w:p w14:paraId="5DD44FCC" w14:textId="2235C85A" w:rsidR="00BD29C4" w:rsidRPr="00216965" w:rsidRDefault="00BD29C4" w:rsidP="008A33DA">
      <w:pPr>
        <w:spacing w:line="360" w:lineRule="auto"/>
        <w:jc w:val="both"/>
      </w:pPr>
      <w:r w:rsidRPr="00216965">
        <w:t xml:space="preserve">This chapter integrates and synthesizes the findings from Chapters </w:t>
      </w:r>
      <w:r w:rsidR="00806396" w:rsidRPr="00216965">
        <w:t>3</w:t>
      </w:r>
      <w:r w:rsidRPr="00216965">
        <w:t>-</w:t>
      </w:r>
      <w:r w:rsidR="00806396" w:rsidRPr="00216965">
        <w:t>5</w:t>
      </w:r>
      <w:r w:rsidRPr="00216965">
        <w:t xml:space="preserve"> and outlines their significance in the context of the research. This chapter also presents the limitations, future work and general conclusions of the research.</w:t>
      </w:r>
    </w:p>
    <w:p w14:paraId="58D3C150" w14:textId="77777777" w:rsidR="00BD29C4" w:rsidRPr="00216965" w:rsidRDefault="00BD29C4" w:rsidP="008A33DA">
      <w:pPr>
        <w:spacing w:line="360" w:lineRule="auto"/>
        <w:jc w:val="both"/>
      </w:pPr>
    </w:p>
    <w:p w14:paraId="562A8A30" w14:textId="39043D29" w:rsidR="00632101" w:rsidRPr="00216965" w:rsidRDefault="00632101" w:rsidP="008A33DA">
      <w:pPr>
        <w:spacing w:line="360" w:lineRule="auto"/>
        <w:jc w:val="both"/>
      </w:pPr>
    </w:p>
    <w:p w14:paraId="72AB330C" w14:textId="2CD23571" w:rsidR="00632101" w:rsidRPr="00216965" w:rsidRDefault="00632101" w:rsidP="008A33DA">
      <w:pPr>
        <w:spacing w:line="360" w:lineRule="auto"/>
        <w:jc w:val="both"/>
      </w:pPr>
    </w:p>
    <w:p w14:paraId="1759010D" w14:textId="4C8A10C3" w:rsidR="00632101" w:rsidRPr="00216965" w:rsidRDefault="00632101" w:rsidP="008A33DA">
      <w:pPr>
        <w:spacing w:line="360" w:lineRule="auto"/>
        <w:jc w:val="both"/>
      </w:pPr>
    </w:p>
    <w:p w14:paraId="67B1D5CA" w14:textId="2C639521" w:rsidR="00632101" w:rsidRPr="00216965" w:rsidRDefault="00632101" w:rsidP="008A33DA">
      <w:pPr>
        <w:spacing w:line="360" w:lineRule="auto"/>
        <w:jc w:val="both"/>
      </w:pPr>
    </w:p>
    <w:p w14:paraId="035CD84D" w14:textId="1BE2B620" w:rsidR="00632101" w:rsidRPr="00216965" w:rsidRDefault="00632101" w:rsidP="008A33DA">
      <w:pPr>
        <w:spacing w:line="360" w:lineRule="auto"/>
        <w:jc w:val="both"/>
      </w:pPr>
    </w:p>
    <w:p w14:paraId="6371AD49" w14:textId="1B11A42F" w:rsidR="00632101" w:rsidRPr="00216965" w:rsidRDefault="00632101" w:rsidP="008A33DA">
      <w:pPr>
        <w:spacing w:line="360" w:lineRule="auto"/>
        <w:jc w:val="both"/>
      </w:pPr>
    </w:p>
    <w:p w14:paraId="0ED470AD" w14:textId="06F348E9" w:rsidR="00632101" w:rsidRPr="00216965" w:rsidRDefault="00632101" w:rsidP="008A33DA">
      <w:pPr>
        <w:spacing w:line="360" w:lineRule="auto"/>
        <w:jc w:val="both"/>
      </w:pPr>
    </w:p>
    <w:p w14:paraId="3E40BEA1" w14:textId="54DDF1DD" w:rsidR="00632101" w:rsidRPr="00216965" w:rsidRDefault="00632101" w:rsidP="008A33DA">
      <w:pPr>
        <w:spacing w:line="360" w:lineRule="auto"/>
        <w:jc w:val="both"/>
      </w:pPr>
    </w:p>
    <w:p w14:paraId="5F835266" w14:textId="69CA18BD" w:rsidR="00632101" w:rsidRPr="00216965" w:rsidRDefault="00632101" w:rsidP="008A33DA">
      <w:pPr>
        <w:pStyle w:val="Heading1"/>
        <w:rPr>
          <w:rFonts w:eastAsia="Times New Roman"/>
        </w:rPr>
      </w:pPr>
      <w:bookmarkStart w:id="26" w:name="_Toc86504625"/>
      <w:bookmarkStart w:id="27" w:name="_Hlk86426041"/>
      <w:r w:rsidRPr="00216965">
        <w:rPr>
          <w:rFonts w:eastAsia="Times New Roman"/>
        </w:rPr>
        <w:lastRenderedPageBreak/>
        <w:t>L</w:t>
      </w:r>
      <w:r w:rsidR="00296234" w:rsidRPr="00216965">
        <w:rPr>
          <w:rFonts w:eastAsia="Times New Roman"/>
        </w:rPr>
        <w:t>iterature review</w:t>
      </w:r>
      <w:bookmarkEnd w:id="26"/>
    </w:p>
    <w:p w14:paraId="4562ED76" w14:textId="20883D72" w:rsidR="00632101" w:rsidRPr="00216965" w:rsidRDefault="00632101" w:rsidP="008A33DA">
      <w:pPr>
        <w:pStyle w:val="Heading2"/>
      </w:pPr>
      <w:bookmarkStart w:id="28" w:name="_heading=h.30j0zll" w:colFirst="0" w:colLast="0"/>
      <w:bookmarkStart w:id="29" w:name="_Toc86504626"/>
      <w:bookmarkEnd w:id="28"/>
      <w:r w:rsidRPr="00216965">
        <w:t>Heavy metal pollution in soils</w:t>
      </w:r>
      <w:bookmarkEnd w:id="29"/>
    </w:p>
    <w:p w14:paraId="7F3C9FE8" w14:textId="2B17B4F2"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Heavy metals are important environmental pollutants because of their widespread occurrence and toxic effects on </w:t>
      </w:r>
      <w:bookmarkStart w:id="30" w:name="_Hlk99209374"/>
      <w:r w:rsidRPr="00216965">
        <w:rPr>
          <w:rFonts w:eastAsia="Times New Roman" w:cs="Times New Roman"/>
          <w:szCs w:val="24"/>
        </w:rPr>
        <w:t xml:space="preserve">living organisms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Critics","id":"ITEM-2","issue":"2","issued":{"date-parts":[["2014"]]},"page":"24-38","title":"A review on heavy metal contamination in the soil worldwide: Situation, impact and remediation techniques","type":"article-journal","volume":"3"},"uris":["http://www.mendeley.com/documents/?uuid=5dcca45e-40a9-4d03-8ac4-023dceaf84af"]}],"mendeley":{"formattedCitation":"(Amari et al., 2017; Su et al., 2014)","plainTextFormattedCitation":"(Amari et al., 2017; Su et al., 2014)","previouslyFormattedCitation":"(Amari et al., 2017; Su et al., 2014)"},"properties":{"noteIndex":0},"schema":"https://github.com/citation-style-language/schema/raw/master/csl-citation.json"}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(Amari et al., 2017; Su et al., 2014)</w:t>
      </w:r>
      <w:r w:rsidRPr="00216965">
        <w:rPr>
          <w:rFonts w:eastAsia="Times New Roman" w:cs="Times New Roman"/>
          <w:szCs w:val="24"/>
        </w:rPr>
        <w:fldChar w:fldCharType="end"/>
      </w:r>
      <w:r w:rsidRPr="00216965">
        <w:rPr>
          <w:rFonts w:eastAsia="Times New Roman" w:cs="Times New Roman"/>
          <w:szCs w:val="24"/>
        </w:rPr>
        <w:t xml:space="preserve">. They persist long term in the environment as they </w:t>
      </w:r>
      <w:r w:rsidR="00C6174A" w:rsidRPr="00216965">
        <w:rPr>
          <w:rFonts w:eastAsia="Times New Roman" w:cs="Times New Roman"/>
          <w:szCs w:val="24"/>
        </w:rPr>
        <w:t xml:space="preserve">are transported across different compartments of the environment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review","type":"article-journal","volume":"99"},"uris":["http://www.mendeley.com/documents/?uuid=48218992-b65d-439f-b228-8bd55f65ddf1"]},{"id":"ITEM-2","itemData":{"DOI":"10.1016/j.envpol.2011.07.023","ISBN":"0269-7491","ISSN":"02697491","PMID":"21855187","abstract":"Biochars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Pollution","id":"ITEM-2","issue":"12","issued":{"date-parts":[["2011"]]},"page":"3269-3282","publisher":"Elsevier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soils","type":"article-journal","volume":"159"},"uris":["http://www.mendeley.com/documents/?uuid=3cf5d665-bd14-4c22-a4ff-9a77990dcd3d"]}],"mendeley":{"formattedCitation":"(Ahmad et al., 2014; Beesley et al., 2011)","plainTextFormattedCitation":"(Ahmad et al., 2014; Beesley et al., 2011)","previouslyFormattedCitation":"(Ahmad et al., 2014; Beesley et al., 2011)"},"properties":{"noteIndex":0},"schema":"https://github.com/citation-style-language/schema/raw/master/csl-citation.json"}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(Ahmad et al., 2014; Beesley et al., 2011)</w:t>
      </w:r>
      <w:r w:rsidRPr="00216965">
        <w:rPr>
          <w:rFonts w:eastAsia="Times New Roman" w:cs="Times New Roman"/>
          <w:szCs w:val="24"/>
        </w:rPr>
        <w:fldChar w:fldCharType="end"/>
      </w:r>
      <w:bookmarkEnd w:id="30"/>
      <w:r w:rsidRPr="00216965">
        <w:rPr>
          <w:rFonts w:eastAsia="Times New Roman" w:cs="Times New Roman"/>
          <w:szCs w:val="24"/>
        </w:rPr>
        <w:t>. Although the term heavy metal (HM) refers to a large group of elements with an atomic density greater than 6 g.cm</w:t>
      </w:r>
      <w:r w:rsidRPr="00216965">
        <w:rPr>
          <w:rFonts w:eastAsia="Times New Roman" w:cs="Times New Roman"/>
          <w:szCs w:val="24"/>
          <w:vertAlign w:val="superscript"/>
        </w:rPr>
        <w:t xml:space="preserve">-1 </w:t>
      </w:r>
      <w:r w:rsidRPr="00216965">
        <w:rPr>
          <w:rFonts w:eastAsia="Times New Roman" w:cs="Times New Roman"/>
          <w:szCs w:val="24"/>
          <w:vertAlign w:val="superscript"/>
        </w:rPr>
        <w:fldChar w:fldCharType="begin" w:fldLock="1"/>
      </w:r>
      <w:r w:rsidR="00F56BD7" w:rsidRPr="00216965">
        <w:rPr>
          <w:rFonts w:eastAsia="Times New Roman" w:cs="Times New Roman"/>
          <w:szCs w:val="24"/>
          <w:vertAlign w:val="superscript"/>
        </w:rPr>
        <w:instrText>ADDIN CSL_CITATION {"citationItems":[{"id":"ITEM-1","itemData":{"abstract":"Republication or reproduction of this report or its storage and/or dissemination by electronic means is permitted without the need for formal IUPAC permission on condition that an acknowledgment, with full reference to the source, along with use of the copyright symbol ©, the name IUPAC, and the year of publication, are prominently visible. Publication of a translation into another language is subject to the additional condition of prior approval from the relevant IUPAC National Adhering Organization. Abstract: Over the past two decades, the term \"heavy metals\" has been widely used. It is often used as a group name for metals and semimetals (metalloids) that have been associated with contamination and potential toxicity or ecotoxicity. At the same time, legal regulations often specify a list of \"heavy metals\" to which they apply. Such lists differ from one set of regulations to another and the term is sometimes used without even specifying which \"heavy metals\" are covered. However, there is no authoritative definition to be found in the relevant literature. There is a tendency, unsupported by the facts, to assume that all so-called \"heavy metals\" and their compounds have highly toxic or ecotoxic properties. This has no basis in chemical or toxicological data. Thus, the term \"heavy metals\" is both meaningless and misleading. Even the term \"metal\" is commonly misused in both toxicological literature and in legislation to mean the pure metal and all the chemical species in which it may exist. This usage implies that the pure metal and all its compounds have the same physicochemical, biological, and toxicological properties , which is untrue. In order to avoid the use of the term \"heavy metal\", a new classification based on the periodic table is needed. Such a classification should reflect our understanding of the chemical basis of toxicity and allow toxic effects to be predicted.","author":[{"dropping-particle":"","family":"Duffus","given":"John H","non-dropping-particle":"","parse-names":false,"suffix":""}],"container-title":"Pure and Applied Chemistry","id":"ITEM-1","issue":"5","issued":{"date-parts":[["2002"]]},"page":"793-807","title":"\"Heavy metals\"- A meaningless term? (IUPAC technical report)","type":"article-journal","volume":"74"},"uris":["http://www.mendeley.com/documents/?uuid=f6abe51f-3abf-3280-86b8-20e4df571a42"]}],"mendeley":{"formattedCitation":"(Duffus, 2002)","plainTextFormattedCitation":"(Duffus, 2002)","previouslyFormattedCitation":"(Duffus, 2002)"},"properties":{"noteIndex":0},"schema":"https://github.com/citation-style-language/schema/raw/master/csl-citation.json"}</w:instrText>
      </w:r>
      <w:r w:rsidRPr="00216965">
        <w:rPr>
          <w:rFonts w:eastAsia="Times New Roman" w:cs="Times New Roman"/>
          <w:szCs w:val="24"/>
          <w:vertAlign w:val="superscript"/>
        </w:rPr>
        <w:fldChar w:fldCharType="separate"/>
      </w:r>
      <w:r w:rsidR="00330A4F" w:rsidRPr="00216965">
        <w:rPr>
          <w:rFonts w:eastAsia="Times New Roman" w:cs="Times New Roman"/>
          <w:noProof/>
          <w:szCs w:val="24"/>
        </w:rPr>
        <w:t>(Duffus, 2002)</w:t>
      </w:r>
      <w:r w:rsidRPr="00216965">
        <w:rPr>
          <w:rFonts w:eastAsia="Times New Roman" w:cs="Times New Roman"/>
          <w:szCs w:val="24"/>
          <w:vertAlign w:val="superscript"/>
        </w:rPr>
        <w:fldChar w:fldCharType="end"/>
      </w:r>
      <w:r w:rsidRPr="00216965">
        <w:rPr>
          <w:rFonts w:eastAsia="Times New Roman" w:cs="Times New Roman"/>
          <w:szCs w:val="24"/>
        </w:rPr>
        <w:t xml:space="preserve">, in the literature it has been used extensively to describe metals associated with contamination and potential toxicity or ecotoxicity. Nowadays, some authors prefer the term potentially toxic trace elements “PTEs”  rather than “heavy metals” </w:t>
      </w:r>
      <w:bookmarkStart w:id="31" w:name="_Hlk99572824"/>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(Shaheen et al., 2013)</w:t>
      </w:r>
      <w:r w:rsidRPr="00216965">
        <w:rPr>
          <w:rFonts w:eastAsia="Times New Roman" w:cs="Times New Roman"/>
          <w:szCs w:val="24"/>
        </w:rPr>
        <w:fldChar w:fldCharType="end"/>
      </w:r>
      <w:bookmarkEnd w:id="31"/>
      <w:r w:rsidRPr="00216965">
        <w:rPr>
          <w:rFonts w:eastAsia="Times New Roman" w:cs="Times New Roman"/>
          <w:szCs w:val="24"/>
        </w:rPr>
        <w:t xml:space="preserve">. </w:t>
      </w:r>
    </w:p>
    <w:p w14:paraId="2FD739EE" w14:textId="12EC26E3"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HMs originate from two major sources: natural and anthropogenic. As part of the natural sources, heavy metals are released from the parent rock materials by weathering and pedogenesis</w:t>
      </w:r>
      <w:r w:rsidR="00B2375C" w:rsidRPr="00216965">
        <w:rPr>
          <w:rStyle w:val="FootnoteReference"/>
        </w:rPr>
        <w:footnoteReference w:id="1"/>
      </w:r>
      <w:r w:rsidRPr="00216965">
        <w:rPr>
          <w:rFonts w:eastAsia="Times New Roman" w:cs="Times New Roman"/>
          <w:szCs w:val="24"/>
        </w:rPr>
        <w:t xml:space="preserv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microbes","type":"article-journal","volume":"15"},"uris":["http://www.mendeley.com/documents/?uuid=b874bf00-8864-4188-90b6-39010f72c7e5"]},{"id":"ITEM-2","itemData":{"DOI":"10.1007/s10311-010-0297-8","ISBN":"1610-3653","ISSN":"16103653","abstract":"Metal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Letters","id":"ITEM-2","issue":"3","issued":{"date-parts":[["2010"]]},"page":"199-216","title":"Heavy metals, occurrence and toxicity for plants: A review","type":"article-journal","volume":"8"},"uris":["http://www.mendeley.com/documents/?uuid=c3cf0d3a-0f37-4d68-898c-8d5404c4a140"]}],"mendeley":{"formattedCitation":"(Abdu et al., 2017; Nagajyoti et al., 2010)","plainTextFormattedCitation":"(Abdu et al., 2017; Nagajyoti et al., 2010)","previouslyFormattedCitation":"(Abdu et al., 2017; Nagajyoti et al., 2010)"},"properties":{"noteIndex":0},"schema":"https://github.com/citation-style-language/schema/raw/master/csl-citation.json"}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(Abdu et al., 2017; Nagajyoti et al., 2010)</w:t>
      </w:r>
      <w:r w:rsidRPr="00216965">
        <w:rPr>
          <w:rFonts w:eastAsia="Times New Roman" w:cs="Times New Roman"/>
          <w:szCs w:val="24"/>
        </w:rPr>
        <w:fldChar w:fldCharType="end"/>
      </w:r>
      <w:r w:rsidRPr="00216965">
        <w:rPr>
          <w:rFonts w:eastAsia="Times New Roman" w:cs="Times New Roman"/>
          <w:szCs w:val="24"/>
        </w:rPr>
        <w:t xml:space="preserve">. Additionally, they are released into the environment during forest fires, volcanic events, soil erosion or released from vegetation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{"citationItems":[{"id":"ITEM-1","itemData":{"DOI":"10.3390/su7022189","ISSN":"2071-1050","abstract":"Heavy metals are natural constituents of the environment, but indiscriminate use for human purposes has altered their geochemical cycles and biochemical balance. This results in excess release of heavy metals such as cadmium, copper, lead, nickel, zinc etc. into natural resources like the soil and aquatic environments. Prolonged exposure and higher accumulation of such heavy metals can have deleterious health effects on human life and aquatic biota. The role of microorganisms and plants in biotransformation of heavy metals into nontoxic forms is well-documented, and understanding the molecular mechanism of metal accumulation has numerous biotechnological implications for bioremediation of OPEN ACCESS Sustainability 2015, 7 2190 metal-contaminated sites. In view of this, the present review investigates the abilities of microorganisms and plants in terms of tolerance and degradation of heavy metals. Also, advances in bioremediation technologies and strategies to explore these immense and valuable biological resources for bioremediation are discussed. An assessment of the current status of technology deployment and suggestions for future bioremediation research has also been included. Finally, there is a discussion of the genetic and molecular basis of metal tolerance in microbes, with special reference to the genomics of heavy metal accumulator plants and the identification of functional genes involved in tolerance and detoxification.","author":[{"dropping-particle":"","family":"Dixit","given":"Ruchita","non-dropping-particle":"","parse-names":false,"suffix":""},{"dropping-particle":"","family":"Malaviya","given":"Deepti","non-dropping-particle":"","parse-names":false,"suffix":""},{"dropping-particle":"","family":"Pandiyan","given":"Kuppusamy","non-dropping-particle":"","parse-names":false,"suffix":""},{"dropping-particle":"","family":"Singh","given":"Udai B","non-dropping-particle":"","parse-names":false,"suffix":""},{"dropping-particle":"","family":"Sahu","given":"Asha","non-dropping-particle":"","parse-names":false,"suffix":""},{"dropping-particle":"","family":"Shukla","given":"Renu","non-dropping-particle":"","parse-names":false,"suffix":""},{"dropping-particle":"","family":"Singh","given":"Bhanu P","non-dropping-particle":"","parse-names":false,"suffix":""},{"dropping-particle":"","family":"Rai","given":"Jai P","non-dropping-particle":"","parse-names":false,"suffix":""},{"dropping-particle":"","family":"Kumar Sharma","given":"Pawan","non-dropping-particle":"","parse-names":false,"suffix":""},{"dropping-particle":"","family":"Lade","given":"Harshad","non-dropping-particle":"","parse-names":false,"suffix":""},{"dropping-particle":"","family":"Paul","given":"Diby","non-dropping-particle":"","parse-names":false,"suffix":""}],"container-title":"Sustainability","id":"ITEM-1","issued":{"date-parts":[["2015"]]},"page":"2189-2212","title":"Bioremediation of heavy metals from soil and aquatic environment: An overview of principles and criteria of fundamental processes","type":"article-journal","volume":"7"},"uris":["http://www.mendeley.com/documents/?uuid=740de46e-89b6-3197-afa9-0880d7ac040c"]}],"mendeley":{"formattedCitation":"(Dixit et al., 2015)","plainTextFormattedCitation":"(Dixit et al., 2015)","previouslyFormattedCitation":"(Dixit et al., 2015)"},"properties":{"noteIndex":0},"schema":"https://github.com/citation-style-language/schema/raw/master/csl-citation.json"}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(Dixit et al., 2015)</w:t>
      </w:r>
      <w:r w:rsidRPr="00216965">
        <w:rPr>
          <w:rFonts w:eastAsia="Times New Roman" w:cs="Times New Roman"/>
          <w:szCs w:val="24"/>
        </w:rPr>
        <w:fldChar w:fldCharType="end"/>
      </w:r>
      <w:r w:rsidRPr="00216965">
        <w:rPr>
          <w:rFonts w:eastAsia="Times New Roman" w:cs="Times New Roman"/>
          <w:szCs w:val="24"/>
        </w:rPr>
        <w:t xml:space="preserve">. However, the development of a global economy has caused heavy metals originating from anthropogenic activities to gradually increase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Critics","id":"ITEM-1","issue":"2","issued":{"date-parts":[["2014"]]},"page":"24-38","title":"A review on heavy metal contamination in the soil worldwide: Situation, impact and remediation techniques","type":"article-journal","volume":"3"},"uris":["http://www.mendeley.com/documents/?uuid=5dcca45e-40a9-4d03-8ac4-023dceaf84af"]}],"mendeley":{"formattedCitation":"(Su et al., 2014)","plainTextFormattedCitation":"(Su et al., 2014)","previouslyFormattedCitation":"(Su et al., 2014)"},"properties":{"noteIndex":0},"schema":"https://github.com/citation-style-language/schema/raw/master/csl-citation.json"}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(Su et al., 2014)</w:t>
      </w:r>
      <w:r w:rsidRPr="00216965">
        <w:rPr>
          <w:rFonts w:eastAsia="Times New Roman" w:cs="Times New Roman"/>
          <w:szCs w:val="24"/>
        </w:rPr>
        <w:fldChar w:fldCharType="end"/>
      </w:r>
      <w:r w:rsidRPr="00216965">
        <w:rPr>
          <w:rFonts w:eastAsia="Times New Roman" w:cs="Times New Roman"/>
          <w:szCs w:val="24"/>
        </w:rPr>
        <w:t xml:space="preserve">. Activities such as mining, smelting, inappropriate application of mineral fertilizers and pesticides containing metals, sewage discharge and metal-containing waste disposal are examples of anthropogenic sources of HM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Critics","id":"ITEM-2","issue":"2","issued":{"date-parts":[["2014"]]},"page":"24-38","title":"A review on heavy metal contamination in the soil worldwide: Situation, impact and remediation techniques","type":"article-journal","volume":"3"},"uris":["http://www.mendeley.com/documents/?uuid=5dcca45e-40a9-4d03-8ac4-023dceaf84af"]},{"id":"ITEM-3","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Letters","id":"ITEM-3","issue":"1","issued":{"date-parts":[["2017"]]},"page":"65-84","publisher":"Springer International Publishing","title":"Heavy metals and soil microbes","type":"article-journal","volume":"15"},"uris":["http://www.mendeley.com/documents/?uuid=b874bf00-8864-4188-90b6-39010f72c7e5"]}],"mendeley":{"formattedCitation":"(Abdu et al., 2017; Amari et al., 2017; Su et al., 2014)","plainTextFormattedCitation":"(Abdu et al., 2017; Amari et al., 2017; Su et al., 2014)","previouslyFormattedCitation":"(Abdu et al., 2017; Amari et al., 2017; Su et al., 2014)"},"properties":{"noteIndex":0},"schema":"https://github.com/citation-style-language/schema/raw/master/csl-citation.json"}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(Abdu et al., 2017; Amari et al., 2017; Su et al., 2014)</w:t>
      </w:r>
      <w:r w:rsidRPr="00216965">
        <w:rPr>
          <w:rFonts w:eastAsia="Times New Roman" w:cs="Times New Roman"/>
          <w:szCs w:val="24"/>
        </w:rPr>
        <w:fldChar w:fldCharType="end"/>
      </w:r>
      <w:r w:rsidRPr="00216965">
        <w:rPr>
          <w:rFonts w:eastAsia="Times New Roman" w:cs="Times New Roman"/>
          <w:szCs w:val="24"/>
        </w:rPr>
        <w:t xml:space="preserve">. </w:t>
      </w:r>
    </w:p>
    <w:p w14:paraId="53CF7187" w14:textId="6691557B"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Currently anthropogenic activities constitute the major source of HM pollution </w:t>
      </w:r>
      <w:r w:rsidR="00C23A01"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microbes","type":"article-journal","volume":"15"},"uris":["http://www.mendeley.com/documents/?uuid=0023517c-32b4-42a2-b702-116e06791c54"]}],"mendeley":{"formattedCitation":"(Abdu et al., 2017)","plainTextFormattedCitation":"(Abdu et al., 2017)","previouslyFormattedCitation":"(Abdu et al., 2017)"},"properties":{"noteIndex":0},"schema":"https://github.com/citation-style-language/schema/raw/master/csl-citation.json"}</w:instrText>
      </w:r>
      <w:r w:rsidR="00C23A01" w:rsidRPr="00216965">
        <w:rPr>
          <w:rFonts w:eastAsia="Times New Roman" w:cs="Times New Roman"/>
          <w:szCs w:val="24"/>
        </w:rPr>
        <w:fldChar w:fldCharType="separate"/>
      </w:r>
      <w:r w:rsidR="001974AA" w:rsidRPr="00216965">
        <w:rPr>
          <w:rFonts w:eastAsia="Times New Roman" w:cs="Times New Roman"/>
          <w:noProof/>
          <w:szCs w:val="24"/>
        </w:rPr>
        <w:t>(Abdu et al., 2017)</w:t>
      </w:r>
      <w:r w:rsidR="00C23A01" w:rsidRPr="00216965">
        <w:rPr>
          <w:rFonts w:eastAsia="Times New Roman" w:cs="Times New Roman"/>
          <w:szCs w:val="24"/>
        </w:rPr>
        <w:fldChar w:fldCharType="end"/>
      </w:r>
      <w:r w:rsidR="00C23A01" w:rsidRPr="00216965">
        <w:rPr>
          <w:rFonts w:eastAsia="Times New Roman" w:cs="Times New Roman"/>
          <w:szCs w:val="24"/>
        </w:rPr>
        <w:t xml:space="preserve">. </w:t>
      </w:r>
      <w:r w:rsidR="00307649" w:rsidRPr="00216965">
        <w:t xml:space="preserve">Air and water are the main pathways of HM entry and diffusion into the environment </w:t>
      </w:r>
      <w:r w:rsidR="00307649"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{"citationItems":[{"id":"ITEM-1","itemData":{"abstract":"This review article will address transports, fates, and behaviors of heavy metals in different environmental compartments (air-water-soil-biota), especially their processes of sinks and remobilization between water and soil, due to addressing as the importantly environmental parts for entering, immobilizing, and remobilizing of heavy metals. The interaction of air-water-soil-biota would tell about the dynamic environment. Heavy metals can be changed upon their characteristics and the properties of the environment where they are concerned. Some of heavy metals i.e. Hg, Cd and Pb would be described for their fates and behaviors, as well as effects not only in human but also in ecosystem. Moreover, heavy metals' consideration as the processes of sinks and remobilization would represent for clearer understanding of behaviors when they are adsorbed onto organic matters or sediments and released to the water. Lastly, these understandings would help to plan and predict the transportation, contamination, adsorption and accumulation of interested chemicals in the environment.","author":[{"dropping-particle":"","family":"Pachana","given":"Katavut","non-dropping-particle":"","parse-names":false,"suffix":""},{"dropping-particle":"","family":"Wattanakornsiri","given":"Amnuay","non-dropping-particle":"","parse-names":false,"suffix":""},{"dropping-particle":"","family":"Nanuam","given":"Jakkaphun","non-dropping-particle":"","parse-names":false,"suffix":""}],"container-title":"NU International Journal of Science","id":"ITEM-1","issue":"1","issued":{"date-parts":[["2010"]]},"page":"1-11","title":"Heavy Metal Transport and Fate in the Environmental Compartments","type":"article-journal","volume":"7"},"uris":["http://www.mendeley.com/documents/?uuid=ddb2586d-4906-3817-9e0a-b4539182f07d"]}],"mendeley":{"formattedCitation":"(Pachana et al., 2010)","plainTextFormattedCitation":"(Pachana et al., 2010)","previouslyFormattedCitation":"(Pachana et al., 2010)"},"properties":{"noteIndex":0},"schema":"https://github.com/citation-style-language/schema/raw/master/csl-citation.json"}</w:instrText>
      </w:r>
      <w:r w:rsidR="00307649" w:rsidRPr="00216965">
        <w:rPr>
          <w:rFonts w:eastAsia="Times New Roman" w:cs="Times New Roman"/>
          <w:szCs w:val="24"/>
        </w:rPr>
        <w:fldChar w:fldCharType="separate"/>
      </w:r>
      <w:r w:rsidR="001974AA" w:rsidRPr="00216965">
        <w:rPr>
          <w:rFonts w:eastAsia="Times New Roman" w:cs="Times New Roman"/>
          <w:noProof/>
          <w:szCs w:val="24"/>
        </w:rPr>
        <w:t>(Pachana et al., 2010)</w:t>
      </w:r>
      <w:r w:rsidR="00307649" w:rsidRPr="00216965">
        <w:rPr>
          <w:rFonts w:eastAsia="Times New Roman" w:cs="Times New Roman"/>
          <w:szCs w:val="24"/>
        </w:rPr>
        <w:fldChar w:fldCharType="end"/>
      </w:r>
      <w:r w:rsidR="00307649" w:rsidRPr="00216965">
        <w:t xml:space="preserve">. </w:t>
      </w:r>
      <w:r w:rsidR="006C06AA" w:rsidRPr="00216965">
        <w:rPr>
          <w:rFonts w:eastAsia="Times New Roman" w:cs="Times New Roman"/>
          <w:szCs w:val="24"/>
        </w:rPr>
        <w:t>Nevertheless</w:t>
      </w:r>
      <w:r w:rsidR="00C23A01" w:rsidRPr="00216965">
        <w:rPr>
          <w:rFonts w:eastAsia="Times New Roman" w:cs="Times New Roman"/>
          <w:szCs w:val="24"/>
        </w:rPr>
        <w:t>,</w:t>
      </w:r>
      <w:r w:rsidRPr="00216965">
        <w:rPr>
          <w:rFonts w:eastAsia="Times New Roman" w:cs="Times New Roman"/>
          <w:szCs w:val="24"/>
        </w:rPr>
        <w:t xml:space="preserve"> the </w:t>
      </w:r>
      <w:r w:rsidR="00C23A01" w:rsidRPr="00216965">
        <w:rPr>
          <w:rFonts w:eastAsia="Times New Roman" w:cs="Times New Roman"/>
          <w:szCs w:val="24"/>
        </w:rPr>
        <w:t xml:space="preserve">fate of HM in the </w:t>
      </w:r>
      <w:r w:rsidR="00307649" w:rsidRPr="00216965">
        <w:rPr>
          <w:rFonts w:eastAsia="Times New Roman" w:cs="Times New Roman"/>
          <w:szCs w:val="24"/>
        </w:rPr>
        <w:t xml:space="preserve">soil </w:t>
      </w:r>
      <w:r w:rsidR="00C23A01" w:rsidRPr="00216965">
        <w:rPr>
          <w:rFonts w:eastAsia="Times New Roman" w:cs="Times New Roman"/>
          <w:szCs w:val="24"/>
        </w:rPr>
        <w:t xml:space="preserve">is controlled by </w:t>
      </w:r>
      <w:r w:rsidR="003370F6" w:rsidRPr="00216965">
        <w:rPr>
          <w:rFonts w:eastAsia="Times New Roman" w:cs="Times New Roman"/>
          <w:szCs w:val="24"/>
        </w:rPr>
        <w:t xml:space="preserve">processes of </w:t>
      </w:r>
      <w:r w:rsidR="003370F6" w:rsidRPr="00216965">
        <w:t>sinks (</w:t>
      </w:r>
      <w:r w:rsidR="00307649" w:rsidRPr="00216965">
        <w:t xml:space="preserve">e.g. </w:t>
      </w:r>
      <w:r w:rsidR="003370F6" w:rsidRPr="00216965">
        <w:t>adsorption</w:t>
      </w:r>
      <w:r w:rsidR="006C06AA" w:rsidRPr="00216965">
        <w:t>, precipitation</w:t>
      </w:r>
      <w:r w:rsidR="003370F6" w:rsidRPr="00216965">
        <w:t xml:space="preserve"> and co-precipitation) and processes of remobilization</w:t>
      </w:r>
      <w:r w:rsidR="00307649" w:rsidRPr="00216965">
        <w:t xml:space="preserve"> (e.g. desorption and changes of redox or pH conditions) </w:t>
      </w:r>
      <w:r w:rsidR="00C23A01"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{"citationItems":[{"id":"ITEM-1","itemData":{"abstract":"This review article will address transports, fates, and behaviors of heavy metals in different environmental compartments (air-water-soil-biota), especially their processes of sinks and remobilization between water and soil, due to addressing as the importantly environmental parts for entering, immobilizing, and remobilizing of heavy metals. The interaction of air-water-soil-biota would tell about the dynamic environment. Heavy metals can be changed upon their characteristics and the properties of the environment where they are concerned. Some of heavy metals i.e. Hg, Cd and Pb would be described for their fates and behaviors, as well as effects not only in human but also in ecosystem. Moreover, heavy metals' consideration as the processes of sinks and remobilization would represent for clearer understanding of behaviors when they are adsorbed onto organic matters or sediments and released to the water. Lastly, these understandings would help to plan and predict the transportation, contamination, adsorption and accumulation of interested chemicals in the environment.","author":[{"dropping-particle":"","family":"Pachana","given":"Katavut","non-dropping-particle":"","parse-names":false,"suffix":""},{"dropping-particle":"","family":"Wattanakornsiri","given":"Amnuay","non-dropping-particle":"","parse-names":false,"suffix":""},{"dropping-particle":"","family":"Nanuam","given":"Jakkaphun","non-dropping-particle":"","parse-names":false,"suffix":""}],"container-title":"NU International Journal of Science","id":"ITEM-1","issue":"1","issued":{"date-parts":[["2010"]]},"page":"1-11","title":"Heavy Metal Transport and Fate in the Environmental Compartments","type":"article-journal","volume":"7"},"uris":["http://www.mendeley.com/documents/?uuid=ddb2586d-4906-3817-9e0a-b4539182f07d"]}],"mendeley":{"formattedCitation":"(Pachana et al., 2010)","plainTextFormattedCitation":"(Pachana et al., 2010)","previouslyFormattedCitation":"(Pachana et al., 2010)"},"properties":{"noteIndex":0},"schema":"https://github.com/citation-style-language/schema/raw/master/csl-citation.json"}</w:instrText>
      </w:r>
      <w:r w:rsidR="00C23A01" w:rsidRPr="00216965">
        <w:rPr>
          <w:rFonts w:eastAsia="Times New Roman" w:cs="Times New Roman"/>
          <w:szCs w:val="24"/>
        </w:rPr>
        <w:fldChar w:fldCharType="separate"/>
      </w:r>
      <w:r w:rsidR="001974AA" w:rsidRPr="00216965">
        <w:rPr>
          <w:rFonts w:eastAsia="Times New Roman" w:cs="Times New Roman"/>
          <w:noProof/>
          <w:szCs w:val="24"/>
        </w:rPr>
        <w:t>(Pachana et al., 2010)</w:t>
      </w:r>
      <w:r w:rsidR="00C23A01" w:rsidRPr="00216965">
        <w:rPr>
          <w:rFonts w:eastAsia="Times New Roman" w:cs="Times New Roman"/>
          <w:szCs w:val="24"/>
        </w:rPr>
        <w:fldChar w:fldCharType="end"/>
      </w:r>
      <w:r w:rsidRPr="00216965">
        <w:rPr>
          <w:rFonts w:eastAsia="Times New Roman" w:cs="Times New Roman"/>
          <w:szCs w:val="24"/>
        </w:rPr>
        <w:t>.</w:t>
      </w:r>
    </w:p>
    <w:p w14:paraId="584337C3" w14:textId="77777777" w:rsidR="00632101" w:rsidRPr="00216965" w:rsidRDefault="00632101" w:rsidP="008A33DA">
      <w:pPr>
        <w:pStyle w:val="Heading2"/>
      </w:pPr>
      <w:bookmarkStart w:id="32" w:name="_Toc86504627"/>
      <w:r w:rsidRPr="00216965">
        <w:lastRenderedPageBreak/>
        <w:t>Heavy metals toxicity in soils</w:t>
      </w:r>
      <w:bookmarkEnd w:id="32"/>
    </w:p>
    <w:p w14:paraId="25BF0703" w14:textId="1809EA16"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terrestrial systems, soil is the major repository of chemical contaminants (Wang </w:t>
      </w:r>
      <w:r w:rsidR="009B2252" w:rsidRPr="00216965">
        <w:rPr>
          <w:rFonts w:eastAsia="Times New Roman" w:cs="Times New Roman"/>
          <w:iCs/>
          <w:szCs w:val="24"/>
        </w:rPr>
        <w:t>et al</w:t>
      </w:r>
      <w:r w:rsidRPr="00216965">
        <w:rPr>
          <w:rFonts w:eastAsia="Times New Roman" w:cs="Times New Roman"/>
          <w:szCs w:val="24"/>
        </w:rPr>
        <w:t xml:space="preserve">., 2018). For this reason, it is common to find high concentrations of heavy metals in soils. </w:t>
      </w:r>
    </w:p>
    <w:p w14:paraId="1E7A8DF4" w14:textId="2C318B1C" w:rsidR="00632101" w:rsidRPr="00216965" w:rsidRDefault="00506ECF" w:rsidP="008A33DA">
      <w:pPr>
        <w:pStyle w:val="Caption"/>
      </w:pPr>
      <w:bookmarkStart w:id="33" w:name="_Ref86494653"/>
      <w:bookmarkStart w:id="34" w:name="_Toc86440357"/>
      <w:bookmarkStart w:id="35" w:name="_Hlk86425632"/>
      <w:r w:rsidRPr="00216965">
        <w:rPr>
          <w:b/>
          <w:bCs w:val="0"/>
        </w:rPr>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1</w:t>
      </w:r>
      <w:r w:rsidR="00E569FA" w:rsidRPr="00216965">
        <w:rPr>
          <w:b/>
          <w:bCs w:val="0"/>
        </w:rPr>
        <w:fldChar w:fldCharType="end"/>
      </w:r>
      <w:bookmarkEnd w:id="33"/>
      <w:r w:rsidRPr="00216965">
        <w:rPr>
          <w:b/>
          <w:bCs w:val="0"/>
        </w:rPr>
        <w:t xml:space="preserve"> </w:t>
      </w:r>
      <w:r w:rsidR="006969D2" w:rsidRPr="00216965">
        <w:rPr>
          <w:b/>
          <w:bCs w:val="0"/>
        </w:rPr>
        <w:t xml:space="preserve">Examples of </w:t>
      </w:r>
      <w:r w:rsidRPr="00216965">
        <w:rPr>
          <w:b/>
          <w:bCs w:val="0"/>
        </w:rPr>
        <w:t>heavy metal</w:t>
      </w:r>
      <w:r w:rsidR="006969D2" w:rsidRPr="00216965">
        <w:rPr>
          <w:b/>
          <w:bCs w:val="0"/>
        </w:rPr>
        <w:t xml:space="preserve"> concentrations</w:t>
      </w:r>
      <w:r w:rsidRPr="00216965">
        <w:rPr>
          <w:b/>
          <w:bCs w:val="0"/>
        </w:rPr>
        <w:t xml:space="preserve"> </w:t>
      </w:r>
      <w:r w:rsidR="006969D2" w:rsidRPr="00216965">
        <w:rPr>
          <w:b/>
          <w:bCs w:val="0"/>
        </w:rPr>
        <w:t xml:space="preserve">reported for </w:t>
      </w:r>
      <w:r w:rsidRPr="00216965">
        <w:rPr>
          <w:b/>
          <w:bCs w:val="0"/>
        </w:rPr>
        <w:t>different land uses around the world.</w:t>
      </w:r>
      <w:r w:rsidRPr="00216965">
        <w:t xml:space="preserve"> The concentrations refer to total heavy metals in soil (mg.kg</w:t>
      </w:r>
      <w:r w:rsidRPr="00216965">
        <w:rPr>
          <w:vertAlign w:val="superscript"/>
        </w:rPr>
        <w:t>-1</w:t>
      </w:r>
      <w:r w:rsidRPr="00216965">
        <w:t>)</w:t>
      </w:r>
      <w:bookmarkEnd w:id="34"/>
      <w:r w:rsidR="00B06D44" w:rsidRPr="00216965">
        <w:t>. Data obtained from various authors.</w:t>
      </w:r>
    </w:p>
    <w:tbl>
      <w:tblPr>
        <w:tblStyle w:val="TableGrid"/>
        <w:tblW w:w="850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7"/>
        <w:gridCol w:w="496"/>
        <w:gridCol w:w="590"/>
        <w:gridCol w:w="496"/>
        <w:gridCol w:w="510"/>
        <w:gridCol w:w="558"/>
        <w:gridCol w:w="590"/>
        <w:gridCol w:w="456"/>
        <w:gridCol w:w="630"/>
        <w:gridCol w:w="1274"/>
        <w:gridCol w:w="1317"/>
      </w:tblGrid>
      <w:tr w:rsidR="00632101" w:rsidRPr="00216965" w14:paraId="7386CBDD" w14:textId="77777777" w:rsidTr="008A33DA">
        <w:tc>
          <w:tcPr>
            <w:tcW w:w="0" w:type="auto"/>
            <w:tcBorders>
              <w:top w:val="single" w:sz="4" w:space="0" w:color="auto"/>
              <w:bottom w:val="single" w:sz="4" w:space="0" w:color="auto"/>
            </w:tcBorders>
            <w:shd w:val="clear" w:color="auto" w:fill="A8D08D" w:themeFill="accent6" w:themeFillTint="99"/>
            <w:vAlign w:val="center"/>
          </w:tcPr>
          <w:p w14:paraId="5EA49BE9" w14:textId="77777777" w:rsidR="00632101" w:rsidRPr="00216965" w:rsidRDefault="00632101" w:rsidP="00A0457B">
            <w:pPr>
              <w:rPr>
                <w:rFonts w:eastAsia="Times New Roman"/>
                <w:b/>
                <w:bCs/>
                <w:sz w:val="18"/>
                <w:szCs w:val="18"/>
              </w:rPr>
            </w:pPr>
            <w:r w:rsidRPr="00216965">
              <w:rPr>
                <w:rFonts w:eastAsia="Times New Roman"/>
                <w:b/>
                <w:bCs/>
                <w:sz w:val="18"/>
                <w:szCs w:val="18"/>
              </w:rPr>
              <w:t>City/Country</w:t>
            </w:r>
          </w:p>
        </w:tc>
        <w:tc>
          <w:tcPr>
            <w:tcW w:w="0" w:type="auto"/>
            <w:tcBorders>
              <w:top w:val="single" w:sz="4" w:space="0" w:color="auto"/>
              <w:bottom w:val="single" w:sz="4" w:space="0" w:color="auto"/>
            </w:tcBorders>
            <w:shd w:val="clear" w:color="auto" w:fill="A8D08D" w:themeFill="accent6" w:themeFillTint="99"/>
            <w:vAlign w:val="center"/>
          </w:tcPr>
          <w:p w14:paraId="6BFE246A" w14:textId="77777777" w:rsidR="00632101" w:rsidRPr="00216965" w:rsidRDefault="00632101" w:rsidP="00A0457B">
            <w:pPr>
              <w:rPr>
                <w:rFonts w:eastAsia="Times New Roman"/>
                <w:b/>
                <w:bCs/>
                <w:sz w:val="18"/>
                <w:szCs w:val="18"/>
              </w:rPr>
            </w:pPr>
            <w:r w:rsidRPr="00216965">
              <w:rPr>
                <w:rFonts w:eastAsia="Times New Roman"/>
                <w:b/>
                <w:bCs/>
                <w:sz w:val="18"/>
                <w:szCs w:val="18"/>
              </w:rPr>
              <w:t>As</w:t>
            </w:r>
          </w:p>
        </w:tc>
        <w:tc>
          <w:tcPr>
            <w:tcW w:w="0" w:type="auto"/>
            <w:tcBorders>
              <w:top w:val="single" w:sz="4" w:space="0" w:color="auto"/>
              <w:bottom w:val="single" w:sz="4" w:space="0" w:color="auto"/>
            </w:tcBorders>
            <w:shd w:val="clear" w:color="auto" w:fill="A8D08D" w:themeFill="accent6" w:themeFillTint="99"/>
            <w:vAlign w:val="center"/>
          </w:tcPr>
          <w:p w14:paraId="0FC7F07F" w14:textId="77777777" w:rsidR="00632101" w:rsidRPr="00216965" w:rsidRDefault="00632101" w:rsidP="00A0457B">
            <w:pPr>
              <w:rPr>
                <w:rFonts w:eastAsia="Times New Roman"/>
                <w:b/>
                <w:bCs/>
                <w:sz w:val="18"/>
                <w:szCs w:val="18"/>
              </w:rPr>
            </w:pPr>
            <w:r w:rsidRPr="00216965">
              <w:rPr>
                <w:rFonts w:eastAsia="Times New Roman"/>
                <w:b/>
                <w:bCs/>
                <w:sz w:val="18"/>
                <w:szCs w:val="18"/>
              </w:rPr>
              <w:t>Cr</w:t>
            </w:r>
          </w:p>
        </w:tc>
        <w:tc>
          <w:tcPr>
            <w:tcW w:w="0" w:type="auto"/>
            <w:tcBorders>
              <w:top w:val="single" w:sz="4" w:space="0" w:color="auto"/>
              <w:bottom w:val="single" w:sz="4" w:space="0" w:color="auto"/>
            </w:tcBorders>
            <w:shd w:val="clear" w:color="auto" w:fill="A8D08D" w:themeFill="accent6" w:themeFillTint="99"/>
            <w:vAlign w:val="center"/>
          </w:tcPr>
          <w:p w14:paraId="0461E087" w14:textId="77777777" w:rsidR="00632101" w:rsidRPr="00216965" w:rsidRDefault="00632101" w:rsidP="00A0457B">
            <w:pPr>
              <w:jc w:val="center"/>
              <w:rPr>
                <w:rFonts w:eastAsia="Times New Roman"/>
                <w:b/>
                <w:bCs/>
                <w:sz w:val="18"/>
                <w:szCs w:val="18"/>
              </w:rPr>
            </w:pPr>
            <w:r w:rsidRPr="00216965">
              <w:rPr>
                <w:rFonts w:eastAsia="Times New Roman"/>
                <w:b/>
                <w:bCs/>
                <w:sz w:val="18"/>
                <w:szCs w:val="18"/>
              </w:rPr>
              <w:t>Co</w:t>
            </w:r>
          </w:p>
        </w:tc>
        <w:tc>
          <w:tcPr>
            <w:tcW w:w="0" w:type="auto"/>
            <w:tcBorders>
              <w:top w:val="single" w:sz="4" w:space="0" w:color="auto"/>
              <w:bottom w:val="single" w:sz="4" w:space="0" w:color="auto"/>
            </w:tcBorders>
            <w:shd w:val="clear" w:color="auto" w:fill="A8D08D" w:themeFill="accent6" w:themeFillTint="99"/>
            <w:vAlign w:val="center"/>
          </w:tcPr>
          <w:p w14:paraId="39EF4AD9" w14:textId="77777777" w:rsidR="00632101" w:rsidRPr="00216965" w:rsidRDefault="00632101" w:rsidP="00A0457B">
            <w:pPr>
              <w:rPr>
                <w:rFonts w:eastAsia="Times New Roman"/>
                <w:b/>
                <w:bCs/>
                <w:sz w:val="18"/>
                <w:szCs w:val="18"/>
              </w:rPr>
            </w:pPr>
            <w:r w:rsidRPr="00216965">
              <w:rPr>
                <w:rFonts w:eastAsia="Times New Roman"/>
                <w:b/>
                <w:bCs/>
                <w:sz w:val="18"/>
                <w:szCs w:val="18"/>
              </w:rPr>
              <w:t>Cu</w:t>
            </w:r>
          </w:p>
        </w:tc>
        <w:tc>
          <w:tcPr>
            <w:tcW w:w="0" w:type="auto"/>
            <w:tcBorders>
              <w:top w:val="single" w:sz="4" w:space="0" w:color="auto"/>
              <w:bottom w:val="single" w:sz="4" w:space="0" w:color="auto"/>
            </w:tcBorders>
            <w:shd w:val="clear" w:color="auto" w:fill="A8D08D" w:themeFill="accent6" w:themeFillTint="99"/>
            <w:vAlign w:val="center"/>
          </w:tcPr>
          <w:p w14:paraId="2C173C54" w14:textId="77777777" w:rsidR="00632101" w:rsidRPr="00216965" w:rsidRDefault="00632101" w:rsidP="00A0457B">
            <w:pPr>
              <w:rPr>
                <w:rFonts w:eastAsia="Times New Roman"/>
                <w:b/>
                <w:bCs/>
                <w:sz w:val="18"/>
                <w:szCs w:val="18"/>
              </w:rPr>
            </w:pPr>
            <w:r w:rsidRPr="00216965">
              <w:rPr>
                <w:rFonts w:eastAsia="Times New Roman"/>
                <w:b/>
                <w:bCs/>
                <w:sz w:val="18"/>
                <w:szCs w:val="18"/>
              </w:rPr>
              <w:t>Pb</w:t>
            </w:r>
          </w:p>
        </w:tc>
        <w:tc>
          <w:tcPr>
            <w:tcW w:w="0" w:type="auto"/>
            <w:tcBorders>
              <w:top w:val="single" w:sz="4" w:space="0" w:color="auto"/>
              <w:bottom w:val="single" w:sz="4" w:space="0" w:color="auto"/>
            </w:tcBorders>
            <w:shd w:val="clear" w:color="auto" w:fill="A8D08D" w:themeFill="accent6" w:themeFillTint="99"/>
            <w:vAlign w:val="center"/>
          </w:tcPr>
          <w:p w14:paraId="12721FA9" w14:textId="77777777" w:rsidR="00632101" w:rsidRPr="00216965" w:rsidRDefault="00632101" w:rsidP="00A0457B">
            <w:pPr>
              <w:rPr>
                <w:rFonts w:eastAsia="Times New Roman"/>
                <w:b/>
                <w:bCs/>
                <w:sz w:val="18"/>
                <w:szCs w:val="18"/>
              </w:rPr>
            </w:pPr>
            <w:r w:rsidRPr="00216965">
              <w:rPr>
                <w:rFonts w:eastAsia="Times New Roman"/>
                <w:b/>
                <w:bCs/>
                <w:sz w:val="18"/>
                <w:szCs w:val="18"/>
              </w:rPr>
              <w:t>Zn</w:t>
            </w:r>
          </w:p>
        </w:tc>
        <w:tc>
          <w:tcPr>
            <w:tcW w:w="0" w:type="auto"/>
            <w:tcBorders>
              <w:top w:val="single" w:sz="4" w:space="0" w:color="auto"/>
              <w:bottom w:val="single" w:sz="4" w:space="0" w:color="auto"/>
            </w:tcBorders>
            <w:shd w:val="clear" w:color="auto" w:fill="A8D08D" w:themeFill="accent6" w:themeFillTint="99"/>
            <w:vAlign w:val="center"/>
          </w:tcPr>
          <w:p w14:paraId="3F355243" w14:textId="77777777" w:rsidR="00632101" w:rsidRPr="00216965" w:rsidRDefault="00632101" w:rsidP="00A0457B">
            <w:pPr>
              <w:rPr>
                <w:rFonts w:eastAsia="Times New Roman"/>
                <w:b/>
                <w:bCs/>
                <w:sz w:val="18"/>
                <w:szCs w:val="18"/>
              </w:rPr>
            </w:pPr>
            <w:r w:rsidRPr="00216965">
              <w:rPr>
                <w:rFonts w:eastAsia="Times New Roman"/>
                <w:b/>
                <w:bCs/>
                <w:sz w:val="18"/>
                <w:szCs w:val="18"/>
              </w:rPr>
              <w:t>Ni</w:t>
            </w:r>
          </w:p>
        </w:tc>
        <w:tc>
          <w:tcPr>
            <w:tcW w:w="0" w:type="auto"/>
            <w:tcBorders>
              <w:top w:val="single" w:sz="4" w:space="0" w:color="auto"/>
              <w:bottom w:val="single" w:sz="4" w:space="0" w:color="auto"/>
            </w:tcBorders>
            <w:shd w:val="clear" w:color="auto" w:fill="A8D08D" w:themeFill="accent6" w:themeFillTint="99"/>
            <w:vAlign w:val="center"/>
          </w:tcPr>
          <w:p w14:paraId="7BA1B332" w14:textId="77777777" w:rsidR="00632101" w:rsidRPr="00216965" w:rsidRDefault="00632101" w:rsidP="00A0457B">
            <w:pPr>
              <w:rPr>
                <w:rFonts w:eastAsia="Times New Roman"/>
                <w:b/>
                <w:bCs/>
                <w:sz w:val="18"/>
                <w:szCs w:val="18"/>
              </w:rPr>
            </w:pPr>
            <w:r w:rsidRPr="00216965">
              <w:rPr>
                <w:rFonts w:eastAsia="Times New Roman"/>
                <w:b/>
                <w:bCs/>
                <w:sz w:val="18"/>
                <w:szCs w:val="18"/>
              </w:rPr>
              <w:t>Cd</w:t>
            </w:r>
          </w:p>
        </w:tc>
        <w:tc>
          <w:tcPr>
            <w:tcW w:w="0" w:type="auto"/>
            <w:tcBorders>
              <w:top w:val="single" w:sz="4" w:space="0" w:color="auto"/>
              <w:bottom w:val="single" w:sz="4" w:space="0" w:color="auto"/>
            </w:tcBorders>
            <w:shd w:val="clear" w:color="auto" w:fill="A8D08D" w:themeFill="accent6" w:themeFillTint="99"/>
            <w:vAlign w:val="center"/>
          </w:tcPr>
          <w:p w14:paraId="056483B9" w14:textId="77777777" w:rsidR="00632101" w:rsidRPr="00216965" w:rsidRDefault="00632101" w:rsidP="00A0457B">
            <w:pPr>
              <w:rPr>
                <w:rFonts w:eastAsia="Times New Roman"/>
                <w:b/>
                <w:bCs/>
                <w:sz w:val="18"/>
                <w:szCs w:val="18"/>
              </w:rPr>
            </w:pPr>
            <w:r w:rsidRPr="00216965">
              <w:rPr>
                <w:rFonts w:eastAsia="Times New Roman"/>
                <w:b/>
                <w:bCs/>
                <w:sz w:val="18"/>
                <w:szCs w:val="18"/>
              </w:rPr>
              <w:t>Land use</w:t>
            </w:r>
          </w:p>
        </w:tc>
        <w:tc>
          <w:tcPr>
            <w:tcW w:w="0" w:type="auto"/>
            <w:tcBorders>
              <w:top w:val="single" w:sz="4" w:space="0" w:color="auto"/>
              <w:bottom w:val="single" w:sz="4" w:space="0" w:color="auto"/>
            </w:tcBorders>
            <w:shd w:val="clear" w:color="auto" w:fill="A8D08D" w:themeFill="accent6" w:themeFillTint="99"/>
            <w:vAlign w:val="center"/>
          </w:tcPr>
          <w:p w14:paraId="7C1DFBBD" w14:textId="77777777" w:rsidR="00632101" w:rsidRPr="00216965" w:rsidRDefault="00632101" w:rsidP="00A0457B">
            <w:pPr>
              <w:rPr>
                <w:rFonts w:eastAsia="Times New Roman"/>
                <w:b/>
                <w:bCs/>
                <w:sz w:val="18"/>
                <w:szCs w:val="18"/>
              </w:rPr>
            </w:pPr>
            <w:r w:rsidRPr="00216965">
              <w:rPr>
                <w:rFonts w:eastAsia="Times New Roman"/>
                <w:b/>
                <w:bCs/>
                <w:sz w:val="18"/>
                <w:szCs w:val="18"/>
              </w:rPr>
              <w:t>Reference</w:t>
            </w:r>
          </w:p>
          <w:p w14:paraId="254F6FF5" w14:textId="77777777" w:rsidR="00632101" w:rsidRPr="00216965" w:rsidRDefault="00632101" w:rsidP="00A0457B">
            <w:pPr>
              <w:rPr>
                <w:rFonts w:eastAsia="Times New Roman"/>
                <w:b/>
                <w:bCs/>
                <w:sz w:val="18"/>
                <w:szCs w:val="18"/>
              </w:rPr>
            </w:pPr>
          </w:p>
        </w:tc>
      </w:tr>
      <w:tr w:rsidR="00632101" w:rsidRPr="00216965" w14:paraId="2B635605" w14:textId="77777777" w:rsidTr="008A33DA">
        <w:tc>
          <w:tcPr>
            <w:tcW w:w="0" w:type="auto"/>
            <w:tcBorders>
              <w:top w:val="single" w:sz="4" w:space="0" w:color="auto"/>
            </w:tcBorders>
            <w:shd w:val="clear" w:color="auto" w:fill="auto"/>
          </w:tcPr>
          <w:p w14:paraId="1547D087" w14:textId="77777777" w:rsidR="00632101" w:rsidRPr="00216965" w:rsidRDefault="00632101" w:rsidP="00A0457B">
            <w:pPr>
              <w:rPr>
                <w:rFonts w:eastAsia="Times New Roman"/>
                <w:b/>
                <w:bCs/>
                <w:sz w:val="16"/>
                <w:szCs w:val="16"/>
              </w:rPr>
            </w:pPr>
            <w:r w:rsidRPr="00216965">
              <w:rPr>
                <w:color w:val="323232"/>
                <w:sz w:val="16"/>
                <w:szCs w:val="16"/>
              </w:rPr>
              <w:t xml:space="preserve">Typical uncontaminated soils </w:t>
            </w:r>
          </w:p>
        </w:tc>
        <w:tc>
          <w:tcPr>
            <w:tcW w:w="0" w:type="auto"/>
            <w:tcBorders>
              <w:top w:val="single" w:sz="4" w:space="0" w:color="auto"/>
            </w:tcBorders>
            <w:shd w:val="clear" w:color="auto" w:fill="auto"/>
          </w:tcPr>
          <w:p w14:paraId="7F178C9A" w14:textId="77777777" w:rsidR="00632101" w:rsidRPr="00216965" w:rsidRDefault="00632101" w:rsidP="00A0457B">
            <w:pPr>
              <w:rPr>
                <w:rFonts w:eastAsia="Times New Roman"/>
                <w:b/>
                <w:bCs/>
                <w:sz w:val="16"/>
                <w:szCs w:val="16"/>
              </w:rPr>
            </w:pPr>
          </w:p>
        </w:tc>
        <w:tc>
          <w:tcPr>
            <w:tcW w:w="0" w:type="auto"/>
            <w:tcBorders>
              <w:top w:val="single" w:sz="4" w:space="0" w:color="auto"/>
            </w:tcBorders>
            <w:shd w:val="clear" w:color="auto" w:fill="auto"/>
          </w:tcPr>
          <w:p w14:paraId="4579EDAD" w14:textId="77777777" w:rsidR="00632101" w:rsidRPr="00216965" w:rsidRDefault="00632101" w:rsidP="00A0457B">
            <w:pPr>
              <w:rPr>
                <w:rFonts w:eastAsia="Times New Roman"/>
                <w:b/>
                <w:bCs/>
                <w:sz w:val="16"/>
                <w:szCs w:val="16"/>
              </w:rPr>
            </w:pPr>
            <w:r w:rsidRPr="00216965">
              <w:rPr>
                <w:rFonts w:eastAsia="Times New Roman"/>
                <w:sz w:val="16"/>
                <w:szCs w:val="16"/>
                <w:lang w:val="fr-FR"/>
              </w:rPr>
              <w:t>5-3000</w:t>
            </w:r>
          </w:p>
        </w:tc>
        <w:tc>
          <w:tcPr>
            <w:tcW w:w="0" w:type="auto"/>
            <w:tcBorders>
              <w:top w:val="single" w:sz="4" w:space="0" w:color="auto"/>
            </w:tcBorders>
          </w:tcPr>
          <w:p w14:paraId="719FD7E4" w14:textId="77777777" w:rsidR="00632101" w:rsidRPr="00216965" w:rsidRDefault="00632101" w:rsidP="00A0457B">
            <w:pPr>
              <w:rPr>
                <w:rFonts w:eastAsia="Times New Roman"/>
                <w:sz w:val="16"/>
                <w:szCs w:val="16"/>
              </w:rPr>
            </w:pPr>
          </w:p>
        </w:tc>
        <w:tc>
          <w:tcPr>
            <w:tcW w:w="0" w:type="auto"/>
            <w:tcBorders>
              <w:top w:val="single" w:sz="4" w:space="0" w:color="auto"/>
            </w:tcBorders>
            <w:shd w:val="clear" w:color="auto" w:fill="auto"/>
          </w:tcPr>
          <w:p w14:paraId="1C2A4210" w14:textId="77777777" w:rsidR="00632101" w:rsidRPr="00216965" w:rsidRDefault="00632101" w:rsidP="00A0457B">
            <w:pPr>
              <w:rPr>
                <w:rFonts w:eastAsia="Times New Roman"/>
                <w:b/>
                <w:bCs/>
                <w:sz w:val="16"/>
                <w:szCs w:val="16"/>
              </w:rPr>
            </w:pPr>
            <w:r w:rsidRPr="00216965">
              <w:rPr>
                <w:rFonts w:eastAsia="Times New Roman"/>
                <w:sz w:val="16"/>
                <w:szCs w:val="16"/>
              </w:rPr>
              <w:t>2-100</w:t>
            </w:r>
          </w:p>
        </w:tc>
        <w:tc>
          <w:tcPr>
            <w:tcW w:w="0" w:type="auto"/>
            <w:tcBorders>
              <w:top w:val="single" w:sz="4" w:space="0" w:color="auto"/>
            </w:tcBorders>
            <w:shd w:val="clear" w:color="auto" w:fill="auto"/>
          </w:tcPr>
          <w:p w14:paraId="1C351996" w14:textId="77777777" w:rsidR="00632101" w:rsidRPr="00216965" w:rsidRDefault="00632101" w:rsidP="00A0457B">
            <w:pPr>
              <w:rPr>
                <w:rFonts w:eastAsia="Times New Roman"/>
                <w:b/>
                <w:bCs/>
                <w:sz w:val="16"/>
                <w:szCs w:val="16"/>
              </w:rPr>
            </w:pPr>
            <w:r w:rsidRPr="00216965">
              <w:rPr>
                <w:rFonts w:eastAsia="Times New Roman"/>
                <w:sz w:val="16"/>
                <w:szCs w:val="16"/>
              </w:rPr>
              <w:t>2-200</w:t>
            </w:r>
          </w:p>
        </w:tc>
        <w:tc>
          <w:tcPr>
            <w:tcW w:w="0" w:type="auto"/>
            <w:tcBorders>
              <w:top w:val="single" w:sz="4" w:space="0" w:color="auto"/>
            </w:tcBorders>
            <w:shd w:val="clear" w:color="auto" w:fill="auto"/>
          </w:tcPr>
          <w:p w14:paraId="3C2344B1" w14:textId="77777777" w:rsidR="00632101" w:rsidRPr="00216965" w:rsidRDefault="00632101" w:rsidP="00A0457B">
            <w:pPr>
              <w:rPr>
                <w:rFonts w:eastAsia="Times New Roman"/>
                <w:b/>
                <w:bCs/>
                <w:sz w:val="16"/>
                <w:szCs w:val="16"/>
              </w:rPr>
            </w:pPr>
            <w:r w:rsidRPr="00216965">
              <w:rPr>
                <w:rFonts w:eastAsia="Times New Roman"/>
                <w:sz w:val="16"/>
                <w:szCs w:val="16"/>
              </w:rPr>
              <w:t>10-300</w:t>
            </w:r>
          </w:p>
        </w:tc>
        <w:tc>
          <w:tcPr>
            <w:tcW w:w="0" w:type="auto"/>
            <w:tcBorders>
              <w:top w:val="single" w:sz="4" w:space="0" w:color="auto"/>
            </w:tcBorders>
            <w:shd w:val="clear" w:color="auto" w:fill="auto"/>
          </w:tcPr>
          <w:p w14:paraId="300F12CB" w14:textId="77777777" w:rsidR="00632101" w:rsidRPr="00216965" w:rsidRDefault="00632101" w:rsidP="00A0457B">
            <w:pPr>
              <w:rPr>
                <w:rFonts w:eastAsia="Times New Roman"/>
                <w:b/>
                <w:bCs/>
                <w:sz w:val="16"/>
                <w:szCs w:val="16"/>
              </w:rPr>
            </w:pPr>
            <w:r w:rsidRPr="00216965">
              <w:rPr>
                <w:rFonts w:eastAsia="Times New Roman"/>
                <w:sz w:val="16"/>
                <w:szCs w:val="16"/>
              </w:rPr>
              <w:t>10</w:t>
            </w:r>
          </w:p>
        </w:tc>
        <w:tc>
          <w:tcPr>
            <w:tcW w:w="0" w:type="auto"/>
            <w:tcBorders>
              <w:top w:val="single" w:sz="4" w:space="0" w:color="auto"/>
            </w:tcBorders>
            <w:shd w:val="clear" w:color="auto" w:fill="auto"/>
          </w:tcPr>
          <w:p w14:paraId="4D50BD14" w14:textId="77777777" w:rsidR="00632101" w:rsidRPr="00216965" w:rsidRDefault="00632101" w:rsidP="00A0457B">
            <w:pPr>
              <w:rPr>
                <w:rFonts w:eastAsia="Times New Roman"/>
                <w:b/>
                <w:bCs/>
                <w:sz w:val="16"/>
                <w:szCs w:val="16"/>
              </w:rPr>
            </w:pPr>
            <w:r w:rsidRPr="00216965">
              <w:rPr>
                <w:rFonts w:eastAsia="Times New Roman"/>
                <w:sz w:val="16"/>
                <w:szCs w:val="16"/>
              </w:rPr>
              <w:t>0.01-0.7</w:t>
            </w:r>
          </w:p>
        </w:tc>
        <w:tc>
          <w:tcPr>
            <w:tcW w:w="0" w:type="auto"/>
            <w:tcBorders>
              <w:top w:val="single" w:sz="4" w:space="0" w:color="auto"/>
            </w:tcBorders>
            <w:shd w:val="clear" w:color="auto" w:fill="auto"/>
          </w:tcPr>
          <w:p w14:paraId="2D727F1C" w14:textId="77777777" w:rsidR="00632101" w:rsidRPr="00216965" w:rsidRDefault="00632101" w:rsidP="00A0457B">
            <w:pPr>
              <w:rPr>
                <w:rFonts w:eastAsia="Times New Roman"/>
                <w:sz w:val="16"/>
                <w:szCs w:val="16"/>
              </w:rPr>
            </w:pPr>
            <w:r w:rsidRPr="00216965">
              <w:rPr>
                <w:rFonts w:eastAsia="Times New Roman"/>
                <w:sz w:val="16"/>
                <w:szCs w:val="16"/>
              </w:rPr>
              <w:t>Natural/</w:t>
            </w:r>
          </w:p>
          <w:p w14:paraId="1C831CA8" w14:textId="77777777" w:rsidR="00632101" w:rsidRPr="00216965" w:rsidRDefault="00632101" w:rsidP="00A0457B">
            <w:pPr>
              <w:rPr>
                <w:rFonts w:eastAsia="Times New Roman"/>
                <w:b/>
                <w:bCs/>
                <w:sz w:val="16"/>
                <w:szCs w:val="16"/>
              </w:rPr>
            </w:pPr>
            <w:r w:rsidRPr="00216965">
              <w:rPr>
                <w:rFonts w:eastAsia="Times New Roman"/>
                <w:sz w:val="16"/>
                <w:szCs w:val="16"/>
              </w:rPr>
              <w:t>Uncontaminated</w:t>
            </w:r>
          </w:p>
        </w:tc>
        <w:tc>
          <w:tcPr>
            <w:tcW w:w="0" w:type="auto"/>
            <w:tcBorders>
              <w:top w:val="single" w:sz="4" w:space="0" w:color="auto"/>
            </w:tcBorders>
            <w:shd w:val="clear" w:color="auto" w:fill="auto"/>
          </w:tcPr>
          <w:p w14:paraId="6CEF1772" w14:textId="560871DA" w:rsidR="00632101" w:rsidRPr="00216965" w:rsidRDefault="00632101" w:rsidP="00A0457B">
            <w:pPr>
              <w:rPr>
                <w:rFonts w:eastAsia="Times New Roman"/>
                <w:b/>
                <w:bCs/>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Letters","id":"ITEM-1","issue":"3","issued":{"date-parts":[["2010"]]},"page":"199-216","title":"Heavy metals, occurrence and toxicity for plants: A review","type":"article-journal","volume":"8"},"uris":["http://www.mendeley.com/documents/?uuid=c3cf0d3a-0f37-4d68-898c-8d5404c4a140"]}],"mendeley":{"formattedCitation":"(Nagajyoti et al., 2010)","manualFormatting":"Nagajyoti et al. (2010)","plainTextFormattedCitation":"(Nagajyoti et al., 2010)","previouslyFormattedCitation":"(Nagajyoti et al., 2010)"},"properties":{"noteIndex":0},"schema":"https://github.com/citation-style-language/schema/raw/master/csl-citation.json"}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Nagajyoti et al. (2010)</w:t>
            </w:r>
            <w:r w:rsidRPr="00216965">
              <w:rPr>
                <w:rFonts w:eastAsia="Times New Roman"/>
                <w:sz w:val="16"/>
                <w:szCs w:val="16"/>
              </w:rPr>
              <w:fldChar w:fldCharType="end"/>
            </w:r>
          </w:p>
        </w:tc>
      </w:tr>
      <w:tr w:rsidR="00632101" w:rsidRPr="00216965" w14:paraId="7EC5A6F5" w14:textId="77777777" w:rsidTr="008A33DA">
        <w:tc>
          <w:tcPr>
            <w:tcW w:w="0" w:type="auto"/>
          </w:tcPr>
          <w:p w14:paraId="1CE7BCFC" w14:textId="77777777" w:rsidR="00632101" w:rsidRPr="00216965" w:rsidRDefault="00632101" w:rsidP="00A0457B">
            <w:pPr>
              <w:jc w:val="both"/>
              <w:rPr>
                <w:rFonts w:eastAsia="Times New Roman"/>
                <w:sz w:val="16"/>
                <w:szCs w:val="16"/>
              </w:rPr>
            </w:pPr>
            <w:r w:rsidRPr="00216965">
              <w:rPr>
                <w:rFonts w:eastAsia="Times New Roman"/>
                <w:sz w:val="16"/>
                <w:szCs w:val="16"/>
              </w:rPr>
              <w:t>Guizhou, China</w:t>
            </w:r>
          </w:p>
        </w:tc>
        <w:tc>
          <w:tcPr>
            <w:tcW w:w="0" w:type="auto"/>
          </w:tcPr>
          <w:p w14:paraId="0149C7BF" w14:textId="77777777" w:rsidR="00632101" w:rsidRPr="00216965" w:rsidRDefault="00632101" w:rsidP="00A0457B">
            <w:pPr>
              <w:rPr>
                <w:rFonts w:eastAsia="Times New Roman"/>
                <w:sz w:val="16"/>
                <w:szCs w:val="16"/>
              </w:rPr>
            </w:pPr>
          </w:p>
        </w:tc>
        <w:tc>
          <w:tcPr>
            <w:tcW w:w="0" w:type="auto"/>
          </w:tcPr>
          <w:p w14:paraId="0680A6B5" w14:textId="77777777" w:rsidR="00632101" w:rsidRPr="00216965" w:rsidRDefault="00632101" w:rsidP="00A0457B">
            <w:pPr>
              <w:rPr>
                <w:rFonts w:eastAsia="Times New Roman"/>
                <w:sz w:val="16"/>
                <w:szCs w:val="16"/>
              </w:rPr>
            </w:pPr>
          </w:p>
        </w:tc>
        <w:tc>
          <w:tcPr>
            <w:tcW w:w="0" w:type="auto"/>
          </w:tcPr>
          <w:p w14:paraId="108829B3" w14:textId="77777777" w:rsidR="00632101" w:rsidRPr="00216965" w:rsidRDefault="00632101" w:rsidP="00A0457B">
            <w:pPr>
              <w:rPr>
                <w:rFonts w:eastAsia="Times New Roman"/>
                <w:sz w:val="16"/>
                <w:szCs w:val="16"/>
              </w:rPr>
            </w:pPr>
          </w:p>
        </w:tc>
        <w:tc>
          <w:tcPr>
            <w:tcW w:w="0" w:type="auto"/>
          </w:tcPr>
          <w:p w14:paraId="52B482FD" w14:textId="77777777" w:rsidR="00632101" w:rsidRPr="00216965" w:rsidRDefault="00632101" w:rsidP="00A0457B">
            <w:pPr>
              <w:rPr>
                <w:rFonts w:eastAsia="Times New Roman"/>
                <w:sz w:val="16"/>
                <w:szCs w:val="16"/>
              </w:rPr>
            </w:pPr>
          </w:p>
        </w:tc>
        <w:tc>
          <w:tcPr>
            <w:tcW w:w="0" w:type="auto"/>
          </w:tcPr>
          <w:p w14:paraId="7211FF00" w14:textId="77777777" w:rsidR="00632101" w:rsidRPr="00216965" w:rsidRDefault="00632101" w:rsidP="00A0457B">
            <w:pPr>
              <w:rPr>
                <w:rFonts w:eastAsia="Times New Roman"/>
                <w:sz w:val="16"/>
                <w:szCs w:val="16"/>
              </w:rPr>
            </w:pPr>
            <w:r w:rsidRPr="00216965">
              <w:rPr>
                <w:rFonts w:eastAsia="Times New Roman"/>
                <w:sz w:val="16"/>
                <w:szCs w:val="16"/>
              </w:rPr>
              <w:t>5116</w:t>
            </w:r>
          </w:p>
        </w:tc>
        <w:tc>
          <w:tcPr>
            <w:tcW w:w="0" w:type="auto"/>
          </w:tcPr>
          <w:p w14:paraId="3770A646" w14:textId="77777777" w:rsidR="00632101" w:rsidRPr="00216965" w:rsidRDefault="00632101" w:rsidP="00A0457B">
            <w:pPr>
              <w:rPr>
                <w:rFonts w:eastAsia="Times New Roman"/>
                <w:sz w:val="16"/>
                <w:szCs w:val="16"/>
              </w:rPr>
            </w:pPr>
            <w:r w:rsidRPr="00216965">
              <w:rPr>
                <w:rFonts w:eastAsia="Times New Roman"/>
                <w:sz w:val="16"/>
                <w:szCs w:val="16"/>
              </w:rPr>
              <w:t>6028</w:t>
            </w:r>
          </w:p>
        </w:tc>
        <w:tc>
          <w:tcPr>
            <w:tcW w:w="0" w:type="auto"/>
          </w:tcPr>
          <w:p w14:paraId="77A7AE42" w14:textId="77777777" w:rsidR="00632101" w:rsidRPr="00216965" w:rsidRDefault="00632101" w:rsidP="00A0457B">
            <w:pPr>
              <w:rPr>
                <w:rFonts w:eastAsia="Times New Roman"/>
                <w:sz w:val="16"/>
                <w:szCs w:val="16"/>
              </w:rPr>
            </w:pPr>
          </w:p>
        </w:tc>
        <w:tc>
          <w:tcPr>
            <w:tcW w:w="0" w:type="auto"/>
          </w:tcPr>
          <w:p w14:paraId="76D50A37" w14:textId="77777777" w:rsidR="00632101" w:rsidRPr="00216965" w:rsidRDefault="00632101" w:rsidP="00A0457B">
            <w:pPr>
              <w:rPr>
                <w:rFonts w:eastAsia="Times New Roman"/>
                <w:sz w:val="16"/>
                <w:szCs w:val="16"/>
              </w:rPr>
            </w:pPr>
            <w:r w:rsidRPr="00216965">
              <w:rPr>
                <w:rFonts w:eastAsia="Times New Roman"/>
                <w:sz w:val="16"/>
                <w:szCs w:val="16"/>
              </w:rPr>
              <w:t>41</w:t>
            </w:r>
          </w:p>
        </w:tc>
        <w:tc>
          <w:tcPr>
            <w:tcW w:w="0" w:type="auto"/>
          </w:tcPr>
          <w:p w14:paraId="65F5E414" w14:textId="77777777" w:rsidR="00632101" w:rsidRPr="00216965" w:rsidRDefault="00632101" w:rsidP="00A0457B">
            <w:pPr>
              <w:rPr>
                <w:rFonts w:eastAsia="Times New Roman"/>
                <w:sz w:val="16"/>
                <w:szCs w:val="16"/>
              </w:rPr>
            </w:pPr>
            <w:r w:rsidRPr="00216965">
              <w:rPr>
                <w:rFonts w:eastAsia="Times New Roman"/>
                <w:sz w:val="16"/>
                <w:szCs w:val="16"/>
              </w:rPr>
              <w:t>Mining</w:t>
            </w:r>
          </w:p>
        </w:tc>
        <w:tc>
          <w:tcPr>
            <w:tcW w:w="0" w:type="auto"/>
          </w:tcPr>
          <w:p w14:paraId="253BB619" w14:textId="1F63A0FE"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10.1007/s00128-011-0388-7","ISSN":"0007-4861","author":[{"dropping-particle":"","family":"Yang","given":"Yuangen","non-dropping-particle":"","parse-names":false,"suffix":""},{"dropping-particle":"","family":"Li","given":"Feili","non-dropping-particle":"","parse-names":false,"suffix":""},{"dropping-particle":"","family":"Bi","given":"Xiangyang","non-dropping-particle":"","parse-names":false,"suffix":""},{"dropping-particle":"","family":"Sun","given":"Li","non-dropping-particle":"","parse-names":false,"suffix":""},{"dropping-particle":"","family":"Liu","given":"Taoze","non-dropping-particle":"","parse-names":false,"suffix":""},{"dropping-particle":"","family":"Jin","given":"Zhisheng","non-dropping-particle":"","parse-names":false,"suffix":""},{"dropping-particle":"","family":"Liu","given":"Congqiang","non-dropping-particle":"","parse-names":false,"suffix":""}],"container-title":"Bulletin of Environmental Contamination and Toxicology","id":"ITEM-1","issued":{"date-parts":[["2011","11","21"]]},"page":"586-590","publisher":"Springer-Verlag","title":"Lead, zinc, and cadmium in vegetable/crops in a zinc smelting region and its potential human toxicity","type":"article-journal","volume":"87"},"uris":["http://www.mendeley.com/documents/?uuid=6dc5d56d-d83d-3e30-b5c6-e37c502040e6"]}],"mendeley":{"formattedCitation":"(Yang et al., 2011)","manualFormatting":"Yang et al. (2011)","plainTextFormattedCitation":"(Yang et al., 2011)","previouslyFormattedCitation":"(Yang et al., 2011)"},"properties":{"noteIndex":0},"schema":"https://github.com/citation-style-language/schema/raw/master/csl-citation.json"}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Yang et al. (2011)</w:t>
            </w:r>
            <w:r w:rsidRPr="00216965">
              <w:rPr>
                <w:rFonts w:eastAsia="Times New Roman"/>
                <w:sz w:val="16"/>
                <w:szCs w:val="16"/>
              </w:rPr>
              <w:fldChar w:fldCharType="end"/>
            </w:r>
          </w:p>
        </w:tc>
      </w:tr>
      <w:tr w:rsidR="00632101" w:rsidRPr="00216965" w14:paraId="0CEAA8B9" w14:textId="77777777" w:rsidTr="008A33DA">
        <w:tc>
          <w:tcPr>
            <w:tcW w:w="0" w:type="auto"/>
          </w:tcPr>
          <w:p w14:paraId="7FA308F3" w14:textId="77777777" w:rsidR="00632101" w:rsidRPr="00216965" w:rsidRDefault="00632101" w:rsidP="00A0457B">
            <w:pPr>
              <w:jc w:val="both"/>
              <w:rPr>
                <w:rFonts w:eastAsia="Times New Roman"/>
                <w:sz w:val="16"/>
                <w:szCs w:val="16"/>
              </w:rPr>
            </w:pPr>
            <w:r w:rsidRPr="00216965">
              <w:rPr>
                <w:rFonts w:eastAsia="Times New Roman"/>
                <w:sz w:val="16"/>
                <w:szCs w:val="16"/>
              </w:rPr>
              <w:t>Baghdad,</w:t>
            </w:r>
            <w:r w:rsidRPr="00216965">
              <w:rPr>
                <w:sz w:val="16"/>
                <w:szCs w:val="16"/>
              </w:rPr>
              <w:t xml:space="preserve"> </w:t>
            </w:r>
            <w:r w:rsidRPr="00216965">
              <w:rPr>
                <w:rFonts w:eastAsia="Times New Roman"/>
                <w:sz w:val="16"/>
                <w:szCs w:val="16"/>
              </w:rPr>
              <w:t>Iraq</w:t>
            </w:r>
          </w:p>
        </w:tc>
        <w:tc>
          <w:tcPr>
            <w:tcW w:w="0" w:type="auto"/>
          </w:tcPr>
          <w:p w14:paraId="2C9B4D89" w14:textId="77777777" w:rsidR="00632101" w:rsidRPr="00216965" w:rsidRDefault="00632101" w:rsidP="00A0457B">
            <w:pPr>
              <w:rPr>
                <w:rFonts w:eastAsia="Times New Roman"/>
                <w:sz w:val="16"/>
                <w:szCs w:val="16"/>
              </w:rPr>
            </w:pPr>
            <w:r w:rsidRPr="00216965">
              <w:rPr>
                <w:rFonts w:eastAsia="Times New Roman"/>
                <w:sz w:val="16"/>
                <w:szCs w:val="16"/>
              </w:rPr>
              <w:t>36</w:t>
            </w:r>
          </w:p>
        </w:tc>
        <w:tc>
          <w:tcPr>
            <w:tcW w:w="0" w:type="auto"/>
          </w:tcPr>
          <w:p w14:paraId="5CFA52F7" w14:textId="77777777" w:rsidR="00632101" w:rsidRPr="00216965" w:rsidRDefault="00632101" w:rsidP="00A0457B">
            <w:pPr>
              <w:rPr>
                <w:rFonts w:eastAsia="Times New Roman"/>
                <w:sz w:val="16"/>
                <w:szCs w:val="16"/>
              </w:rPr>
            </w:pPr>
            <w:r w:rsidRPr="00216965">
              <w:rPr>
                <w:rFonts w:eastAsia="Times New Roman"/>
                <w:sz w:val="16"/>
                <w:szCs w:val="16"/>
              </w:rPr>
              <w:t>84</w:t>
            </w:r>
          </w:p>
        </w:tc>
        <w:tc>
          <w:tcPr>
            <w:tcW w:w="0" w:type="auto"/>
          </w:tcPr>
          <w:p w14:paraId="0A4DB18A" w14:textId="77777777" w:rsidR="00632101" w:rsidRPr="00216965" w:rsidRDefault="00632101" w:rsidP="00A0457B">
            <w:pPr>
              <w:rPr>
                <w:rFonts w:eastAsia="Times New Roman"/>
                <w:sz w:val="16"/>
                <w:szCs w:val="16"/>
              </w:rPr>
            </w:pPr>
          </w:p>
        </w:tc>
        <w:tc>
          <w:tcPr>
            <w:tcW w:w="0" w:type="auto"/>
          </w:tcPr>
          <w:p w14:paraId="61A0AC82" w14:textId="77777777" w:rsidR="00632101" w:rsidRPr="00216965" w:rsidRDefault="00632101" w:rsidP="00A0457B">
            <w:pPr>
              <w:rPr>
                <w:rFonts w:eastAsia="Times New Roman"/>
                <w:sz w:val="16"/>
                <w:szCs w:val="16"/>
              </w:rPr>
            </w:pPr>
            <w:r w:rsidRPr="00216965">
              <w:rPr>
                <w:rFonts w:eastAsia="Times New Roman"/>
                <w:sz w:val="16"/>
                <w:szCs w:val="16"/>
              </w:rPr>
              <w:t>22</w:t>
            </w:r>
          </w:p>
        </w:tc>
        <w:tc>
          <w:tcPr>
            <w:tcW w:w="0" w:type="auto"/>
          </w:tcPr>
          <w:p w14:paraId="6C06EBF6" w14:textId="77777777" w:rsidR="00632101" w:rsidRPr="00216965" w:rsidRDefault="00632101" w:rsidP="00A0457B">
            <w:pPr>
              <w:rPr>
                <w:rFonts w:eastAsia="Times New Roman"/>
                <w:sz w:val="16"/>
                <w:szCs w:val="16"/>
              </w:rPr>
            </w:pPr>
            <w:r w:rsidRPr="00216965">
              <w:rPr>
                <w:rFonts w:eastAsia="Times New Roman"/>
                <w:sz w:val="16"/>
                <w:szCs w:val="16"/>
              </w:rPr>
              <w:t>7</w:t>
            </w:r>
          </w:p>
        </w:tc>
        <w:tc>
          <w:tcPr>
            <w:tcW w:w="0" w:type="auto"/>
          </w:tcPr>
          <w:p w14:paraId="60973C6B" w14:textId="77777777" w:rsidR="00632101" w:rsidRPr="00216965" w:rsidRDefault="00632101" w:rsidP="00A0457B">
            <w:pPr>
              <w:rPr>
                <w:rFonts w:eastAsia="Times New Roman"/>
                <w:sz w:val="16"/>
                <w:szCs w:val="16"/>
              </w:rPr>
            </w:pPr>
            <w:r w:rsidRPr="00216965">
              <w:rPr>
                <w:rFonts w:eastAsia="Times New Roman"/>
                <w:sz w:val="16"/>
                <w:szCs w:val="16"/>
              </w:rPr>
              <w:t>87</w:t>
            </w:r>
          </w:p>
        </w:tc>
        <w:tc>
          <w:tcPr>
            <w:tcW w:w="0" w:type="auto"/>
          </w:tcPr>
          <w:p w14:paraId="24F5BF0C" w14:textId="77777777" w:rsidR="00632101" w:rsidRPr="00216965" w:rsidRDefault="00632101" w:rsidP="00A0457B">
            <w:pPr>
              <w:rPr>
                <w:rFonts w:eastAsia="Times New Roman"/>
                <w:sz w:val="16"/>
                <w:szCs w:val="16"/>
              </w:rPr>
            </w:pPr>
            <w:r w:rsidRPr="00216965">
              <w:rPr>
                <w:rFonts w:eastAsia="Times New Roman"/>
                <w:sz w:val="16"/>
                <w:szCs w:val="16"/>
              </w:rPr>
              <w:t>104</w:t>
            </w:r>
          </w:p>
        </w:tc>
        <w:tc>
          <w:tcPr>
            <w:tcW w:w="0" w:type="auto"/>
          </w:tcPr>
          <w:p w14:paraId="02AEF19A" w14:textId="77777777" w:rsidR="00632101" w:rsidRPr="00216965" w:rsidRDefault="00632101" w:rsidP="00A0457B">
            <w:pPr>
              <w:rPr>
                <w:rFonts w:eastAsia="Times New Roman"/>
                <w:sz w:val="16"/>
                <w:szCs w:val="16"/>
              </w:rPr>
            </w:pPr>
          </w:p>
        </w:tc>
        <w:tc>
          <w:tcPr>
            <w:tcW w:w="0" w:type="auto"/>
          </w:tcPr>
          <w:p w14:paraId="0C7743F1" w14:textId="77777777" w:rsidR="00632101" w:rsidRPr="00216965" w:rsidRDefault="00632101" w:rsidP="00A0457B">
            <w:pPr>
              <w:rPr>
                <w:rFonts w:eastAsia="Times New Roman"/>
                <w:sz w:val="16"/>
                <w:szCs w:val="16"/>
              </w:rPr>
            </w:pPr>
            <w:r w:rsidRPr="00216965">
              <w:rPr>
                <w:rFonts w:eastAsia="Times New Roman"/>
                <w:sz w:val="16"/>
                <w:szCs w:val="16"/>
              </w:rPr>
              <w:t xml:space="preserve">Urban </w:t>
            </w:r>
          </w:p>
        </w:tc>
        <w:tc>
          <w:tcPr>
            <w:tcW w:w="0" w:type="auto"/>
          </w:tcPr>
          <w:p w14:paraId="5676215C" w14:textId="282F8A94"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{"citationItems":[{"id":"ITEM-1","itemData":{"DOI":"10.1016/j.scitotenv.2014.06.006","ISBN":"0048-9697","ISSN":"18791026","PMID":"25029503","abstract":"The solubility of soil-associated potentially toxic elements (PTEs) in surrogate biological fluids provides valuable information about their potential health hazard. This work addresses the concentrations and bioaccessibility of nine PTEs (As, Co, Cr, Cu, Mn, Ni, Pb, V, and Zn) in thirty eight agricultural land and playground soils collected from a semi-arid urban area of Baghdad-Iraq. Two surrogate biological fluids (SBFs), macrophage vacuole (MS) and gastric (GS) solutions, were used to extract the metals to simulate the biological availability of the PTEs via inhalation and ingestion exposure routes. ICP/AES was used to quantify PTEs in both strong acid digests (for total concentration), and in the SBF extracts. Soil contamination factors showed that some sites exhibited elevated levels of As (36??10mg/kg), however, these levels of As are not likely to have significant human health impacts whether the particulate arsenic is ingested or/and inhaled. Soil-geochemical variables (including: pH, EC, CO3=, soil organic carbon (SOC)) and major elements (e.g. Al, Ca, and Fe) were used to interpret the lability of PTEs in the soils. Hazardous index (HI) based non-cancer risk of inhalation and ingestion of PTEs was estimated to be 2-fold higher for that based on total element concentrations compared with that for bioavailable fractions for both children and adults. A similar conclusion was reached for the estimated cancer risk (which was lower than the threshold level of concern for children and adults). A sensitivity analysis showed that there is a 97% chance for children and 90% for adults to have hazardous indices of the total PTEs &gt;1 (the acceptable value); the corresponding metrics for the bioavailable fraction of the elements were 39% for children, and 3% for adults; these results were sensitive to the concentrations of \"airborne\" soil particles.","author":[{"dropping-particle":"","family":"Hamad","given":"Samera H.","non-dropping-particle":"","parse-names":false,"suffix":""},{"dropping-particle":"","family":"Schauer","given":"James J.","non-dropping-particle":"","parse-names":false,"suffix":""},{"dropping-particle":"","family":"Shafer","given":"Martin M.","non-dropping-particle":"","parse-names":false,"suffix":""},{"dropping-particle":"","family":"Al-Rheem","given":"Esam Abd","non-dropping-particle":"","parse-names":false,"suffix":""},{"dropping-particle":"","family":"Skaar","given":"Pamela S.","non-dropping-particle":"","parse-names":false,"suffix":""},{"dropping-particle":"","family":"Heo","given":"Jongbae","non-dropping-particle":"","parse-names":false,"suffix":""},{"dropping-particle":"","family":"Tejedor-Tejedor","given":"Isabel","non-dropping-particle":"","parse-names":false,"suffix":""}],"container-title":"Science of the Total Environment","id":"ITEM-1","issued":{"date-parts":[["2014"]]},"page":"39-48","publisher":"Elsevier B.V.","title":"Risk assessment of total and bioavailable potentially toxic elements (PTEs) in urban soils of Baghdad-Iraq","type":"article-journal","volume":"494-495"},"uris":["http://www.mendeley.com/documents/?uuid=c9088d33-c1fb-438e-a9c2-a9cdf6079842"]}],"mendeley":{"formattedCitation":"(Hamad et al., 2014)","manualFormatting":"Hamad et al. (2014)","plainTextFormattedCitation":"(Hamad et al., 2014)","previouslyFormattedCitation":"(Hamad et al., 2014)"},"properties":{"noteIndex":0},"schema":"https://github.com/citation-style-language/schema/raw/master/csl-citation.json"}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Hamad et al. (2014)</w:t>
            </w:r>
            <w:r w:rsidRPr="00216965">
              <w:rPr>
                <w:rFonts w:eastAsia="Times New Roman"/>
                <w:sz w:val="16"/>
                <w:szCs w:val="16"/>
              </w:rPr>
              <w:fldChar w:fldCharType="end"/>
            </w:r>
          </w:p>
        </w:tc>
      </w:tr>
      <w:tr w:rsidR="00632101" w:rsidRPr="00216965" w14:paraId="3D15C3AF" w14:textId="77777777" w:rsidTr="008A33DA">
        <w:tc>
          <w:tcPr>
            <w:tcW w:w="0" w:type="auto"/>
          </w:tcPr>
          <w:p w14:paraId="21577163" w14:textId="77777777" w:rsidR="00632101" w:rsidRPr="00216965" w:rsidRDefault="00632101" w:rsidP="00A0457B">
            <w:pPr>
              <w:jc w:val="both"/>
              <w:rPr>
                <w:rFonts w:eastAsia="Times New Roman"/>
                <w:sz w:val="16"/>
                <w:szCs w:val="16"/>
              </w:rPr>
            </w:pPr>
            <w:r w:rsidRPr="00216965">
              <w:rPr>
                <w:rFonts w:eastAsia="Times New Roman"/>
                <w:sz w:val="16"/>
                <w:szCs w:val="16"/>
              </w:rPr>
              <w:t>Lisbon, Portugal</w:t>
            </w:r>
          </w:p>
        </w:tc>
        <w:tc>
          <w:tcPr>
            <w:tcW w:w="0" w:type="auto"/>
          </w:tcPr>
          <w:p w14:paraId="32A5B4F0" w14:textId="77777777" w:rsidR="00632101" w:rsidRPr="00216965" w:rsidRDefault="00632101" w:rsidP="00A0457B">
            <w:pPr>
              <w:rPr>
                <w:rFonts w:eastAsia="Times New Roman"/>
                <w:sz w:val="16"/>
                <w:szCs w:val="16"/>
              </w:rPr>
            </w:pPr>
          </w:p>
        </w:tc>
        <w:tc>
          <w:tcPr>
            <w:tcW w:w="0" w:type="auto"/>
          </w:tcPr>
          <w:p w14:paraId="1A1B2A17" w14:textId="77777777" w:rsidR="00632101" w:rsidRPr="00216965" w:rsidRDefault="00632101" w:rsidP="00A0457B">
            <w:pPr>
              <w:rPr>
                <w:rFonts w:eastAsia="Times New Roman"/>
                <w:sz w:val="16"/>
                <w:szCs w:val="16"/>
              </w:rPr>
            </w:pPr>
            <w:r w:rsidRPr="00216965">
              <w:rPr>
                <w:rFonts w:eastAsia="Times New Roman"/>
                <w:sz w:val="16"/>
                <w:szCs w:val="16"/>
              </w:rPr>
              <w:t>61</w:t>
            </w:r>
          </w:p>
        </w:tc>
        <w:tc>
          <w:tcPr>
            <w:tcW w:w="0" w:type="auto"/>
          </w:tcPr>
          <w:p w14:paraId="1F2A7219" w14:textId="77777777" w:rsidR="00632101" w:rsidRPr="00216965" w:rsidRDefault="00632101" w:rsidP="00A0457B">
            <w:pPr>
              <w:rPr>
                <w:rFonts w:eastAsia="Times New Roman"/>
                <w:sz w:val="16"/>
                <w:szCs w:val="16"/>
              </w:rPr>
            </w:pPr>
          </w:p>
        </w:tc>
        <w:tc>
          <w:tcPr>
            <w:tcW w:w="0" w:type="auto"/>
          </w:tcPr>
          <w:p w14:paraId="3A67F655" w14:textId="77777777" w:rsidR="00632101" w:rsidRPr="00216965" w:rsidRDefault="00632101" w:rsidP="00A0457B">
            <w:pPr>
              <w:rPr>
                <w:rFonts w:eastAsia="Times New Roman"/>
                <w:sz w:val="16"/>
                <w:szCs w:val="16"/>
              </w:rPr>
            </w:pPr>
          </w:p>
        </w:tc>
        <w:tc>
          <w:tcPr>
            <w:tcW w:w="0" w:type="auto"/>
          </w:tcPr>
          <w:p w14:paraId="4161FF22" w14:textId="77777777" w:rsidR="00632101" w:rsidRPr="00216965" w:rsidRDefault="00632101" w:rsidP="00A0457B">
            <w:pPr>
              <w:rPr>
                <w:rFonts w:eastAsia="Times New Roman"/>
                <w:sz w:val="16"/>
                <w:szCs w:val="16"/>
              </w:rPr>
            </w:pPr>
            <w:r w:rsidRPr="00216965">
              <w:rPr>
                <w:rFonts w:eastAsia="Times New Roman"/>
                <w:sz w:val="16"/>
                <w:szCs w:val="16"/>
              </w:rPr>
              <w:t>6</w:t>
            </w:r>
          </w:p>
        </w:tc>
        <w:tc>
          <w:tcPr>
            <w:tcW w:w="0" w:type="auto"/>
          </w:tcPr>
          <w:p w14:paraId="6785968A" w14:textId="77777777" w:rsidR="00632101" w:rsidRPr="00216965" w:rsidRDefault="00632101" w:rsidP="00A0457B">
            <w:pPr>
              <w:rPr>
                <w:rFonts w:eastAsia="Times New Roman"/>
                <w:sz w:val="16"/>
                <w:szCs w:val="16"/>
              </w:rPr>
            </w:pPr>
          </w:p>
        </w:tc>
        <w:tc>
          <w:tcPr>
            <w:tcW w:w="0" w:type="auto"/>
          </w:tcPr>
          <w:p w14:paraId="0AED0826" w14:textId="77777777" w:rsidR="00632101" w:rsidRPr="00216965" w:rsidRDefault="00632101" w:rsidP="00A0457B">
            <w:pPr>
              <w:rPr>
                <w:rFonts w:eastAsia="Times New Roman"/>
                <w:sz w:val="16"/>
                <w:szCs w:val="16"/>
              </w:rPr>
            </w:pPr>
            <w:r w:rsidRPr="00216965">
              <w:rPr>
                <w:rFonts w:eastAsia="Times New Roman"/>
                <w:sz w:val="16"/>
                <w:szCs w:val="16"/>
              </w:rPr>
              <w:t>65</w:t>
            </w:r>
          </w:p>
        </w:tc>
        <w:tc>
          <w:tcPr>
            <w:tcW w:w="0" w:type="auto"/>
          </w:tcPr>
          <w:p w14:paraId="425E4F61" w14:textId="77777777" w:rsidR="00632101" w:rsidRPr="00216965" w:rsidRDefault="00632101" w:rsidP="00A0457B">
            <w:pPr>
              <w:rPr>
                <w:rFonts w:eastAsia="Times New Roman"/>
                <w:sz w:val="16"/>
                <w:szCs w:val="16"/>
              </w:rPr>
            </w:pPr>
            <w:r w:rsidRPr="00216965">
              <w:rPr>
                <w:rFonts w:eastAsia="Times New Roman"/>
                <w:sz w:val="16"/>
                <w:szCs w:val="16"/>
              </w:rPr>
              <w:t>0.5</w:t>
            </w:r>
          </w:p>
        </w:tc>
        <w:tc>
          <w:tcPr>
            <w:tcW w:w="0" w:type="auto"/>
          </w:tcPr>
          <w:p w14:paraId="37181135" w14:textId="77777777" w:rsidR="00632101" w:rsidRPr="00216965" w:rsidRDefault="00632101" w:rsidP="00A0457B">
            <w:pPr>
              <w:rPr>
                <w:rFonts w:eastAsia="Times New Roman"/>
                <w:sz w:val="16"/>
                <w:szCs w:val="16"/>
              </w:rPr>
            </w:pPr>
            <w:r w:rsidRPr="00216965">
              <w:rPr>
                <w:rFonts w:eastAsia="Times New Roman"/>
                <w:sz w:val="16"/>
                <w:szCs w:val="16"/>
              </w:rPr>
              <w:t>Urban</w:t>
            </w:r>
          </w:p>
        </w:tc>
        <w:tc>
          <w:tcPr>
            <w:tcW w:w="0" w:type="auto"/>
          </w:tcPr>
          <w:p w14:paraId="3158F758" w14:textId="744A6877"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{"citationItems":[{"id":"ITEM-1","itemData":{"DOI":"10.3390/soilsystems5020027","ISSN":"25718789","abstract":"There is an intense and continuous growth of the world population living in cities. This increase in population means an increase in car traffic, an increase in new constructions and an increase in the production of waste that translates into an intensive use of land, particularly in terms of soil contaminants. Among other environmental contaminants, toxic metals, such as lead (Pb), cadmium (Cd), nickel (Ni) and chromium (Cr) represent a public health problem. In this study the content of toxic metals in Lisbon’s (Portugal) soils was determined. The study was conducted over approximately a decade in six city locations, with a total of about 700 samples. Each site has different urban characteristics: traffic zone, residential area, urban park and mixed areas. The study allowed to verify the heterogeneity of metal content values in the city soils and their dependence on local traffic. Metal contents were determined by graphite furnace atomic absorption spectroscopy (GFAAS). For each site the geo-accumulation index, pollution factor, degree of contamination, pollution load index and ecological risk factor were calculated. The mean concentrations of Cd, Cr, Ni and Pb in soils were 0.463, 44.0, 46.6 and 5.73 mg/kg of dry soil, respectively. In the last year of the study the values were 0.417, 51.5, 62.4 and 8.49 mg/kg of dry soil, respectively. Cd and Ni exceeded the typical content values of these metals in the earth’s crust, indicating their anthropogenic origin. The correlation analysis revealed a significant correlation between Cr and Ni, Cd and Ni and Cd and Pb contents in the city soils. Regarding the results obtained in this long monitoring campaign, Lisbon’s soils can be considered as having low levels of pollution by these metals.","author":[{"dropping-particle":"","family":"Silva","given":"Hugo Félix","non-dropping-particle":"","parse-names":false,"suffix":""},{"dropping-particle":"","family":"Silva","given":"Nelson Frade","non-dropping-particle":"","parse-names":false,"suffix":""},{"dropping-particle":"","family":"Oliveira","given":"Cristina Maria","non-dropping-particle":"","parse-names":false,"suffix":""},{"dropping-particle":"","family":"Matos","given":"Manuel José","non-dropping-particle":"","parse-names":false,"suffix":""}],"container-title":"Soil Systems","id":"ITEM-1","issued":{"date-parts":[["2021"]]},"page":"27","title":"Heavy metals contamination of urban soils—a decade study in the city of lisbon, portugal","type":"article-journal","volume":"5"},"uris":["http://www.mendeley.com/documents/?uuid=2db7ea36-3e5f-4cf8-a0e1-3684b9f1c25f"]}],"mendeley":{"formattedCitation":"(Silva et al., 2021)","manualFormatting":"Silva et al. (2021)","plainTextFormattedCitation":"(Silva et al., 2021)","previouslyFormattedCitation":"(Silva et al., 2021)"},"properties":{"noteIndex":0},"schema":"https://github.com/citation-style-language/schema/raw/master/csl-citation.json"}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Silva et al. (2021)</w:t>
            </w:r>
            <w:r w:rsidRPr="00216965">
              <w:rPr>
                <w:rFonts w:eastAsia="Times New Roman"/>
                <w:sz w:val="16"/>
                <w:szCs w:val="16"/>
              </w:rPr>
              <w:fldChar w:fldCharType="end"/>
            </w:r>
          </w:p>
        </w:tc>
      </w:tr>
      <w:tr w:rsidR="00632101" w:rsidRPr="00216965" w14:paraId="6B8EA2A2" w14:textId="77777777" w:rsidTr="008A33DA">
        <w:tc>
          <w:tcPr>
            <w:tcW w:w="0" w:type="auto"/>
          </w:tcPr>
          <w:p w14:paraId="0700ECD1" w14:textId="77777777" w:rsidR="00632101" w:rsidRPr="00216965" w:rsidRDefault="00632101" w:rsidP="00A0457B">
            <w:pPr>
              <w:jc w:val="both"/>
              <w:rPr>
                <w:rFonts w:eastAsia="Times New Roman"/>
                <w:sz w:val="16"/>
                <w:szCs w:val="16"/>
              </w:rPr>
            </w:pPr>
            <w:r w:rsidRPr="00216965">
              <w:rPr>
                <w:rFonts w:eastAsia="Times New Roman"/>
                <w:sz w:val="16"/>
                <w:szCs w:val="16"/>
              </w:rPr>
              <w:t>Shanghai, China</w:t>
            </w:r>
          </w:p>
        </w:tc>
        <w:tc>
          <w:tcPr>
            <w:tcW w:w="0" w:type="auto"/>
          </w:tcPr>
          <w:p w14:paraId="4989B20A" w14:textId="77777777" w:rsidR="00632101" w:rsidRPr="00216965" w:rsidRDefault="00632101" w:rsidP="00A0457B">
            <w:pPr>
              <w:rPr>
                <w:rFonts w:eastAsia="Times New Roman"/>
                <w:sz w:val="16"/>
                <w:szCs w:val="16"/>
              </w:rPr>
            </w:pPr>
          </w:p>
        </w:tc>
        <w:tc>
          <w:tcPr>
            <w:tcW w:w="0" w:type="auto"/>
          </w:tcPr>
          <w:p w14:paraId="4280189A" w14:textId="77777777" w:rsidR="00632101" w:rsidRPr="00216965" w:rsidRDefault="00632101" w:rsidP="00A0457B">
            <w:pPr>
              <w:rPr>
                <w:rFonts w:eastAsia="Times New Roman"/>
                <w:sz w:val="16"/>
                <w:szCs w:val="16"/>
              </w:rPr>
            </w:pPr>
            <w:r w:rsidRPr="00216965">
              <w:rPr>
                <w:rFonts w:eastAsia="Times New Roman"/>
                <w:sz w:val="16"/>
                <w:szCs w:val="16"/>
              </w:rPr>
              <w:t>233</w:t>
            </w:r>
          </w:p>
        </w:tc>
        <w:tc>
          <w:tcPr>
            <w:tcW w:w="0" w:type="auto"/>
          </w:tcPr>
          <w:p w14:paraId="473CA629" w14:textId="77777777" w:rsidR="00632101" w:rsidRPr="00216965" w:rsidRDefault="00632101" w:rsidP="00A0457B">
            <w:pPr>
              <w:rPr>
                <w:rFonts w:eastAsia="Times New Roman"/>
                <w:sz w:val="16"/>
                <w:szCs w:val="16"/>
              </w:rPr>
            </w:pPr>
          </w:p>
        </w:tc>
        <w:tc>
          <w:tcPr>
            <w:tcW w:w="0" w:type="auto"/>
          </w:tcPr>
          <w:p w14:paraId="7CBF410B" w14:textId="77777777" w:rsidR="00632101" w:rsidRPr="00216965" w:rsidRDefault="00632101" w:rsidP="00A0457B">
            <w:pPr>
              <w:rPr>
                <w:rFonts w:eastAsia="Times New Roman"/>
                <w:sz w:val="16"/>
                <w:szCs w:val="16"/>
              </w:rPr>
            </w:pPr>
            <w:r w:rsidRPr="00216965">
              <w:rPr>
                <w:rFonts w:eastAsia="Times New Roman"/>
                <w:sz w:val="16"/>
                <w:szCs w:val="16"/>
              </w:rPr>
              <w:t>151</w:t>
            </w:r>
          </w:p>
        </w:tc>
        <w:tc>
          <w:tcPr>
            <w:tcW w:w="0" w:type="auto"/>
          </w:tcPr>
          <w:p w14:paraId="502F2E25" w14:textId="77777777" w:rsidR="00632101" w:rsidRPr="00216965" w:rsidRDefault="00632101" w:rsidP="00A0457B">
            <w:pPr>
              <w:rPr>
                <w:rFonts w:eastAsia="Times New Roman"/>
                <w:sz w:val="16"/>
                <w:szCs w:val="16"/>
              </w:rPr>
            </w:pPr>
            <w:r w:rsidRPr="00216965">
              <w:rPr>
                <w:rFonts w:eastAsia="Times New Roman"/>
                <w:sz w:val="16"/>
                <w:szCs w:val="16"/>
              </w:rPr>
              <w:t>192</w:t>
            </w:r>
          </w:p>
        </w:tc>
        <w:tc>
          <w:tcPr>
            <w:tcW w:w="0" w:type="auto"/>
          </w:tcPr>
          <w:p w14:paraId="3D0A11B1" w14:textId="77777777" w:rsidR="00632101" w:rsidRPr="00216965" w:rsidRDefault="00632101" w:rsidP="00A0457B">
            <w:pPr>
              <w:rPr>
                <w:rFonts w:eastAsia="Times New Roman"/>
                <w:sz w:val="16"/>
                <w:szCs w:val="16"/>
              </w:rPr>
            </w:pPr>
            <w:r w:rsidRPr="00216965">
              <w:rPr>
                <w:rFonts w:eastAsia="Times New Roman"/>
                <w:sz w:val="16"/>
                <w:szCs w:val="16"/>
              </w:rPr>
              <w:t>1025</w:t>
            </w:r>
          </w:p>
        </w:tc>
        <w:tc>
          <w:tcPr>
            <w:tcW w:w="0" w:type="auto"/>
          </w:tcPr>
          <w:p w14:paraId="46557B62" w14:textId="77777777" w:rsidR="00632101" w:rsidRPr="00216965" w:rsidRDefault="00632101" w:rsidP="00A0457B">
            <w:pPr>
              <w:rPr>
                <w:rFonts w:eastAsia="Times New Roman"/>
                <w:sz w:val="16"/>
                <w:szCs w:val="16"/>
              </w:rPr>
            </w:pPr>
            <w:r w:rsidRPr="00216965">
              <w:rPr>
                <w:rFonts w:eastAsia="Times New Roman"/>
                <w:sz w:val="16"/>
                <w:szCs w:val="16"/>
              </w:rPr>
              <w:t>66</w:t>
            </w:r>
          </w:p>
        </w:tc>
        <w:tc>
          <w:tcPr>
            <w:tcW w:w="0" w:type="auto"/>
          </w:tcPr>
          <w:p w14:paraId="586B2E66" w14:textId="77777777" w:rsidR="00632101" w:rsidRPr="00216965" w:rsidRDefault="00632101" w:rsidP="00A0457B">
            <w:pPr>
              <w:rPr>
                <w:rFonts w:eastAsia="Times New Roman"/>
                <w:sz w:val="16"/>
                <w:szCs w:val="16"/>
              </w:rPr>
            </w:pPr>
            <w:r w:rsidRPr="00216965">
              <w:rPr>
                <w:rFonts w:eastAsia="Times New Roman"/>
                <w:sz w:val="16"/>
                <w:szCs w:val="16"/>
              </w:rPr>
              <w:t>4</w:t>
            </w:r>
          </w:p>
        </w:tc>
        <w:tc>
          <w:tcPr>
            <w:tcW w:w="0" w:type="auto"/>
          </w:tcPr>
          <w:p w14:paraId="22DFEA0E" w14:textId="77777777" w:rsidR="00632101" w:rsidRPr="00216965" w:rsidRDefault="00632101" w:rsidP="00A0457B">
            <w:pPr>
              <w:rPr>
                <w:rFonts w:eastAsia="Times New Roman"/>
                <w:sz w:val="16"/>
                <w:szCs w:val="16"/>
              </w:rPr>
            </w:pPr>
            <w:r w:rsidRPr="00216965">
              <w:rPr>
                <w:rFonts w:eastAsia="Times New Roman"/>
                <w:sz w:val="16"/>
                <w:szCs w:val="16"/>
              </w:rPr>
              <w:t>Urban</w:t>
            </w:r>
          </w:p>
        </w:tc>
        <w:tc>
          <w:tcPr>
            <w:tcW w:w="0" w:type="auto"/>
          </w:tcPr>
          <w:p w14:paraId="0322DD40" w14:textId="5D588C88"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{"citationItems":[{"id":"ITEM-1","itemData":{"DOI":"10.1016/j.envpol.2008.02.027","ISSN":"02697491","PMID":"18703261","abstract":"A detailed investigation was conducted to understand the contamination characteristics of a selected set of potentially toxic metals in Shanghai. The amount of Pb, Zn, Cu, Cr, Cd and Ni were determined from 273 soil/dust samples collected within urban area. The results indicated that concentration of all metals except Ni in soils was significant, and metal pollution was even severer in roadside dust. A series of metal spatial distribution maps were created through geostatistical analysis, and the pollution hotspots tended to associate with city core area, major road junctions, and the regions close to industrial zones. In attempt of identifying the source of metals through geostatistical and multivariate statistical analyses, it was concluded as follows: Pb, Zn and Cu mainly originated from traffic contaminants; soil Ni was associated with natural concentration; Cd largely came from point-sourced industrial pollution; and Cr, Ni in dust were mainly related to atmospheric deposition. © 2008.","author":[{"dropping-particle":"","family":"Shi","given":"Guitao","non-dropping-particle":"","parse-names":false,"suffix":""},{"dropping-particle":"","family":"Chen","given":"Zhenlou","non-dropping-particle":"","parse-names":false,"suffix":""},{"dropping-particle":"","family":"Xu","given":"Shiyuan","non-dropping-particle":"","parse-names":false,"suffix":""},{"dropping-particle":"","family":"Zhang","given":"Ju","non-dropping-particle":"","parse-names":false,"suffix":""},{"dropping-particle":"","family":"Wang","given":"Li","non-dropping-particle":"","parse-names":false,"suffix":""},{"dropping-particle":"","family":"Bi","given":"Chunjuan","non-dropping-particle":"","parse-names":false,"suffix":""},{"dropping-particle":"","family":"Teng","given":"Jiyan","non-dropping-particle":"","parse-names":false,"suffix":""}],"container-title":"Environmental Pollution","id":"ITEM-1","issue":"2","issued":{"date-parts":[["2008"]]},"page":"251-260","publisher":"Elsevier Ltd","title":"Potentially toxic metal contamination of urban soils and roadside dust in Shanghai, China","type":"article-journal","volume":"156"},"uris":["http://www.mendeley.com/documents/?uuid=44f10866-f6cf-4ce9-ae8e-fb8cd423e22a"]}],"mendeley":{"formattedCitation":"(Shi et al., 2008)","manualFormatting":"Shi et al. (2008)","plainTextFormattedCitation":"(Shi et al., 2008)","previouslyFormattedCitation":"(Shi et al., 2008)"},"properties":{"noteIndex":0},"schema":"https://github.com/citation-style-language/schema/raw/master/csl-citation.json"}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Shi et al. (2008)</w:t>
            </w:r>
            <w:r w:rsidRPr="00216965">
              <w:rPr>
                <w:rFonts w:eastAsia="Times New Roman"/>
                <w:sz w:val="16"/>
                <w:szCs w:val="16"/>
              </w:rPr>
              <w:fldChar w:fldCharType="end"/>
            </w:r>
          </w:p>
        </w:tc>
      </w:tr>
      <w:tr w:rsidR="00632101" w:rsidRPr="00216965" w14:paraId="37F17AD4" w14:textId="77777777" w:rsidTr="008A33DA">
        <w:tc>
          <w:tcPr>
            <w:tcW w:w="0" w:type="auto"/>
          </w:tcPr>
          <w:p w14:paraId="5A021E82" w14:textId="77777777" w:rsidR="00632101" w:rsidRPr="00216965" w:rsidRDefault="00632101" w:rsidP="00A0457B">
            <w:pPr>
              <w:jc w:val="both"/>
              <w:rPr>
                <w:rFonts w:eastAsia="Times New Roman"/>
                <w:sz w:val="16"/>
                <w:szCs w:val="16"/>
              </w:rPr>
            </w:pPr>
            <w:r w:rsidRPr="00216965">
              <w:rPr>
                <w:rFonts w:eastAsia="Times New Roman"/>
                <w:sz w:val="16"/>
                <w:szCs w:val="16"/>
              </w:rPr>
              <w:t>Montreal, Canada</w:t>
            </w:r>
          </w:p>
        </w:tc>
        <w:tc>
          <w:tcPr>
            <w:tcW w:w="0" w:type="auto"/>
          </w:tcPr>
          <w:p w14:paraId="1E594329" w14:textId="77777777" w:rsidR="00632101" w:rsidRPr="00216965" w:rsidRDefault="00632101" w:rsidP="00A0457B">
            <w:pPr>
              <w:rPr>
                <w:rFonts w:eastAsia="Times New Roman"/>
                <w:sz w:val="16"/>
                <w:szCs w:val="16"/>
              </w:rPr>
            </w:pPr>
          </w:p>
        </w:tc>
        <w:tc>
          <w:tcPr>
            <w:tcW w:w="0" w:type="auto"/>
          </w:tcPr>
          <w:p w14:paraId="61723EE1" w14:textId="77777777" w:rsidR="00632101" w:rsidRPr="00216965" w:rsidRDefault="00632101" w:rsidP="00A0457B">
            <w:pPr>
              <w:rPr>
                <w:rFonts w:eastAsia="Times New Roman"/>
                <w:sz w:val="16"/>
                <w:szCs w:val="16"/>
              </w:rPr>
            </w:pPr>
          </w:p>
        </w:tc>
        <w:tc>
          <w:tcPr>
            <w:tcW w:w="0" w:type="auto"/>
          </w:tcPr>
          <w:p w14:paraId="76E32669" w14:textId="77777777" w:rsidR="00632101" w:rsidRPr="00216965" w:rsidRDefault="00632101" w:rsidP="00A0457B">
            <w:pPr>
              <w:rPr>
                <w:rFonts w:eastAsia="Times New Roman"/>
                <w:sz w:val="16"/>
                <w:szCs w:val="16"/>
              </w:rPr>
            </w:pPr>
          </w:p>
        </w:tc>
        <w:tc>
          <w:tcPr>
            <w:tcW w:w="0" w:type="auto"/>
          </w:tcPr>
          <w:p w14:paraId="034580D6" w14:textId="77777777" w:rsidR="00632101" w:rsidRPr="00216965" w:rsidRDefault="00632101" w:rsidP="00A0457B">
            <w:pPr>
              <w:rPr>
                <w:rFonts w:eastAsia="Times New Roman"/>
                <w:sz w:val="16"/>
                <w:szCs w:val="16"/>
              </w:rPr>
            </w:pPr>
            <w:r w:rsidRPr="00216965">
              <w:rPr>
                <w:rFonts w:eastAsia="Times New Roman"/>
                <w:sz w:val="16"/>
                <w:szCs w:val="16"/>
              </w:rPr>
              <w:t>37</w:t>
            </w:r>
          </w:p>
        </w:tc>
        <w:tc>
          <w:tcPr>
            <w:tcW w:w="0" w:type="auto"/>
          </w:tcPr>
          <w:p w14:paraId="1C6C3A6E" w14:textId="77777777" w:rsidR="00632101" w:rsidRPr="00216965" w:rsidRDefault="00632101" w:rsidP="00A0457B">
            <w:pPr>
              <w:rPr>
                <w:rFonts w:eastAsia="Times New Roman"/>
                <w:sz w:val="16"/>
                <w:szCs w:val="16"/>
              </w:rPr>
            </w:pPr>
            <w:r w:rsidRPr="00216965">
              <w:rPr>
                <w:rFonts w:eastAsia="Times New Roman"/>
                <w:sz w:val="16"/>
                <w:szCs w:val="16"/>
              </w:rPr>
              <w:t>117</w:t>
            </w:r>
          </w:p>
        </w:tc>
        <w:tc>
          <w:tcPr>
            <w:tcW w:w="0" w:type="auto"/>
          </w:tcPr>
          <w:p w14:paraId="7F0A59A3" w14:textId="77777777" w:rsidR="00632101" w:rsidRPr="00216965" w:rsidRDefault="00632101" w:rsidP="00A0457B">
            <w:pPr>
              <w:rPr>
                <w:rFonts w:eastAsia="Times New Roman"/>
                <w:sz w:val="16"/>
                <w:szCs w:val="16"/>
              </w:rPr>
            </w:pPr>
            <w:r w:rsidRPr="00216965">
              <w:rPr>
                <w:rFonts w:eastAsia="Times New Roman"/>
                <w:sz w:val="16"/>
                <w:szCs w:val="16"/>
              </w:rPr>
              <w:t>265</w:t>
            </w:r>
          </w:p>
        </w:tc>
        <w:tc>
          <w:tcPr>
            <w:tcW w:w="0" w:type="auto"/>
          </w:tcPr>
          <w:p w14:paraId="4B1DC497" w14:textId="77777777" w:rsidR="00632101" w:rsidRPr="00216965" w:rsidRDefault="00632101" w:rsidP="00A0457B">
            <w:pPr>
              <w:rPr>
                <w:rFonts w:eastAsia="Times New Roman"/>
                <w:sz w:val="16"/>
                <w:szCs w:val="16"/>
              </w:rPr>
            </w:pPr>
          </w:p>
        </w:tc>
        <w:tc>
          <w:tcPr>
            <w:tcW w:w="0" w:type="auto"/>
          </w:tcPr>
          <w:p w14:paraId="500BB0CB" w14:textId="77777777" w:rsidR="00632101" w:rsidRPr="00216965" w:rsidRDefault="00632101" w:rsidP="00A0457B">
            <w:pPr>
              <w:rPr>
                <w:rFonts w:eastAsia="Times New Roman"/>
                <w:sz w:val="16"/>
                <w:szCs w:val="16"/>
              </w:rPr>
            </w:pPr>
            <w:r w:rsidRPr="00216965">
              <w:rPr>
                <w:rFonts w:eastAsia="Times New Roman"/>
                <w:sz w:val="16"/>
                <w:szCs w:val="16"/>
              </w:rPr>
              <w:t>0.15</w:t>
            </w:r>
          </w:p>
        </w:tc>
        <w:tc>
          <w:tcPr>
            <w:tcW w:w="0" w:type="auto"/>
          </w:tcPr>
          <w:p w14:paraId="6B8A30B6" w14:textId="77777777" w:rsidR="00632101" w:rsidRPr="00216965" w:rsidRDefault="00632101" w:rsidP="00A0457B">
            <w:pPr>
              <w:rPr>
                <w:rFonts w:eastAsia="Times New Roman"/>
                <w:sz w:val="16"/>
                <w:szCs w:val="16"/>
              </w:rPr>
            </w:pPr>
            <w:r w:rsidRPr="00216965">
              <w:rPr>
                <w:rFonts w:eastAsia="Times New Roman"/>
                <w:sz w:val="16"/>
                <w:szCs w:val="16"/>
              </w:rPr>
              <w:t>Urban</w:t>
            </w:r>
          </w:p>
        </w:tc>
        <w:tc>
          <w:tcPr>
            <w:tcW w:w="0" w:type="auto"/>
          </w:tcPr>
          <w:p w14:paraId="2F7BB592" w14:textId="2D01AD92" w:rsidR="00632101" w:rsidRPr="00216965" w:rsidRDefault="00632101" w:rsidP="00A0457B">
            <w:pPr>
              <w:jc w:val="both"/>
              <w:rPr>
                <w:rFonts w:eastAsia="Times New Roman"/>
                <w:sz w:val="16"/>
                <w:szCs w:val="16"/>
                <w:lang w:val="fr-FR"/>
              </w:rPr>
            </w:pPr>
            <w:r w:rsidRPr="00216965">
              <w:rPr>
                <w:rFonts w:eastAsia="Times New Roman"/>
                <w:sz w:val="16"/>
                <w:szCs w:val="16"/>
                <w:lang w:val="fr-FR"/>
              </w:rPr>
              <w:fldChar w:fldCharType="begin" w:fldLock="1"/>
            </w:r>
            <w:r w:rsidR="006C06AA" w:rsidRPr="00216965">
              <w:rPr>
                <w:rFonts w:eastAsia="Times New Roman"/>
                <w:sz w:val="16"/>
                <w:szCs w:val="16"/>
                <w:lang w:val="fr-FR"/>
              </w:rPr>
              <w:instrText>ADDIN CSL_CITATION {"citationItems":[{"id":"ITEM-1","itemData":{"DOI":"10.4141/S97-014","abstract":", W. 1999. Trace metals in Montreal urban soils and the leaves of Taraxacum officinale. Can. J. Soil Sci. 79: 385-387. Uptake of Cu, Zn, Mn, Pb, and Cd by Taraxacum officinale Weber (dandelion) growing on abandoned industrial sites, community gardens and parks in urban Montreal was measured to evaluate trace metal bioavailability. Total soil trace metal concentrations exceeded the Canadian remediation levels only in the industrial sites, but tissue concentrations at all land use types were normal. Multiple regression analysis suggests that available PO 4 may reduce uptake of Cu and Zn. It is evident that sites classified as contaminated on the basis of total soil metal may have low levels of bioavailability.","author":[{"dropping-particle":"","family":"Marr","given":"Kimberly","non-dropping-particle":"","parse-names":false,"suffix":""},{"dropping-particle":"","family":"Fyles","given":"Helen","non-dropping-particle":"","parse-names":false,"suffix":""},{"dropping-particle":"","family":"Hendershot","given":"William","non-dropping-particle":"","parse-names":false,"suffix":""}],"container-title":"Canadian Journal of Soil Science","id":"ITEM-1","issued":{"date-parts":[["1997"]]},"page":"385-387","title":"Trace metals in Montreal urban soils and the leaves of Taraxacum officinale","type":"article-journal","volume":"79"},"uris":["http://www.mendeley.com/documents/?uuid=8478438d-1ef5-39e2-a822-154b7a751e5e"]}],"mendeley":{"formattedCitation":"(Marr et al., 1997)","manualFormatting":"Marr et al. (1997)","plainTextFormattedCitation":"(Marr et al., 1997)","previouslyFormattedCitation":"(Marr et al., 1997)"},"properties":{"noteIndex":0},"schema":"https://github.com/citation-style-language/schema/raw/master/csl-citation.json"}</w:instrText>
            </w:r>
            <w:r w:rsidRPr="00216965">
              <w:rPr>
                <w:rFonts w:eastAsia="Times New Roman"/>
                <w:sz w:val="16"/>
                <w:szCs w:val="16"/>
                <w:lang w:val="fr-FR"/>
              </w:rPr>
              <w:fldChar w:fldCharType="separate"/>
            </w:r>
            <w:r w:rsidRPr="00216965">
              <w:rPr>
                <w:rFonts w:eastAsia="Times New Roman"/>
                <w:noProof/>
                <w:sz w:val="16"/>
                <w:szCs w:val="16"/>
                <w:lang w:val="fr-FR"/>
              </w:rPr>
              <w:t>Marr et al. (1997)</w:t>
            </w:r>
            <w:r w:rsidRPr="00216965">
              <w:rPr>
                <w:rFonts w:eastAsia="Times New Roman"/>
                <w:sz w:val="16"/>
                <w:szCs w:val="16"/>
                <w:lang w:val="fr-FR"/>
              </w:rPr>
              <w:fldChar w:fldCharType="end"/>
            </w:r>
          </w:p>
        </w:tc>
      </w:tr>
      <w:tr w:rsidR="00632101" w:rsidRPr="00216965" w14:paraId="360B28AA" w14:textId="77777777" w:rsidTr="008A33DA">
        <w:tc>
          <w:tcPr>
            <w:tcW w:w="0" w:type="auto"/>
          </w:tcPr>
          <w:p w14:paraId="4601FA38" w14:textId="77777777" w:rsidR="00632101" w:rsidRPr="00216965" w:rsidRDefault="00632101" w:rsidP="00A0457B">
            <w:pPr>
              <w:jc w:val="both"/>
              <w:rPr>
                <w:rFonts w:eastAsia="Times New Roman"/>
                <w:sz w:val="16"/>
                <w:szCs w:val="16"/>
                <w:lang w:val="fr-FR"/>
              </w:rPr>
            </w:pPr>
            <w:r w:rsidRPr="00216965">
              <w:rPr>
                <w:rFonts w:eastAsia="Times New Roman"/>
                <w:sz w:val="16"/>
                <w:szCs w:val="16"/>
              </w:rPr>
              <w:t>Montreal, Canada</w:t>
            </w:r>
          </w:p>
        </w:tc>
        <w:tc>
          <w:tcPr>
            <w:tcW w:w="0" w:type="auto"/>
          </w:tcPr>
          <w:p w14:paraId="54E92310" w14:textId="77777777" w:rsidR="00632101" w:rsidRPr="00216965" w:rsidRDefault="00632101" w:rsidP="00A0457B">
            <w:pPr>
              <w:rPr>
                <w:rFonts w:eastAsia="Times New Roman"/>
                <w:sz w:val="16"/>
                <w:szCs w:val="16"/>
                <w:lang w:val="fr-FR"/>
              </w:rPr>
            </w:pPr>
          </w:p>
        </w:tc>
        <w:tc>
          <w:tcPr>
            <w:tcW w:w="0" w:type="auto"/>
          </w:tcPr>
          <w:p w14:paraId="0EF30C29" w14:textId="77777777" w:rsidR="00632101" w:rsidRPr="00216965" w:rsidRDefault="00632101" w:rsidP="00A0457B">
            <w:pPr>
              <w:rPr>
                <w:rFonts w:eastAsia="Times New Roman"/>
                <w:sz w:val="16"/>
                <w:szCs w:val="16"/>
                <w:lang w:val="fr-FR"/>
              </w:rPr>
            </w:pPr>
          </w:p>
        </w:tc>
        <w:tc>
          <w:tcPr>
            <w:tcW w:w="0" w:type="auto"/>
          </w:tcPr>
          <w:p w14:paraId="1D26313A" w14:textId="77777777" w:rsidR="00632101" w:rsidRPr="00216965" w:rsidRDefault="00632101" w:rsidP="00A0457B">
            <w:pPr>
              <w:rPr>
                <w:rFonts w:eastAsia="Times New Roman"/>
                <w:sz w:val="16"/>
                <w:szCs w:val="16"/>
              </w:rPr>
            </w:pPr>
          </w:p>
        </w:tc>
        <w:tc>
          <w:tcPr>
            <w:tcW w:w="0" w:type="auto"/>
          </w:tcPr>
          <w:p w14:paraId="5D3B379D" w14:textId="77777777" w:rsidR="00632101" w:rsidRPr="00216965" w:rsidRDefault="00632101" w:rsidP="00A0457B">
            <w:pPr>
              <w:rPr>
                <w:rFonts w:eastAsia="Times New Roman"/>
                <w:sz w:val="16"/>
                <w:szCs w:val="16"/>
              </w:rPr>
            </w:pPr>
            <w:r w:rsidRPr="00216965">
              <w:rPr>
                <w:rFonts w:eastAsia="Times New Roman"/>
                <w:sz w:val="16"/>
                <w:szCs w:val="16"/>
              </w:rPr>
              <w:t>246</w:t>
            </w:r>
          </w:p>
        </w:tc>
        <w:tc>
          <w:tcPr>
            <w:tcW w:w="0" w:type="auto"/>
          </w:tcPr>
          <w:p w14:paraId="43D16F0E" w14:textId="77777777" w:rsidR="00632101" w:rsidRPr="00216965" w:rsidRDefault="00632101" w:rsidP="00A0457B">
            <w:pPr>
              <w:rPr>
                <w:rFonts w:eastAsia="Times New Roman"/>
                <w:sz w:val="16"/>
                <w:szCs w:val="16"/>
              </w:rPr>
            </w:pPr>
            <w:r w:rsidRPr="00216965">
              <w:rPr>
                <w:rFonts w:eastAsia="Times New Roman"/>
                <w:sz w:val="16"/>
                <w:szCs w:val="16"/>
              </w:rPr>
              <w:t>560</w:t>
            </w:r>
          </w:p>
        </w:tc>
        <w:tc>
          <w:tcPr>
            <w:tcW w:w="0" w:type="auto"/>
          </w:tcPr>
          <w:p w14:paraId="549E50F0" w14:textId="77777777" w:rsidR="00632101" w:rsidRPr="00216965" w:rsidRDefault="00632101" w:rsidP="00A0457B">
            <w:pPr>
              <w:rPr>
                <w:rFonts w:eastAsia="Times New Roman"/>
                <w:sz w:val="16"/>
                <w:szCs w:val="16"/>
              </w:rPr>
            </w:pPr>
            <w:r w:rsidRPr="00216965">
              <w:rPr>
                <w:rFonts w:eastAsia="Times New Roman"/>
                <w:sz w:val="16"/>
                <w:szCs w:val="16"/>
              </w:rPr>
              <w:t>709</w:t>
            </w:r>
          </w:p>
        </w:tc>
        <w:tc>
          <w:tcPr>
            <w:tcW w:w="0" w:type="auto"/>
          </w:tcPr>
          <w:p w14:paraId="5893F3C2" w14:textId="77777777" w:rsidR="00632101" w:rsidRPr="00216965" w:rsidRDefault="00632101" w:rsidP="00A0457B">
            <w:pPr>
              <w:rPr>
                <w:rFonts w:eastAsia="Times New Roman"/>
                <w:sz w:val="16"/>
                <w:szCs w:val="16"/>
              </w:rPr>
            </w:pPr>
          </w:p>
        </w:tc>
        <w:tc>
          <w:tcPr>
            <w:tcW w:w="0" w:type="auto"/>
          </w:tcPr>
          <w:p w14:paraId="3EFB3AE2" w14:textId="77777777" w:rsidR="00632101" w:rsidRPr="00216965" w:rsidRDefault="00632101" w:rsidP="00A0457B">
            <w:pPr>
              <w:rPr>
                <w:rFonts w:eastAsia="Times New Roman"/>
                <w:sz w:val="16"/>
                <w:szCs w:val="16"/>
              </w:rPr>
            </w:pPr>
            <w:r w:rsidRPr="00216965">
              <w:rPr>
                <w:rFonts w:eastAsia="Times New Roman"/>
                <w:sz w:val="16"/>
                <w:szCs w:val="16"/>
              </w:rPr>
              <w:t>5</w:t>
            </w:r>
          </w:p>
        </w:tc>
        <w:tc>
          <w:tcPr>
            <w:tcW w:w="0" w:type="auto"/>
          </w:tcPr>
          <w:p w14:paraId="470ECF09" w14:textId="77777777" w:rsidR="00632101" w:rsidRPr="00216965" w:rsidRDefault="00632101" w:rsidP="00A0457B">
            <w:pPr>
              <w:rPr>
                <w:rFonts w:eastAsia="Times New Roman"/>
                <w:sz w:val="16"/>
                <w:szCs w:val="16"/>
              </w:rPr>
            </w:pPr>
            <w:r w:rsidRPr="00216965">
              <w:rPr>
                <w:rFonts w:eastAsia="Times New Roman"/>
                <w:sz w:val="16"/>
                <w:szCs w:val="16"/>
              </w:rPr>
              <w:t>Industrial</w:t>
            </w:r>
          </w:p>
        </w:tc>
        <w:tc>
          <w:tcPr>
            <w:tcW w:w="0" w:type="auto"/>
          </w:tcPr>
          <w:p w14:paraId="1E296B6E" w14:textId="2795BE4A" w:rsidR="00632101" w:rsidRPr="00216965" w:rsidRDefault="00632101" w:rsidP="00A0457B">
            <w:pPr>
              <w:jc w:val="both"/>
              <w:rPr>
                <w:rFonts w:eastAsia="Times New Roman"/>
                <w:sz w:val="16"/>
                <w:szCs w:val="16"/>
                <w:lang w:val="fr-FR"/>
              </w:rPr>
            </w:pPr>
            <w:r w:rsidRPr="00216965">
              <w:rPr>
                <w:rFonts w:eastAsia="Times New Roman"/>
                <w:sz w:val="16"/>
                <w:szCs w:val="16"/>
                <w:lang w:val="fr-FR"/>
              </w:rPr>
              <w:fldChar w:fldCharType="begin" w:fldLock="1"/>
            </w:r>
            <w:r w:rsidR="006C06AA" w:rsidRPr="00216965">
              <w:rPr>
                <w:rFonts w:eastAsia="Times New Roman"/>
                <w:sz w:val="16"/>
                <w:szCs w:val="16"/>
                <w:lang w:val="fr-FR"/>
              </w:rPr>
              <w:instrText>ADDIN CSL_CITATION {"citationItems":[{"id":"ITEM-1","itemData":{"DOI":"10.4141/S97-014","abstract":", W. 1999. Trace metals in Montreal urban soils and the leaves of Taraxacum officinale. Can. J. Soil Sci. 79: 385-387. Uptake of Cu, Zn, Mn, Pb, and Cd by Taraxacum officinale Weber (dandelion) growing on abandoned industrial sites, community gardens and parks in urban Montreal was measured to evaluate trace metal bioavailability. Total soil trace metal concentrations exceeded the Canadian remediation levels only in the industrial sites, but tissue concentrations at all land use types were normal. Multiple regression analysis suggests that available PO 4 may reduce uptake of Cu and Zn. It is evident that sites classified as contaminated on the basis of total soil metal may have low levels of bioavailability.","author":[{"dropping-particle":"","family":"Marr","given":"Kimberly","non-dropping-particle":"","parse-names":false,"suffix":""},{"dropping-particle":"","family":"Fyles","given":"Helen","non-dropping-particle":"","parse-names":false,"suffix":""},{"dropping-particle":"","family":"Hendershot","given":"William","non-dropping-particle":"","parse-names":false,"suffix":""}],"container-title":"Canadian Journal of Soil Science","id":"ITEM-1","issued":{"date-parts":[["1997"]]},"page":"385-387","title":"Trace metals in Montreal urban soils and the leaves of Taraxacum officinale","type":"article-journal","volume":"79"},"uris":["http://www.mendeley.com/documents/?uuid=8478438d-1ef5-39e2-a822-154b7a751e5e"]}],"mendeley":{"formattedCitation":"(Marr et al., 1997)","manualFormatting":"Marr et al. (1997)","plainTextFormattedCitation":"(Marr et al., 1997)","previouslyFormattedCitation":"(Marr et al., 1997)"},"properties":{"noteIndex":0},"schema":"https://github.com/citation-style-language/schema/raw/master/csl-citation.json"}</w:instrText>
            </w:r>
            <w:r w:rsidRPr="00216965">
              <w:rPr>
                <w:rFonts w:eastAsia="Times New Roman"/>
                <w:sz w:val="16"/>
                <w:szCs w:val="16"/>
                <w:lang w:val="fr-FR"/>
              </w:rPr>
              <w:fldChar w:fldCharType="separate"/>
            </w:r>
            <w:r w:rsidRPr="00216965">
              <w:rPr>
                <w:rFonts w:eastAsia="Times New Roman"/>
                <w:noProof/>
                <w:sz w:val="16"/>
                <w:szCs w:val="16"/>
                <w:lang w:val="fr-FR"/>
              </w:rPr>
              <w:t>Marr et al. (1997)</w:t>
            </w:r>
            <w:r w:rsidRPr="00216965">
              <w:rPr>
                <w:rFonts w:eastAsia="Times New Roman"/>
                <w:sz w:val="16"/>
                <w:szCs w:val="16"/>
                <w:lang w:val="fr-FR"/>
              </w:rPr>
              <w:fldChar w:fldCharType="end"/>
            </w:r>
          </w:p>
        </w:tc>
      </w:tr>
      <w:tr w:rsidR="00632101" w:rsidRPr="00216965" w14:paraId="2127BBA9" w14:textId="77777777" w:rsidTr="008A33DA">
        <w:tc>
          <w:tcPr>
            <w:tcW w:w="0" w:type="auto"/>
          </w:tcPr>
          <w:p w14:paraId="6523C318" w14:textId="77777777" w:rsidR="00632101" w:rsidRPr="00216965" w:rsidRDefault="00632101" w:rsidP="00A0457B">
            <w:pPr>
              <w:jc w:val="both"/>
              <w:rPr>
                <w:rFonts w:eastAsia="Times New Roman"/>
                <w:sz w:val="16"/>
                <w:szCs w:val="16"/>
              </w:rPr>
            </w:pPr>
            <w:r w:rsidRPr="00216965">
              <w:rPr>
                <w:color w:val="2E2E2E"/>
                <w:sz w:val="16"/>
                <w:szCs w:val="16"/>
              </w:rPr>
              <w:t>Yerevan, Armenia</w:t>
            </w:r>
          </w:p>
        </w:tc>
        <w:tc>
          <w:tcPr>
            <w:tcW w:w="0" w:type="auto"/>
          </w:tcPr>
          <w:p w14:paraId="2800588C"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0.69</w:t>
            </w:r>
          </w:p>
        </w:tc>
        <w:tc>
          <w:tcPr>
            <w:tcW w:w="0" w:type="auto"/>
          </w:tcPr>
          <w:p w14:paraId="3051AAC2"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66</w:t>
            </w:r>
          </w:p>
        </w:tc>
        <w:tc>
          <w:tcPr>
            <w:tcW w:w="0" w:type="auto"/>
          </w:tcPr>
          <w:p w14:paraId="48109B49" w14:textId="77777777" w:rsidR="00632101" w:rsidRPr="00216965" w:rsidRDefault="00632101" w:rsidP="00A0457B">
            <w:pPr>
              <w:rPr>
                <w:rFonts w:eastAsia="Times New Roman"/>
                <w:sz w:val="16"/>
                <w:szCs w:val="16"/>
              </w:rPr>
            </w:pPr>
          </w:p>
        </w:tc>
        <w:tc>
          <w:tcPr>
            <w:tcW w:w="0" w:type="auto"/>
          </w:tcPr>
          <w:p w14:paraId="40220BF2" w14:textId="77777777" w:rsidR="00632101" w:rsidRPr="00216965" w:rsidRDefault="00632101" w:rsidP="00A0457B">
            <w:pPr>
              <w:rPr>
                <w:rFonts w:eastAsia="Times New Roman"/>
                <w:sz w:val="16"/>
                <w:szCs w:val="16"/>
              </w:rPr>
            </w:pPr>
            <w:r w:rsidRPr="00216965">
              <w:rPr>
                <w:rFonts w:eastAsia="Times New Roman"/>
                <w:sz w:val="16"/>
                <w:szCs w:val="16"/>
              </w:rPr>
              <w:t>58</w:t>
            </w:r>
          </w:p>
        </w:tc>
        <w:tc>
          <w:tcPr>
            <w:tcW w:w="0" w:type="auto"/>
          </w:tcPr>
          <w:p w14:paraId="7531273D" w14:textId="77777777" w:rsidR="00632101" w:rsidRPr="00216965" w:rsidRDefault="00632101" w:rsidP="00A0457B">
            <w:pPr>
              <w:rPr>
                <w:rFonts w:eastAsia="Times New Roman"/>
                <w:sz w:val="16"/>
                <w:szCs w:val="16"/>
              </w:rPr>
            </w:pPr>
            <w:r w:rsidRPr="00216965">
              <w:rPr>
                <w:rFonts w:eastAsia="Times New Roman"/>
                <w:sz w:val="16"/>
                <w:szCs w:val="16"/>
              </w:rPr>
              <w:t>2</w:t>
            </w:r>
          </w:p>
        </w:tc>
        <w:tc>
          <w:tcPr>
            <w:tcW w:w="0" w:type="auto"/>
          </w:tcPr>
          <w:p w14:paraId="79BB57AD" w14:textId="77777777" w:rsidR="00632101" w:rsidRPr="00216965" w:rsidRDefault="00632101" w:rsidP="00A0457B">
            <w:pPr>
              <w:rPr>
                <w:rFonts w:eastAsia="Times New Roman"/>
                <w:sz w:val="16"/>
                <w:szCs w:val="16"/>
              </w:rPr>
            </w:pPr>
            <w:r w:rsidRPr="00216965">
              <w:rPr>
                <w:rFonts w:eastAsia="Times New Roman"/>
                <w:sz w:val="16"/>
                <w:szCs w:val="16"/>
              </w:rPr>
              <w:t>195</w:t>
            </w:r>
          </w:p>
        </w:tc>
        <w:tc>
          <w:tcPr>
            <w:tcW w:w="0" w:type="auto"/>
          </w:tcPr>
          <w:p w14:paraId="231F8641" w14:textId="77777777" w:rsidR="00632101" w:rsidRPr="00216965" w:rsidRDefault="00632101" w:rsidP="00A0457B">
            <w:pPr>
              <w:rPr>
                <w:rFonts w:eastAsia="Times New Roman"/>
                <w:sz w:val="16"/>
                <w:szCs w:val="16"/>
              </w:rPr>
            </w:pPr>
            <w:r w:rsidRPr="00216965">
              <w:rPr>
                <w:rFonts w:eastAsia="Times New Roman"/>
                <w:sz w:val="16"/>
                <w:szCs w:val="16"/>
              </w:rPr>
              <w:t>31</w:t>
            </w:r>
          </w:p>
        </w:tc>
        <w:tc>
          <w:tcPr>
            <w:tcW w:w="0" w:type="auto"/>
          </w:tcPr>
          <w:p w14:paraId="0B6E2F94" w14:textId="77777777" w:rsidR="00632101" w:rsidRPr="00216965" w:rsidRDefault="00632101" w:rsidP="00A0457B">
            <w:pPr>
              <w:rPr>
                <w:rFonts w:eastAsia="Times New Roman"/>
                <w:sz w:val="16"/>
                <w:szCs w:val="16"/>
              </w:rPr>
            </w:pPr>
            <w:r w:rsidRPr="00216965">
              <w:rPr>
                <w:rFonts w:eastAsia="Times New Roman"/>
                <w:sz w:val="16"/>
                <w:szCs w:val="16"/>
              </w:rPr>
              <w:t>0.56</w:t>
            </w:r>
          </w:p>
        </w:tc>
        <w:tc>
          <w:tcPr>
            <w:tcW w:w="0" w:type="auto"/>
          </w:tcPr>
          <w:p w14:paraId="1D23EA94" w14:textId="77777777" w:rsidR="00632101" w:rsidRPr="00216965" w:rsidRDefault="00632101" w:rsidP="00A0457B">
            <w:pPr>
              <w:rPr>
                <w:rFonts w:eastAsia="Times New Roman"/>
                <w:sz w:val="16"/>
                <w:szCs w:val="16"/>
              </w:rPr>
            </w:pPr>
            <w:r w:rsidRPr="00216965">
              <w:rPr>
                <w:rFonts w:eastAsia="Times New Roman"/>
                <w:sz w:val="16"/>
                <w:szCs w:val="16"/>
              </w:rPr>
              <w:t>Urban</w:t>
            </w:r>
          </w:p>
        </w:tc>
        <w:tc>
          <w:tcPr>
            <w:tcW w:w="0" w:type="auto"/>
          </w:tcPr>
          <w:p w14:paraId="05EAF0E2" w14:textId="0BC887C5" w:rsidR="00632101" w:rsidRPr="00216965" w:rsidRDefault="00632101" w:rsidP="00A0457B">
            <w:pPr>
              <w:jc w:val="both"/>
              <w:rPr>
                <w:rFonts w:eastAsia="Times New Roman"/>
                <w:sz w:val="16"/>
                <w:szCs w:val="16"/>
              </w:rPr>
            </w:pPr>
            <w:r w:rsidRPr="00216965">
              <w:rPr>
                <w:rFonts w:eastAsia="Times New Roman"/>
                <w:sz w:val="16"/>
                <w:szCs w:val="16"/>
                <w:lang w:val="fr-FR"/>
              </w:rPr>
              <w:fldChar w:fldCharType="begin" w:fldLock="1"/>
            </w:r>
            <w:r w:rsidR="006C06AA" w:rsidRPr="00216965">
              <w:rPr>
                <w:rFonts w:eastAsia="Times New Roman"/>
                <w:sz w:val="16"/>
                <w:szCs w:val="16"/>
                <w:lang w:val="fr-FR"/>
              </w:rPr>
              <w:instrText>ADDIN CSL_CITATION {"citationItems":[{"id":"ITEM-1","itemData":{"DOI":"10.1016/J.ECOENV.2017.04.013","ISSN":"0147-6513","abstract":"Children, the most vulnerable urban population group, are exceptionally sensitive to polluted environments, particularly urban soils, which can lead to adverse health effects upon exposure. In this study, the total concentrations of Ag, As, Ba, Cd, Co, Cr, Cu, Fe, Hg, Mn, Mo, Ni, Pb, Ti, V, and Zn were determined in 111 topsoil samples collected from kindergartens in Yerevan. The objectives of this study were to evaluate heavy metal pollution levels of kindergarten's soils in Yerevan, compare with national legal and international requirements on heavy metal contents in kindergarten soil, and assess related child health risk. Multivariate geostatistical analyses suggested that the concentrations of Ag, As, Ba, Cd, Cu, Hg, Mo, Pb, and Zn observed in the kindergarten's topsoil may have originated from anthropogenic sources, while Co, Cr, Fe, Mn, Ni, Ti, and V mostly come from natural sources. According to the Summary pollution index (Zc), 102 kindergartens belong to the low pollution level, 7 to the moderate and only 2 to the high level of pollution. Summary concentration index (SCI) showed that 109 kindergartens were in the allowable level, while 2 featured in the low level of pollution. The health risk assessment showed that in all kindergartens except for seven, non-carcinogenic risk for children was detected (HI&gt;1), while carcinogenic risk from arsenic belongs to the very low (allowable) level. Cr and multi-element carcinogenic risk (RI) exceeded the safety level (1.0E- 06) in all kindergartens and showed that the potential of developing cancer, albeit small, does exist. Therefore, city's kindergartens require necessary remedial actions to eliminate or reduce soil pollution and heavy metal-induced health risks.","author":[{"dropping-particle":"","family":"Tepanosyan","given":"Gevorg","non-dropping-particle":"","parse-names":false,"suffix":""},{"dropping-particle":"","family":"Maghakyan","given":"Nairuhi","non-dropping-particle":"","parse-names":false,"suffix":""},{"dropping-particle":"","family":"Sahakyan","given":"Lilit","non-dropping-particle":"","parse-names":false,"suffix":""},{"dropping-particle":"","family":"Saghatelyan","given":"Armen","non-dropping-particle":"","parse-names":false,"suffix":""}],"container-title":"Ecotoxicology and Environmental Safety","id":"ITEM-1","issued":{"date-parts":[["2017","8","1"]]},"page":"257-265","publisher":"Academic Press","title":"Heavy metals pollution levels and children health risk assessment of Yerevan kindergartens soils","type":"article-journal","volume":"142"},"uris":["http://www.mendeley.com/documents/?uuid=539963db-55e9-3206-88bf-23a1c9a95d18"]}],"mendeley":{"formattedCitation":"(Tepanosyan et al., 2017)","manualFormatting":"Tepanosyan et al. (2017)","plainTextFormattedCitation":"(Tepanosyan et al., 2017)","previouslyFormattedCitation":"(Tepanosyan et al., 2017)"},"properties":{"noteIndex":0},"schema":"https://github.com/citation-style-language/schema/raw/master/csl-citation.json"}</w:instrText>
            </w:r>
            <w:r w:rsidRPr="00216965">
              <w:rPr>
                <w:rFonts w:eastAsia="Times New Roman"/>
                <w:sz w:val="16"/>
                <w:szCs w:val="16"/>
                <w:lang w:val="fr-FR"/>
              </w:rPr>
              <w:fldChar w:fldCharType="separate"/>
            </w:r>
            <w:r w:rsidRPr="00216965">
              <w:rPr>
                <w:rFonts w:eastAsia="Times New Roman"/>
                <w:noProof/>
                <w:sz w:val="16"/>
                <w:szCs w:val="16"/>
              </w:rPr>
              <w:t>Tepanosyan et al. (2017)</w:t>
            </w:r>
            <w:r w:rsidRPr="00216965">
              <w:rPr>
                <w:rFonts w:eastAsia="Times New Roman"/>
                <w:sz w:val="16"/>
                <w:szCs w:val="16"/>
                <w:lang w:val="fr-FR"/>
              </w:rPr>
              <w:fldChar w:fldCharType="end"/>
            </w:r>
          </w:p>
        </w:tc>
      </w:tr>
      <w:tr w:rsidR="00632101" w:rsidRPr="00216965" w14:paraId="1D976C2D" w14:textId="77777777" w:rsidTr="008A33DA">
        <w:tc>
          <w:tcPr>
            <w:tcW w:w="0" w:type="auto"/>
          </w:tcPr>
          <w:p w14:paraId="0C5706A8" w14:textId="77777777" w:rsidR="00632101" w:rsidRPr="00216965" w:rsidRDefault="00632101" w:rsidP="00A0457B">
            <w:pPr>
              <w:jc w:val="both"/>
              <w:rPr>
                <w:color w:val="2E2E2E"/>
                <w:sz w:val="16"/>
                <w:szCs w:val="16"/>
              </w:rPr>
            </w:pPr>
            <w:r w:rsidRPr="00216965">
              <w:rPr>
                <w:color w:val="2E2E2E"/>
                <w:sz w:val="16"/>
                <w:szCs w:val="16"/>
              </w:rPr>
              <w:t>Harz mountains, Germany</w:t>
            </w:r>
          </w:p>
        </w:tc>
        <w:tc>
          <w:tcPr>
            <w:tcW w:w="0" w:type="auto"/>
          </w:tcPr>
          <w:p w14:paraId="01A720B8" w14:textId="77777777" w:rsidR="00632101" w:rsidRPr="00216965" w:rsidRDefault="00632101" w:rsidP="00A0457B">
            <w:pPr>
              <w:rPr>
                <w:rFonts w:eastAsia="Times New Roman"/>
                <w:sz w:val="16"/>
                <w:szCs w:val="16"/>
                <w:lang w:val="fr-FR"/>
              </w:rPr>
            </w:pPr>
          </w:p>
        </w:tc>
        <w:tc>
          <w:tcPr>
            <w:tcW w:w="0" w:type="auto"/>
          </w:tcPr>
          <w:p w14:paraId="039EE37A" w14:textId="77777777" w:rsidR="00632101" w:rsidRPr="00216965" w:rsidRDefault="00632101" w:rsidP="00A0457B">
            <w:pPr>
              <w:rPr>
                <w:rFonts w:eastAsia="Times New Roman"/>
                <w:sz w:val="16"/>
                <w:szCs w:val="16"/>
                <w:lang w:val="fr-FR"/>
              </w:rPr>
            </w:pPr>
          </w:p>
        </w:tc>
        <w:tc>
          <w:tcPr>
            <w:tcW w:w="0" w:type="auto"/>
          </w:tcPr>
          <w:p w14:paraId="01896E61" w14:textId="77777777" w:rsidR="00632101" w:rsidRPr="00216965" w:rsidRDefault="00632101" w:rsidP="00A0457B">
            <w:pPr>
              <w:rPr>
                <w:rFonts w:eastAsia="Times New Roman"/>
                <w:sz w:val="16"/>
                <w:szCs w:val="16"/>
              </w:rPr>
            </w:pPr>
          </w:p>
        </w:tc>
        <w:tc>
          <w:tcPr>
            <w:tcW w:w="0" w:type="auto"/>
          </w:tcPr>
          <w:p w14:paraId="105C40E9" w14:textId="77777777" w:rsidR="00632101" w:rsidRPr="00216965" w:rsidRDefault="00632101" w:rsidP="00A0457B">
            <w:pPr>
              <w:rPr>
                <w:rFonts w:eastAsia="Times New Roman"/>
                <w:sz w:val="16"/>
                <w:szCs w:val="16"/>
              </w:rPr>
            </w:pPr>
            <w:r w:rsidRPr="00216965">
              <w:rPr>
                <w:rFonts w:eastAsia="Times New Roman"/>
                <w:sz w:val="16"/>
                <w:szCs w:val="16"/>
              </w:rPr>
              <w:t>985</w:t>
            </w:r>
          </w:p>
        </w:tc>
        <w:tc>
          <w:tcPr>
            <w:tcW w:w="0" w:type="auto"/>
          </w:tcPr>
          <w:p w14:paraId="3E32F1A8" w14:textId="77777777" w:rsidR="00632101" w:rsidRPr="00216965" w:rsidRDefault="00632101" w:rsidP="00A0457B">
            <w:pPr>
              <w:rPr>
                <w:rFonts w:eastAsia="Times New Roman"/>
                <w:sz w:val="16"/>
                <w:szCs w:val="16"/>
              </w:rPr>
            </w:pPr>
            <w:r w:rsidRPr="00216965">
              <w:rPr>
                <w:rFonts w:eastAsia="Times New Roman"/>
                <w:sz w:val="16"/>
                <w:szCs w:val="16"/>
              </w:rPr>
              <w:t>5200</w:t>
            </w:r>
          </w:p>
        </w:tc>
        <w:tc>
          <w:tcPr>
            <w:tcW w:w="0" w:type="auto"/>
          </w:tcPr>
          <w:p w14:paraId="436D80BA" w14:textId="77777777" w:rsidR="00632101" w:rsidRPr="00216965" w:rsidRDefault="00632101" w:rsidP="00A0457B">
            <w:pPr>
              <w:rPr>
                <w:rFonts w:eastAsia="Times New Roman"/>
                <w:sz w:val="16"/>
                <w:szCs w:val="16"/>
              </w:rPr>
            </w:pPr>
            <w:r w:rsidRPr="00216965">
              <w:rPr>
                <w:rFonts w:eastAsia="Times New Roman"/>
                <w:sz w:val="16"/>
                <w:szCs w:val="16"/>
              </w:rPr>
              <w:t>5284</w:t>
            </w:r>
          </w:p>
        </w:tc>
        <w:tc>
          <w:tcPr>
            <w:tcW w:w="0" w:type="auto"/>
          </w:tcPr>
          <w:p w14:paraId="5AF034B0" w14:textId="77777777" w:rsidR="00632101" w:rsidRPr="00216965" w:rsidRDefault="00632101" w:rsidP="00A0457B">
            <w:pPr>
              <w:rPr>
                <w:rFonts w:eastAsia="Times New Roman"/>
                <w:sz w:val="16"/>
                <w:szCs w:val="16"/>
              </w:rPr>
            </w:pPr>
          </w:p>
        </w:tc>
        <w:tc>
          <w:tcPr>
            <w:tcW w:w="0" w:type="auto"/>
          </w:tcPr>
          <w:p w14:paraId="4C222AF7" w14:textId="77777777" w:rsidR="00632101" w:rsidRPr="00216965" w:rsidRDefault="00632101" w:rsidP="00A0457B">
            <w:pPr>
              <w:rPr>
                <w:rFonts w:eastAsia="Times New Roman"/>
                <w:sz w:val="16"/>
                <w:szCs w:val="16"/>
              </w:rPr>
            </w:pPr>
            <w:r w:rsidRPr="00216965">
              <w:rPr>
                <w:rFonts w:eastAsia="Times New Roman"/>
                <w:sz w:val="16"/>
                <w:szCs w:val="16"/>
              </w:rPr>
              <w:t>107</w:t>
            </w:r>
          </w:p>
        </w:tc>
        <w:tc>
          <w:tcPr>
            <w:tcW w:w="0" w:type="auto"/>
          </w:tcPr>
          <w:p w14:paraId="55D71634" w14:textId="77777777" w:rsidR="00632101" w:rsidRPr="00216965" w:rsidRDefault="00632101" w:rsidP="00A0457B">
            <w:pPr>
              <w:rPr>
                <w:rFonts w:eastAsia="Times New Roman"/>
                <w:sz w:val="16"/>
                <w:szCs w:val="16"/>
              </w:rPr>
            </w:pPr>
            <w:r w:rsidRPr="00216965">
              <w:rPr>
                <w:rFonts w:eastAsia="Times New Roman"/>
                <w:sz w:val="16"/>
                <w:szCs w:val="16"/>
              </w:rPr>
              <w:t>Mining</w:t>
            </w:r>
          </w:p>
        </w:tc>
        <w:tc>
          <w:tcPr>
            <w:tcW w:w="0" w:type="auto"/>
          </w:tcPr>
          <w:p w14:paraId="377BA5E1" w14:textId="6AF2AC54" w:rsidR="00632101" w:rsidRPr="00216965" w:rsidRDefault="00632101" w:rsidP="00A0457B">
            <w:pPr>
              <w:jc w:val="both"/>
              <w:rPr>
                <w:rFonts w:eastAsia="Times New Roman"/>
                <w:sz w:val="16"/>
                <w:szCs w:val="16"/>
                <w:lang w:val="fr-FR"/>
              </w:rPr>
            </w:pPr>
            <w:r w:rsidRPr="00216965">
              <w:rPr>
                <w:rFonts w:eastAsia="Times New Roman"/>
                <w:sz w:val="16"/>
                <w:szCs w:val="16"/>
                <w:lang w:val="fr-FR"/>
              </w:rPr>
              <w:fldChar w:fldCharType="begin" w:fldLock="1"/>
            </w:r>
            <w:r w:rsidR="006C06AA" w:rsidRPr="00216965">
              <w:rPr>
                <w:rFonts w:eastAsia="Times New Roman"/>
                <w:sz w:val="16"/>
                <w:szCs w:val="16"/>
                <w:lang w:val="fr-FR"/>
              </w:rPr>
              <w:instrText>ADDIN CSL_CITATION {"citationItems":[{"id":"ITEM-1","itemData":{"author":[{"dropping-particle":"","family":"Ernst","given":"Wilfried","non-dropping-particle":"","parse-names":false,"suffix":""},{"dropping-particle":"","family":"Knolle","given":"Friedhart","non-dropping-particle":"","parse-names":false,"suffix":""},{"dropping-particle":"","family":"Kratz","given":"Sylvia","non-dropping-particle":"","parse-names":false,"suffix":""},{"dropping-particle":"","family":"Schnug","given":"Ewald","non-dropping-particle":"","parse-names":false,"suffix":""}],"container-title":"Landbauforschung Volkenrode","id":"ITEM-1","issued":{"date-parts":[["2004"]]},"page":"53-71","title":"Aspects of ecotoxicology of heavy metals in the Harz region-a guided excursion","type":"article-journal","volume":"54"},"uris":["http://www.mendeley.com/documents/?uuid=6c2aa4aa-4cc6-337a-8fdd-d8783fb05cca"]}],"mendeley":{"formattedCitation":"(Ernst et al., 2004)","manualFormatting":"Ernst et al. (2004)","plainTextFormattedCitation":"(Ernst et al., 2004)","previouslyFormattedCitation":"(Ernst et al., 2004)"},"properties":{"noteIndex":0},"schema":"https://github.com/citation-style-language/schema/raw/master/csl-citation.json"}</w:instrText>
            </w:r>
            <w:r w:rsidRPr="00216965">
              <w:rPr>
                <w:rFonts w:eastAsia="Times New Roman"/>
                <w:sz w:val="16"/>
                <w:szCs w:val="16"/>
                <w:lang w:val="fr-FR"/>
              </w:rPr>
              <w:fldChar w:fldCharType="separate"/>
            </w:r>
            <w:r w:rsidRPr="00216965">
              <w:rPr>
                <w:rFonts w:eastAsia="Times New Roman"/>
                <w:noProof/>
                <w:sz w:val="16"/>
                <w:szCs w:val="16"/>
                <w:lang w:val="fr-FR"/>
              </w:rPr>
              <w:t>Ernst et al. (2004)</w:t>
            </w:r>
            <w:r w:rsidRPr="00216965">
              <w:rPr>
                <w:rFonts w:eastAsia="Times New Roman"/>
                <w:sz w:val="16"/>
                <w:szCs w:val="16"/>
                <w:lang w:val="fr-FR"/>
              </w:rPr>
              <w:fldChar w:fldCharType="end"/>
            </w:r>
          </w:p>
        </w:tc>
      </w:tr>
      <w:tr w:rsidR="00632101" w:rsidRPr="00216965" w14:paraId="76344022" w14:textId="77777777" w:rsidTr="008A33DA">
        <w:tc>
          <w:tcPr>
            <w:tcW w:w="0" w:type="auto"/>
          </w:tcPr>
          <w:p w14:paraId="551DC01B" w14:textId="77777777" w:rsidR="00632101" w:rsidRPr="00216965" w:rsidRDefault="00632101" w:rsidP="00A0457B">
            <w:pPr>
              <w:jc w:val="both"/>
              <w:rPr>
                <w:color w:val="2E2E2E"/>
                <w:sz w:val="16"/>
                <w:szCs w:val="16"/>
              </w:rPr>
            </w:pPr>
            <w:r w:rsidRPr="00216965">
              <w:rPr>
                <w:color w:val="2E2E2E"/>
                <w:sz w:val="16"/>
                <w:szCs w:val="16"/>
              </w:rPr>
              <w:t>Bohai Sea, Korea</w:t>
            </w:r>
          </w:p>
        </w:tc>
        <w:tc>
          <w:tcPr>
            <w:tcW w:w="0" w:type="auto"/>
          </w:tcPr>
          <w:p w14:paraId="715FA9C4"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78</w:t>
            </w:r>
          </w:p>
        </w:tc>
        <w:tc>
          <w:tcPr>
            <w:tcW w:w="0" w:type="auto"/>
          </w:tcPr>
          <w:p w14:paraId="7E00BBDC"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58</w:t>
            </w:r>
          </w:p>
        </w:tc>
        <w:tc>
          <w:tcPr>
            <w:tcW w:w="0" w:type="auto"/>
          </w:tcPr>
          <w:p w14:paraId="7D33EA45" w14:textId="77777777" w:rsidR="00632101" w:rsidRPr="00216965" w:rsidRDefault="00632101" w:rsidP="00A0457B">
            <w:pPr>
              <w:rPr>
                <w:rFonts w:eastAsia="Times New Roman"/>
                <w:sz w:val="16"/>
                <w:szCs w:val="16"/>
              </w:rPr>
            </w:pPr>
          </w:p>
        </w:tc>
        <w:tc>
          <w:tcPr>
            <w:tcW w:w="0" w:type="auto"/>
          </w:tcPr>
          <w:p w14:paraId="4BAF42F1" w14:textId="77777777" w:rsidR="00632101" w:rsidRPr="00216965" w:rsidRDefault="00632101" w:rsidP="00A0457B">
            <w:pPr>
              <w:rPr>
                <w:rFonts w:eastAsia="Times New Roman"/>
                <w:sz w:val="16"/>
                <w:szCs w:val="16"/>
              </w:rPr>
            </w:pPr>
            <w:r w:rsidRPr="00216965">
              <w:rPr>
                <w:rFonts w:eastAsia="Times New Roman"/>
                <w:sz w:val="16"/>
                <w:szCs w:val="16"/>
              </w:rPr>
              <w:t>21</w:t>
            </w:r>
          </w:p>
        </w:tc>
        <w:tc>
          <w:tcPr>
            <w:tcW w:w="0" w:type="auto"/>
          </w:tcPr>
          <w:p w14:paraId="1DA7E45B" w14:textId="77777777" w:rsidR="00632101" w:rsidRPr="00216965" w:rsidRDefault="00632101" w:rsidP="00A0457B">
            <w:pPr>
              <w:rPr>
                <w:rFonts w:eastAsia="Times New Roman"/>
                <w:sz w:val="16"/>
                <w:szCs w:val="16"/>
              </w:rPr>
            </w:pPr>
            <w:r w:rsidRPr="00216965">
              <w:rPr>
                <w:rFonts w:eastAsia="Times New Roman"/>
                <w:sz w:val="16"/>
                <w:szCs w:val="16"/>
              </w:rPr>
              <w:t>25</w:t>
            </w:r>
          </w:p>
        </w:tc>
        <w:tc>
          <w:tcPr>
            <w:tcW w:w="0" w:type="auto"/>
          </w:tcPr>
          <w:p w14:paraId="4CF03181" w14:textId="77777777" w:rsidR="00632101" w:rsidRPr="00216965" w:rsidRDefault="00632101" w:rsidP="00A0457B">
            <w:pPr>
              <w:rPr>
                <w:rFonts w:eastAsia="Times New Roman"/>
                <w:sz w:val="16"/>
                <w:szCs w:val="16"/>
              </w:rPr>
            </w:pPr>
            <w:r w:rsidRPr="00216965">
              <w:rPr>
                <w:rFonts w:eastAsia="Times New Roman"/>
                <w:sz w:val="16"/>
                <w:szCs w:val="16"/>
              </w:rPr>
              <w:t>71</w:t>
            </w:r>
          </w:p>
        </w:tc>
        <w:tc>
          <w:tcPr>
            <w:tcW w:w="0" w:type="auto"/>
          </w:tcPr>
          <w:p w14:paraId="35A7EF6A" w14:textId="77777777" w:rsidR="00632101" w:rsidRPr="00216965" w:rsidRDefault="00632101" w:rsidP="00A0457B">
            <w:pPr>
              <w:rPr>
                <w:rFonts w:eastAsia="Times New Roman"/>
                <w:sz w:val="16"/>
                <w:szCs w:val="16"/>
              </w:rPr>
            </w:pPr>
            <w:r w:rsidRPr="00216965">
              <w:rPr>
                <w:rFonts w:eastAsia="Times New Roman"/>
                <w:sz w:val="16"/>
                <w:szCs w:val="16"/>
              </w:rPr>
              <w:t>23</w:t>
            </w:r>
          </w:p>
        </w:tc>
        <w:tc>
          <w:tcPr>
            <w:tcW w:w="0" w:type="auto"/>
          </w:tcPr>
          <w:p w14:paraId="06988F47" w14:textId="77777777" w:rsidR="00632101" w:rsidRPr="00216965" w:rsidRDefault="00632101" w:rsidP="00A0457B">
            <w:pPr>
              <w:rPr>
                <w:rFonts w:eastAsia="Times New Roman"/>
                <w:sz w:val="16"/>
                <w:szCs w:val="16"/>
              </w:rPr>
            </w:pPr>
            <w:r w:rsidRPr="00216965">
              <w:rPr>
                <w:rFonts w:eastAsia="Times New Roman"/>
                <w:sz w:val="16"/>
                <w:szCs w:val="16"/>
              </w:rPr>
              <w:t>0.17</w:t>
            </w:r>
          </w:p>
        </w:tc>
        <w:tc>
          <w:tcPr>
            <w:tcW w:w="0" w:type="auto"/>
          </w:tcPr>
          <w:p w14:paraId="25BD3B23" w14:textId="77777777" w:rsidR="00632101" w:rsidRPr="00216965" w:rsidRDefault="00632101" w:rsidP="00A0457B">
            <w:pPr>
              <w:rPr>
                <w:rFonts w:eastAsia="Times New Roman"/>
                <w:sz w:val="16"/>
                <w:szCs w:val="16"/>
              </w:rPr>
            </w:pPr>
            <w:r w:rsidRPr="00216965">
              <w:rPr>
                <w:rFonts w:eastAsia="Times New Roman"/>
                <w:sz w:val="16"/>
                <w:szCs w:val="16"/>
              </w:rPr>
              <w:t>Industrial</w:t>
            </w:r>
          </w:p>
        </w:tc>
        <w:tc>
          <w:tcPr>
            <w:tcW w:w="0" w:type="auto"/>
          </w:tcPr>
          <w:p w14:paraId="679264DC" w14:textId="43BABE3C"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{"citationItems":[{"id":"ITEM-1","itemData":{"DOI":"10.1016/J.ENVINT.2020.105519","ISSN":"0160-4120","abstract":"Soils in coastal areas of the land-sea interface are vulnerable to heavy metal (HM) accumulation and subsequently to human health risk. However, few studies have investigated the HM pollution and risk in soils along the coastal areas of the Yellow Sea Large Marine Ecosystem (YSLME), in an international perspective. This study is the first comprehensive work in the YSLME encompassing 122 coastal locations along the Bohai Sea (BS), Yellow Sea of China (YSC), and Yellow Sea of South Korea (YSK). Soil HM pollution showed great spatial variations cross the regions and countries. Accumulations of As, Cu, Pb, and Zn in the YSK were significantly higher than those in the BS and YSC (p &lt; 0.05). Whilst the elevated Cd, Hg, and Ni in soils were found in the BS and YSC compared to those in the YSK (p &lt; 0.05). Meantime, the assessment of ecological risk posed by HMs indicated higher potential risk in the BS than other coastal areas. In specific, Cd and Hg posed a higher risk in the BS and YSC, while As showed relatively high risk in the YSK, indicating site-dependent accumulation of HMs in soils. Soil pH and organic matter were found to be important factors affecting the HM accumulation in the study areas. Industrial activities are the major driving factors influencing spatial distributions of HMs, and such activities exhibited different degrees of influence across the sampling sites. Altogether, the results of present study first identified the bilateral characteristics of soil HM pollution along the entire coasts of the YSLME in a comprehensive manner in several aspects: (1) sources, (2) hot spots, (3) priority chemicals of concern, and (4) site-specific potential risk of the soil HMs. Overall, this study provides references and backgrounds for future environmental management strategies and aids in developing a bilateral government policy towards coastal pollution management of HMs from an international scale and perspective.","author":[{"dropping-particle":"","family":"Liu","given":"Peng","non-dropping-particle":"","parse-names":false,"suffix":""},{"dropping-particle":"","family":"Hu","given":"Wenyou","non-dropping-particle":"","parse-names":false,"suffix":""},{"dropping-particle":"","family":"Tian","given":"Kang","non-dropping-particle":"","parse-names":false,"suffix":""},{"dropping-particle":"","family":"Huang","given":"Biao","non-dropping-particle":"","parse-names":false,"suffix":""},{"dropping-particle":"","family":"Zhao","given":"Yongcun","non-dropping-particle":"","parse-names":false,"suffix":""},{"dropping-particle":"","family":"Wang","given":"Xinkai","non-dropping-particle":"","parse-names":false,"suffix":""},{"dropping-particle":"","family":"Zhou","given":"Yunqiao","non-dropping-particle":"","parse-names":false,"suffix":""},{"dropping-particle":"","family":"Shi","given":"Bin","non-dropping-particle":"","parse-names":false,"suffix":""},{"dropping-particle":"","family":"Kwon","given":"Bong Oh","non-dropping-particle":"","parse-names":false,"suffix":""},{"dropping-particle":"","family":"Choi","given":"Kyungsik","non-dropping-particle":"","parse-names":false,"suffix":""},{"dropping-particle":"","family":"Ryu","given":"Jongseong","non-dropping-particle":"","parse-names":false,"suffix":""},{"dropping-particle":"","family":"Chen","given":"Yong","non-dropping-particle":"","parse-names":false,"suffix":""},{"dropping-particle":"","family":"Wang","given":"Tieyu","non-dropping-particle":"","parse-names":false,"suffix":""},{"dropping-particle":"","family":"Khim","given":"Jong Seong","non-dropping-particle":"","parse-names":false,"suffix":""}],"container-title":"Environment International","id":"ITEM-1","issued":{"date-parts":[["2020","4","1"]]},"page":"105519","publisher":"Pergamon","title":"Accumulation and ecological risk of heavy metals in soils along the coastal areas of the Bohai Sea and the Yellow Sea: A comparative study of China and South Korea","type":"article-journal","volume":"137"},"uris":["http://www.mendeley.com/documents/?uuid=17b7e655-8a72-3ba1-91b4-7cea0e600051"]}],"mendeley":{"formattedCitation":"(P. Liu et al., 2020)","manualFormatting":"Liu et al. (2020)","plainTextFormattedCitation":"(P. Liu et al., 2020)","previouslyFormattedCitation":"(P. Liu et al., 2020)"},"properties":{"noteIndex":0},"schema":"https://github.com/citation-style-language/schema/raw/master/csl-citation.json"}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Liu et al. (2020)</w:t>
            </w:r>
            <w:r w:rsidRPr="00216965">
              <w:rPr>
                <w:rFonts w:eastAsia="Times New Roman"/>
                <w:sz w:val="16"/>
                <w:szCs w:val="16"/>
              </w:rPr>
              <w:fldChar w:fldCharType="end"/>
            </w:r>
          </w:p>
        </w:tc>
      </w:tr>
      <w:tr w:rsidR="00632101" w:rsidRPr="00216965" w14:paraId="2C0BF227" w14:textId="77777777" w:rsidTr="008A33DA">
        <w:tc>
          <w:tcPr>
            <w:tcW w:w="0" w:type="auto"/>
          </w:tcPr>
          <w:p w14:paraId="4D8D4DFD" w14:textId="77777777" w:rsidR="00632101" w:rsidRPr="00216965" w:rsidRDefault="00632101" w:rsidP="00A0457B">
            <w:pPr>
              <w:jc w:val="both"/>
              <w:rPr>
                <w:color w:val="2E2E2E"/>
                <w:sz w:val="16"/>
                <w:szCs w:val="16"/>
              </w:rPr>
            </w:pPr>
            <w:r w:rsidRPr="00216965">
              <w:rPr>
                <w:color w:val="2E2E2E"/>
                <w:sz w:val="16"/>
                <w:szCs w:val="16"/>
              </w:rPr>
              <w:t>Panki, India</w:t>
            </w:r>
          </w:p>
        </w:tc>
        <w:tc>
          <w:tcPr>
            <w:tcW w:w="0" w:type="auto"/>
          </w:tcPr>
          <w:p w14:paraId="40F5C3A5" w14:textId="77777777" w:rsidR="00632101" w:rsidRPr="00216965" w:rsidRDefault="00632101" w:rsidP="00A0457B">
            <w:pPr>
              <w:rPr>
                <w:rFonts w:eastAsia="Times New Roman"/>
                <w:sz w:val="16"/>
                <w:szCs w:val="16"/>
                <w:lang w:val="fr-FR"/>
              </w:rPr>
            </w:pPr>
          </w:p>
        </w:tc>
        <w:tc>
          <w:tcPr>
            <w:tcW w:w="0" w:type="auto"/>
          </w:tcPr>
          <w:p w14:paraId="2F5F5786"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859</w:t>
            </w:r>
          </w:p>
        </w:tc>
        <w:tc>
          <w:tcPr>
            <w:tcW w:w="0" w:type="auto"/>
          </w:tcPr>
          <w:p w14:paraId="77AD8D90" w14:textId="77777777" w:rsidR="00632101" w:rsidRPr="00216965" w:rsidRDefault="00632101" w:rsidP="00A0457B">
            <w:pPr>
              <w:rPr>
                <w:rFonts w:eastAsia="Times New Roman"/>
                <w:sz w:val="16"/>
                <w:szCs w:val="16"/>
              </w:rPr>
            </w:pPr>
          </w:p>
        </w:tc>
        <w:tc>
          <w:tcPr>
            <w:tcW w:w="0" w:type="auto"/>
          </w:tcPr>
          <w:p w14:paraId="581CBE01" w14:textId="77777777" w:rsidR="00632101" w:rsidRPr="00216965" w:rsidRDefault="00632101" w:rsidP="00A0457B">
            <w:pPr>
              <w:rPr>
                <w:rFonts w:eastAsia="Times New Roman"/>
                <w:sz w:val="16"/>
                <w:szCs w:val="16"/>
              </w:rPr>
            </w:pPr>
            <w:r w:rsidRPr="00216965">
              <w:rPr>
                <w:rFonts w:eastAsia="Times New Roman"/>
                <w:sz w:val="16"/>
                <w:szCs w:val="16"/>
              </w:rPr>
              <w:t>8</w:t>
            </w:r>
          </w:p>
        </w:tc>
        <w:tc>
          <w:tcPr>
            <w:tcW w:w="0" w:type="auto"/>
          </w:tcPr>
          <w:p w14:paraId="61B20D65" w14:textId="77777777" w:rsidR="00632101" w:rsidRPr="00216965" w:rsidRDefault="00632101" w:rsidP="00A0457B">
            <w:pPr>
              <w:rPr>
                <w:rFonts w:eastAsia="Times New Roman"/>
                <w:sz w:val="16"/>
                <w:szCs w:val="16"/>
              </w:rPr>
            </w:pPr>
            <w:r w:rsidRPr="00216965">
              <w:rPr>
                <w:rFonts w:eastAsia="Times New Roman"/>
                <w:sz w:val="16"/>
                <w:szCs w:val="16"/>
              </w:rPr>
              <w:t>55</w:t>
            </w:r>
          </w:p>
        </w:tc>
        <w:tc>
          <w:tcPr>
            <w:tcW w:w="0" w:type="auto"/>
          </w:tcPr>
          <w:p w14:paraId="06B8BE27" w14:textId="77777777" w:rsidR="00632101" w:rsidRPr="00216965" w:rsidRDefault="00632101" w:rsidP="00A0457B">
            <w:pPr>
              <w:rPr>
                <w:rFonts w:eastAsia="Times New Roman"/>
                <w:sz w:val="16"/>
                <w:szCs w:val="16"/>
              </w:rPr>
            </w:pPr>
            <w:r w:rsidRPr="00216965">
              <w:rPr>
                <w:rFonts w:eastAsia="Times New Roman"/>
                <w:sz w:val="16"/>
                <w:szCs w:val="16"/>
              </w:rPr>
              <w:t>346</w:t>
            </w:r>
          </w:p>
        </w:tc>
        <w:tc>
          <w:tcPr>
            <w:tcW w:w="0" w:type="auto"/>
          </w:tcPr>
          <w:p w14:paraId="78638534" w14:textId="77777777" w:rsidR="00632101" w:rsidRPr="00216965" w:rsidRDefault="00632101" w:rsidP="00A0457B">
            <w:pPr>
              <w:rPr>
                <w:rFonts w:eastAsia="Times New Roman"/>
                <w:sz w:val="16"/>
                <w:szCs w:val="16"/>
              </w:rPr>
            </w:pPr>
            <w:r w:rsidRPr="00216965">
              <w:rPr>
                <w:rFonts w:eastAsia="Times New Roman"/>
                <w:sz w:val="16"/>
                <w:szCs w:val="16"/>
              </w:rPr>
              <w:t>10</w:t>
            </w:r>
          </w:p>
        </w:tc>
        <w:tc>
          <w:tcPr>
            <w:tcW w:w="0" w:type="auto"/>
          </w:tcPr>
          <w:p w14:paraId="1CFA0E15" w14:textId="77777777" w:rsidR="00632101" w:rsidRPr="00216965" w:rsidRDefault="00632101" w:rsidP="00A0457B">
            <w:pPr>
              <w:rPr>
                <w:rFonts w:eastAsia="Times New Roman"/>
                <w:sz w:val="16"/>
                <w:szCs w:val="16"/>
              </w:rPr>
            </w:pPr>
            <w:r w:rsidRPr="00216965">
              <w:rPr>
                <w:rFonts w:eastAsia="Times New Roman"/>
                <w:sz w:val="16"/>
                <w:szCs w:val="16"/>
              </w:rPr>
              <w:t>1</w:t>
            </w:r>
          </w:p>
        </w:tc>
        <w:tc>
          <w:tcPr>
            <w:tcW w:w="0" w:type="auto"/>
          </w:tcPr>
          <w:p w14:paraId="3FFB0E93" w14:textId="77777777" w:rsidR="00632101" w:rsidRPr="00216965" w:rsidRDefault="00632101" w:rsidP="00A0457B">
            <w:pPr>
              <w:rPr>
                <w:rFonts w:eastAsia="Times New Roman"/>
                <w:sz w:val="16"/>
                <w:szCs w:val="16"/>
              </w:rPr>
            </w:pPr>
            <w:r w:rsidRPr="00216965">
              <w:rPr>
                <w:rFonts w:eastAsia="Times New Roman"/>
                <w:sz w:val="16"/>
                <w:szCs w:val="16"/>
              </w:rPr>
              <w:t>Industrial</w:t>
            </w:r>
          </w:p>
        </w:tc>
        <w:tc>
          <w:tcPr>
            <w:tcW w:w="0" w:type="auto"/>
          </w:tcPr>
          <w:p w14:paraId="1D6AFA2A" w14:textId="5E2ED8A2"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{"citationItems":[{"id":"ITEM-1","itemData":{"DOI":"10.1016/J.JHAZMAT.2009.07.115","ISSN":"0304-3894","abstract":"Kanpur city has large number of small-scale industries (SSIs), primarily comprising of textile and leather industries. This study inventorises the presence of heavy metals in the samples collected from Panki and Jajmau Industrial Areas of Kanpur city. The bulk concentration of heavy metals found in solid waste samples was Fe as 1885 and 2340 mg/kg, Mn 173 and 445 mg/kg, Zn 233 and 132 mg/kg, Cu 20 and 28 mg/kg, Cd 1.4 and 1.1 mg/kg, Ni 26 and 397 mg/kg, Pb 107 and 19 mg/kg, Cr 1323 and 734 mg/kg, respectively. Heavy metal concentration was also found to be high in soil and road dust samples viz. Ni and Pb were in higher concentration in few samples, whereas Cr was found in higher concentration in all samples than the recommended values of USEPA and specifications for compost quality contained in the Indian Municipal Solid Wastes (Management and Handling) Rules, 2000. The heavy metal pollution so detected is indicative of contamination in ground and surface water and food chain. This raises concerns pertaining to adverse consequences to environment and human health. © 2009 Elsevier B.V. All rights reserved.","author":[{"dropping-particle":"","family":"Rawat","given":"Manju","non-dropping-particle":"","parse-names":false,"suffix":""},{"dropping-particle":"","family":"Ramanathan","given":"AL","non-dropping-particle":"","parse-names":false,"suffix":""},{"dropping-particle":"","family":"Subramanian","given":"V.","non-dropping-particle":"","parse-names":false,"suffix":""}],"container-title":"Journal of Hazardous Materials","id":"ITEM-1","issued":{"date-parts":[["2009","12","30"]]},"page":"1145-1149","publisher":"Elsevier","title":"Quantification and distribution of heavy metals from small-scale industrial areas of Kanpur city, India","type":"article-journal","volume":"172"},"uris":["http://www.mendeley.com/documents/?uuid=7bc684dc-cd96-35b4-aecc-185ae1145813"]}],"mendeley":{"formattedCitation":"(Rawat et al., 2009)","manualFormatting":"Rawat et al. (2009)","plainTextFormattedCitation":"(Rawat et al., 2009)","previouslyFormattedCitation":"(Rawat et al., 2009)"},"properties":{"noteIndex":0},"schema":"https://github.com/citation-style-language/schema/raw/master/csl-citation.json"}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Rawat et al. (2009)</w:t>
            </w:r>
            <w:r w:rsidRPr="00216965">
              <w:rPr>
                <w:rFonts w:eastAsia="Times New Roman"/>
                <w:sz w:val="16"/>
                <w:szCs w:val="16"/>
              </w:rPr>
              <w:fldChar w:fldCharType="end"/>
            </w:r>
          </w:p>
        </w:tc>
      </w:tr>
      <w:tr w:rsidR="00632101" w:rsidRPr="00216965" w14:paraId="79ECEDF5" w14:textId="77777777" w:rsidTr="008A33DA">
        <w:tc>
          <w:tcPr>
            <w:tcW w:w="0" w:type="auto"/>
          </w:tcPr>
          <w:p w14:paraId="6155944A" w14:textId="77777777" w:rsidR="00632101" w:rsidRPr="00216965" w:rsidRDefault="00632101" w:rsidP="00A0457B">
            <w:pPr>
              <w:jc w:val="both"/>
              <w:rPr>
                <w:color w:val="2E2E2E"/>
                <w:sz w:val="16"/>
                <w:szCs w:val="16"/>
              </w:rPr>
            </w:pPr>
            <w:r w:rsidRPr="00216965">
              <w:rPr>
                <w:color w:val="323232"/>
                <w:sz w:val="16"/>
                <w:szCs w:val="16"/>
              </w:rPr>
              <w:t>Jajmau, India</w:t>
            </w:r>
          </w:p>
        </w:tc>
        <w:tc>
          <w:tcPr>
            <w:tcW w:w="0" w:type="auto"/>
          </w:tcPr>
          <w:p w14:paraId="2B26B7B8" w14:textId="77777777" w:rsidR="00632101" w:rsidRPr="00216965" w:rsidRDefault="00632101" w:rsidP="00A0457B">
            <w:pPr>
              <w:rPr>
                <w:rFonts w:eastAsia="Times New Roman"/>
                <w:sz w:val="16"/>
                <w:szCs w:val="16"/>
                <w:lang w:val="fr-FR"/>
              </w:rPr>
            </w:pPr>
          </w:p>
        </w:tc>
        <w:tc>
          <w:tcPr>
            <w:tcW w:w="0" w:type="auto"/>
          </w:tcPr>
          <w:p w14:paraId="0762E9B6"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393</w:t>
            </w:r>
          </w:p>
        </w:tc>
        <w:tc>
          <w:tcPr>
            <w:tcW w:w="0" w:type="auto"/>
          </w:tcPr>
          <w:p w14:paraId="78AC92C0" w14:textId="77777777" w:rsidR="00632101" w:rsidRPr="00216965" w:rsidRDefault="00632101" w:rsidP="00A0457B">
            <w:pPr>
              <w:rPr>
                <w:rFonts w:eastAsia="Times New Roman"/>
                <w:sz w:val="16"/>
                <w:szCs w:val="16"/>
              </w:rPr>
            </w:pPr>
          </w:p>
        </w:tc>
        <w:tc>
          <w:tcPr>
            <w:tcW w:w="0" w:type="auto"/>
          </w:tcPr>
          <w:p w14:paraId="0F86D354" w14:textId="77777777" w:rsidR="00632101" w:rsidRPr="00216965" w:rsidRDefault="00632101" w:rsidP="00A0457B">
            <w:pPr>
              <w:rPr>
                <w:rFonts w:eastAsia="Times New Roman"/>
                <w:sz w:val="16"/>
                <w:szCs w:val="16"/>
              </w:rPr>
            </w:pPr>
            <w:r w:rsidRPr="00216965">
              <w:rPr>
                <w:rFonts w:eastAsia="Times New Roman"/>
                <w:sz w:val="16"/>
                <w:szCs w:val="16"/>
              </w:rPr>
              <w:t>13</w:t>
            </w:r>
          </w:p>
        </w:tc>
        <w:tc>
          <w:tcPr>
            <w:tcW w:w="0" w:type="auto"/>
          </w:tcPr>
          <w:p w14:paraId="4265EF7E" w14:textId="77777777" w:rsidR="00632101" w:rsidRPr="00216965" w:rsidRDefault="00632101" w:rsidP="00A0457B">
            <w:pPr>
              <w:rPr>
                <w:rFonts w:eastAsia="Times New Roman"/>
                <w:sz w:val="16"/>
                <w:szCs w:val="16"/>
              </w:rPr>
            </w:pPr>
            <w:r w:rsidRPr="00216965">
              <w:rPr>
                <w:rFonts w:eastAsia="Times New Roman"/>
                <w:sz w:val="16"/>
                <w:szCs w:val="16"/>
              </w:rPr>
              <w:t>8</w:t>
            </w:r>
          </w:p>
        </w:tc>
        <w:tc>
          <w:tcPr>
            <w:tcW w:w="0" w:type="auto"/>
          </w:tcPr>
          <w:p w14:paraId="5BA19488" w14:textId="77777777" w:rsidR="00632101" w:rsidRPr="00216965" w:rsidRDefault="00632101" w:rsidP="00A0457B">
            <w:pPr>
              <w:rPr>
                <w:rFonts w:eastAsia="Times New Roman"/>
                <w:sz w:val="16"/>
                <w:szCs w:val="16"/>
              </w:rPr>
            </w:pPr>
            <w:r w:rsidRPr="00216965">
              <w:rPr>
                <w:rFonts w:eastAsia="Times New Roman"/>
                <w:sz w:val="16"/>
                <w:szCs w:val="16"/>
              </w:rPr>
              <w:t>77</w:t>
            </w:r>
          </w:p>
        </w:tc>
        <w:tc>
          <w:tcPr>
            <w:tcW w:w="0" w:type="auto"/>
          </w:tcPr>
          <w:p w14:paraId="60CC047D" w14:textId="77777777" w:rsidR="00632101" w:rsidRPr="00216965" w:rsidRDefault="00632101" w:rsidP="00A0457B">
            <w:pPr>
              <w:rPr>
                <w:rFonts w:eastAsia="Times New Roman"/>
                <w:sz w:val="16"/>
                <w:szCs w:val="16"/>
              </w:rPr>
            </w:pPr>
            <w:r w:rsidRPr="00216965">
              <w:rPr>
                <w:rFonts w:eastAsia="Times New Roman"/>
                <w:sz w:val="16"/>
                <w:szCs w:val="16"/>
              </w:rPr>
              <w:t>12</w:t>
            </w:r>
          </w:p>
        </w:tc>
        <w:tc>
          <w:tcPr>
            <w:tcW w:w="0" w:type="auto"/>
          </w:tcPr>
          <w:p w14:paraId="0DD51C82" w14:textId="77777777" w:rsidR="00632101" w:rsidRPr="00216965" w:rsidRDefault="00632101" w:rsidP="00A0457B">
            <w:pPr>
              <w:rPr>
                <w:rFonts w:eastAsia="Times New Roman"/>
                <w:sz w:val="16"/>
                <w:szCs w:val="16"/>
              </w:rPr>
            </w:pPr>
            <w:r w:rsidRPr="00216965">
              <w:rPr>
                <w:rFonts w:eastAsia="Times New Roman"/>
                <w:sz w:val="16"/>
                <w:szCs w:val="16"/>
              </w:rPr>
              <w:t>1.6</w:t>
            </w:r>
          </w:p>
        </w:tc>
        <w:tc>
          <w:tcPr>
            <w:tcW w:w="0" w:type="auto"/>
          </w:tcPr>
          <w:p w14:paraId="43B36CAF" w14:textId="77777777" w:rsidR="00632101" w:rsidRPr="00216965" w:rsidRDefault="00632101" w:rsidP="00A0457B">
            <w:pPr>
              <w:rPr>
                <w:rFonts w:eastAsia="Times New Roman"/>
                <w:sz w:val="16"/>
                <w:szCs w:val="16"/>
              </w:rPr>
            </w:pPr>
            <w:r w:rsidRPr="00216965">
              <w:rPr>
                <w:rFonts w:eastAsia="Times New Roman"/>
                <w:sz w:val="16"/>
                <w:szCs w:val="16"/>
              </w:rPr>
              <w:t>Industrial</w:t>
            </w:r>
          </w:p>
        </w:tc>
        <w:tc>
          <w:tcPr>
            <w:tcW w:w="0" w:type="auto"/>
          </w:tcPr>
          <w:p w14:paraId="555D5E06" w14:textId="3D356CA8"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{"citationItems":[{"id":"ITEM-1","itemData":{"DOI":"10.1016/J.JHAZMAT.2009.07.115","ISSN":"0304-3894","abstract":"Kanpur city has large number of small-scale industries (SSIs), primarily comprising of textile and leather industries. This study inventorises the presence of heavy metals in the samples collected from Panki and Jajmau Industrial Areas of Kanpur city. The bulk concentration of heavy metals found in solid waste samples was Fe as 1885 and 2340 mg/kg, Mn 173 and 445 mg/kg, Zn 233 and 132 mg/kg, Cu 20 and 28 mg/kg, Cd 1.4 and 1.1 mg/kg, Ni 26 and 397 mg/kg, Pb 107 and 19 mg/kg, Cr 1323 and 734 mg/kg, respectively. Heavy metal concentration was also found to be high in soil and road dust samples viz. Ni and Pb were in higher concentration in few samples, whereas Cr was found in higher concentration in all samples than the recommended values of USEPA and specifications for compost quality contained in the Indian Municipal Solid Wastes (Management and Handling) Rules, 2000. The heavy metal pollution so detected is indicative of contamination in ground and surface water and food chain. This raises concerns pertaining to adverse consequences to environment and human health. © 2009 Elsevier B.V. All rights reserved.","author":[{"dropping-particle":"","family":"Rawat","given":"Manju","non-dropping-particle":"","parse-names":false,"suffix":""},{"dropping-particle":"","family":"Ramanathan","given":"AL","non-dropping-particle":"","parse-names":false,"suffix":""},{"dropping-particle":"","family":"Subramanian","given":"V.","non-dropping-particle":"","parse-names":false,"suffix":""}],"container-title":"Journal of Hazardous Materials","id":"ITEM-1","issued":{"date-parts":[["2009","12","30"]]},"page":"1145-1149","publisher":"Elsevier","title":"Quantification and distribution of heavy metals from small-scale industrial areas of Kanpur city, India","type":"article-journal","volume":"172"},"uris":["http://www.mendeley.com/documents/?uuid=7bc684dc-cd96-35b4-aecc-185ae1145813"]}],"mendeley":{"formattedCitation":"(Rawat et al., 2009)","manualFormatting":"Rawat et al. (2009)","plainTextFormattedCitation":"(Rawat et al., 2009)","previouslyFormattedCitation":"(Rawat et al., 2009)"},"properties":{"noteIndex":0},"schema":"https://github.com/citation-style-language/schema/raw/master/csl-citation.json"}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Rawat et al. (2009)</w:t>
            </w:r>
            <w:r w:rsidRPr="00216965">
              <w:rPr>
                <w:rFonts w:eastAsia="Times New Roman"/>
                <w:sz w:val="16"/>
                <w:szCs w:val="16"/>
              </w:rPr>
              <w:fldChar w:fldCharType="end"/>
            </w:r>
          </w:p>
        </w:tc>
      </w:tr>
      <w:tr w:rsidR="00632101" w:rsidRPr="00216965" w14:paraId="160E1114" w14:textId="77777777" w:rsidTr="008A33DA">
        <w:tc>
          <w:tcPr>
            <w:tcW w:w="0" w:type="auto"/>
          </w:tcPr>
          <w:p w14:paraId="1171D1C8" w14:textId="77777777" w:rsidR="00632101" w:rsidRPr="00216965" w:rsidRDefault="00632101" w:rsidP="00A0457B">
            <w:pPr>
              <w:jc w:val="both"/>
              <w:rPr>
                <w:color w:val="323232"/>
                <w:sz w:val="16"/>
                <w:szCs w:val="16"/>
              </w:rPr>
            </w:pPr>
            <w:r w:rsidRPr="00216965">
              <w:rPr>
                <w:color w:val="2E2E2E"/>
                <w:sz w:val="16"/>
                <w:szCs w:val="16"/>
              </w:rPr>
              <w:t>Guangdong, China</w:t>
            </w:r>
          </w:p>
        </w:tc>
        <w:tc>
          <w:tcPr>
            <w:tcW w:w="0" w:type="auto"/>
          </w:tcPr>
          <w:p w14:paraId="5689B035" w14:textId="77777777" w:rsidR="00632101" w:rsidRPr="00216965" w:rsidRDefault="00632101" w:rsidP="00A0457B">
            <w:pPr>
              <w:rPr>
                <w:rFonts w:eastAsia="Times New Roman"/>
                <w:sz w:val="16"/>
                <w:szCs w:val="16"/>
                <w:lang w:val="fr-FR"/>
              </w:rPr>
            </w:pPr>
          </w:p>
        </w:tc>
        <w:tc>
          <w:tcPr>
            <w:tcW w:w="0" w:type="auto"/>
          </w:tcPr>
          <w:p w14:paraId="7B39D730"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71</w:t>
            </w:r>
          </w:p>
        </w:tc>
        <w:tc>
          <w:tcPr>
            <w:tcW w:w="0" w:type="auto"/>
          </w:tcPr>
          <w:p w14:paraId="750148E4" w14:textId="77777777" w:rsidR="00632101" w:rsidRPr="00216965" w:rsidRDefault="00632101" w:rsidP="00A0457B">
            <w:pPr>
              <w:rPr>
                <w:rFonts w:eastAsia="Times New Roman"/>
                <w:sz w:val="16"/>
                <w:szCs w:val="16"/>
              </w:rPr>
            </w:pPr>
            <w:r w:rsidRPr="00216965">
              <w:rPr>
                <w:rFonts w:eastAsia="Times New Roman"/>
                <w:sz w:val="16"/>
                <w:szCs w:val="16"/>
              </w:rPr>
              <w:t>9.11</w:t>
            </w:r>
          </w:p>
        </w:tc>
        <w:tc>
          <w:tcPr>
            <w:tcW w:w="0" w:type="auto"/>
          </w:tcPr>
          <w:p w14:paraId="4D5647CA" w14:textId="77777777" w:rsidR="00632101" w:rsidRPr="00216965" w:rsidRDefault="00632101" w:rsidP="00A0457B">
            <w:pPr>
              <w:rPr>
                <w:rFonts w:eastAsia="Times New Roman"/>
                <w:sz w:val="16"/>
                <w:szCs w:val="16"/>
              </w:rPr>
            </w:pPr>
            <w:r w:rsidRPr="00216965">
              <w:rPr>
                <w:rFonts w:eastAsia="Times New Roman"/>
                <w:sz w:val="16"/>
                <w:szCs w:val="16"/>
              </w:rPr>
              <w:t>33</w:t>
            </w:r>
          </w:p>
        </w:tc>
        <w:tc>
          <w:tcPr>
            <w:tcW w:w="0" w:type="auto"/>
          </w:tcPr>
          <w:p w14:paraId="020CFF0E" w14:textId="77777777" w:rsidR="00632101" w:rsidRPr="00216965" w:rsidRDefault="00632101" w:rsidP="00A0457B">
            <w:pPr>
              <w:rPr>
                <w:rFonts w:eastAsia="Times New Roman"/>
                <w:sz w:val="16"/>
                <w:szCs w:val="16"/>
              </w:rPr>
            </w:pPr>
            <w:r w:rsidRPr="00216965">
              <w:rPr>
                <w:rFonts w:eastAsia="Times New Roman"/>
                <w:sz w:val="16"/>
                <w:szCs w:val="16"/>
              </w:rPr>
              <w:t>40</w:t>
            </w:r>
          </w:p>
        </w:tc>
        <w:tc>
          <w:tcPr>
            <w:tcW w:w="0" w:type="auto"/>
          </w:tcPr>
          <w:p w14:paraId="47A17A6D" w14:textId="77777777" w:rsidR="00632101" w:rsidRPr="00216965" w:rsidRDefault="00632101" w:rsidP="00A0457B">
            <w:pPr>
              <w:rPr>
                <w:rFonts w:eastAsia="Times New Roman"/>
                <w:sz w:val="16"/>
                <w:szCs w:val="16"/>
              </w:rPr>
            </w:pPr>
            <w:r w:rsidRPr="00216965">
              <w:rPr>
                <w:rFonts w:eastAsia="Times New Roman"/>
                <w:sz w:val="16"/>
                <w:szCs w:val="16"/>
              </w:rPr>
              <w:t>84</w:t>
            </w:r>
          </w:p>
        </w:tc>
        <w:tc>
          <w:tcPr>
            <w:tcW w:w="0" w:type="auto"/>
          </w:tcPr>
          <w:p w14:paraId="18E2863D" w14:textId="77777777" w:rsidR="00632101" w:rsidRPr="00216965" w:rsidRDefault="00632101" w:rsidP="00A0457B">
            <w:pPr>
              <w:rPr>
                <w:rFonts w:eastAsia="Times New Roman"/>
                <w:sz w:val="16"/>
                <w:szCs w:val="16"/>
              </w:rPr>
            </w:pPr>
            <w:r w:rsidRPr="00216965">
              <w:rPr>
                <w:rFonts w:eastAsia="Times New Roman"/>
                <w:sz w:val="16"/>
                <w:szCs w:val="16"/>
              </w:rPr>
              <w:t>21</w:t>
            </w:r>
          </w:p>
        </w:tc>
        <w:tc>
          <w:tcPr>
            <w:tcW w:w="0" w:type="auto"/>
          </w:tcPr>
          <w:p w14:paraId="45448616" w14:textId="77777777" w:rsidR="00632101" w:rsidRPr="00216965" w:rsidRDefault="00632101" w:rsidP="00A0457B">
            <w:pPr>
              <w:rPr>
                <w:rFonts w:eastAsia="Times New Roman"/>
                <w:sz w:val="16"/>
                <w:szCs w:val="16"/>
              </w:rPr>
            </w:pPr>
            <w:r w:rsidRPr="00216965">
              <w:rPr>
                <w:rFonts w:eastAsia="Times New Roman"/>
                <w:sz w:val="16"/>
                <w:szCs w:val="16"/>
              </w:rPr>
              <w:t>0.58</w:t>
            </w:r>
          </w:p>
        </w:tc>
        <w:tc>
          <w:tcPr>
            <w:tcW w:w="0" w:type="auto"/>
          </w:tcPr>
          <w:p w14:paraId="70D8CF1C" w14:textId="77777777" w:rsidR="00632101" w:rsidRPr="00216965" w:rsidRDefault="00632101" w:rsidP="00A0457B">
            <w:pPr>
              <w:rPr>
                <w:rFonts w:eastAsia="Times New Roman"/>
                <w:sz w:val="16"/>
                <w:szCs w:val="16"/>
              </w:rPr>
            </w:pPr>
            <w:r w:rsidRPr="00216965">
              <w:rPr>
                <w:rFonts w:eastAsia="Times New Roman"/>
                <w:sz w:val="16"/>
                <w:szCs w:val="16"/>
              </w:rPr>
              <w:t>Agricultural</w:t>
            </w:r>
          </w:p>
        </w:tc>
        <w:tc>
          <w:tcPr>
            <w:tcW w:w="0" w:type="auto"/>
          </w:tcPr>
          <w:p w14:paraId="488E4C33" w14:textId="4E2C27EE"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{"citationItems":[{"id":"ITEM-1","itemData":{"DOI":"10.1016/S0269-7491(01)00325-6","ISSN":"0269-7491","abstract":"There is a growing public concern over the potential accumulation of heavy metals in agricultural soils in China owing to rapid urban and industrial development and increasing reliance on agrochemicals in the last several decades. Excessive accumulation of heavy metals in agricultural soils may not only result in environmental contamination, but elevated heavy metal uptake by crops may also affect food quality and safety. The present study is aimed at studying heavy metal concentrations of crop, paddy and natural soils in the Pearl River Delta, one of the most developed regions in China. In addition, some selected soil samples were analyzed for chemical partitioning of Co, Cu, Pb and Zn. The Pb isotopic composition of the extracted solutions was also determined. The analytical results indicated that the crop, paddy and natural soils in many sampling sites were enriched with Cd and Pb. Furthermore, heavy metal enrichment was most significant in the crop soils, which might be attributed to the use of agrochemicals. Flooding of the paddy soils and subsequent dissolution of Mn oxides may cause the loss of Cd and Co through leaching and percolation, resulting in low Cd and Co concentrations of the paddy soils. The chemical partitioning patterns of Pb, Zn and Cu indicated that Pb was largely associated with the Fe-Mn oxide and residual fractions, while Zn was predominantly found in the residual phase. A significant percent fraction of Cu was bound in the organic/sulphide and residual phases. Based on the 206Pb/207Pb ratios of the five fractions, it was evident that some of the soils were enriched with anthropogenic Pb, such as industrial and automobile Pb. The strong associations between anthropogenic Pb and the Fe-Mn oxide and organic/sulphide phases suggested that anthropogenic Pb was relatively stable after deposition in soils. Copyright © 2002 Elsevier Science Ltd.","author":[{"dropping-particle":"","family":"Wong","given":"S. C.","non-dropping-particle":"","parse-names":false,"suffix":""},{"dropping-particle":"","family":"Li","given":"X. D.","non-dropping-particle":"","parse-names":false,"suffix":""},{"dropping-particle":"","family":"Zhang","given":"G.","non-dropping-particle":"","parse-names":false,"suffix":""},{"dropping-particle":"","family":"Qi","given":"S. H.","non-dropping-particle":"","parse-names":false,"suffix":""},{"dropping-particle":"","family":"Min","given":"Y. S.","non-dropping-particle":"","parse-names":false,"suffix":""}],"container-title":"Environmental Pollution","id":"ITEM-1","issue":"1","issued":{"date-parts":[["2002","8","1"]]},"page":"33-44","publisher":"Elsevier","title":"Heavy metals in agricultural soils of the Pearl River Delta, South China","type":"article-journal","volume":"119"},"uris":["http://www.mendeley.com/documents/?uuid=986b8ace-2b08-35a2-8b84-595261349ace"]}],"mendeley":{"formattedCitation":"(Wong et al., 2002)","manualFormatting":"Wong et al. (2002)","plainTextFormattedCitation":"(Wong et al., 2002)","previouslyFormattedCitation":"(Wong et al., 2002)"},"properties":{"noteIndex":0},"schema":"https://github.com/citation-style-language/schema/raw/master/csl-citation.json"}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Wong et al. (2002)</w:t>
            </w:r>
            <w:r w:rsidRPr="00216965">
              <w:rPr>
                <w:rFonts w:eastAsia="Times New Roman"/>
                <w:sz w:val="16"/>
                <w:szCs w:val="16"/>
              </w:rPr>
              <w:fldChar w:fldCharType="end"/>
            </w:r>
          </w:p>
        </w:tc>
      </w:tr>
      <w:tr w:rsidR="00632101" w:rsidRPr="00216965" w14:paraId="4E4FD96C" w14:textId="77777777" w:rsidTr="008A33DA">
        <w:tc>
          <w:tcPr>
            <w:tcW w:w="0" w:type="auto"/>
          </w:tcPr>
          <w:p w14:paraId="34B1E9DC" w14:textId="77777777" w:rsidR="00632101" w:rsidRPr="00216965" w:rsidRDefault="00632101" w:rsidP="00A0457B">
            <w:pPr>
              <w:jc w:val="both"/>
              <w:rPr>
                <w:color w:val="2E2E2E"/>
                <w:sz w:val="16"/>
                <w:szCs w:val="16"/>
              </w:rPr>
            </w:pPr>
            <w:r w:rsidRPr="00216965">
              <w:rPr>
                <w:color w:val="323232"/>
                <w:sz w:val="16"/>
                <w:szCs w:val="16"/>
              </w:rPr>
              <w:t>Carmagnola, Italy</w:t>
            </w:r>
          </w:p>
        </w:tc>
        <w:tc>
          <w:tcPr>
            <w:tcW w:w="0" w:type="auto"/>
          </w:tcPr>
          <w:p w14:paraId="28655C3D" w14:textId="77777777" w:rsidR="00632101" w:rsidRPr="00216965" w:rsidRDefault="00632101" w:rsidP="00A0457B">
            <w:pPr>
              <w:rPr>
                <w:rFonts w:eastAsia="Times New Roman"/>
                <w:sz w:val="16"/>
                <w:szCs w:val="16"/>
                <w:lang w:val="fr-FR"/>
              </w:rPr>
            </w:pPr>
          </w:p>
        </w:tc>
        <w:tc>
          <w:tcPr>
            <w:tcW w:w="0" w:type="auto"/>
          </w:tcPr>
          <w:p w14:paraId="5390564B" w14:textId="77777777" w:rsidR="00632101" w:rsidRPr="00216965" w:rsidRDefault="00632101" w:rsidP="00A0457B">
            <w:pPr>
              <w:rPr>
                <w:rFonts w:eastAsia="Times New Roman"/>
                <w:sz w:val="16"/>
                <w:szCs w:val="16"/>
                <w:lang w:val="fr-FR"/>
              </w:rPr>
            </w:pPr>
            <w:r w:rsidRPr="00216965">
              <w:rPr>
                <w:rFonts w:eastAsia="Times New Roman"/>
                <w:sz w:val="16"/>
                <w:szCs w:val="16"/>
                <w:lang w:val="fr-FR"/>
              </w:rPr>
              <w:t>162</w:t>
            </w:r>
          </w:p>
        </w:tc>
        <w:tc>
          <w:tcPr>
            <w:tcW w:w="0" w:type="auto"/>
          </w:tcPr>
          <w:p w14:paraId="634B55AF" w14:textId="77777777" w:rsidR="00632101" w:rsidRPr="00216965" w:rsidRDefault="00632101" w:rsidP="00A0457B">
            <w:pPr>
              <w:rPr>
                <w:rFonts w:eastAsia="Times New Roman"/>
                <w:sz w:val="16"/>
                <w:szCs w:val="16"/>
              </w:rPr>
            </w:pPr>
          </w:p>
        </w:tc>
        <w:tc>
          <w:tcPr>
            <w:tcW w:w="0" w:type="auto"/>
          </w:tcPr>
          <w:p w14:paraId="5C22FDA1" w14:textId="77777777" w:rsidR="00632101" w:rsidRPr="00216965" w:rsidRDefault="00632101" w:rsidP="00A0457B">
            <w:pPr>
              <w:rPr>
                <w:rFonts w:eastAsia="Times New Roman"/>
                <w:sz w:val="16"/>
                <w:szCs w:val="16"/>
              </w:rPr>
            </w:pPr>
            <w:r w:rsidRPr="00216965">
              <w:rPr>
                <w:rFonts w:eastAsia="Times New Roman"/>
                <w:sz w:val="16"/>
                <w:szCs w:val="16"/>
              </w:rPr>
              <w:t>30</w:t>
            </w:r>
          </w:p>
        </w:tc>
        <w:tc>
          <w:tcPr>
            <w:tcW w:w="0" w:type="auto"/>
          </w:tcPr>
          <w:p w14:paraId="4568E846" w14:textId="77777777" w:rsidR="00632101" w:rsidRPr="00216965" w:rsidRDefault="00632101" w:rsidP="00A0457B">
            <w:pPr>
              <w:rPr>
                <w:rFonts w:eastAsia="Times New Roman"/>
                <w:sz w:val="16"/>
                <w:szCs w:val="16"/>
              </w:rPr>
            </w:pPr>
            <w:r w:rsidRPr="00216965">
              <w:rPr>
                <w:rFonts w:eastAsia="Times New Roman"/>
                <w:sz w:val="16"/>
                <w:szCs w:val="16"/>
              </w:rPr>
              <w:t>215</w:t>
            </w:r>
          </w:p>
        </w:tc>
        <w:tc>
          <w:tcPr>
            <w:tcW w:w="0" w:type="auto"/>
          </w:tcPr>
          <w:p w14:paraId="64A396A6" w14:textId="77777777" w:rsidR="00632101" w:rsidRPr="00216965" w:rsidRDefault="00632101" w:rsidP="00A0457B">
            <w:pPr>
              <w:rPr>
                <w:rFonts w:eastAsia="Times New Roman"/>
                <w:sz w:val="16"/>
                <w:szCs w:val="16"/>
              </w:rPr>
            </w:pPr>
            <w:r w:rsidRPr="00216965">
              <w:rPr>
                <w:rFonts w:eastAsia="Times New Roman"/>
                <w:sz w:val="16"/>
                <w:szCs w:val="16"/>
              </w:rPr>
              <w:t>94</w:t>
            </w:r>
          </w:p>
        </w:tc>
        <w:tc>
          <w:tcPr>
            <w:tcW w:w="0" w:type="auto"/>
          </w:tcPr>
          <w:p w14:paraId="72D75A9C" w14:textId="77777777" w:rsidR="00632101" w:rsidRPr="00216965" w:rsidRDefault="00632101" w:rsidP="00A0457B">
            <w:pPr>
              <w:rPr>
                <w:rFonts w:eastAsia="Times New Roman"/>
                <w:sz w:val="16"/>
                <w:szCs w:val="16"/>
              </w:rPr>
            </w:pPr>
            <w:r w:rsidRPr="00216965">
              <w:rPr>
                <w:rFonts w:eastAsia="Times New Roman"/>
                <w:sz w:val="16"/>
                <w:szCs w:val="16"/>
              </w:rPr>
              <w:t>102</w:t>
            </w:r>
          </w:p>
        </w:tc>
        <w:tc>
          <w:tcPr>
            <w:tcW w:w="0" w:type="auto"/>
          </w:tcPr>
          <w:p w14:paraId="4ABBF99F" w14:textId="77777777" w:rsidR="00632101" w:rsidRPr="00216965" w:rsidRDefault="00632101" w:rsidP="00A0457B">
            <w:pPr>
              <w:rPr>
                <w:rFonts w:eastAsia="Times New Roman"/>
                <w:sz w:val="16"/>
                <w:szCs w:val="16"/>
              </w:rPr>
            </w:pPr>
            <w:r w:rsidRPr="00216965">
              <w:rPr>
                <w:rFonts w:eastAsia="Times New Roman"/>
                <w:sz w:val="16"/>
                <w:szCs w:val="16"/>
              </w:rPr>
              <w:t>5.4</w:t>
            </w:r>
          </w:p>
        </w:tc>
        <w:tc>
          <w:tcPr>
            <w:tcW w:w="0" w:type="auto"/>
          </w:tcPr>
          <w:p w14:paraId="286438C8" w14:textId="77777777" w:rsidR="00632101" w:rsidRPr="00216965" w:rsidRDefault="00632101" w:rsidP="00A0457B">
            <w:pPr>
              <w:rPr>
                <w:rFonts w:eastAsia="Times New Roman"/>
                <w:sz w:val="16"/>
                <w:szCs w:val="16"/>
              </w:rPr>
            </w:pPr>
            <w:r w:rsidRPr="00216965">
              <w:rPr>
                <w:rFonts w:eastAsia="Times New Roman"/>
                <w:sz w:val="16"/>
                <w:szCs w:val="16"/>
              </w:rPr>
              <w:t>Agricultural</w:t>
            </w:r>
          </w:p>
        </w:tc>
        <w:tc>
          <w:tcPr>
            <w:tcW w:w="0" w:type="auto"/>
          </w:tcPr>
          <w:p w14:paraId="27E31957" w14:textId="520C61D4" w:rsidR="00632101" w:rsidRPr="00216965" w:rsidRDefault="00632101" w:rsidP="00A0457B">
            <w:pPr>
              <w:jc w:val="both"/>
              <w:rPr>
                <w:rFonts w:eastAsia="Times New Roman"/>
                <w:sz w:val="16"/>
                <w:szCs w:val="16"/>
              </w:rPr>
            </w:pPr>
            <w:r w:rsidRPr="00216965">
              <w:rPr>
                <w:rFonts w:eastAsia="Times New Roman"/>
                <w:sz w:val="16"/>
                <w:szCs w:val="16"/>
              </w:rPr>
              <w:fldChar w:fldCharType="begin" w:fldLock="1"/>
            </w:r>
            <w:r w:rsidR="006C06AA" w:rsidRPr="00216965">
              <w:rPr>
                <w:rFonts w:eastAsia="Times New Roman"/>
                <w:sz w:val="16"/>
                <w:szCs w:val="16"/>
              </w:rPr>
              <w:instrText>ADDIN CSL_CITATION {"citationItems":[{"id":"ITEM-1","itemData":{"DOI":"10.1016/S0045-6535(02)00352-1","ISSN":"0045-6535","abstract":"The distribution and speciation of heavy metals in five agricultural soils of Piedmont Region (north-western Italy) were investigated. Ten metals, namely Al, Cd, Cr, Cu, Fe, Mn, Ni, Pb, Ti and Zn were considered. Analytical determinations were performed by atomic emission or atomic absorption spectroscopy after microwave sample dissolution in acid solution. Total metal concentrations fit in the typical concentration ranges for unpolluted soils, with the exception of cadmium and lead content in some horizons. The effect of sampling depth on concentrations was discussed. Speciation studies were carried out by applying Tessier's procedure, which allows to subdivide the total metal content into five fractions, representing portions bound to different components of the soil. Moreover, the element labilities in two soils were evaluated by extraction with EDTA. Correlations among the variables and/or similarities among the sampling points were identified by principal component analysis and hierarchical cluster analysis. © 2002 Elsevier Science Ltd. All rights reserved.","author":[{"dropping-particle":"","family":"Abollino","given":"O.","non-dropping-particle":"","parse-names":false,"suffix":""},{"dropping-particle":"","family":"Aceto","given":"M.","non-dropping-particle":"","parse-names":false,"suffix":""},{"dropping-particle":"","family":"Malandrino","given":"M.","non-dropping-particle":"","parse-names":false,"suffix":""},{"dropping-particle":"","family":"Mentasti","given":"E.","non-dropping-particle":"","parse-names":false,"suffix":""},{"dropping-particle":"","family":"Sarzanini","given":"C.","non-dropping-particle":"","parse-names":false,"suffix":""},{"dropping-particle":"","family":"Petrella","given":"F.","non-dropping-particle":"","parse-names":false,"suffix":""}],"container-title":"Chemosphere","id":"ITEM-1","issue":"6","issued":{"date-parts":[["2002","11","1"]]},"page":"545-557","publisher":"Pergamon","title":"Heavy metals in agricultural soils from Piedmont, Italy. Distribution, speciation and chemometric data treatment","type":"article-journal","volume":"49"},"uris":["http://www.mendeley.com/documents/?uuid=d118cb22-adc5-39c8-943f-8b7025158409"]}],"mendeley":{"formattedCitation":"(Abollino et al., 2002)","manualFormatting":"Abollino et al. (2002)","plainTextFormattedCitation":"(Abollino et al., 2002)","previouslyFormattedCitation":"(Abollino et al., 2002)"},"properties":{"noteIndex":0},"schema":"https://github.com/citation-style-language/schema/raw/master/csl-citation.json"}</w:instrText>
            </w:r>
            <w:r w:rsidRPr="00216965">
              <w:rPr>
                <w:rFonts w:eastAsia="Times New Roman"/>
                <w:sz w:val="16"/>
                <w:szCs w:val="16"/>
              </w:rPr>
              <w:fldChar w:fldCharType="separate"/>
            </w:r>
            <w:r w:rsidRPr="00216965">
              <w:rPr>
                <w:rFonts w:eastAsia="Times New Roman"/>
                <w:noProof/>
                <w:sz w:val="16"/>
                <w:szCs w:val="16"/>
              </w:rPr>
              <w:t>Abollino et al. (2002)</w:t>
            </w:r>
            <w:r w:rsidRPr="00216965">
              <w:rPr>
                <w:rFonts w:eastAsia="Times New Roman"/>
                <w:sz w:val="16"/>
                <w:szCs w:val="16"/>
              </w:rPr>
              <w:fldChar w:fldCharType="end"/>
            </w:r>
          </w:p>
        </w:tc>
      </w:tr>
      <w:bookmarkEnd w:id="35"/>
    </w:tbl>
    <w:p w14:paraId="4FD2C740" w14:textId="77777777" w:rsidR="00506ECF" w:rsidRPr="00216965" w:rsidRDefault="00506ECF" w:rsidP="008A33DA">
      <w:pPr>
        <w:spacing w:line="360" w:lineRule="auto"/>
        <w:jc w:val="both"/>
        <w:rPr>
          <w:rFonts w:eastAsia="Times New Roman" w:cs="Times New Roman"/>
          <w:szCs w:val="24"/>
        </w:rPr>
      </w:pPr>
    </w:p>
    <w:p w14:paraId="1E3989A6" w14:textId="453B6C6D"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Some heavy metals can alter ecosystem function due to their toxic characteristics. To date 17 elements are considered to be both very toxic and relatively accessible to living organisms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sediments","type":"article-journal","volume":"1"},"uris":["http://www.mendeley.com/documents/?uuid=19cf9187-8aee-460e-ad8e-5187b017ed8a"]}],"mendeley":{"formattedCitation":"(Okoro et al., 2012)","plainTextFormattedCitation":"(Okoro et al., 2012)","previouslyFormattedCitation":"(Okoro et al., 2012)"},"properties":{"noteIndex":0},"schema":"https://github.com/citation-style-language/schema/raw/master/csl-citation.json"}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(Okoro et al., 2012)</w:t>
      </w:r>
      <w:r w:rsidRPr="00216965">
        <w:rPr>
          <w:rFonts w:eastAsia="Times New Roman" w:cs="Times New Roman"/>
          <w:szCs w:val="24"/>
        </w:rPr>
        <w:fldChar w:fldCharType="end"/>
      </w:r>
      <w:r w:rsidRPr="00216965">
        <w:rPr>
          <w:rFonts w:eastAsia="Times New Roman" w:cs="Times New Roman"/>
          <w:szCs w:val="24"/>
        </w:rPr>
        <w:t xml:space="preserve">. Some, such as zinc (Zn), iron (Fe), copper (Cu), molybdenum (Mo), Cobalt (Co), Nickel (Ni) and manganese (Mn) are important in plant and animal nutrition at low concentrations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{"citationItems":[{"id":"ITEM-1","itemData":{"DOI":"10.3389/fenvs.2016.00069","ISSN":"2296665X","abstract":"Heavy metals (HMs) exists in the environment in both forms as essential and non-essential. These HM ions enter in soil biota from various sources like natural and anthropogenic. Essential HMs such as cobalt (Co), copper (Cu), iron (Fe), manganese (Mn), molybdenum (Mo), nickel (Ni), and zinc (Zn) plays a beneficial role in plant growth and development. At optimum level these beneficial elements improves the plant's nutritional level and also several mechanisms essential for the normal growth and better yield of plants. The range of their optimality for land plants is varied. Plant uptake heavy metals as a soluble component or solubilized them by root exudates. While their presence in excess become toxic for plants that switches the plant's ability to uptake and accumulate other non-essential elements. The increased amount of HMs within the plant tissue displays direct and indirect toxic impacts. Such direct effects are the generation of oxidative stress which further aggravates inhibition of cytoplasmic enzymes and damage to cell structures. Although, indirect possession is the substitution of essential nutrients at plant's cation exchange sites. These ions readily influence role of various enzymes and proteins, arrest metabolism, and reveal phytotoxicity. On account of recent advancements on beneficial HMs ions Co, Cu, Fe, Mn, Mo, Ni, and Zn in soil-plant system, the present paper: overview the sources of HMs in soils and their uptake and transportation mechanism, here we have discussed the role of metal transporters in transporting the essential metal ions from soil to plants. The role played by Co, Cu, Fe, Mn, Mo, Ni, and Zn at both low and high level on the plant growth and development and the mechanism to alleviate metal toxicity at high level have been also discussed. At the end, on concluding the article we have also discussed the future perspective in respect to beneficial HM ions interaction with plant at both levels.","author":[{"dropping-particle":"","family":"Arif","given":"Namira","non-dropping-particle":"","parse-names":false,"suffix":""},{"dropping-particle":"","family":"Yadav","given":"Vaishali","non-dropping-particle":"","parse-names":false,"suffix":""},{"dropping-particle":"","family":"Singh","given":"Shweta","non-dropping-particle":"","parse-names":false,"suffix":""},{"dropping-particle":"","family":"Singh","given":"Swati","non-dropping-particle":"","parse-names":false,"suffix":""},{"dropping-particle":"","family":"Ahmad","given":"Parvaiz","non-dropping-particle":"","parse-names":false,"suffix":""},{"dropping-particle":"","family":"Mishra","given":"Rohit K.","non-dropping-particle":"","parse-names":false,"suffix":""},{"dropping-particle":"","family":"Sharma","given":"Shivesh","non-dropping-particle":"","parse-names":false,"suffix":""},{"dropping-particle":"","family":"Tripathi","given":"Durgesh Kumar","non-dropping-particle":"","parse-names":false,"suffix":""},{"dropping-particle":"","family":"Dubey","given":"N. K.","non-dropping-particle":"","parse-names":false,"suffix":""},{"dropping-particle":"","family":"Chauhan","given":"Devendra K.","non-dropping-particle":"","parse-names":false,"suffix":""}],"container-title":"Frontiers in Environmental Science","id":"ITEM-1","issued":{"date-parts":[["2016","11","21"]]},"page":"69","publisher":"Frontiers Media S.A.","title":"Influence of high and low levels of plant-beneficial heavy metal ions on plant growth and development","type":"article-journal","volume":"4"},"uris":["http://www.mendeley.com/documents/?uuid=d4bbf953-50ac-3f0e-8cd5-b29d30b63e72"]}],"mendeley":{"formattedCitation":"(Arif et al., 2016)","plainTextFormattedCitation":"(Arif et al., 2016)","previouslyFormattedCitation":"(Arif et al., 2016)"},"properties":{"noteIndex":0},"schema":"https://github.com/citation-style-language/schema/raw/master/csl-citation.json"}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(Arif et al., 2016)</w:t>
      </w:r>
      <w:r w:rsidRPr="00216965">
        <w:rPr>
          <w:rFonts w:eastAsia="Times New Roman" w:cs="Times New Roman"/>
          <w:szCs w:val="24"/>
        </w:rPr>
        <w:fldChar w:fldCharType="end"/>
      </w:r>
      <w:r w:rsidRPr="00216965">
        <w:rPr>
          <w:rFonts w:eastAsia="Times New Roman" w:cs="Times New Roman"/>
          <w:szCs w:val="24"/>
        </w:rPr>
        <w:t xml:space="preserve">. However, beyond a certain threshold level, they are regarded as poisonous and deleterious to plant and animal health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microbes","type":"article-journal","volume":"15"},"uris":["http://www.mendeley.com/documents/?uuid=b874bf00-8864-4188-90b6-39010f72c7e5"]}],"mendeley":{"formattedCitation":"(Abdu et al., 2017)","plainTextFormattedCitation":"(Abdu et al., 2017)","previouslyFormattedCitation":"(Abdu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(Abdu et al., 2017)</w:t>
      </w:r>
      <w:r w:rsidRPr="00216965">
        <w:rPr>
          <w:rFonts w:eastAsia="Times New Roman" w:cs="Times New Roman"/>
          <w:szCs w:val="24"/>
        </w:rPr>
        <w:fldChar w:fldCharType="end"/>
      </w:r>
      <w:r w:rsidRPr="00216965">
        <w:rPr>
          <w:rFonts w:eastAsia="Times New Roman" w:cs="Times New Roman"/>
          <w:szCs w:val="24"/>
        </w:rPr>
        <w:t xml:space="preserve">. For example,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{"citationItems":[{"id":"ITEM-1","itemData":{"ISSN":"1990-9241","abstract":"Germination studies were conducted in ragi (Eleusine coracana L.) and paddy (Oryza sativa L.) inorder to find out the impact of soil cobalt level on germination and seedling vigour. The seeds of ragi and paddy were germinated with six concentrations of cobalt chloride solution ranging from 5-100 mg/l in hydroponic condition upto 8 days. The germination was found increased significantly under low level of cobalt with decreased in germination and reduction in the length of radical and plumule were observed in seeds of ragi and paddy. Vigour index, tolerance index and dry weight of root and shoot of the seedlings increased at low level of cobalt treatments and decreased with increase in cobalt concentrations. However, the germination percentage of ragi and paddy seeds showed a significant difference with cobalt treatment.","author":[{"dropping-particle":"","family":"Jayakumar","given":"Kaliyamoorthy","non-dropping-particle":"","parse-names":false,"suffix":""},{"dropping-particle":"","family":"Jaleel","given":"Abdul","non-dropping-particle":"","parse-names":false,"suffix":""},{"dropping-particle":"","family":"Azooz","given":"M M","non-dropping-particle":"","parse-names":false,"suffix":""}],"container-title":"Global Journal of Molecular Sciences","id":"ITEM-1","issue":"1","issued":{"date-parts":[["2008"]]},"page":"18-20","title":"Impact of cobalt on germination and seedling growth of Eleusine coracana l. and Oryza sativa l. under hydroponic culture","type":"article-journal","volume":"3"},"uris":["http://www.mendeley.com/documents/?uuid=52a46b7b-8759-374e-a253-c92d1dee089c"]}],"mendeley":{"formattedCitation":"(Jayakumar et al., 2008)","manualFormatting":"Jayakumar et al. (2008)","plainTextFormattedCitation":"(Jayakumar et al., 2008)","previouslyFormattedCitation":"(Jayakumar et al., 2008)"},"properties":{"noteIndex":0},"schema":"https://github.com/citation-style-language/schema/raw/master/csl-citation.json"}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Jayakumar et al. (2008)</w:t>
      </w:r>
      <w:r w:rsidRPr="00216965">
        <w:rPr>
          <w:rFonts w:eastAsia="Times New Roman" w:cs="Times New Roman"/>
          <w:szCs w:val="24"/>
        </w:rPr>
        <w:fldChar w:fldCharType="end"/>
      </w:r>
      <w:r w:rsidRPr="00216965">
        <w:rPr>
          <w:rFonts w:eastAsia="Times New Roman" w:cs="Times New Roman"/>
          <w:szCs w:val="24"/>
        </w:rPr>
        <w:t xml:space="preserve"> reported improved seed germination and increased length of roots and shoots of millet and rice at low doses of Co (5 µg.L</w:t>
      </w:r>
      <w:r w:rsidRPr="00216965">
        <w:rPr>
          <w:rFonts w:eastAsia="Times New Roman" w:cs="Times New Roman"/>
          <w:szCs w:val="24"/>
          <w:vertAlign w:val="superscript"/>
        </w:rPr>
        <w:t>−1</w:t>
      </w:r>
      <w:r w:rsidRPr="00216965">
        <w:rPr>
          <w:rFonts w:eastAsia="Times New Roman" w:cs="Times New Roman"/>
          <w:szCs w:val="24"/>
        </w:rPr>
        <w:t>) while the opposite was observed at high dosage (25–100 µg Co L</w:t>
      </w:r>
      <w:r w:rsidRPr="00216965">
        <w:rPr>
          <w:rFonts w:eastAsia="Times New Roman" w:cs="Times New Roman"/>
          <w:szCs w:val="24"/>
          <w:vertAlign w:val="superscript"/>
        </w:rPr>
        <w:t>−1</w:t>
      </w:r>
      <w:r w:rsidRPr="00216965">
        <w:rPr>
          <w:rFonts w:eastAsia="Times New Roman" w:cs="Times New Roman"/>
          <w:szCs w:val="24"/>
        </w:rPr>
        <w:t xml:space="preserve">). Similarly, </w:t>
      </w:r>
      <w:r w:rsidRPr="00216965">
        <w:rPr>
          <w:rFonts w:eastAsia="Times New Roman" w:cs="Times New Roman"/>
          <w:szCs w:val="24"/>
        </w:rPr>
        <w:fldChar w:fldCharType="begin" w:fldLock="1"/>
      </w:r>
      <w:r w:rsidR="00C83E62" w:rsidRPr="00216965">
        <w:rPr>
          <w:rFonts w:eastAsia="Times New Roman" w:cs="Times New Roman"/>
          <w:szCs w:val="24"/>
        </w:rPr>
        <w:instrText>ADDIN CSL_CITATION {"citationItems":[{"id":"ITEM-1","itemData":{"ISSN":"1991-8178","abstract":"A pot experiment was conducted to evaluate the sensitivity of chickpea, Cicer arietinum cv. T-3 to nickel and cobalt at 0, 10, 50, 100, 200 and 400 ppm concentrations. The bacterized seeds of chickpea were sown in 15 cm clay pots containing 1.5 kg steam sterilized soil. Before the sowing 550 ml metal solution of different concentrations was added per pot. Nickel and cobalt at the higher concentrations (100-400 ppm) were found injurious to chickpea. Seed germination, plant growth and biomass production were adversely affected. Root nodulation was suppressed and number of functional nodules appreciably decreased. Leaf chlorophyll contents were greatly reduced. These adverse impacts reflected in reduced yield of the plants. Nickel was apparently more harmful than cobalt to chickpea. The study suggests that cultivation of crops like chickpea in metal polluted soils should be avoided or appropriate control measures be adopted to maintain the heavy metal content of the soil below the damage threshold levels, which was found to be 10 ppm Ni and 50 ppm Co for chickpea.","author":[{"dropping-particle":"","family":"Khan","given":"Rahman","non-dropping-particle":"","parse-names":false,"suffix":""},{"dropping-particle":"","family":"Khan","given":"Mohd Mahmud","non-dropping-particle":"","parse-names":false,"suffix":""}],"container-title":"Australian Journal of Basic and Applied Sciences","id":"ITEM-1","issue":"6","issued":{"date-parts":[["2010"]]},"page":"1036-1046","title":"Effect of varying concentration of nickel and cobalt on the plant growth and yield of chickpea","type":"article-journal","volume":"4"},"uris":["http://www.mendeley.com/documents/?uuid=6be11294-1594-3654-a173-fadf80b6c499"]}],"mendeley":{"formattedCitation":"(Khan and Khan, 2010)","manualFormatting":"Khan and Khan (2010)","plainTextFormattedCitation":"(Khan and Khan, 2010)","previouslyFormattedCitation":"(Khan and Khan, 2010)"},"properties":{"noteIndex":0},"schema":"https://github.com/citation-style-language/schema/raw/master/csl-citation.json"}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Khan and Khan (2010)</w:t>
      </w:r>
      <w:r w:rsidRPr="00216965">
        <w:rPr>
          <w:rFonts w:eastAsia="Times New Roman" w:cs="Times New Roman"/>
          <w:szCs w:val="24"/>
        </w:rPr>
        <w:fldChar w:fldCharType="end"/>
      </w:r>
      <w:r w:rsidRPr="00216965">
        <w:rPr>
          <w:rFonts w:eastAsia="Times New Roman" w:cs="Times New Roman"/>
          <w:szCs w:val="24"/>
        </w:rPr>
        <w:t xml:space="preserve"> reported that low doses of Ni and Co (0-50 ppm) added to chickpea did not cause any harm to plants whereas higher doses (100- 400 ppm) affected negatively s</w:t>
      </w:r>
      <w:r w:rsidRPr="00216965">
        <w:t xml:space="preserve">eed germination, plant growth and biomass production. It was noted </w:t>
      </w:r>
      <w:r w:rsidRPr="00216965">
        <w:lastRenderedPageBreak/>
        <w:t>that root nodulation was suppressed and leaf chlorophyll contents were reduced</w:t>
      </w:r>
      <w:r w:rsidRPr="00216965">
        <w:rPr>
          <w:rFonts w:eastAsia="Times New Roman" w:cs="Times New Roman"/>
          <w:szCs w:val="24"/>
        </w:rPr>
        <w:t xml:space="preserve">. </w:t>
      </w:r>
      <w:r w:rsidR="005850BF" w:rsidRPr="00216965">
        <w:rPr>
          <w:rFonts w:eastAsia="Times New Roman" w:cs="Times New Roman"/>
          <w:szCs w:val="24"/>
        </w:rPr>
        <w:fldChar w:fldCharType="begin"/>
      </w:r>
      <w:r w:rsidR="005850BF" w:rsidRPr="00216965">
        <w:rPr>
          <w:rFonts w:eastAsia="Times New Roman" w:cs="Times New Roman"/>
          <w:szCs w:val="24"/>
        </w:rPr>
        <w:instrText xml:space="preserve"> REF _Ref86494670 \h </w:instrText>
      </w:r>
      <w:r w:rsidR="005850BF" w:rsidRPr="00216965">
        <w:rPr>
          <w:rFonts w:eastAsia="Times New Roman" w:cs="Times New Roman"/>
          <w:szCs w:val="24"/>
        </w:rPr>
      </w:r>
      <w:r w:rsidR="00216965" w:rsidRPr="00216965">
        <w:rPr>
          <w:rFonts w:eastAsia="Times New Roman" w:cs="Times New Roman"/>
          <w:szCs w:val="24"/>
        </w:rPr>
        <w:instrText xml:space="preserve"> \* MERGEFORMAT </w:instrText>
      </w:r>
      <w:r w:rsidR="005850BF" w:rsidRPr="00216965">
        <w:rPr>
          <w:rFonts w:eastAsia="Times New Roman" w:cs="Times New Roman"/>
          <w:szCs w:val="24"/>
        </w:rPr>
        <w:fldChar w:fldCharType="separate"/>
      </w:r>
      <w:r w:rsidR="006E23EA" w:rsidRPr="00216965">
        <w:rPr>
          <w:b/>
        </w:rPr>
        <w:t xml:space="preserve">Table </w:t>
      </w:r>
      <w:r w:rsidR="006E23EA" w:rsidRPr="00216965">
        <w:rPr>
          <w:b/>
          <w:bCs/>
          <w:noProof/>
        </w:rPr>
        <w:t>2</w:t>
      </w:r>
      <w:r w:rsidR="006E23EA" w:rsidRPr="00216965">
        <w:rPr>
          <w:b/>
        </w:rPr>
        <w:noBreakHyphen/>
      </w:r>
      <w:r w:rsidR="006E23EA" w:rsidRPr="00216965">
        <w:rPr>
          <w:b/>
          <w:bCs/>
          <w:noProof/>
        </w:rPr>
        <w:t>2</w:t>
      </w:r>
      <w:r w:rsidR="005850BF" w:rsidRPr="00216965">
        <w:rPr>
          <w:rFonts w:eastAsia="Times New Roman" w:cs="Times New Roman"/>
          <w:szCs w:val="24"/>
        </w:rPr>
        <w:fldChar w:fldCharType="end"/>
      </w:r>
      <w:r w:rsidRPr="00216965">
        <w:rPr>
          <w:rFonts w:eastAsia="Times New Roman" w:cs="Times New Roman"/>
          <w:szCs w:val="24"/>
        </w:rPr>
        <w:t xml:space="preserve"> presents the normal and toxic concentrations of HM in plants.</w:t>
      </w:r>
    </w:p>
    <w:p w14:paraId="51F47B47" w14:textId="07EF0B8B" w:rsidR="00632101" w:rsidRPr="00216965" w:rsidRDefault="00506ECF" w:rsidP="008A33DA">
      <w:pPr>
        <w:pStyle w:val="Caption"/>
        <w:rPr>
          <w:rFonts w:eastAsia="Times New Roman" w:cs="Times New Roman"/>
          <w:b/>
          <w:bCs w:val="0"/>
          <w:szCs w:val="24"/>
        </w:rPr>
      </w:pPr>
      <w:bookmarkStart w:id="36" w:name="_Ref86494670"/>
      <w:bookmarkStart w:id="37" w:name="_Toc86440358"/>
      <w:bookmarkStart w:id="38" w:name="_Hlk86425680"/>
      <w:r w:rsidRPr="00216965">
        <w:rPr>
          <w:b/>
          <w:bCs w:val="0"/>
        </w:rPr>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2</w:t>
      </w:r>
      <w:r w:rsidR="00E569FA" w:rsidRPr="00216965">
        <w:rPr>
          <w:b/>
          <w:bCs w:val="0"/>
        </w:rPr>
        <w:fldChar w:fldCharType="end"/>
      </w:r>
      <w:bookmarkEnd w:id="36"/>
      <w:r w:rsidRPr="00216965">
        <w:rPr>
          <w:b/>
          <w:bCs w:val="0"/>
        </w:rPr>
        <w:t xml:space="preserve"> </w:t>
      </w:r>
      <w:r w:rsidRPr="00216965">
        <w:rPr>
          <w:rFonts w:eastAsia="Times New Roman" w:cs="Times New Roman"/>
          <w:b/>
          <w:bCs w:val="0"/>
          <w:szCs w:val="24"/>
        </w:rPr>
        <w:t>Concentration ranges of heavy metals in plants</w:t>
      </w:r>
      <w:bookmarkEnd w:id="37"/>
      <w:r w:rsidR="00384B2E" w:rsidRPr="00216965">
        <w:rPr>
          <w:rFonts w:eastAsia="Times New Roman" w:cs="Times New Roman"/>
          <w:b/>
          <w:bCs w:val="0"/>
          <w:szCs w:val="24"/>
        </w:rPr>
        <w:t xml:space="preserve">. </w:t>
      </w:r>
      <w:r w:rsidR="00384B2E" w:rsidRPr="00216965">
        <w:rPr>
          <w:rFonts w:eastAsia="Times New Roman" w:cs="Times New Roman"/>
          <w:szCs w:val="24"/>
        </w:rPr>
        <w:t xml:space="preserve">Values were </w:t>
      </w:r>
      <w:r w:rsidR="00B06D44" w:rsidRPr="00216965">
        <w:rPr>
          <w:rFonts w:eastAsia="Times New Roman" w:cs="Times New Roman"/>
          <w:szCs w:val="24"/>
        </w:rPr>
        <w:t xml:space="preserve">adapted </w:t>
      </w:r>
      <w:r w:rsidR="00384B2E" w:rsidRPr="00216965">
        <w:rPr>
          <w:rFonts w:eastAsia="Times New Roman" w:cs="Times New Roman"/>
          <w:szCs w:val="24"/>
        </w:rPr>
        <w:t xml:space="preserve">from </w:t>
      </w:r>
      <w:r w:rsidR="00384B2E" w:rsidRPr="00216965">
        <w:rPr>
          <w:rFonts w:eastAsia="Times New Roman" w:cs="Times New Roman"/>
          <w:sz w:val="22"/>
          <w:szCs w:val="22"/>
        </w:rPr>
        <w:fldChar w:fldCharType="begin" w:fldLock="1"/>
      </w:r>
      <w:r w:rsidR="006C06AA" w:rsidRPr="00216965">
        <w:rPr>
          <w:rFonts w:eastAsia="Times New Roman" w:cs="Times New Roman"/>
          <w:sz w:val="22"/>
          <w:szCs w:val="22"/>
        </w:rPr>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2015)","manualFormatting":"Kim et al. (2015)","plainTextFormattedCitation":"(Kim et al., 2015)","previouslyFormattedCitation":"(Kim et al., 2015)"},"properties":{"noteIndex":0},"schema":"https://github.com/citation-style-language/schema/raw/master/csl-citation.json"}</w:instrText>
      </w:r>
      <w:r w:rsidR="00384B2E" w:rsidRPr="00216965">
        <w:rPr>
          <w:rFonts w:eastAsia="Times New Roman" w:cs="Times New Roman"/>
          <w:sz w:val="22"/>
          <w:szCs w:val="22"/>
        </w:rPr>
        <w:fldChar w:fldCharType="separate"/>
      </w:r>
      <w:r w:rsidR="00384B2E" w:rsidRPr="00216965">
        <w:rPr>
          <w:rFonts w:eastAsia="Times New Roman" w:cs="Times New Roman"/>
          <w:noProof/>
          <w:sz w:val="22"/>
          <w:szCs w:val="22"/>
        </w:rPr>
        <w:t>Kim et al. (2015)</w:t>
      </w:r>
      <w:r w:rsidR="00384B2E" w:rsidRPr="00216965">
        <w:rPr>
          <w:rFonts w:eastAsia="Times New Roman" w:cs="Times New Roman"/>
          <w:sz w:val="22"/>
          <w:szCs w:val="22"/>
        </w:rPr>
        <w:fldChar w:fldCharType="end"/>
      </w:r>
      <w:r w:rsidR="00384B2E" w:rsidRPr="00216965">
        <w:rPr>
          <w:rFonts w:eastAsia="Times New Roman" w:cs="Times New Roman"/>
          <w:sz w:val="22"/>
          <w:szCs w:val="22"/>
        </w:rPr>
        <w:t xml:space="preserve"> and  </w:t>
      </w:r>
      <w:r w:rsidR="00384B2E" w:rsidRPr="00216965">
        <w:rPr>
          <w:rFonts w:eastAsia="Times New Roman" w:cs="Times New Roman"/>
          <w:sz w:val="22"/>
          <w:szCs w:val="22"/>
        </w:rPr>
        <w:fldChar w:fldCharType="begin" w:fldLock="1"/>
      </w:r>
      <w:r w:rsidR="006C06AA" w:rsidRPr="00216965">
        <w:rPr>
          <w:rFonts w:eastAsia="Times New Roman" w:cs="Times New Roman"/>
          <w:sz w:val="22"/>
          <w:szCs w:val="22"/>
        </w:rPr>
        <w:instrText>ADDIN CSL_CITATION {"citationItems":[{"id":"ITEM-1","itemData":{"DOI":"10.1007/s10311-010-0297-8","ISBN":"1610-3653","ISSN":"16103653","abstract":"Metal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Letters","id":"ITEM-1","issue":"3","issued":{"date-parts":[["2010"]]},"page":"199-216","title":"Heavy metals, occurrence and toxicity for plants: A review","type":"article-journal","volume":"8"},"uris":["http://www.mendeley.com/documents/?uuid=c3cf0d3a-0f37-4d68-898c-8d5404c4a140"]}],"mendeley":{"formattedCitation":"(Nagajyoti et al., 2010)","manualFormatting":"Nagajyoti et al. (2010)","plainTextFormattedCitation":"(Nagajyoti et al., 2010)","previouslyFormattedCitation":"(Nagajyoti et al., 2010)"},"properties":{"noteIndex":0},"schema":"https://github.com/citation-style-language/schema/raw/master/csl-citation.json"}</w:instrText>
      </w:r>
      <w:r w:rsidR="00384B2E" w:rsidRPr="00216965">
        <w:rPr>
          <w:rFonts w:eastAsia="Times New Roman" w:cs="Times New Roman"/>
          <w:sz w:val="22"/>
          <w:szCs w:val="22"/>
        </w:rPr>
        <w:fldChar w:fldCharType="separate"/>
      </w:r>
      <w:r w:rsidR="00384B2E" w:rsidRPr="00216965">
        <w:rPr>
          <w:rFonts w:eastAsia="Times New Roman" w:cs="Times New Roman"/>
          <w:noProof/>
          <w:sz w:val="22"/>
          <w:szCs w:val="22"/>
        </w:rPr>
        <w:t xml:space="preserve">Nagajyoti </w:t>
      </w:r>
      <w:r w:rsidR="00384B2E" w:rsidRPr="00216965">
        <w:rPr>
          <w:rFonts w:eastAsia="Times New Roman" w:cs="Times New Roman"/>
          <w:iCs/>
          <w:noProof/>
          <w:sz w:val="22"/>
          <w:szCs w:val="22"/>
        </w:rPr>
        <w:t>et al</w:t>
      </w:r>
      <w:r w:rsidR="00384B2E" w:rsidRPr="00216965">
        <w:rPr>
          <w:rFonts w:eastAsia="Times New Roman" w:cs="Times New Roman"/>
          <w:noProof/>
          <w:sz w:val="22"/>
          <w:szCs w:val="22"/>
        </w:rPr>
        <w:t>. (2010)</w:t>
      </w:r>
      <w:r w:rsidR="00384B2E" w:rsidRPr="00216965">
        <w:rPr>
          <w:rFonts w:eastAsia="Times New Roman" w:cs="Times New Roman"/>
          <w:sz w:val="22"/>
          <w:szCs w:val="22"/>
        </w:rPr>
        <w:fldChar w:fldCharType="end"/>
      </w:r>
      <w:r w:rsidR="00A95538" w:rsidRPr="00216965">
        <w:rPr>
          <w:rFonts w:eastAsia="Times New Roman" w:cs="Times New Roman"/>
          <w:sz w:val="22"/>
          <w:szCs w:val="22"/>
        </w:rPr>
        <w:t>.</w:t>
      </w:r>
    </w:p>
    <w:tbl>
      <w:tblPr>
        <w:tblStyle w:val="TableGrid"/>
        <w:tblW w:w="722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4"/>
        <w:gridCol w:w="1180"/>
        <w:gridCol w:w="2369"/>
        <w:gridCol w:w="2121"/>
      </w:tblGrid>
      <w:tr w:rsidR="00632101" w:rsidRPr="00216965" w14:paraId="6F5C93D1" w14:textId="77777777" w:rsidTr="008A33DA">
        <w:tc>
          <w:tcPr>
            <w:tcW w:w="1554" w:type="dxa"/>
            <w:tcBorders>
              <w:top w:val="single" w:sz="4" w:space="0" w:color="auto"/>
              <w:bottom w:val="single" w:sz="4" w:space="0" w:color="auto"/>
            </w:tcBorders>
            <w:shd w:val="clear" w:color="auto" w:fill="A8D08D" w:themeFill="accent6" w:themeFillTint="99"/>
          </w:tcPr>
          <w:p w14:paraId="2B2A2B6F" w14:textId="77777777" w:rsidR="00632101" w:rsidRPr="00216965" w:rsidRDefault="00632101" w:rsidP="00A0457B">
            <w:pPr>
              <w:spacing w:line="360" w:lineRule="auto"/>
              <w:rPr>
                <w:rFonts w:eastAsia="Times New Roman"/>
                <w:szCs w:val="24"/>
              </w:rPr>
            </w:pPr>
            <w:r w:rsidRPr="00216965">
              <w:rPr>
                <w:rFonts w:eastAsia="Times New Roman"/>
                <w:b/>
                <w:bCs/>
                <w:sz w:val="20"/>
                <w:szCs w:val="20"/>
              </w:rPr>
              <w:t>Heavy metal</w:t>
            </w:r>
          </w:p>
        </w:tc>
        <w:tc>
          <w:tcPr>
            <w:tcW w:w="5670" w:type="dxa"/>
            <w:gridSpan w:val="3"/>
            <w:tcBorders>
              <w:top w:val="single" w:sz="4" w:space="0" w:color="auto"/>
              <w:bottom w:val="single" w:sz="4" w:space="0" w:color="auto"/>
            </w:tcBorders>
            <w:shd w:val="clear" w:color="auto" w:fill="A8D08D" w:themeFill="accent6" w:themeFillTint="99"/>
            <w:vAlign w:val="center"/>
          </w:tcPr>
          <w:p w14:paraId="0BD11699" w14:textId="77777777" w:rsidR="00632101" w:rsidRPr="00216965" w:rsidRDefault="00632101" w:rsidP="00A0457B">
            <w:pPr>
              <w:spacing w:line="360" w:lineRule="auto"/>
              <w:jc w:val="center"/>
              <w:rPr>
                <w:rFonts w:eastAsia="Times New Roman"/>
                <w:szCs w:val="24"/>
                <w:lang w:val="fr-FR"/>
              </w:rPr>
            </w:pPr>
            <w:r w:rsidRPr="00216965">
              <w:rPr>
                <w:rFonts w:eastAsia="Times New Roman"/>
                <w:b/>
                <w:bCs/>
                <w:sz w:val="20"/>
                <w:szCs w:val="20"/>
                <w:lang w:val="fr-FR"/>
              </w:rPr>
              <w:t>Concentration range (mg.kg</w:t>
            </w:r>
            <w:r w:rsidRPr="00216965">
              <w:rPr>
                <w:rFonts w:eastAsia="Times New Roman"/>
                <w:b/>
                <w:bCs/>
                <w:sz w:val="20"/>
                <w:szCs w:val="20"/>
                <w:vertAlign w:val="superscript"/>
                <w:lang w:val="fr-FR"/>
              </w:rPr>
              <w:t>-1</w:t>
            </w:r>
            <w:r w:rsidRPr="00216965">
              <w:rPr>
                <w:rFonts w:eastAsia="Times New Roman"/>
                <w:b/>
                <w:bCs/>
                <w:sz w:val="20"/>
                <w:szCs w:val="20"/>
                <w:lang w:val="fr-FR"/>
              </w:rPr>
              <w:t>)</w:t>
            </w:r>
          </w:p>
        </w:tc>
      </w:tr>
      <w:tr w:rsidR="00632101" w:rsidRPr="00216965" w14:paraId="7A311163" w14:textId="77777777" w:rsidTr="008A33DA">
        <w:tc>
          <w:tcPr>
            <w:tcW w:w="1554" w:type="dxa"/>
            <w:tcBorders>
              <w:top w:val="single" w:sz="4" w:space="0" w:color="auto"/>
            </w:tcBorders>
          </w:tcPr>
          <w:p w14:paraId="4D9FA785" w14:textId="77777777" w:rsidR="00632101" w:rsidRPr="00216965" w:rsidRDefault="00632101" w:rsidP="00A0457B">
            <w:pPr>
              <w:spacing w:line="360" w:lineRule="auto"/>
              <w:rPr>
                <w:rFonts w:eastAsia="Times New Roman"/>
                <w:szCs w:val="24"/>
              </w:rPr>
            </w:pPr>
          </w:p>
        </w:tc>
        <w:tc>
          <w:tcPr>
            <w:tcW w:w="1180" w:type="dxa"/>
            <w:tcBorders>
              <w:top w:val="single" w:sz="4" w:space="0" w:color="auto"/>
              <w:bottom w:val="single" w:sz="4" w:space="0" w:color="auto"/>
            </w:tcBorders>
          </w:tcPr>
          <w:p w14:paraId="00EA770E" w14:textId="77777777" w:rsidR="00632101" w:rsidRPr="00216965" w:rsidRDefault="00632101" w:rsidP="00A0457B">
            <w:pPr>
              <w:spacing w:line="360" w:lineRule="auto"/>
              <w:rPr>
                <w:rFonts w:eastAsia="Times New Roman"/>
                <w:szCs w:val="24"/>
                <w:lang w:val="fr-FR"/>
              </w:rPr>
            </w:pPr>
            <w:r w:rsidRPr="00216965">
              <w:rPr>
                <w:rFonts w:eastAsia="Times New Roman"/>
                <w:szCs w:val="24"/>
                <w:lang w:val="fr-FR"/>
              </w:rPr>
              <w:t>Deficient</w:t>
            </w:r>
          </w:p>
        </w:tc>
        <w:tc>
          <w:tcPr>
            <w:tcW w:w="2369" w:type="dxa"/>
            <w:tcBorders>
              <w:top w:val="single" w:sz="4" w:space="0" w:color="auto"/>
              <w:bottom w:val="single" w:sz="4" w:space="0" w:color="auto"/>
            </w:tcBorders>
          </w:tcPr>
          <w:p w14:paraId="3DE6107B" w14:textId="77777777" w:rsidR="00632101" w:rsidRPr="00216965" w:rsidRDefault="00632101" w:rsidP="00A0457B">
            <w:pPr>
              <w:spacing w:line="360" w:lineRule="auto"/>
              <w:rPr>
                <w:rFonts w:eastAsia="Times New Roman"/>
                <w:szCs w:val="24"/>
                <w:lang w:val="fr-FR"/>
              </w:rPr>
            </w:pPr>
            <w:r w:rsidRPr="00216965">
              <w:rPr>
                <w:rFonts w:eastAsia="Times New Roman"/>
                <w:szCs w:val="24"/>
                <w:lang w:val="fr-FR"/>
              </w:rPr>
              <w:t>Sufficient or normal</w:t>
            </w:r>
          </w:p>
        </w:tc>
        <w:tc>
          <w:tcPr>
            <w:tcW w:w="2121" w:type="dxa"/>
            <w:tcBorders>
              <w:top w:val="single" w:sz="4" w:space="0" w:color="auto"/>
              <w:bottom w:val="single" w:sz="4" w:space="0" w:color="auto"/>
            </w:tcBorders>
          </w:tcPr>
          <w:p w14:paraId="3E130199" w14:textId="77777777" w:rsidR="00632101" w:rsidRPr="00216965" w:rsidRDefault="00632101" w:rsidP="00A0457B">
            <w:pPr>
              <w:spacing w:line="360" w:lineRule="auto"/>
              <w:rPr>
                <w:rFonts w:eastAsia="Times New Roman"/>
                <w:szCs w:val="24"/>
                <w:lang w:val="fr-FR"/>
              </w:rPr>
            </w:pPr>
            <w:r w:rsidRPr="00216965">
              <w:rPr>
                <w:rFonts w:eastAsia="Times New Roman"/>
                <w:szCs w:val="24"/>
                <w:lang w:val="fr-FR"/>
              </w:rPr>
              <w:t>Excessive or toxic</w:t>
            </w:r>
          </w:p>
        </w:tc>
      </w:tr>
      <w:tr w:rsidR="00632101" w:rsidRPr="00216965" w14:paraId="6B915A91" w14:textId="77777777" w:rsidTr="008A33DA">
        <w:tc>
          <w:tcPr>
            <w:tcW w:w="1554" w:type="dxa"/>
          </w:tcPr>
          <w:p w14:paraId="4774F5C1" w14:textId="77777777" w:rsidR="00632101" w:rsidRPr="00216965" w:rsidRDefault="00632101" w:rsidP="00A0457B">
            <w:pPr>
              <w:spacing w:line="360" w:lineRule="auto"/>
              <w:rPr>
                <w:rFonts w:eastAsia="Times New Roman"/>
                <w:szCs w:val="24"/>
              </w:rPr>
            </w:pPr>
            <w:r w:rsidRPr="00216965">
              <w:rPr>
                <w:rFonts w:eastAsia="Times New Roman"/>
                <w:szCs w:val="24"/>
              </w:rPr>
              <w:t>Cd</w:t>
            </w:r>
          </w:p>
        </w:tc>
        <w:tc>
          <w:tcPr>
            <w:tcW w:w="1180" w:type="dxa"/>
            <w:tcBorders>
              <w:top w:val="single" w:sz="4" w:space="0" w:color="auto"/>
            </w:tcBorders>
          </w:tcPr>
          <w:p w14:paraId="6D04D171" w14:textId="77777777" w:rsidR="00632101" w:rsidRPr="00216965" w:rsidRDefault="00632101" w:rsidP="00A0457B">
            <w:pPr>
              <w:spacing w:line="360" w:lineRule="auto"/>
              <w:rPr>
                <w:rFonts w:eastAsia="Times New Roman"/>
                <w:szCs w:val="24"/>
              </w:rPr>
            </w:pPr>
          </w:p>
        </w:tc>
        <w:tc>
          <w:tcPr>
            <w:tcW w:w="2369" w:type="dxa"/>
            <w:tcBorders>
              <w:top w:val="single" w:sz="4" w:space="0" w:color="auto"/>
            </w:tcBorders>
          </w:tcPr>
          <w:p w14:paraId="6CE3BE34" w14:textId="77777777" w:rsidR="00632101" w:rsidRPr="00216965" w:rsidRDefault="00632101" w:rsidP="00A0457B">
            <w:pPr>
              <w:spacing w:line="360" w:lineRule="auto"/>
              <w:rPr>
                <w:rFonts w:eastAsia="Times New Roman"/>
                <w:szCs w:val="24"/>
              </w:rPr>
            </w:pPr>
            <w:r w:rsidRPr="00216965">
              <w:rPr>
                <w:rFonts w:eastAsia="Times New Roman"/>
                <w:szCs w:val="24"/>
              </w:rPr>
              <w:t>0.05–2.4</w:t>
            </w:r>
          </w:p>
        </w:tc>
        <w:tc>
          <w:tcPr>
            <w:tcW w:w="2121" w:type="dxa"/>
            <w:tcBorders>
              <w:top w:val="single" w:sz="4" w:space="0" w:color="auto"/>
            </w:tcBorders>
          </w:tcPr>
          <w:p w14:paraId="7804CF4B" w14:textId="77777777" w:rsidR="00632101" w:rsidRPr="00216965" w:rsidRDefault="00632101" w:rsidP="00A0457B">
            <w:pPr>
              <w:spacing w:line="360" w:lineRule="auto"/>
              <w:rPr>
                <w:rFonts w:eastAsia="Times New Roman"/>
                <w:szCs w:val="24"/>
              </w:rPr>
            </w:pPr>
            <w:r w:rsidRPr="00216965">
              <w:rPr>
                <w:rFonts w:eastAsia="Times New Roman"/>
                <w:szCs w:val="24"/>
              </w:rPr>
              <w:t>&gt;5–10</w:t>
            </w:r>
          </w:p>
        </w:tc>
      </w:tr>
      <w:tr w:rsidR="00632101" w:rsidRPr="00216965" w14:paraId="58085A5C" w14:textId="77777777" w:rsidTr="008A33DA">
        <w:tc>
          <w:tcPr>
            <w:tcW w:w="1554" w:type="dxa"/>
          </w:tcPr>
          <w:p w14:paraId="424C634A" w14:textId="77777777" w:rsidR="00632101" w:rsidRPr="00216965" w:rsidRDefault="00632101" w:rsidP="00A0457B">
            <w:pPr>
              <w:spacing w:line="360" w:lineRule="auto"/>
              <w:rPr>
                <w:rFonts w:eastAsia="Times New Roman"/>
                <w:szCs w:val="24"/>
              </w:rPr>
            </w:pPr>
            <w:r w:rsidRPr="00216965">
              <w:rPr>
                <w:rFonts w:eastAsia="Times New Roman"/>
                <w:szCs w:val="24"/>
              </w:rPr>
              <w:t>Zn</w:t>
            </w:r>
          </w:p>
        </w:tc>
        <w:tc>
          <w:tcPr>
            <w:tcW w:w="1180" w:type="dxa"/>
          </w:tcPr>
          <w:p w14:paraId="0789D60B" w14:textId="77777777" w:rsidR="00632101" w:rsidRPr="00216965" w:rsidRDefault="00632101" w:rsidP="00A0457B">
            <w:pPr>
              <w:spacing w:line="360" w:lineRule="auto"/>
              <w:rPr>
                <w:rFonts w:eastAsia="Times New Roman"/>
                <w:szCs w:val="24"/>
              </w:rPr>
            </w:pPr>
            <w:r w:rsidRPr="00216965">
              <w:rPr>
                <w:rFonts w:eastAsia="Times New Roman"/>
                <w:szCs w:val="24"/>
              </w:rPr>
              <w:t>&lt;10–25</w:t>
            </w:r>
          </w:p>
        </w:tc>
        <w:tc>
          <w:tcPr>
            <w:tcW w:w="2369" w:type="dxa"/>
          </w:tcPr>
          <w:p w14:paraId="4DE51466" w14:textId="77777777" w:rsidR="00632101" w:rsidRPr="00216965" w:rsidRDefault="00632101" w:rsidP="00A0457B">
            <w:pPr>
              <w:spacing w:line="360" w:lineRule="auto"/>
              <w:rPr>
                <w:rFonts w:eastAsia="Times New Roman"/>
                <w:szCs w:val="24"/>
              </w:rPr>
            </w:pPr>
            <w:r w:rsidRPr="00216965">
              <w:rPr>
                <w:rFonts w:eastAsia="Times New Roman"/>
                <w:szCs w:val="24"/>
              </w:rPr>
              <w:t>25–150</w:t>
            </w:r>
          </w:p>
        </w:tc>
        <w:tc>
          <w:tcPr>
            <w:tcW w:w="2121" w:type="dxa"/>
          </w:tcPr>
          <w:p w14:paraId="684C73EE" w14:textId="77777777" w:rsidR="00632101" w:rsidRPr="00216965" w:rsidRDefault="00632101" w:rsidP="00A0457B">
            <w:pPr>
              <w:spacing w:line="360" w:lineRule="auto"/>
              <w:rPr>
                <w:rFonts w:eastAsia="Times New Roman"/>
                <w:szCs w:val="24"/>
              </w:rPr>
            </w:pPr>
            <w:r w:rsidRPr="00216965">
              <w:rPr>
                <w:rFonts w:eastAsia="Times New Roman"/>
                <w:szCs w:val="24"/>
              </w:rPr>
              <w:t>&gt;150–400</w:t>
            </w:r>
          </w:p>
        </w:tc>
      </w:tr>
      <w:tr w:rsidR="00632101" w:rsidRPr="00216965" w14:paraId="07F6BF7D" w14:textId="77777777" w:rsidTr="008A33DA">
        <w:tc>
          <w:tcPr>
            <w:tcW w:w="1554" w:type="dxa"/>
          </w:tcPr>
          <w:p w14:paraId="537F60A6" w14:textId="77777777" w:rsidR="00632101" w:rsidRPr="00216965" w:rsidRDefault="00632101" w:rsidP="00A0457B">
            <w:pPr>
              <w:spacing w:line="360" w:lineRule="auto"/>
              <w:rPr>
                <w:rFonts w:eastAsia="Times New Roman"/>
                <w:szCs w:val="24"/>
              </w:rPr>
            </w:pPr>
            <w:r w:rsidRPr="00216965">
              <w:rPr>
                <w:rFonts w:eastAsia="Times New Roman"/>
                <w:szCs w:val="24"/>
              </w:rPr>
              <w:t>Ni</w:t>
            </w:r>
          </w:p>
        </w:tc>
        <w:tc>
          <w:tcPr>
            <w:tcW w:w="1180" w:type="dxa"/>
          </w:tcPr>
          <w:p w14:paraId="58ABA95A" w14:textId="77777777" w:rsidR="00632101" w:rsidRPr="00216965" w:rsidRDefault="00632101" w:rsidP="00A0457B">
            <w:pPr>
              <w:spacing w:line="360" w:lineRule="auto"/>
              <w:rPr>
                <w:rFonts w:eastAsia="Times New Roman"/>
                <w:szCs w:val="24"/>
              </w:rPr>
            </w:pPr>
          </w:p>
        </w:tc>
        <w:tc>
          <w:tcPr>
            <w:tcW w:w="2369" w:type="dxa"/>
          </w:tcPr>
          <w:p w14:paraId="4C8CD4DC" w14:textId="77777777" w:rsidR="00632101" w:rsidRPr="00216965" w:rsidRDefault="00632101" w:rsidP="00A0457B">
            <w:pPr>
              <w:spacing w:line="360" w:lineRule="auto"/>
              <w:rPr>
                <w:rFonts w:eastAsia="Times New Roman"/>
                <w:szCs w:val="24"/>
              </w:rPr>
            </w:pPr>
            <w:r w:rsidRPr="00216965">
              <w:rPr>
                <w:rFonts w:eastAsia="Times New Roman"/>
                <w:szCs w:val="24"/>
              </w:rPr>
              <w:t>0.1–5</w:t>
            </w:r>
          </w:p>
        </w:tc>
        <w:tc>
          <w:tcPr>
            <w:tcW w:w="2121" w:type="dxa"/>
          </w:tcPr>
          <w:p w14:paraId="51CEDCBA" w14:textId="77777777" w:rsidR="00632101" w:rsidRPr="00216965" w:rsidRDefault="00632101" w:rsidP="00A0457B">
            <w:pPr>
              <w:spacing w:line="360" w:lineRule="auto"/>
              <w:rPr>
                <w:rFonts w:eastAsia="Times New Roman"/>
                <w:szCs w:val="24"/>
              </w:rPr>
            </w:pPr>
            <w:r w:rsidRPr="00216965">
              <w:rPr>
                <w:rFonts w:eastAsia="Times New Roman"/>
                <w:szCs w:val="24"/>
              </w:rPr>
              <w:t>&gt;20–30</w:t>
            </w:r>
          </w:p>
        </w:tc>
      </w:tr>
      <w:tr w:rsidR="00632101" w:rsidRPr="00216965" w14:paraId="5F8D26BA" w14:textId="77777777" w:rsidTr="008A33DA">
        <w:tc>
          <w:tcPr>
            <w:tcW w:w="1554" w:type="dxa"/>
          </w:tcPr>
          <w:p w14:paraId="201CD1D0" w14:textId="77777777" w:rsidR="00632101" w:rsidRPr="00216965" w:rsidRDefault="00632101" w:rsidP="00A0457B">
            <w:pPr>
              <w:spacing w:line="360" w:lineRule="auto"/>
              <w:rPr>
                <w:rFonts w:eastAsia="Times New Roman"/>
                <w:szCs w:val="24"/>
              </w:rPr>
            </w:pPr>
            <w:r w:rsidRPr="00216965">
              <w:rPr>
                <w:rFonts w:eastAsia="Times New Roman"/>
                <w:szCs w:val="24"/>
              </w:rPr>
              <w:t>Cu</w:t>
            </w:r>
          </w:p>
        </w:tc>
        <w:tc>
          <w:tcPr>
            <w:tcW w:w="1180" w:type="dxa"/>
          </w:tcPr>
          <w:p w14:paraId="0CA9E345" w14:textId="77777777" w:rsidR="00632101" w:rsidRPr="00216965" w:rsidRDefault="00632101" w:rsidP="00A0457B">
            <w:pPr>
              <w:spacing w:line="360" w:lineRule="auto"/>
              <w:rPr>
                <w:rFonts w:eastAsia="Times New Roman"/>
                <w:szCs w:val="24"/>
              </w:rPr>
            </w:pPr>
            <w:r w:rsidRPr="00216965">
              <w:rPr>
                <w:rFonts w:eastAsia="Times New Roman"/>
                <w:szCs w:val="24"/>
              </w:rPr>
              <w:t>&lt;2–5</w:t>
            </w:r>
          </w:p>
        </w:tc>
        <w:tc>
          <w:tcPr>
            <w:tcW w:w="2369" w:type="dxa"/>
          </w:tcPr>
          <w:p w14:paraId="6C808536" w14:textId="77777777" w:rsidR="00632101" w:rsidRPr="00216965" w:rsidRDefault="00632101" w:rsidP="00A0457B">
            <w:pPr>
              <w:spacing w:line="360" w:lineRule="auto"/>
              <w:rPr>
                <w:rFonts w:eastAsia="Times New Roman"/>
                <w:szCs w:val="24"/>
              </w:rPr>
            </w:pPr>
            <w:r w:rsidRPr="00216965">
              <w:rPr>
                <w:rFonts w:eastAsia="Times New Roman"/>
                <w:szCs w:val="24"/>
              </w:rPr>
              <w:t>5–20</w:t>
            </w:r>
          </w:p>
        </w:tc>
        <w:tc>
          <w:tcPr>
            <w:tcW w:w="2121" w:type="dxa"/>
          </w:tcPr>
          <w:p w14:paraId="19835CD5" w14:textId="77777777" w:rsidR="00632101" w:rsidRPr="00216965" w:rsidRDefault="00632101" w:rsidP="00A0457B">
            <w:pPr>
              <w:spacing w:line="360" w:lineRule="auto"/>
              <w:rPr>
                <w:rFonts w:eastAsia="Times New Roman"/>
                <w:szCs w:val="24"/>
              </w:rPr>
            </w:pPr>
            <w:r w:rsidRPr="00216965">
              <w:rPr>
                <w:rFonts w:eastAsia="Times New Roman"/>
                <w:szCs w:val="24"/>
              </w:rPr>
              <w:t>&gt;20–100</w:t>
            </w:r>
          </w:p>
        </w:tc>
      </w:tr>
      <w:tr w:rsidR="00632101" w:rsidRPr="00216965" w14:paraId="175B0EF3" w14:textId="77777777" w:rsidTr="008A33DA">
        <w:tc>
          <w:tcPr>
            <w:tcW w:w="1554" w:type="dxa"/>
          </w:tcPr>
          <w:p w14:paraId="4513951F" w14:textId="77777777" w:rsidR="00632101" w:rsidRPr="00216965" w:rsidRDefault="00632101" w:rsidP="00A0457B">
            <w:pPr>
              <w:spacing w:line="360" w:lineRule="auto"/>
              <w:rPr>
                <w:rFonts w:eastAsia="Times New Roman"/>
                <w:szCs w:val="24"/>
              </w:rPr>
            </w:pPr>
            <w:r w:rsidRPr="00216965">
              <w:rPr>
                <w:rFonts w:eastAsia="Times New Roman"/>
                <w:szCs w:val="24"/>
              </w:rPr>
              <w:t>Cr</w:t>
            </w:r>
          </w:p>
        </w:tc>
        <w:tc>
          <w:tcPr>
            <w:tcW w:w="1180" w:type="dxa"/>
          </w:tcPr>
          <w:p w14:paraId="1B4CA127" w14:textId="77777777" w:rsidR="00632101" w:rsidRPr="00216965" w:rsidRDefault="00632101" w:rsidP="00A0457B">
            <w:pPr>
              <w:spacing w:line="360" w:lineRule="auto"/>
              <w:rPr>
                <w:rFonts w:eastAsia="Times New Roman"/>
                <w:szCs w:val="24"/>
              </w:rPr>
            </w:pPr>
          </w:p>
        </w:tc>
        <w:tc>
          <w:tcPr>
            <w:tcW w:w="2369" w:type="dxa"/>
          </w:tcPr>
          <w:p w14:paraId="65CF154E" w14:textId="77777777" w:rsidR="00632101" w:rsidRPr="00216965" w:rsidRDefault="00632101" w:rsidP="00A0457B">
            <w:pPr>
              <w:spacing w:line="360" w:lineRule="auto"/>
              <w:rPr>
                <w:rFonts w:eastAsia="Times New Roman"/>
                <w:szCs w:val="24"/>
              </w:rPr>
            </w:pPr>
            <w:r w:rsidRPr="00216965">
              <w:rPr>
                <w:rFonts w:eastAsia="Times New Roman"/>
                <w:szCs w:val="24"/>
              </w:rPr>
              <w:t>0.0.5–0.5</w:t>
            </w:r>
          </w:p>
        </w:tc>
        <w:tc>
          <w:tcPr>
            <w:tcW w:w="2121" w:type="dxa"/>
          </w:tcPr>
          <w:p w14:paraId="54713DC2" w14:textId="77777777" w:rsidR="00632101" w:rsidRPr="00216965" w:rsidRDefault="00632101" w:rsidP="00A0457B">
            <w:pPr>
              <w:spacing w:line="360" w:lineRule="auto"/>
              <w:rPr>
                <w:rFonts w:eastAsia="Times New Roman"/>
                <w:szCs w:val="24"/>
              </w:rPr>
            </w:pPr>
            <w:r w:rsidRPr="00216965">
              <w:rPr>
                <w:rFonts w:eastAsia="Times New Roman"/>
                <w:szCs w:val="24"/>
              </w:rPr>
              <w:t>&gt;1–2</w:t>
            </w:r>
          </w:p>
        </w:tc>
      </w:tr>
      <w:tr w:rsidR="00632101" w:rsidRPr="00216965" w14:paraId="646FF5F2" w14:textId="77777777" w:rsidTr="008A33DA">
        <w:tc>
          <w:tcPr>
            <w:tcW w:w="1554" w:type="dxa"/>
          </w:tcPr>
          <w:p w14:paraId="1B594118" w14:textId="77777777" w:rsidR="00632101" w:rsidRPr="00216965" w:rsidRDefault="00632101" w:rsidP="00A0457B">
            <w:pPr>
              <w:spacing w:line="360" w:lineRule="auto"/>
              <w:rPr>
                <w:rFonts w:eastAsia="Times New Roman"/>
                <w:szCs w:val="24"/>
              </w:rPr>
            </w:pPr>
            <w:r w:rsidRPr="00216965">
              <w:rPr>
                <w:rFonts w:eastAsia="Times New Roman"/>
                <w:szCs w:val="24"/>
              </w:rPr>
              <w:t>Pb</w:t>
            </w:r>
          </w:p>
        </w:tc>
        <w:tc>
          <w:tcPr>
            <w:tcW w:w="1180" w:type="dxa"/>
          </w:tcPr>
          <w:p w14:paraId="4A22EDC4" w14:textId="77777777" w:rsidR="00632101" w:rsidRPr="00216965" w:rsidRDefault="00632101" w:rsidP="00A0457B">
            <w:pPr>
              <w:spacing w:line="360" w:lineRule="auto"/>
              <w:rPr>
                <w:rFonts w:eastAsia="Times New Roman"/>
                <w:szCs w:val="24"/>
              </w:rPr>
            </w:pPr>
          </w:p>
        </w:tc>
        <w:tc>
          <w:tcPr>
            <w:tcW w:w="2369" w:type="dxa"/>
          </w:tcPr>
          <w:p w14:paraId="39084CF3" w14:textId="77777777" w:rsidR="00632101" w:rsidRPr="00216965" w:rsidRDefault="00632101" w:rsidP="00A0457B">
            <w:pPr>
              <w:spacing w:line="360" w:lineRule="auto"/>
              <w:rPr>
                <w:rFonts w:eastAsia="Times New Roman"/>
                <w:szCs w:val="24"/>
              </w:rPr>
            </w:pPr>
            <w:r w:rsidRPr="00216965">
              <w:rPr>
                <w:rFonts w:eastAsia="Times New Roman"/>
                <w:szCs w:val="24"/>
              </w:rPr>
              <w:t>1–13</w:t>
            </w:r>
          </w:p>
        </w:tc>
        <w:tc>
          <w:tcPr>
            <w:tcW w:w="2121" w:type="dxa"/>
          </w:tcPr>
          <w:p w14:paraId="0E7CCA77" w14:textId="77777777" w:rsidR="00632101" w:rsidRPr="00216965" w:rsidRDefault="00632101" w:rsidP="00A0457B">
            <w:pPr>
              <w:spacing w:line="360" w:lineRule="auto"/>
              <w:rPr>
                <w:rFonts w:eastAsia="Times New Roman"/>
                <w:szCs w:val="24"/>
              </w:rPr>
            </w:pPr>
            <w:r w:rsidRPr="00216965">
              <w:rPr>
                <w:rFonts w:eastAsia="Times New Roman"/>
                <w:szCs w:val="24"/>
              </w:rPr>
              <w:t>&gt;10–20</w:t>
            </w:r>
          </w:p>
        </w:tc>
      </w:tr>
      <w:tr w:rsidR="00632101" w:rsidRPr="00216965" w14:paraId="71465E89" w14:textId="77777777" w:rsidTr="008A33DA">
        <w:tc>
          <w:tcPr>
            <w:tcW w:w="1554" w:type="dxa"/>
          </w:tcPr>
          <w:p w14:paraId="363B2007" w14:textId="77777777" w:rsidR="00632101" w:rsidRPr="00216965" w:rsidRDefault="00632101" w:rsidP="00A0457B">
            <w:pPr>
              <w:spacing w:line="360" w:lineRule="auto"/>
              <w:rPr>
                <w:rFonts w:eastAsia="Times New Roman"/>
                <w:szCs w:val="24"/>
              </w:rPr>
            </w:pPr>
            <w:r w:rsidRPr="00216965">
              <w:rPr>
                <w:rFonts w:eastAsia="Times New Roman"/>
                <w:szCs w:val="24"/>
              </w:rPr>
              <w:t>Co</w:t>
            </w:r>
          </w:p>
        </w:tc>
        <w:tc>
          <w:tcPr>
            <w:tcW w:w="1180" w:type="dxa"/>
          </w:tcPr>
          <w:p w14:paraId="15488197" w14:textId="77777777" w:rsidR="00632101" w:rsidRPr="00216965" w:rsidRDefault="00632101" w:rsidP="00A0457B">
            <w:pPr>
              <w:spacing w:line="360" w:lineRule="auto"/>
              <w:rPr>
                <w:rFonts w:eastAsia="Times New Roman"/>
                <w:szCs w:val="24"/>
              </w:rPr>
            </w:pPr>
          </w:p>
        </w:tc>
        <w:tc>
          <w:tcPr>
            <w:tcW w:w="2369" w:type="dxa"/>
          </w:tcPr>
          <w:p w14:paraId="19A0378E" w14:textId="77777777" w:rsidR="00632101" w:rsidRPr="00216965" w:rsidRDefault="00632101" w:rsidP="00A0457B">
            <w:pPr>
              <w:spacing w:line="360" w:lineRule="auto"/>
              <w:rPr>
                <w:rFonts w:eastAsia="Times New Roman"/>
                <w:szCs w:val="24"/>
              </w:rPr>
            </w:pPr>
            <w:r w:rsidRPr="00216965">
              <w:rPr>
                <w:rFonts w:eastAsia="Times New Roman"/>
                <w:szCs w:val="24"/>
              </w:rPr>
              <w:t>0.02-1</w:t>
            </w:r>
          </w:p>
        </w:tc>
        <w:tc>
          <w:tcPr>
            <w:tcW w:w="2121" w:type="dxa"/>
          </w:tcPr>
          <w:p w14:paraId="327FF0D1" w14:textId="77777777" w:rsidR="00632101" w:rsidRPr="00216965" w:rsidRDefault="00632101" w:rsidP="00A0457B">
            <w:pPr>
              <w:spacing w:line="360" w:lineRule="auto"/>
              <w:rPr>
                <w:rFonts w:eastAsia="Times New Roman"/>
                <w:szCs w:val="24"/>
              </w:rPr>
            </w:pPr>
            <w:r w:rsidRPr="00216965">
              <w:rPr>
                <w:rFonts w:eastAsia="Times New Roman"/>
                <w:szCs w:val="24"/>
              </w:rPr>
              <w:t>15-50</w:t>
            </w:r>
          </w:p>
        </w:tc>
      </w:tr>
    </w:tbl>
    <w:p w14:paraId="33A59B17" w14:textId="69DA52DF" w:rsidR="00632101" w:rsidRPr="00216965" w:rsidRDefault="00632101" w:rsidP="008A33DA">
      <w:pPr>
        <w:spacing w:after="0" w:line="240" w:lineRule="auto"/>
        <w:jc w:val="both"/>
        <w:rPr>
          <w:rFonts w:eastAsia="Times New Roman" w:cs="Times New Roman"/>
          <w:sz w:val="20"/>
          <w:szCs w:val="20"/>
        </w:rPr>
      </w:pPr>
      <w:r w:rsidRPr="00216965">
        <w:rPr>
          <w:rFonts w:eastAsia="Times New Roman" w:cs="Times New Roman"/>
          <w:sz w:val="20"/>
          <w:szCs w:val="20"/>
        </w:rPr>
        <w:t xml:space="preserve">values are dry weight basis </w:t>
      </w:r>
    </w:p>
    <w:bookmarkEnd w:id="38"/>
    <w:p w14:paraId="733B9BCB" w14:textId="77777777" w:rsidR="00632101" w:rsidRPr="00216965" w:rsidRDefault="00632101" w:rsidP="008A33DA">
      <w:pPr>
        <w:spacing w:line="360" w:lineRule="auto"/>
        <w:jc w:val="both"/>
        <w:rPr>
          <w:rFonts w:eastAsia="Times New Roman" w:cs="Times New Roman"/>
          <w:szCs w:val="24"/>
        </w:rPr>
      </w:pPr>
    </w:p>
    <w:p w14:paraId="50D49DCD" w14:textId="4B1D0A58"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toxicity of heavy metals depends upon the type of metal, its biological role, the sensitivity of the organisms that are exposed to them and the time of exposure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sediments","type":"article-journal","volume":"1"},"uris":["http://www.mendeley.com/documents/?uuid=19cf9187-8aee-460e-ad8e-5187b017ed8a"]}],"mendeley":{"formattedCitation":"(Giller et al., 1998; Okoro et al., 2012)","plainTextFormattedCitation":"(Giller et al., 1998; Okoro et al., 2012)","previouslyFormattedCitation":"(Giller et al., 1998; Okoro et al., 2012)"},"properties":{"noteIndex":0},"schema":"https://github.com/citation-style-language/schema/raw/master/csl-citation.json"}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 Okoro et al., 2012)</w:t>
      </w:r>
      <w:r w:rsidRPr="00216965">
        <w:rPr>
          <w:rFonts w:eastAsia="Times New Roman" w:cs="Times New Roman"/>
          <w:szCs w:val="24"/>
        </w:rPr>
        <w:fldChar w:fldCharType="end"/>
      </w:r>
      <w:r w:rsidRPr="00216965">
        <w:rPr>
          <w:rFonts w:eastAsia="Times New Roman" w:cs="Times New Roman"/>
          <w:szCs w:val="24"/>
        </w:rPr>
        <w:t xml:space="preserve">. They are dangerous because they tend to bio-accumulate and increase in an organism over time, compared to the concentration of the pollutant in the environment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sediments","type":"article-journal","volume":"1"},"uris":["http://www.mendeley.com/documents/?uuid=19cf9187-8aee-460e-ad8e-5187b017ed8a"]}],"mendeley":{"formattedCitation":"(Okoro et al., 2012)","plainTextFormattedCitation":"(Okoro et al., 2012)","previouslyFormattedCitation":"(Okoro et al., 2012)"},"properties":{"noteIndex":0},"schema":"https://github.com/citation-style-language/schema/raw/master/csl-citation.json"}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(Okoro et al., 2012)</w:t>
      </w:r>
      <w:r w:rsidRPr="00216965">
        <w:rPr>
          <w:rFonts w:eastAsia="Times New Roman" w:cs="Times New Roman"/>
          <w:szCs w:val="24"/>
        </w:rPr>
        <w:fldChar w:fldCharType="end"/>
      </w:r>
      <w:r w:rsidRPr="00216965">
        <w:rPr>
          <w:rFonts w:eastAsia="Times New Roman" w:cs="Times New Roman"/>
          <w:szCs w:val="24"/>
        </w:rPr>
        <w:t xml:space="preserve">. This process can occur through direct uptake, as in the case of microorganisms or plants, or along the food chain, eventually posing a serious health risk to inhabitants of an ecosystem, and ultimately to humans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{"citationItems":[{"id":"ITEM-1","itemData":{"ISBN":"91-7155-374-6","author":[{"dropping-particle":"","family":"Mamboya","given":"Florence Alex","non-dropping-particle":"","parse-names":false,"suffix":""}],"id":"ITEM-1","issued":{"date-parts":[["2007"]]},"number-of-pages":"1-48","publisher":"Stockholm University","title":"Heavy metal contamination and toxicity studies of macroalgae from the Tanzanian coast","type":"thesis"},"uris":["http://www.mendeley.com/documents/?uuid=5754bb32-30f2-3620-8021-3b08a3b579cb"]},{"id":"ITEM-2","itemData":{"DOI":"10.1007/s11270-015-2680-3","abstract":"Biochar has great advantages and potentials on soil amendment and polluted soil remediation. In order to explore these applications, a pot experiment was carried out to research the effect of biochar on the heavy metal speciation in paddy soil and the heavy metal accumulation of paddy rice from Chengdu plain, Sichuan Province. The experimental results show that wine lees-derived biochar can efficiently increase soil pH, decrease the contents of soil exchangeable heavy metals, and promote heavy metal transformation to re-sidual fraction. Moreover, application of biochar can reduce the accumulation of heavy metals in paddy plant, decrease the migration ability of heavy metals to the aboveground part of the plant, and consequently cut down contents of heavy metals in rice. When biochar dosage was 0.5 % in weight, the contents of soil ex-changeable Cr, Ni, Cu, Pb, Zn, and Cd decreased 18.8, 29.6, 26.3, 23.0, 23.01, and 48.14 %, respectively, which all significantly differed from CK (P&lt;0.05), and the contents of heavy metals in plant roots, stems, leaves, rice husk, and rice all decreased accordingly, among which Zn, Cd, and Pb decreased 10.96, 8.89, and 8.33 % respectively. When biochar dosage in-creased to 1 %, heavy metal contents in roots, stems, leaves, rice husk, and rice decreased further. Therefore, wine lees-derived biochar shows a great potential in remediation of heavy-metal-polluted soil, and this work provides theoretical basis for restoring heavy-metal-polluted soil using biochar.","author":[{"dropping-particle":"","family":"Zhu","given":"Qihong","non-dropping-particle":"","parse-names":false,"suffix":""},{"dropping-particle":"","family":"Wu","given":"Jun","non-dropping-particle":"","parse-names":false,"suffix":""},{"dropping-particle":"","family":"Wang","given":"Lilin","non-dropping-particle":"","parse-names":false,"suffix":""},{"dropping-particle":"","family":"Yang","given":"Gang","non-dropping-particle":"","parse-names":false,"suffix":""},{"dropping-particle":"","family":"Zhang","given":"Xiaohong","non-dropping-particle":"","parse-names":false,"suffix":""}],"container-title":"Water, Air, and Soil Pollution","id":"ITEM-2","issued":{"date-parts":[["2015"]]},"page":"429","title":"Effect of biochar on heavy metal speciation of paddy soil","type":"article-journal","volume":"226"},"uris":["http://www.mendeley.com/documents/?uuid=bd113688-0cce-3f39-883f-9b3afe068f8d"]}],"mendeley":{"formattedCitation":"(Mamboya, 2007; Zhu et al., 2015)","plainTextFormattedCitation":"(Mamboya, 2007; Zhu et al., 2015)","previouslyFormattedCitation":"(Mamboya, 2007; Zhu et al., 2015)"},"properties":{"noteIndex":0},"schema":"https://github.com/citation-style-language/schema/raw/master/csl-citation.json"}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(Mamboya, 2007; Zhu et al., 2015)</w:t>
      </w:r>
      <w:r w:rsidRPr="00216965">
        <w:rPr>
          <w:rFonts w:eastAsia="Times New Roman" w:cs="Times New Roman"/>
          <w:szCs w:val="24"/>
        </w:rPr>
        <w:fldChar w:fldCharType="end"/>
      </w:r>
      <w:r w:rsidRPr="00216965">
        <w:rPr>
          <w:rFonts w:eastAsia="Times New Roman" w:cs="Times New Roman"/>
          <w:szCs w:val="24"/>
        </w:rPr>
        <w:t xml:space="preserve">. </w:t>
      </w:r>
    </w:p>
    <w:p w14:paraId="07B6A069" w14:textId="77777777" w:rsidR="00632101" w:rsidRPr="00216965" w:rsidRDefault="00632101" w:rsidP="008A33DA">
      <w:pPr>
        <w:pStyle w:val="Heading3"/>
      </w:pPr>
      <w:bookmarkStart w:id="39" w:name="_Toc86504628"/>
      <w:r w:rsidRPr="00216965">
        <w:t>Toxicity to soil microorganisms</w:t>
      </w:r>
      <w:bookmarkEnd w:id="39"/>
    </w:p>
    <w:p w14:paraId="043494F2" w14:textId="7540C851" w:rsidR="00632101" w:rsidRPr="00216965" w:rsidRDefault="00632101" w:rsidP="008A33DA">
      <w:pPr>
        <w:pBdr>
          <w:top w:val="nil"/>
          <w:left w:val="nil"/>
          <w:bottom w:val="nil"/>
          <w:right w:val="nil"/>
          <w:between w:val="nil"/>
        </w:pBdr>
        <w:spacing w:line="360" w:lineRule="auto"/>
        <w:jc w:val="both"/>
        <w:rPr>
          <w:rFonts w:eastAsia="Times New Roman" w:cs="Times New Roman"/>
          <w:color w:val="000000"/>
          <w:szCs w:val="24"/>
        </w:rPr>
      </w:pPr>
      <w:r w:rsidRPr="00216965">
        <w:rPr>
          <w:rFonts w:eastAsia="Times New Roman" w:cs="Times New Roman"/>
          <w:szCs w:val="24"/>
        </w:rPr>
        <w:t xml:space="preserve">Heavy metals can cause changes in soil microbial community composition and abundance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{"citationItems":[{"id":"ITEM-1","itemData":{"DOI":"10.3390/su7022189","ISSN":"2071-1050","abstract":"Heavy metals are natural constituents of the environment, but indiscriminate use for human purposes has altered their geochemical cycles and biochemical balance. This results in excess release of heavy metals such as cadmium, copper, lead, nickel, zinc etc. into natural resources like the soil and aquatic environments. Prolonged exposure and higher accumulation of such heavy metals can have deleterious health effects on human life and aquatic biota. The role of microorganisms and plants in biotransformation of heavy metals into nontoxic forms is well-documented, and understanding the molecular mechanism of metal accumulation has numerous biotechnological implications for bioremediation of OPEN ACCESS Sustainability 2015, 7 2190 metal-contaminated sites. In view of this, the present review investigates the abilities of microorganisms and plants in terms of tolerance and degradation of heavy metals. Also, advances in bioremediation technologies and strategies to explore these immense and valuable biological resources for bioremediation are discussed. An assessment of the current status of technology deployment and suggestions for future bioremediation research has also been included. Finally, there is a discussion of the genetic and molecular basis of metal tolerance in microbes, with special reference to the genomics of heavy metal accumulator plants and the identification of functional genes involved in tolerance and detoxification.","author":[{"dropping-particle":"","family":"Dixit","given":"Ruchita","non-dropping-particle":"","parse-names":false,"suffix":""},{"dropping-particle":"","family":"Malaviya","given":"Deepti","non-dropping-particle":"","parse-names":false,"suffix":""},{"dropping-particle":"","family":"Pandiyan","given":"Kuppusamy","non-dropping-particle":"","parse-names":false,"suffix":""},{"dropping-particle":"","family":"Singh","given":"Udai B","non-dropping-particle":"","parse-names":false,"suffix":""},{"dropping-particle":"","family":"Sahu","given":"Asha","non-dropping-particle":"","parse-names":false,"suffix":""},{"dropping-particle":"","family":"Shukla","given":"Renu","non-dropping-particle":"","parse-names":false,"suffix":""},{"dropping-particle":"","family":"Singh","given":"Bhanu P","non-dropping-particle":"","parse-names":false,"suffix":""},{"dropping-particle":"","family":"Rai","given":"Jai P","non-dropping-particle":"","parse-names":false,"suffix":""},{"dropping-particle":"","family":"Kumar Sharma","given":"Pawan","non-dropping-particle":"","parse-names":false,"suffix":""},{"dropping-particle":"","family":"Lade","given":"Harshad","non-dropping-particle":"","parse-names":false,"suffix":""},{"dropping-particle":"","family":"Paul","given":"Diby","non-dropping-particle":"","parse-names":false,"suffix":""}],"container-title":"Sustainability","id":"ITEM-1","issued":{"date-parts":[["2015"]]},"page":"2189-2212","title":"Bioremediation of heavy metals from soil and aquatic environment: An overview of principles and criteria of fundamental processes","type":"article-journal","volume":"7"},"uris":["http://www.mendeley.com/documents/?uuid=740de46e-89b6-3197-afa9-0880d7ac040c"]},{"id":"ITEM-2","itemData":{"DOI":"10.4172/scientificreports.1","author":[{"dropping-particle":"","family":"Okoro","given":"Hussein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sediments","type":"article-journal","volume":"1"},"uris":["http://www.mendeley.com/documents/?uuid=19cf9187-8aee-460e-ad8e-5187b017ed8a"]}],"mendeley":{"formattedCitation":"(Dixit et al., 2015; Okoro et al., 2012)","plainTextFormattedCitation":"(Dixit et al., 2015; Okoro et al., 2012)","previouslyFormattedCitation":"(Dixit et al., 2015; Okoro et al., 2012)"},"properties":{"noteIndex":0},"schema":"https://github.com/citation-style-language/schema/raw/master/csl-citation.json"}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(Dixit et al., 2015; Okoro et al., 2012)</w:t>
      </w:r>
      <w:r w:rsidRPr="00216965">
        <w:rPr>
          <w:rFonts w:eastAsia="Times New Roman" w:cs="Times New Roman"/>
          <w:szCs w:val="24"/>
        </w:rPr>
        <w:fldChar w:fldCharType="end"/>
      </w:r>
      <w:r w:rsidRPr="00216965">
        <w:rPr>
          <w:rFonts w:eastAsia="Times New Roman" w:cs="Times New Roman"/>
          <w:szCs w:val="24"/>
        </w:rPr>
        <w:t xml:space="preserve">. Microorganisms have different thresholds of tolerance to metal toxicity. Exposure to sufficiently high amounts of heavy metals will cause cellular death due to disruption of essential functions such as growth, metabolism, protein denaturation or the destruction of the integrity of cell membranes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{"citationItems":[{"id":"ITEM-1","itemData":{"abstract":"Three soil types -Calcaric Phaeozem, Eutric Cambisol and Dystric Lithosol -in large container pots were experimentally contaminated with heavy metals at four different levels (light pollution: 300 ppm Zn, 100 ppm Cu, 50 ppm Ni, 50 ppm V and 3 ppm Cd; med-ium pollution: twofold concentrations; heavy pollution: threefold concentrations; uncontaminated control). We in-vestigated the prognostic potential of 16 soil microbial properties (microbial biomass, respiration, N-mineraliza-tion, 13 soil enzymes involved in cycling of C, N, P and S) with regard to their ability to differentiate the four con-tamination levels. Microbial biomass and enzyme activities decreased with increasing heavy metal pollution, but the amount of decrease differed among the enzymes. Enzymes involved in the C-cycling were least affected, whereas var-ious enzyme activities related to the cycling of N, P and S showed a considerable decrease in activity. In particular, arylsulfatase and phosphatase activities were dramatically affected. Their activity decreased to a level of a few per-cent of their activities in the corresponding unpolluted controls. The data suggest that aside from the loss of rare biochemical capabilities -such as the growth of organisms at the expense of aromatics (Reber 1992) -heavy metal contaminated soils lose very common biochemical proper-titles which are necessary for the functioning of the eco-system. Cluster analysis as well as discriminant analysis underline the similarity of the enzyme activity pattern among the controls and among the polluted soils. The trend toward a significant functional diversity loss be-comes obvious already at the lowest pollution level. This implies that concentrations of heavy metals in soils near the current EC limits will most probably lead to a consid-erable reduction in decomposition and nutrient cycling rates. We conclude that heavy metal pollution severely de-creases the functional diversity of the soil microbial com-munity and impairs specific pathways of nutrient cycling.","author":[{"dropping-particle":"","family":"Kandeler","given":"E","non-dropping-particle":"","parse-names":false,"suffix":""},{"dropping-particle":"","family":"Kampichler","given":"C","non-dropping-particle":"","parse-names":false,"suffix":""},{"dropping-particle":"","family":"Horak","given":"O","non-dropping-particle":"","parse-names":false,"suffix":""}],"container-title":"Biology and Fertility of Soils","id":"ITEM-1","issued":{"date-parts":[["1996"]]},"page":"299-306","title":"Influence of heavy metals on the functional diversity of soil microbial communities","type":"article-journal","volume":"23"},"uris":["http://www.mendeley.com/documents/?uuid=8f4fa6bc-7359-31b0-b8ab-02b225e20a1b"]}],"mendeley":{"formattedCitation":"(Kandeler et al., 1996)","plainTextFormattedCitation":"(Kandeler et al., 1996)","previouslyFormattedCitation":"(Kandeler et al., 1996)"},"properties":{"noteIndex":0},"schema":"https://github.com/citation-style-language/schema/raw/master/csl-citation.json"}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(Kandeler et al., 1996)</w:t>
      </w:r>
      <w:r w:rsidRPr="00216965">
        <w:rPr>
          <w:rFonts w:eastAsia="Times New Roman" w:cs="Times New Roman"/>
          <w:szCs w:val="24"/>
        </w:rPr>
        <w:fldChar w:fldCharType="end"/>
      </w:r>
      <w:r w:rsidRPr="00216965">
        <w:rPr>
          <w:rFonts w:eastAsia="Times New Roman" w:cs="Times New Roman"/>
          <w:szCs w:val="24"/>
        </w:rPr>
        <w:t xml:space="preserve">. This will cause a decrease in total microbial biomass and gradual changes in population sizes due to changes in viability or competitive ability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w:t>
      </w:r>
      <w:r w:rsidRPr="00216965">
        <w:rPr>
          <w:rFonts w:eastAsia="Times New Roman" w:cs="Times New Roman"/>
          <w:szCs w:val="24"/>
        </w:rPr>
        <w:fldChar w:fldCharType="end"/>
      </w:r>
      <w:r w:rsidRPr="00216965">
        <w:rPr>
          <w:rFonts w:eastAsia="Times New Roman" w:cs="Times New Roman"/>
          <w:szCs w:val="24"/>
        </w:rPr>
        <w:t xml:space="preserve">. </w:t>
      </w:r>
      <w:r w:rsidRPr="00216965">
        <w:rPr>
          <w:rFonts w:eastAsia="Times New Roman" w:cs="Times New Roman"/>
          <w:color w:val="000000"/>
          <w:szCs w:val="24"/>
        </w:rPr>
        <w:t xml:space="preserve">For example, </w:t>
      </w:r>
      <w:r w:rsidR="00B70968" w:rsidRPr="00216965">
        <w:rPr>
          <w:rFonts w:eastAsia="Times New Roman" w:cs="Times New Roman"/>
          <w:color w:val="000000"/>
          <w:szCs w:val="24"/>
        </w:rPr>
        <w:fldChar w:fldCharType="begin" w:fldLock="1"/>
      </w:r>
      <w:r w:rsidR="006C06AA" w:rsidRPr="00216965">
        <w:rPr>
          <w:rFonts w:eastAsia="Times New Roman" w:cs="Times New Roman"/>
          <w:color w:val="000000"/>
          <w:szCs w:val="24"/>
        </w:rPr>
        <w:instrText>ADDIN CSL_CITATION {"citationItems":[{"id":"ITEM-1","itemData":{"abstract":"Three soil types -Calcaric Phaeozem, Eutric Cambisol and Dystric Lithosol -in large container pots were experimentally contaminated with heavy metals at four different levels (light pollution: 300 ppm Zn, 100 ppm Cu, 50 ppm Ni, 50 ppm V and 3 ppm Cd; med-ium pollution: twofold concentrations; heavy pollution: threefold concentrations; uncontaminated control). We in-vestigated the prognostic potential of 16 soil microbial properties (microbial biomass, respiration, N-mineraliza-tion, 13 soil enzymes involved in cycling of C, N, P and S) with regard to their ability to differentiate the four con-tamination levels. Microbial biomass and enzyme activities decreased with increasing heavy metal pollution, but the amount of decrease differed among the enzymes. Enzymes involved in the C-cycling were least affected, whereas var-ious enzyme activities related to the cycling of N, P and S showed a considerable decrease in activity. In particular, arylsulfatase and phosphatase activities were dramatically affected. Their activity decreased to a level of a few per-cent of their activities in the corresponding unpolluted controls. The data suggest that aside from the loss of rare biochemical capabilities -such as the growth of organisms at the expense of aromatics (Reber 1992) -heavy metal contaminated soils lose very common biochemical proper-titles which are necessary for the functioning of the eco-system. Cluster analysis as well as discriminant analysis underline the similarity of the enzyme activity pattern among the controls and among the polluted soils. The trend toward a significant functional diversity loss be-comes obvious already at the lowest pollution level. This implies that concentrations of heavy metals in soils near the current EC limits will most probably lead to a consid-erable reduction in decomposition and nutrient cycling rates. We conclude that heavy metal pollution severely de-creases the functional diversity of the soil microbial com-munity and impairs specific pathways of nutrient cycling.","author":[{"dropping-particle":"","family":"Kandeler","given":"E","non-dropping-particle":"","parse-names":false,"suffix":""},{"dropping-particle":"","family":"Kampichler","given":"C","non-dropping-particle":"","parse-names":false,"suffix":""},{"dropping-particle":"","family":"Horak","given":"O","non-dropping-particle":"","parse-names":false,"suffix":""}],"container-title":"Biology and Fertility of Soils","id":"ITEM-1","issued":{"date-parts":[["1996"]]},"page":"299-306","title":"Influence of heavy metals on the functional diversity of soil microbial communities","type":"article-journal","volume":"23"},"uris":["http://www.mendeley.com/documents/?uuid=8f4fa6bc-7359-31b0-b8ab-02b225e20a1b"]}],"mendeley":{"formattedCitation":"(Kandeler et al., 1996)","manualFormatting":"Kandeler et al., (1996)","plainTextFormattedCitation":"(Kandeler et al., 1996)","previouslyFormattedCitation":"(Kandeler et al., 1996)"},"properties":{"noteIndex":0},"schema":"https://github.com/citation-style-language/schema/raw/master/csl-citation.json"}</w:instrText>
      </w:r>
      <w:r w:rsidR="00B70968" w:rsidRPr="00216965">
        <w:rPr>
          <w:rFonts w:eastAsia="Times New Roman" w:cs="Times New Roman"/>
          <w:color w:val="000000"/>
          <w:szCs w:val="24"/>
        </w:rPr>
        <w:fldChar w:fldCharType="separate"/>
      </w:r>
      <w:r w:rsidR="00B70968" w:rsidRPr="00216965">
        <w:rPr>
          <w:rFonts w:eastAsia="Times New Roman" w:cs="Times New Roman"/>
          <w:noProof/>
          <w:color w:val="000000"/>
          <w:szCs w:val="24"/>
        </w:rPr>
        <w:t>Kandeler et al., (1996)</w:t>
      </w:r>
      <w:r w:rsidR="00B70968" w:rsidRPr="00216965">
        <w:rPr>
          <w:rFonts w:eastAsia="Times New Roman" w:cs="Times New Roman"/>
          <w:color w:val="000000"/>
          <w:szCs w:val="24"/>
        </w:rPr>
        <w:fldChar w:fldCharType="end"/>
      </w:r>
      <w:r w:rsidR="00B70968" w:rsidRPr="00216965">
        <w:rPr>
          <w:rFonts w:eastAsia="Times New Roman" w:cs="Times New Roman"/>
          <w:color w:val="000000"/>
          <w:szCs w:val="24"/>
        </w:rPr>
        <w:t xml:space="preserve"> </w:t>
      </w:r>
      <w:r w:rsidRPr="00216965">
        <w:rPr>
          <w:rFonts w:eastAsia="Times New Roman" w:cs="Times New Roman"/>
          <w:color w:val="000000"/>
          <w:szCs w:val="24"/>
        </w:rPr>
        <w:t xml:space="preserve">reported that increasing addition of Zn, Cu, Ni, V and Cd to a calcareous soil in concentrations from 3 to 300 ppm, negatively affected microbial </w:t>
      </w:r>
      <w:r w:rsidRPr="00216965">
        <w:rPr>
          <w:rFonts w:eastAsia="Times New Roman" w:cs="Times New Roman"/>
          <w:color w:val="000000"/>
          <w:szCs w:val="24"/>
        </w:rPr>
        <w:lastRenderedPageBreak/>
        <w:t>community causing functional diversity loss. They reported a decrease in microbial biomass and enzyme activities related to the cycling of N, P and S which affected vital soil functions such as decomposition and nutrient cycling.</w:t>
      </w:r>
    </w:p>
    <w:p w14:paraId="7042AF40" w14:textId="18C1F19A"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Two hypothetical models of the effect of a stress such as heavy metal toxicity in soil microbial diversity and consequently on microbial function are described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1998)","manualFormatting":"Giller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Giller </w:t>
      </w:r>
      <w:r w:rsidR="009B2252" w:rsidRPr="00216965">
        <w:rPr>
          <w:rFonts w:eastAsia="Times New Roman" w:cs="Times New Roman"/>
          <w:iCs/>
          <w:noProof/>
          <w:szCs w:val="24"/>
        </w:rPr>
        <w:t>et al</w:t>
      </w:r>
      <w:r w:rsidRPr="00216965">
        <w:rPr>
          <w:rFonts w:eastAsia="Times New Roman" w:cs="Times New Roman"/>
          <w:noProof/>
          <w:szCs w:val="24"/>
        </w:rPr>
        <w:t>. (1998)</w:t>
      </w:r>
      <w:r w:rsidRPr="00216965">
        <w:rPr>
          <w:rFonts w:eastAsia="Times New Roman" w:cs="Times New Roman"/>
          <w:szCs w:val="24"/>
        </w:rPr>
        <w:fldChar w:fldCharType="end"/>
      </w:r>
      <w:r w:rsidRPr="00216965">
        <w:rPr>
          <w:rFonts w:eastAsia="Times New Roman" w:cs="Times New Roman"/>
          <w:szCs w:val="24"/>
        </w:rPr>
        <w:t>. In model 1, the effects of increasingly severe stress result in a decrease in diversity within the microbial community, leading to community extinction (</w:t>
      </w:r>
      <w:r w:rsidRPr="00216965">
        <w:rPr>
          <w:rFonts w:eastAsia="Times New Roman" w:cs="Times New Roman"/>
          <w:b/>
          <w:szCs w:val="24"/>
        </w:rPr>
        <w:fldChar w:fldCharType="begin"/>
      </w:r>
      <w:r w:rsidRPr="00216965">
        <w:rPr>
          <w:rFonts w:eastAsia="Times New Roman" w:cs="Times New Roman"/>
          <w:szCs w:val="24"/>
        </w:rPr>
        <w:instrText xml:space="preserve"> REF _Ref82815098 \h </w:instrText>
      </w:r>
      <w:r w:rsidRPr="00216965">
        <w:rPr>
          <w:rFonts w:eastAsia="Times New Roman" w:cs="Times New Roman"/>
          <w:b/>
          <w:szCs w:val="24"/>
        </w:rPr>
      </w:r>
      <w:r w:rsidR="00216965" w:rsidRPr="00216965">
        <w:rPr>
          <w:rFonts w:eastAsia="Times New Roman" w:cs="Times New Roman"/>
          <w:b/>
          <w:szCs w:val="24"/>
        </w:rPr>
        <w:instrText xml:space="preserve"> \* MERGEFORMAT </w:instrText>
      </w:r>
      <w:r w:rsidRPr="00216965">
        <w:rPr>
          <w:rFonts w:eastAsia="Times New Roman" w:cs="Times New Roman"/>
          <w:b/>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1</w:t>
      </w:r>
      <w:r w:rsidRPr="00216965">
        <w:rPr>
          <w:rFonts w:eastAsia="Times New Roman" w:cs="Times New Roman"/>
          <w:b/>
          <w:szCs w:val="24"/>
        </w:rPr>
        <w:fldChar w:fldCharType="end"/>
      </w:r>
      <w:r w:rsidRPr="00216965">
        <w:rPr>
          <w:rFonts w:eastAsia="Times New Roman" w:cs="Times New Roman"/>
          <w:b/>
          <w:szCs w:val="24"/>
        </w:rPr>
        <w:t>.A</w:t>
      </w:r>
      <w:r w:rsidRPr="00216965">
        <w:rPr>
          <w:rFonts w:eastAsia="Times New Roman" w:cs="Times New Roman"/>
          <w:szCs w:val="24"/>
        </w:rPr>
        <w:t>). Model 2 hypothesizes that under mild stress conditions competitive species would be predominant, resulting in a lack of diversity; however, as the levels of stress increases these individuals lose their competitive advantage and more types can proliferate. However, at high levels of stress progressive extinction of microorganisms due to heavy metal toxicity would lead to a loss of diversity as in model 1 (</w:t>
      </w:r>
      <w:r w:rsidRPr="00216965">
        <w:rPr>
          <w:rFonts w:eastAsia="Times New Roman" w:cs="Times New Roman"/>
          <w:szCs w:val="24"/>
        </w:rPr>
        <w:fldChar w:fldCharType="begin"/>
      </w:r>
      <w:r w:rsidRPr="00216965">
        <w:rPr>
          <w:rFonts w:eastAsia="Times New Roman" w:cs="Times New Roman"/>
          <w:szCs w:val="24"/>
        </w:rPr>
        <w:instrText xml:space="preserve"> REF _Ref82815098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1</w:t>
      </w:r>
      <w:r w:rsidRPr="00216965">
        <w:rPr>
          <w:rFonts w:eastAsia="Times New Roman" w:cs="Times New Roman"/>
          <w:szCs w:val="24"/>
        </w:rPr>
        <w:fldChar w:fldCharType="end"/>
      </w:r>
      <w:r w:rsidRPr="00216965">
        <w:rPr>
          <w:rFonts w:eastAsia="Times New Roman" w:cs="Times New Roman"/>
          <w:b/>
          <w:szCs w:val="24"/>
        </w:rPr>
        <w:t>.B</w:t>
      </w:r>
      <w:r w:rsidRPr="00216965">
        <w:rPr>
          <w:rFonts w:eastAsia="Times New Roman" w:cs="Times New Roman"/>
          <w:szCs w:val="24"/>
        </w:rPr>
        <w:t>).</w:t>
      </w:r>
      <w:r w:rsidRPr="00216965">
        <w:t xml:space="preserve"> </w:t>
      </w:r>
      <w:r w:rsidRPr="00216965">
        <w:rPr>
          <w:rFonts w:eastAsia="Times New Roman" w:cs="Times New Roman"/>
          <w:szCs w:val="24"/>
        </w:rPr>
        <w:t xml:space="preserve">Given that soil microbes are estimated to contribute to 90% of all soil processes, such shifts in microbial populations would have lasting and severe effects on ecosystem functioning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microbes","type":"article-journal","volume":"15"},"uris":["http://www.mendeley.com/documents/?uuid=0023517c-32b4-42a2-b702-116e06791c54"]},{"id":"ITEM-2","itemData":{"abstract":"Three soil types -Calcaric Phaeozem, Eutric Cambisol and Dystric Lithosol -in large container pots were experimentally contaminated with heavy metals at four different levels (light pollution: 300 ppm Zn, 100 ppm Cu, 50 ppm Ni, 50 ppm V and 3 ppm Cd; med-ium pollution: twofold concentrations; heavy pollution: threefold concentrations; uncontaminated control). We in-vestigated the prognostic potential of 16 soil microbial properties (microbial biomass, respiration, N-mineraliza-tion, 13 soil enzymes involved in cycling of C, N, P and S) with regard to their ability to differentiate the four con-tamination levels. Microbial biomass and enzyme activities decreased with increasing heavy metal pollution, but the amount of decrease differed among the enzymes. Enzymes involved in the C-cycling were least affected, whereas var-ious enzyme activities related to the cycling of N, P and S showed a considerable decrease in activity. In particular, arylsulfatase and phosphatase activities were dramatically affected. Their activity decreased to a level of a few per-cent of their activities in the corresponding unpolluted controls. The data suggest that aside from the loss of rare biochemical capabilities -such as the growth of organisms at the expense of aromatics (Reber 1992) -heavy metal contaminated soils lose very common biochemical proper-titles which are necessary for the functioning of the eco-system. Cluster analysis as well as discriminant analysis underline the similarity of the enzyme activity pattern among the controls and among the polluted soils. The trend toward a significant functional diversity loss be-comes obvious already at the lowest pollution level. This implies that concentrations of heavy metals in soils near the current EC limits will most probably lead to a consid-erable reduction in decomposition and nutrient cycling rates. We conclude that heavy metal pollution severely de-creases the functional diversity of the soil microbial com-munity and impairs specific pathways of nutrient cycling.","author":[{"dropping-particle":"","family":"Kandeler","given":"E","non-dropping-particle":"","parse-names":false,"suffix":""},{"dropping-particle":"","family":"Kampichler","given":"C","non-dropping-particle":"","parse-names":false,"suffix":""},{"dropping-particle":"","family":"Horak","given":"O","non-dropping-particle":"","parse-names":false,"suffix":""}],"container-title":"Biology and Fertility of Soils","id":"ITEM-2","issued":{"date-parts":[["1996"]]},"page":"299-306","title":"Influence of heavy metals on the functional diversity of soil microbial communities","type":"article-journal","volume":"23"},"uris":["http://www.mendeley.com/documents/?uuid=8f4fa6bc-7359-31b0-b8ab-02b225e20a1b"]}],"mendeley":{"formattedCitation":"(Abdu et al., 2017; Kandeler et al., 1996)","plainTextFormattedCitation":"(Abdu et al., 2017; Kandeler et al., 1996)","previouslyFormattedCitation":"(Abdu et al., 2017; Kandeler et al., 1996)"},"properties":{"noteIndex":0},"schema":"https://github.com/citation-style-language/schema/raw/master/csl-citation.json"}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(Abdu et al., 2017; Kandeler et al., 1996)</w:t>
      </w:r>
      <w:r w:rsidRPr="00216965">
        <w:rPr>
          <w:rFonts w:eastAsia="Times New Roman" w:cs="Times New Roman"/>
          <w:szCs w:val="24"/>
        </w:rPr>
        <w:fldChar w:fldCharType="end"/>
      </w:r>
      <w:r w:rsidRPr="00216965">
        <w:rPr>
          <w:rFonts w:eastAsia="Times New Roman" w:cs="Times New Roman"/>
          <w:szCs w:val="24"/>
        </w:rPr>
        <w:t>.</w:t>
      </w:r>
    </w:p>
    <w:p w14:paraId="494A11F3" w14:textId="77777777" w:rsidR="00632101" w:rsidRPr="00216965" w:rsidRDefault="00632101" w:rsidP="008A33DA">
      <w:pPr>
        <w:spacing w:line="360" w:lineRule="auto"/>
        <w:jc w:val="both"/>
        <w:rPr>
          <w:rFonts w:eastAsia="Times New Roman" w:cs="Times New Roman"/>
          <w:szCs w:val="24"/>
        </w:rPr>
      </w:pPr>
      <w:r w:rsidRPr="00216965">
        <w:rPr>
          <w:rFonts w:eastAsia="Times New Roman" w:cs="Times New Roman"/>
          <w:noProof/>
          <w:szCs w:val="24"/>
        </w:rPr>
        <w:drawing>
          <wp:inline distT="0" distB="0" distL="0" distR="0" wp14:anchorId="79191AA5" wp14:editId="53201571">
            <wp:extent cx="5625764" cy="2081116"/>
            <wp:effectExtent l="0" t="0" r="0" b="0"/>
            <wp:docPr id="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625764" cy="2081116"/>
                    </a:xfrm>
                    <a:prstGeom prst="rect">
                      <a:avLst/>
                    </a:prstGeom>
                    <a:ln/>
                  </pic:spPr>
                </pic:pic>
              </a:graphicData>
            </a:graphic>
          </wp:inline>
        </w:drawing>
      </w:r>
    </w:p>
    <w:p w14:paraId="399F801A" w14:textId="789A82B3" w:rsidR="00632101" w:rsidRPr="00216965" w:rsidRDefault="00632101" w:rsidP="008A33DA">
      <w:pPr>
        <w:pStyle w:val="Caption"/>
        <w:rPr>
          <w:rFonts w:eastAsia="Times New Roman" w:cs="Times New Roman"/>
          <w:color w:val="000000"/>
          <w:szCs w:val="24"/>
        </w:rPr>
      </w:pPr>
      <w:bookmarkStart w:id="40" w:name="_heading=h.1fob9te" w:colFirst="0" w:colLast="0"/>
      <w:bookmarkStart w:id="41" w:name="_Ref82815098"/>
      <w:bookmarkStart w:id="42" w:name="_Toc86439344"/>
      <w:bookmarkEnd w:id="40"/>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1</w:t>
      </w:r>
      <w:r w:rsidR="00BF3EBE" w:rsidRPr="00216965">
        <w:rPr>
          <w:b/>
          <w:bCs w:val="0"/>
        </w:rPr>
        <w:fldChar w:fldCharType="end"/>
      </w:r>
      <w:bookmarkEnd w:id="41"/>
      <w:r w:rsidR="006D2F0E" w:rsidRPr="00216965">
        <w:rPr>
          <w:b/>
          <w:bCs w:val="0"/>
        </w:rPr>
        <w:t xml:space="preserve"> </w:t>
      </w:r>
      <w:r w:rsidRPr="00216965">
        <w:rPr>
          <w:rFonts w:eastAsia="Times New Roman" w:cs="Times New Roman"/>
          <w:b/>
          <w:bCs w:val="0"/>
          <w:color w:val="000000"/>
          <w:szCs w:val="24"/>
        </w:rPr>
        <w:t>Two hypothetical models of the effects of stress such heavy metal toxicity on soil microbial diversity</w:t>
      </w:r>
      <w:r w:rsidR="00B06D44" w:rsidRPr="00216965">
        <w:rPr>
          <w:rFonts w:eastAsia="Times New Roman" w:cs="Times New Roman"/>
          <w:b/>
          <w:bCs w:val="0"/>
          <w:color w:val="000000"/>
          <w:szCs w:val="24"/>
        </w:rPr>
        <w:t xml:space="preserve">. </w:t>
      </w:r>
      <w:r w:rsidR="00B06D44" w:rsidRPr="00216965">
        <w:rPr>
          <w:rFonts w:eastAsia="Times New Roman" w:cs="Times New Roman"/>
          <w:color w:val="000000"/>
          <w:szCs w:val="24"/>
        </w:rPr>
        <w:t>Figure was</w:t>
      </w:r>
      <w:r w:rsidRPr="00216965">
        <w:rPr>
          <w:rFonts w:eastAsia="Times New Roman" w:cs="Times New Roman"/>
          <w:color w:val="000000"/>
          <w:szCs w:val="24"/>
        </w:rPr>
        <w:t xml:space="preserve"> adapted from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1998)","manualFormatting":"Giller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Giller </w:t>
      </w:r>
      <w:r w:rsidR="009B2252" w:rsidRPr="00216965">
        <w:rPr>
          <w:rFonts w:eastAsia="Times New Roman" w:cs="Times New Roman"/>
          <w:iCs/>
          <w:noProof/>
          <w:szCs w:val="24"/>
        </w:rPr>
        <w:t>et al</w:t>
      </w:r>
      <w:r w:rsidRPr="00216965">
        <w:rPr>
          <w:rFonts w:eastAsia="Times New Roman" w:cs="Times New Roman"/>
          <w:noProof/>
          <w:szCs w:val="24"/>
        </w:rPr>
        <w:t>. (1998)</w:t>
      </w:r>
      <w:bookmarkEnd w:id="42"/>
      <w:r w:rsidRPr="00216965">
        <w:rPr>
          <w:rFonts w:eastAsia="Times New Roman" w:cs="Times New Roman"/>
          <w:szCs w:val="24"/>
        </w:rPr>
        <w:fldChar w:fldCharType="end"/>
      </w:r>
      <w:r w:rsidR="00A95538" w:rsidRPr="00216965">
        <w:rPr>
          <w:rFonts w:eastAsia="Times New Roman" w:cs="Times New Roman"/>
          <w:szCs w:val="24"/>
        </w:rPr>
        <w:t>.</w:t>
      </w:r>
    </w:p>
    <w:p w14:paraId="370243B5" w14:textId="77777777" w:rsidR="00632101" w:rsidRPr="00216965" w:rsidRDefault="00632101" w:rsidP="008A33DA">
      <w:pPr>
        <w:pStyle w:val="Heading3"/>
      </w:pPr>
      <w:bookmarkStart w:id="43" w:name="_Toc86504629"/>
      <w:r w:rsidRPr="00216965">
        <w:t>Toxicity to plants</w:t>
      </w:r>
      <w:bookmarkEnd w:id="43"/>
    </w:p>
    <w:p w14:paraId="2C2487DA" w14:textId="23F174A9"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plants, metal toxicity alters various physiological processes, such as water and nutrient uptake and transport, photosynthetic activity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{"citationItems":[{"id":"ITEM-1","itemData":{"DOI":"10.1080/15226514.2013.828020","ISSN":"1549-7879","abstract":"A hydroponic experiment was conducted to investigate the effects of cadmium (Cd) on chlorophyll fluorescence and photosynthetic parameters on a Cd accumulating plant of Elsholtzia argyi. Four weeks-seedlings of E. argyi were treated with 0 (CK) 5, 10, 15, 20, 25, 30, 40, 50 and 100 μmol L −1 Cd for 21days. Fv/Fo, Fv/Fm, qP, PSП, ETR and Fv /Fm were significantly increased under low Cd (5–15 μmol L −1 for Fv/Fo, Fv/Fm and qP, 5–10 μmol L −1 for PSП, ETR and Fv /Fm) stress, and these parameters were similar to control under Cd ≤ 50μmol L −1 . All above parameters were significantly decreased at 100 μmol L −1 Cd. Compared with control, Pn was significantly (P &lt; 0.05) increased under 5–30 μmol L −1 Cd. However, 50 and 100 μmol L −1 Cd significantly (P &lt; 0.05) reduced it. Gs and Tr were substantially decreased at 50–100 and 40–100 μmol L −1 Cd, respectively. Ci was significantly increased at 50 and 100 μmol L −1 Cd. High Cd-induced decrease of Pn is not only connected to stomatal limitation but also to the inhibition of Fv/Fo, Fv/Fm, PSП, qP, ETR and increase of NPQ. Maintain chlorophyll fluorescence and photosynthesis parameters under its Cd tolerance threshold were one of tolerance mechanisms in E. argyi.","author":[{"dropping-particle":"","family":"Li","given":"Siliang","non-dropping-particle":"","parse-names":false,"suffix":""},{"dropping-particle":"","family":"Yang","given":"Wenhao","non-dropping-particle":"","parse-names":false,"suffix":""},{"dropping-particle":"","family":"Yang","given":"Tingting","non-dropping-particle":"","parse-names":false,"suffix":""},{"dropping-particle":"","family":"Chen","given":"Yan","non-dropping-particle":"","parse-names":false,"suffix":""},{"dropping-particle":"","family":"Ni","given":"Wuzhong","non-dropping-particle":"","parse-names":false,"suffix":""}],"container-title":"International Journal of Phytoremediation","id":"</w:instrText>
      </w:r>
      <w:r w:rsidR="006C06AA" w:rsidRPr="00804FEA">
        <w:rPr>
          <w:rFonts w:eastAsia="Times New Roman" w:cs="Times New Roman"/>
          <w:szCs w:val="24"/>
          <w:lang w:val="it-IT"/>
        </w:rPr>
        <w:instrText>ITEM-1","issue":"1","issued":{"date-parts":[["2015"]]},"page":"85-92","title":"Effects of cadmium stress on leaf chlorophyll fluorescence and photosynthesis of Elsholtzia argyi—a cadmium accumulating plant","type":"article-journal","volume":"17"},"uris":["http://www.mendeley.com/documents/?uuid=fee1b38b-1e40-385e-bd6d-b3e00cb57ed1"]},{"id":"ITEM-2","itemData":{"DOI":"10.2478/s11535-012-0038-z","ISSN":"1895104X","author":[{"dropping-particle":"","family":"Razinger","given":"Jaka","non-dropping-particle":"","parse-names":false,"suffix":""},{"dropping-particle":"","family":"Drinovec","given":"Luka","non-dropping-particle":"","parse-names":false,"suffix":""},{"dropping-particle":"","family":"Berden-Zrimec","given":"Maja","non-dropping-particle":"","parse-names":false,"suffix":""}],"container-title":"Central European Journal of Biology",</w:instrText>
      </w:r>
      <w:r w:rsidR="006C06AA" w:rsidRPr="00216965">
        <w:rPr>
          <w:rFonts w:eastAsia="Times New Roman" w:cs="Times New Roman"/>
          <w:szCs w:val="24"/>
          <w:lang w:val="it-IT"/>
        </w:rPr>
        <w:instrText>"id":"ITEM-2","issue":"3","issued":{"date-parts":[["2012"]]},"page":"531-541","title":"Delayed fluorescence imaging of photosynthesis inhibitor and heavy metal induced stress in potato","type":"article-journal","volume":"7"},"uris":["http://www.mendeley.com/documents/?uuid=9a95fcad-7fd5-331f-a8ea-1f2a90d1664c"]}],"mendeley":{"formattedCitation":"(Li et al., 2015; Razinger et al., 2012)","plainTextFormattedCitation":"(Li et al., 2015; Razinger et al., 2012)","previouslyFormattedCitation":"(Li et al., 2015; Razinger et al., 2012)"},"properties":{"noteIndex":0},"schema":"https://github.com/citation-style-language/schema/raw/master/csl-citation.json"}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it-IT"/>
        </w:rPr>
        <w:t>(Li et al., 2015; Razinger et al., 2012)</w:t>
      </w:r>
      <w:r w:rsidRPr="00216965">
        <w:rPr>
          <w:rFonts w:eastAsia="Times New Roman" w:cs="Times New Roman"/>
          <w:szCs w:val="24"/>
        </w:rPr>
        <w:fldChar w:fldCharType="end"/>
      </w:r>
      <w:r w:rsidRPr="00216965">
        <w:rPr>
          <w:rFonts w:eastAsia="Times New Roman" w:cs="Times New Roman"/>
          <w:szCs w:val="24"/>
          <w:lang w:val="it-IT"/>
        </w:rPr>
        <w:t xml:space="preserve"> and nitrogen metabolism </w:t>
      </w:r>
      <w:r w:rsidRPr="00216965">
        <w:rPr>
          <w:rFonts w:eastAsia="Times New Roman" w:cs="Times New Roman"/>
          <w:szCs w:val="24"/>
          <w:lang w:val="it-IT"/>
        </w:rPr>
        <w:fldChar w:fldCharType="begin" w:fldLock="1"/>
      </w:r>
      <w:r w:rsidR="006C06AA" w:rsidRPr="00216965">
        <w:rPr>
          <w:rFonts w:eastAsia="Times New Roman" w:cs="Times New Roman"/>
          <w:szCs w:val="24"/>
          <w:lang w:val="it-IT"/>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extraction","type":"article-journal","volume":"111"},"uris":["http://www.mendeley.com/documents/?uuid=3f3115f6-bc94-48bc-bf3f-c1f3b198493d"]}],"mendeley":{"formattedCitation":"(Amari et al., 2017)","plainTextFormattedCitation":"(Amari et al., 2017)","previouslyFormattedCitation":"(Amari et al., 2017)"},"properties":{"noteIndex":0},"schema":"https://github.com/citation-style-language/schema/raw/master/csl-citation.json"}</w:instrText>
      </w:r>
      <w:r w:rsidRPr="00216965">
        <w:rPr>
          <w:rFonts w:eastAsia="Times New Roman" w:cs="Times New Roman"/>
          <w:szCs w:val="24"/>
          <w:lang w:val="it-IT"/>
        </w:rPr>
        <w:fldChar w:fldCharType="separate"/>
      </w:r>
      <w:r w:rsidR="001974AA" w:rsidRPr="00216965">
        <w:rPr>
          <w:rFonts w:eastAsia="Times New Roman" w:cs="Times New Roman"/>
          <w:noProof/>
          <w:szCs w:val="24"/>
          <w:lang w:val="it-IT"/>
        </w:rPr>
        <w:t>(Amari et al., 2017)</w:t>
      </w:r>
      <w:r w:rsidRPr="00216965">
        <w:rPr>
          <w:rFonts w:eastAsia="Times New Roman" w:cs="Times New Roman"/>
          <w:szCs w:val="24"/>
          <w:lang w:val="it-IT"/>
        </w:rPr>
        <w:fldChar w:fldCharType="end"/>
      </w:r>
      <w:r w:rsidRPr="00216965">
        <w:rPr>
          <w:rFonts w:eastAsia="Times New Roman" w:cs="Times New Roman"/>
          <w:szCs w:val="24"/>
          <w:lang w:val="it-IT"/>
        </w:rPr>
        <w:t xml:space="preserve">. </w:t>
      </w:r>
      <w:r w:rsidRPr="00216965">
        <w:rPr>
          <w:rFonts w:eastAsia="Times New Roman" w:cs="Times New Roman"/>
          <w:szCs w:val="24"/>
        </w:rPr>
        <w:t xml:space="preserve">Some of these alterations occur at a biochemical level because metals can alter membrane function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{"citationItems":[{"id":"ITEM-1","itemData":{"abstract":"-Copper (Cu) and manganese (Mn) are essential micronutrients for plants, but toxic at high concentrations. Responses of rice (Oryza sativa L.) and sunflower (Helianthus annuus L.) to toxic concentrations of Mn and Cu (up to 100 µM) were studied under three light intensities including low (LL, PPFD=100), intermediate (IL, PPFD=500) and high (HL, PPFD=800) light intensities in hydroponic medium. Rice plants showed higher susceptibility than sunflower to both heavy metals concerning dry matter of shoot and root. Growing under higher light intensity strengthened the effect of Cu toxicity while ameliorated that of Mn, the latter was attributed to the lower Mn accumulation of HL plants in both shoot and root. Chlorophyll content of leaves was influenced negatively only by Cu treatment and that at the highest concentration in the medium (100 µM). Similar with growth results, reduction of net assimilation rate (A) was higher in HL than LL plants treated by excess Cu, but in contrast to growth response, reduction was more prominent in sunflower than rice. Excess Mn-induced reduction of A was similar between LL and HL plants and was greater in sunflower than rice. Reduction of A was partly attributable to stomatal limitation, but non-stomatal mechanisms were also involved in this reduction. Copper and Mn treatment did not change the optimal quantum efficiency of PSII in dark-adapted chloroplasts (F v /F m ratio), but F v /F 0 was influenced particularly by Cu treatment, the reduction was higher in rice than sunflower and in HL compared to LL plants. Regarding excess Cu and Mn-mediated alterations in chlorophyll concentration, F v /F 0 and T m values, it was suggested that, Cu and Mn toxicity depress the leaf photosynthetic capacity primarily by causing a significant alteration of the composition and functional competence of the photosynthetic units rather a reduction in the number of photosynthetic units (PSUs) per unit leaf area.","author":[{"dropping-particle":"","family":"Hajiboland","given":"","non-dropping-particle":"","parse-names":false,"suffix":""},{"dropping-particle":"","family":"Hasani","given":"B","non-dropping-particle":"","parse-names":false,"suffix":""}],"container-title":"Journal of Stress Physiology &amp; Biochemistry","id":"ITEM-1","issue":"1","issued":{"date-parts":[["2007"]]},"page":"4-17","title":"Effect of Cu and Mn toxicity on chlorophyll fluorescence and gas exchanfe in rice and sunflower under different light intensities","type":"article-journal","volume":"3"},"uris":["http://www.mendeley.com/documents/?uuid=61791263-cf54-34c8-b00f-2e50ee73afc7"]}],"mendeley":{"formattedCitation":"(Hajiboland and Hasani, 2007)","plainTextFormattedCitation":"(Hajiboland and Hasani, 2007)","previouslyFormattedCitation":"(Hajiboland and Hasani, 2007)"},"properties":{"noteIndex":0},"schema":"https://github.com/citation-style-language/schema/raw/master/csl-citation.json"}</w:instrText>
      </w:r>
      <w:r w:rsidRPr="00216965">
        <w:rPr>
          <w:rFonts w:eastAsia="Times New Roman" w:cs="Times New Roman"/>
          <w:szCs w:val="24"/>
        </w:rPr>
        <w:fldChar w:fldCharType="separate"/>
      </w:r>
      <w:r w:rsidR="00330A4F" w:rsidRPr="00216965">
        <w:rPr>
          <w:rFonts w:eastAsia="Times New Roman" w:cs="Times New Roman"/>
          <w:noProof/>
          <w:szCs w:val="24"/>
        </w:rPr>
        <w:t>(Hajiboland and Hasani, 2007)</w:t>
      </w:r>
      <w:r w:rsidRPr="00216965">
        <w:rPr>
          <w:rFonts w:eastAsia="Times New Roman" w:cs="Times New Roman"/>
          <w:szCs w:val="24"/>
        </w:rPr>
        <w:fldChar w:fldCharType="end"/>
      </w:r>
      <w:r w:rsidRPr="00216965">
        <w:rPr>
          <w:rFonts w:eastAsia="Times New Roman" w:cs="Times New Roman"/>
          <w:szCs w:val="24"/>
        </w:rPr>
        <w:t xml:space="preserve"> and inhibit enzyme activities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extraction","type":"article-journal","volume":"111"},"uris":["http://www.mendeley.com/documents/?uuid=3f3115f6-bc94-48bc-bf3f-c1f3b198493d"]},{"id":"ITEM-2","itemData":{"DOI":"10.1007/BF00279329","ISSN":"0049-6979","abstract":"The literature on heavy metal toxicity to vascular plants is reviewed. Special attention is given to forest plant species, especially trees, and effects at low metal concentrations, including growth, physiological, biochemical and cytological responses. Interactions between the metals in toxicity are considered and the role of mycorrhizal infection as well. Of the metals reviewed, Zn is the least toxic. Generally plant growth is affected at 1000 txg Zn L -z or more in a nutrient solution, though 100 to 200 ~g L &lt; may give cytological disorders. At concentrations of 100 to 200 p.g L -1, Cu and Cd disturb metabolic processes and growth, whereas the phytotoxicity of Pb generally is lower. Although a great variation between plant species, critical leaf tissue concentrations affecting growth in most species being 200 to 300 gg Zn g-~ dry weight, 15 to 20 p.g Cu g a and 8-12 ~g Cd g-a. With our present knowledge it is difficult to propose a limit for toxic concentrations of Zn, Cu, Cd and Pb in soils. Besides time of exposure, the degree of toxicity is influenced by biological availability of the metals and interactions with other metals in the soil, nutritional status, age and mycorrhiza! infection of the plant.","author":[{"dropping-particle":"","family":"Pahlsson","given":"Anna-Maj Balsberg","non-dropping-particle":"","parse-names":false,"suffix":""}],"container-title":"Water, Air, and Soil Pollution","id":"ITEM-2","issue":"3-4","issued":{"date-parts":[["1989"]]},"page":"287-319","title":"Toxicity of heavy metals (Zn, Cu, Cd, Pb) to vascular plants","type":"article-journal","volume":"47"},"uris":["http://www.mendeley.com/documents/?uuid=fcc7ea85-e586-4979-89f4-65170b2e2f02"]}],"mendeley":{"formattedCitation":"(Amari et al., 2017; Pahlsson, 1989)","plainTextFormattedCitation":"(Amari et al., 2017; Pahlsson, 1989)","previouslyFormattedCitation":"(Amari et al., 2017; Pahlsson, 1989)"},"properties":{"noteIndex":0},"schema":"https://github.com/citation-style-language/schema/raw/master/csl-citation.json"}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(Amari et al., 2017; Pahlsson, 1989)</w:t>
      </w:r>
      <w:r w:rsidRPr="00216965">
        <w:rPr>
          <w:rFonts w:eastAsia="Times New Roman" w:cs="Times New Roman"/>
          <w:szCs w:val="24"/>
        </w:rPr>
        <w:fldChar w:fldCharType="end"/>
      </w:r>
      <w:r w:rsidRPr="00216965">
        <w:rPr>
          <w:rFonts w:eastAsia="Times New Roman" w:cs="Times New Roman"/>
          <w:szCs w:val="24"/>
        </w:rPr>
        <w:t xml:space="preserve">. These alterations cause a broad range of dysfunctions, culminating ultimately in the sharp decline of crop </w:t>
      </w:r>
      <w:r w:rsidRPr="00216965">
        <w:rPr>
          <w:rFonts w:eastAsia="Times New Roman" w:cs="Times New Roman"/>
          <w:szCs w:val="24"/>
        </w:rPr>
        <w:lastRenderedPageBreak/>
        <w:t xml:space="preserve">production and quality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extraction","type":"article-journal","volume":"111"},"uris":["http://www.mendeley.com/documents/?uuid=3f3115f6-bc94-48bc-bf3f-c1f3b198493d"]}],"mendeley":{"formattedCitation":"(Amari et al., 2017)","plainTextFormattedCitation":"(Amari et al., 2017)","previouslyFormattedCitation":"(Amari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(Amari et al., 2017)</w:t>
      </w:r>
      <w:r w:rsidRPr="00216965">
        <w:rPr>
          <w:rFonts w:eastAsia="Times New Roman" w:cs="Times New Roman"/>
          <w:szCs w:val="24"/>
        </w:rPr>
        <w:fldChar w:fldCharType="end"/>
      </w:r>
      <w:r w:rsidRPr="00216965">
        <w:rPr>
          <w:rFonts w:eastAsia="Times New Roman" w:cs="Times New Roman"/>
          <w:szCs w:val="24"/>
        </w:rPr>
        <w:t>. For example, it has been shown that Cd and Zn can induce disturbances of photosynthesis at different structural-functional levels: pigments and light capture, thylakoid</w:t>
      </w:r>
      <w:r w:rsidRPr="00216965">
        <w:rPr>
          <w:rStyle w:val="FootnoteReference"/>
        </w:rPr>
        <w:footnoteReference w:id="2"/>
      </w:r>
      <w:r w:rsidRPr="00216965">
        <w:rPr>
          <w:rFonts w:eastAsia="Times New Roman" w:cs="Times New Roman"/>
          <w:szCs w:val="24"/>
        </w:rPr>
        <w:t xml:space="preserve"> ultrastructure and photosynthetic electron transport, stomatal conductance and access of CO</w:t>
      </w:r>
      <w:r w:rsidRPr="00216965">
        <w:rPr>
          <w:rFonts w:eastAsia="Times New Roman" w:cs="Times New Roman"/>
          <w:szCs w:val="24"/>
          <w:vertAlign w:val="subscript"/>
        </w:rPr>
        <w:t>2</w:t>
      </w:r>
      <w:r w:rsidRPr="00216965">
        <w:rPr>
          <w:rFonts w:eastAsia="Times New Roman" w:cs="Times New Roman"/>
          <w:szCs w:val="24"/>
        </w:rPr>
        <w:t xml:space="preserve">, and activities of Calvin cycle enzymes among others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{"citationItems":[{"id":"ITEM-1","itemData":{"DOI":"10.3390/ijms19030787","ISSN":"14220067","abstract":"A comparative study of the effects of exposure to high Cd2+ (50 M) and excess Zn2+ (600 M) on photosynthetic performance of hydroponically-grown durum wheat seedlings was performed. At day 8, Cd and Zn were added to the nutrient solution. After 7-days exposure, the chosen concentrations of both metals resulted in similar relative growth rate (RGR) inhibitions of about 50% and comparable retardations of the CO2 assimilation rates (about 30%) in the second developed leaf of wheat seedlings. Analysis of chlorophyll a fluorescence indicated that both metals disturbed photosynthetic electron transport processes which led to a 4- to 5-fold suppression of the efficiency of energy transformation in Photosystem II. Non-specific toxic effects of Cd and Zn, which prevailed, were an inactivation of part of Photosystem II reaction centres and their transformation into excitation quenching forms as well as disturbed electron transport in the oxygen-evolving complex. The specificity of the Cd and Zn modes of action was mainly expressed in the intensity of the toxicity effects: despite the similar inhibitions of the CO2 assimilation rates, the wheat photochemistry showed much more sensitivity to Cd than to Zn exposure.","author":[{"dropping-particle":"","family":"Paunov","given":"Momchil","non-dropping-particle":"","parse-names":false,"suffix":""},{"dropping-particle":"","family":"Koleva","given":"Lyubka","non-dropping-particle":"","parse-names":false,"suffix":""},{"dropping-particle":"","family":"Vassilev","given":"Andon","non-dropping-particle":"","parse-names":false,"suffix":""},{"dropping-particle":"","family":"Vangronsveld","given":"Jaco","non-dropping-particle":"","parse-names":false,"suffix":""},{"dropping-particle":"","family":"Goltsev","given":"Vasilij","non-dropping-particle":"","parse-names":false,"suffix":""}],"container-title":"International Journal of Molecular Sciences","id":"ITEM-1","issue":"787","issued":{"date-parts":[["2018"]]},"page":"1-13","title":"Effects of different metals on photosynthesis: Cadmium and zinc affect chlorophyll fluorescence in durum wheat","type":"article-journal","volume":"19"},"uris":["http://www.mendeley.com/documents/?uuid=1cd892af-a1e7-4966-9e41-973db11af733"]}],"mendeley":{"formattedCitation":"(Paunov et al., 2018)","plainTextFormattedCitation":"(Paunov et al., 2018)","previouslyFormattedCitation":"(Paunov et al., 2018)"},"properties":{"noteIndex":0},"schema":"https://github.com/citation-style-language/schema/raw/master/csl-citation.json"}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(Paunov et al., 2018)</w:t>
      </w:r>
      <w:r w:rsidRPr="00216965">
        <w:rPr>
          <w:rFonts w:eastAsia="Times New Roman" w:cs="Times New Roman"/>
          <w:szCs w:val="24"/>
        </w:rPr>
        <w:fldChar w:fldCharType="end"/>
      </w:r>
      <w:r w:rsidRPr="00216965">
        <w:rPr>
          <w:rFonts w:eastAsia="Times New Roman" w:cs="Times New Roman"/>
          <w:szCs w:val="24"/>
        </w:rPr>
        <w:t xml:space="preserve">. </w:t>
      </w:r>
    </w:p>
    <w:p w14:paraId="6CEC3D8F" w14:textId="41608305" w:rsidR="00632101" w:rsidRPr="00216965" w:rsidRDefault="00632101" w:rsidP="008A33DA">
      <w:pPr>
        <w:spacing w:line="360" w:lineRule="auto"/>
        <w:jc w:val="both"/>
        <w:rPr>
          <w:rFonts w:eastAsia="Times New Roman" w:cs="Times New Roman"/>
          <w:szCs w:val="24"/>
        </w:rPr>
      </w:pPr>
      <w:r w:rsidRPr="00216965">
        <w:rPr>
          <w:rFonts w:eastAsia="Times New Roman" w:cs="Times New Roman"/>
          <w:i/>
          <w:szCs w:val="24"/>
        </w:rPr>
        <w:t>In vitro</w:t>
      </w:r>
      <w:r w:rsidRPr="00216965">
        <w:rPr>
          <w:rFonts w:eastAsia="Times New Roman" w:cs="Times New Roman"/>
          <w:szCs w:val="24"/>
        </w:rPr>
        <w:t xml:space="preserve"> studies established that some heavy metals can significantly decrease the activities of the photosynthetic apparatus (photosystem II and, to lesser extent, photosystem I). A relationship between heavy metal induced stress and alterations in chlorophyll fluorescence has been established by studying the maximum photochemical quantum yield of photosystem II (Fv/Fm), which is recognized as a good indicator for photo-inhibitory or photo-oxidative effects on photosystem II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{"citationItems":[{"id":"ITEM-1","itemData":{"abstract":"The effects of toxic concentrations of Cu, Zn and Cd on the fast induction kinetics of fluorescence from photosystem(PS)II were investigated in a comparative way. The fast fluo­ rescence transient from primary leaves of m etal-treated bean plants was studied. During several days after metal application, the time course of the changes induced by the different metals was monitored. The results evidenced not only a different time course of the changes in fluorescence related parameters for the three metals, but also different effects on the fluorescence induction kinetics, which could possibly be linked to different mechanisms of action of the metals.","author":[{"dropping-particle":"","family":"Ciscato","given":"M","non-dropping-particle":"","parse-names":false,"suffix":""},{"dropping-particle":"","family":"Vangronsveldb","given":"J","non-dropping-particle":"","parse-names":false,"suffix":""},{"dropping-particle":"","family":"Valcke","given":"R","non-dropping-particle":"","parse-names":false,"suffix":""}],"container-title":"Zeitschrift für Naturforschung C","id":"ITEM-1","issue":"9-10","issued":{"date-parts":[["1999"]]},"page":"735-739","title":"Effects of heavy metals on the fast chlorophyll fluorescence induction kinetics of photosystem II: a comparative study","type":"article-journal","volume":"54"},"uris":["http://www.mendeley.com/documents/?uuid=2a2bd4c9-a06f-3c61-9d33-3ce6c3aad4ce"]},{"id":"ITEM-2","itemData":{"DOI":"10.1371/journal.pone.0091475","ISSN":"1932-6203","PMID":"24633293","abstract":"Chlorophyll a fluorescence gives information about the plant physiological status due to its coupling to the photosynthetic electron transfer chain and to the further biochemical processes. Environmental stresses, which acts synergistically, disturbs the photosynthesis. The OJIP test, elaborated by Strasser and co-workers, enables comparison of the physiological status of plants grown on polluted vs. control areas. The paper shows that the Chl a measurements are very useful tool in evaluating of heavy metal ions influence on perennial grasses, tested as potential phytoremediators. Among 5 cultivars tested, the highest concentration of Cd and Zn ions, not associated with the yield reduction, was detected in the biomass of tall fescue cv. Rahela. Chl a fluorescence interpreted as double normalized curves pointed out Rahela as the outstanding cultivar under the HM ions stress.","author":[{"dropping-particle":"","family":"Żurek","given":"Grzegorz","non-dropping-particle":"","parse-names":false,"suffix":""},{"dropping-particle":"","family":"Rybka","given":"Krystyna","non-dropping-particle":"","parse-names":false,"suffix":""},{"dropping-particle":"","family":"Pogrzeba","given":"Marta","non-dropping-particle":"","parse-names":false,"suffix":""},{"dropping-particle":"","family":"Krzyżak","given":"Jacek","non-dropping-particle":"","parse-names":false,"suffix":""},{"dropping-particle":"","family":"Prokopiuk","given":"Kamil","non-dropping-particle":"","parse-names":false,"suffix":""}],"container-title":"PloS one","id":"ITEM-2","issue":"3","issued":{"date-parts":[["2014"]]},"page":"e91475","publisher":"Public Library of Science","title":"Chlorophyll a fluorescence in evaluation of the effect of heavy metal soil contamination on perennial grasses.","type":"article-journal","volume":"9"},"uris":["http://www.mendeley.com/documents/?uuid=461562ed-f0b6-3fb6-beff-59b18d0556a1"]}],"mendeley":{"formattedCitation":"(Ciscato et al., 1999; Żurek et al., 2014)","plainTextFormattedCitation":"(Ciscato et al., 1999; Żurek et al., 2014)","previouslyFormattedCitation":"(Ciscato et al., 1999; Żurek et al., 2014)"},"properties":{"noteIndex":0},"schema":"https://github.com/citation-style-language/schema/raw/master/csl-citation.json"}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(Ciscato et al., 1999; Żurek et al., 2014)</w:t>
      </w:r>
      <w:r w:rsidRPr="00216965">
        <w:rPr>
          <w:rFonts w:eastAsia="Times New Roman" w:cs="Times New Roman"/>
          <w:szCs w:val="24"/>
        </w:rPr>
        <w:fldChar w:fldCharType="end"/>
      </w:r>
      <w:r w:rsidRPr="00216965">
        <w:rPr>
          <w:rFonts w:eastAsia="Times New Roman" w:cs="Times New Roman"/>
          <w:szCs w:val="24"/>
        </w:rPr>
        <w:t xml:space="preserve">. For example,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{"citationItems":[{"id":"ITEM-1","itemData":{"DOI":"10.1051/e3sconf/20130139004","abstract":"The chlorophyll fluorescence imaging technique is a valuable tool to study the impact of heavy metal stress in plants. The aim of this paper was to investigate the influence of Cd on photosynthetic apparatus of white cabbage (Brassica oleracea subsp. capitata f. alba) plants. Two cabbage cultivars 'Ditmarska Najwcześniejsza' ('DN'; early) and 'Amager Polana' ('AP'; late) were used. Cd was applied before planting seedlings (10 mg Cd kg -1 DM of soil).. Measurements were performed at the 3rd leaf after 2 weeks of planting. The level of Cd-induced stress to plants was estimated by chlorophyll (Chl) content (photometrically) and analyses of images and numeric values of the major fluorescence parameters of Chl (Chl fluorescence imaging system FluorCam). Cd negatively affected the chlorophyll content and Fv/Fm, Fv'/Fm', ɸ PSII and qP in leaves of early cultivar of white cabbage. However, in the case of late cv. we did not observe such distinct changes. It suggests that late cultivars. are more resistant to Cd than the early ones. Considering methodological aspect of the study, Chl fluorescence imaging can better reveal some alterations within the leaf, because numeric values of specific parameters, which are the averaged data collected from the whole leaf, cannot reflect the tissue specificity. Abbreviations: HM – heavy metal, Cd – cadmium, Chl – chlorophyll, Fv/Fm – photochemical efficiency of PSII in the dark-adapted state, F'v'/F'm' – PSII maximum efficiency, ɸ PSII – quantum efficiency of PSII electron transport, NPQ – nonphotochemical quenching of maximal Chl fluorescence, qP – photochemical quenching coefficient.","author":[{"dropping-particle":"","family":"Borek","given":"M","non-dropping-particle":"","parse-names":false,"suffix":""},{"dropping-particle":"","family":"Bączek-Kwinta","given":"R","non-dropping-particle":"","parse-names":false,"suffix":""},{"dropping-particle":"","family":"Rapacz","given":"M","non-dropping-particle":"","parse-names":false,"suffix":""}],"container-title":"E3S Web of Conferences","id":"ITEM-1","issued":{"date-parts":[["2013"]]},"page":"39004","title":"Chlorophyll fluorescence imaging of cadmium-treated white cabbage plants","type":"article-journal","volume":"1"},"uris":["http://www.mendeley.com/documents/?uuid=32a46cb6-f7ea-3735-ab11-b2f4f3cff75b"]}],"mendeley":{"formattedCitation":"(Borek et al., 2013)","manualFormatting":"Borek et al. (2013)","plainTextFormattedCitation":"(Borek et al., 2013)","previouslyFormattedCitation":"(Borek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Borek </w:t>
      </w:r>
      <w:r w:rsidR="009B2252" w:rsidRPr="00216965">
        <w:rPr>
          <w:rFonts w:eastAsia="Times New Roman" w:cs="Times New Roman"/>
          <w:iCs/>
          <w:noProof/>
          <w:szCs w:val="24"/>
        </w:rPr>
        <w:t>et al</w:t>
      </w:r>
      <w:r w:rsidRPr="00216965">
        <w:rPr>
          <w:rFonts w:eastAsia="Times New Roman" w:cs="Times New Roman"/>
          <w:noProof/>
          <w:szCs w:val="24"/>
        </w:rPr>
        <w:t>. (2013)</w:t>
      </w:r>
      <w:r w:rsidRPr="00216965">
        <w:rPr>
          <w:rFonts w:eastAsia="Times New Roman" w:cs="Times New Roman"/>
          <w:szCs w:val="24"/>
        </w:rPr>
        <w:fldChar w:fldCharType="end"/>
      </w:r>
      <w:r w:rsidRPr="00216965">
        <w:rPr>
          <w:rFonts w:eastAsia="Times New Roman" w:cs="Times New Roman"/>
          <w:szCs w:val="24"/>
        </w:rPr>
        <w:t xml:space="preserve"> reported that addition of 10 mg.kg</w:t>
      </w:r>
      <w:r w:rsidRPr="00216965">
        <w:rPr>
          <w:rFonts w:eastAsia="Times New Roman" w:cs="Times New Roman"/>
          <w:szCs w:val="24"/>
          <w:vertAlign w:val="superscript"/>
        </w:rPr>
        <w:t xml:space="preserve">-1 </w:t>
      </w:r>
      <w:r w:rsidRPr="00216965">
        <w:rPr>
          <w:rFonts w:eastAsia="Times New Roman" w:cs="Times New Roman"/>
          <w:szCs w:val="24"/>
        </w:rPr>
        <w:t xml:space="preserve">Cd into soil reduced the chlorophyll content and Fv/Fm of </w:t>
      </w:r>
      <w:r w:rsidR="00F24567" w:rsidRPr="00216965">
        <w:rPr>
          <w:rFonts w:eastAsia="Times New Roman" w:cs="Times New Roman"/>
          <w:szCs w:val="24"/>
        </w:rPr>
        <w:t>white</w:t>
      </w:r>
      <w:r w:rsidRPr="00216965">
        <w:rPr>
          <w:rFonts w:eastAsia="Times New Roman" w:cs="Times New Roman"/>
          <w:szCs w:val="24"/>
        </w:rPr>
        <w:t xml:space="preserve"> cabage.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{"citationItems":[{"id":"ITEM-1","itemData":{"abstract":"-Copper (Cu) and manganese (Mn) are essential micronutrients for plants, but toxic at high concentrations. Responses of rice (Oryza sativa L.) and sunflower (Helianthus annuus L.) to toxic concentrations of Mn and Cu (up to 100 µM) were studied under three light intensities including low (LL, PPFD=100), intermediate (IL, PPFD=500) and high (HL, PPFD=800) light intensities in hydroponic medium. Rice plants showed higher susceptibility than sunflower to both heavy metals concerning dry matter of shoot and root. Growing under higher light intensity strengthened the effect of Cu toxicity while ameliorated that of Mn, the latter was attributed to the lower Mn accumulation of HL plants in both shoot and root. Chlorophyll content of leaves was influenced negatively only by Cu treatment and that at the highest concentration in the medium (100 µM). Similar with growth results, reduction of net assimilation rate (A) was higher in HL than LL plants treated by excess Cu, but in contrast to growth response, reduction was more prominent in sunflower than rice. Excess Mn-induced reduction of A was similar between LL and HL plants and was greater in sunflower than rice. Reduction of A was partly attributable to stomatal limitation, but non-stomatal mechanisms were also involved in this reduction. Copper and Mn treatment did not change the optimal quantum efficiency of PSII in dark-adapted chloroplasts (F v /F m ratio), but F v /F 0 was influenced particularly by Cu treatment, the reduction was higher in rice than sunflower and in HL compared to LL plants. Regarding excess Cu and Mn-mediated alterations in chlorophyll concentration, F v /F 0 and T m values, it was suggested that, Cu and Mn toxicity depress the leaf photosynthetic capacity primarily by causing a significant alteration of the composition and functional competence of the photosynthetic units rather a reduction in the number of photosynthetic units (PSUs) per unit leaf area.","author":[{"dropping-particle":"","family":"Hajiboland","given":"","non-dropping-particle":"","parse-names":false,"suffix":""},{"dropping-particle":"","family":"Hasani","given":"B","non-dropping-particle":"","parse-names":false,"suffix":""}],"container-title":"Journal of Stress Physiology &amp; Biochemistry","id":"ITEM-1","issue":"1","issued":{"date-parts":[["2007"]]},"page":"4-17","title":"Effect of Cu and Mn toxicity on chlorophyll fluorescence and gas exchanfe in rice and sunflower under different light intensities","type":"article-journal","volume":"3"},"uris":["http://www.mendeley.com/documents/?uuid=61791263-cf54-34c8-b00f-2e50ee73afc7"]}],"mendeley":{"formattedCitation":"(Hajiboland and Hasani, 2007)","manualFormatting":"Hajiboland and Hasani B (2007)","plainTextFormattedCitation":"(Hajiboland and Hasani, 2007)","previouslyFormattedCitation":"(Hajiboland and Hasani, 2007)"},"properties":{"noteIndex":0},"schema":"https://github.com/citation-style-language/schema/raw/master/csl-citation.json"}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Hajiboland and Hasani B (2007)</w:t>
      </w:r>
      <w:r w:rsidRPr="00216965">
        <w:rPr>
          <w:rFonts w:eastAsia="Times New Roman" w:cs="Times New Roman"/>
          <w:szCs w:val="24"/>
        </w:rPr>
        <w:fldChar w:fldCharType="end"/>
      </w:r>
      <w:r w:rsidRPr="00216965">
        <w:rPr>
          <w:rFonts w:eastAsia="Times New Roman" w:cs="Times New Roman"/>
          <w:szCs w:val="24"/>
        </w:rPr>
        <w:t xml:space="preserve"> found that Mn and Co at concentrations of 100 µM applied to rice and sunflower decreased shoot and root dry weight, inhibited assimilation of CO</w:t>
      </w:r>
      <w:r w:rsidRPr="00216965">
        <w:rPr>
          <w:rFonts w:eastAsia="Times New Roman" w:cs="Times New Roman"/>
          <w:szCs w:val="24"/>
          <w:vertAlign w:val="subscript"/>
        </w:rPr>
        <w:t>2</w:t>
      </w:r>
      <w:r w:rsidRPr="00216965">
        <w:rPr>
          <w:rFonts w:eastAsia="Times New Roman" w:cs="Times New Roman"/>
          <w:szCs w:val="24"/>
        </w:rPr>
        <w:t xml:space="preserve"> and decreased chlorophyll concentration which depressed the leaf photosynthetic capacity. Conversely, the visible symptoms of toxicity in heavy metal exposed plants are often similar and include inhibited germination, stunted growth, leaf chlorosis, necrotic spots among others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{"citationItems":[{"id":"ITEM-1","itemData":{"abstract":"-Copper (Cu) and manganese (Mn) are essential micronutrients for plants, but toxic at high concentrations. Responses of rice (Oryza sativa L.) and sunflower (Helianthus annuus L.) to toxic concentrations of Mn and Cu (up to 100 µM) were studied under three light intensities including low (LL, PPFD=100), intermediate (IL, PPFD=500) and high (HL, PPFD=800) light intensities in hydroponic medium. Rice plants showed higher susceptibility than sunflower to both heavy metals concerning dry matter of shoot and root. Growing under higher light intensity strengthened the effect of Cu toxicity while ameliorated that of Mn, the latter was attributed to the lower Mn accumulation of HL plants in both shoot and root. Chlorophyll content of leaves was influenced negatively only by Cu treatment and that at the highest concentration in the medium (100 µM). Similar with growth results, reduction of net assimilation rate (A) was higher in HL than LL plants treated by excess Cu, but in contrast to growth response, reduction was more prominent in sunflower than rice. Excess Mn-induced reduction of A was similar between LL and HL plants and was greater in sunflower than rice. Reduction of A was partly attributable to stomatal limitation, but non-stomatal mechanisms were also involved in this reduction. Copper and Mn treatment did not change the optimal quantum efficiency of PSII in dark-adapted chloroplasts (F v /F m ratio), but F v /F 0 was influenced particularly by Cu treatment, the reduction was higher in rice than sunflower and in HL compared to LL plants. Regarding excess Cu and Mn-mediated alterations in chlorophyll concentration, F v /F 0 and T m values, it was suggested that, Cu and Mn toxicity depress the leaf photosynthetic capacity primarily by causing a significant alteration of the composition and functional competence of the photosynthetic units rather a reduction in the number of photosynthetic units (PSUs) per unit leaf area.","author":[{"dropping-particle":"","family":"Hajiboland","given":"","non-dropping-particle":"","parse-names":false,"suffix":""},{"dropping-particle":"","family":"Hasani","given":"B","non-dropping-particle":"","parse-names":false,"suffix":""}],"container-title":"Journal of Stress Physiology &amp; Biochemistry","id":"ITEM-1","issue":"1","issued":{"date-parts":[["2007"]]},"page":"4-17","title":"Effect of Cu and Mn toxicity on chlorophyll fluorescence and gas exchanfe in rice and sunflower under different light intensities","type":"article-journal","volume":"3"},"uris":["http://www.mendeley.com/documents/?uuid=61791263-cf54-34c8-b00f-2e50ee73afc7"]},{"id":"ITEM-2","itemData":{"DOI":"10.1080/15226514.2013.828020","ISSN":"1549-7879","abstract":"A hydroponic experiment was conducted to investigate the effects of cadmium (Cd) on chlorophyll fluorescence and photosynthetic parameters on a Cd accumulating plant of Elsholtzia argyi. Four weeks-seedlings of E. argyi were treated with 0 (CK) 5, 10, 15, 20, 25, 30, 40, 50 and 100 μmol L −1 Cd for 21days. Fv/Fo, Fv/Fm, qP, PSП, ETR and Fv /Fm were significantly increased under low Cd (5–15 μmol L −1 for Fv/Fo, Fv/Fm and qP, 5–10 μmol L −1 for PSП, ETR and Fv /Fm) stress, and these parameters were similar to control under Cd ≤ 50μmol L −1 . All above parameters were significantly decreased at 100 μmol L −1 Cd. Compared with control, Pn was significantly (P &lt; 0.05) increased under 5–30 μmol L −1 Cd. However, 50 and 100 μmol L −1 Cd significantly (P &lt; 0.05) reduced it. Gs and Tr were substantially decreased at 50–100 and 40–100 μmol L −1 Cd, respectively. Ci was significantly increased at 50 and 100 μmol L −1 Cd. High Cd-induced decrease of Pn is not only connected to stomatal limitation but also to the inhibition of Fv/Fo, Fv/Fm, PSП, qP, ETR and increase of NPQ. Maintain chlorophyll fluorescence and photosynthesis parameters under its Cd tolerance threshold were one of tolerance mechanisms in E. argyi.","author":[{"dropping-particle":"","family":"Li","given":"Siliang","non-dropping-particle":"","parse-names":false,"suffix":""},{"dropping-particle":"","family":"Yang","given":"Wenhao","non-dropping-particle":"","parse-names":false,"suffix":""},{"dropping-particle":"","family":"Yang","given":"Tingting","non-dropping-particle":"","parse-names":false,"suffix":""},{"dropping-particle":"","family":"Chen","given":"Yan","non-dropping-particle":"","parse-names":false,"suffix":""},{"dropping-particle":"","family":"Ni","given":"Wuzhong","non-dropping-particle":"","parse-names":false,"suffix":""}],"container-title":"International Journal of Phytoremediation","id":"ITEM-2","issue":"1","issued":{"date-parts":[["2015"]]},"page":"85-92","title":"Effects of cadmium stress on leaf chlorophyll fluorescence and photosynthesis of Elsholtzia argyi—a cadmium accumulating plant","type":"article-journal","volume":"17"},"uris":["http://www.mendeley.com/documents/?uuid=fee1b38b-1e40-385e-bd6d-b3e00cb57ed1"]},{"id":"ITEM-3","itemData":{"DOI":"10.3390/ijms19030787","ISSN":"14220067","abstract":"A comparative study of the effects of exposure to high Cd2+ (50 M) and excess Zn2+ (600 M) on photosynthetic performance of hydroponically-grown durum wheat seedlings was performed. At day 8, Cd and Zn were added to the nutrient solution. After 7-days exposure, the chosen concentrations of both metals resulted in similar relative growth rate (RGR) inhibitions of about 50% and comparable retardations of the CO2 assimilation rates (about 30%) in the second developed leaf of wheat seedlings. Analysis of chlorophyll a fluorescence indicated that both metals disturbed photosynthetic electron transport processes which led to a 4- to 5-fold suppression of the efficiency of energy transformation in Photosystem II. Non-specific toxic effects of Cd and Zn, which prevailed, were an inactivation of part of Photosystem II reaction centres and their transformation into excitation quenching forms as well as disturbed electron transport in the oxygen-evolving complex. The specificity of the Cd and Zn modes of action was mainly expressed in the intensity of the toxicity effects: despite the similar inhibitions of the CO2 assimilation rates, the wheat photochemistry showed much more sensitivity to Cd than to Zn exposure.","author":[{"dropping-particle":"","family":"Paunov","given":"Momchil","non-dropping-particle":"","parse-names":false,"suffix":""},{"dropping-particle":"","family":"Koleva","given":"Lyubka","non-dropping-particle":"","parse-names":false,"suffix":""},{"dropping-particle":"","family":"Vassilev","given":"Andon","non-dropping-particle":"","parse-names":false,"suffix":""},{"dropping-particle":"","family":"Vangronsveld","given":"Jaco","non-dropping-particle":"","parse-names":false,"suffix":""},{"dropping-particle":"","family":"Goltsev","given":"Vasilij","non-dropping-particle":"","parse-names":false,"suffix":""}],"container-title":"International Journal of Molecular Sciences","id":"ITEM-3","issue":"787","issued":{"date-parts":[["2018"]]},"page":"1-13","title":"Effects of different metals on photosynthesis: Cadmium and zinc affect chlorophyll fluorescence in durum wheat","type":"article-journal","volume":"19"},"uris":["http://www.mendeley.com/documents/?uuid=1cd892af-a1e7-4966-9e41-973db11af733"]}],"mendeley":{"formattedCitation":"(Hajiboland and Hasani, 2007; Li et al., 2015; Paunov et al., 2018)","plainTextFormattedCitation":"(Hajiboland and Hasani, 2007; Li et al., 2015; Paunov et al., 2018)","previouslyFormattedCitation":"(Hajiboland and Hasani, 2007; Li et al., 2015; Paunov et al., 2018)"},"properties":{"noteIndex":0},"schema":"https://github.com/citation-style-language/schema/raw/master/csl-citation.json"}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(Hajiboland and Hasani, 2007; Li et al., 2015; Paunov et al., 2018)</w:t>
      </w:r>
      <w:r w:rsidRPr="00216965">
        <w:rPr>
          <w:rFonts w:eastAsia="Times New Roman" w:cs="Times New Roman"/>
          <w:szCs w:val="24"/>
        </w:rPr>
        <w:fldChar w:fldCharType="end"/>
      </w:r>
      <w:r w:rsidRPr="00216965">
        <w:rPr>
          <w:rFonts w:eastAsia="Times New Roman" w:cs="Times New Roman"/>
          <w:szCs w:val="24"/>
        </w:rPr>
        <w:t>.</w:t>
      </w:r>
    </w:p>
    <w:p w14:paraId="026AFBFE" w14:textId="77777777" w:rsidR="00632101" w:rsidRPr="00216965" w:rsidRDefault="00632101" w:rsidP="008A33DA">
      <w:pPr>
        <w:pStyle w:val="Heading3"/>
      </w:pPr>
      <w:bookmarkStart w:id="44" w:name="_Toc86504630"/>
      <w:r w:rsidRPr="00216965">
        <w:t>Guideline values</w:t>
      </w:r>
      <w:bookmarkEnd w:id="44"/>
    </w:p>
    <w:p w14:paraId="5D51FB11" w14:textId="635E6940" w:rsidR="00632101" w:rsidRPr="00216965" w:rsidRDefault="00632101" w:rsidP="008A33DA">
      <w:pPr>
        <w:spacing w:line="360" w:lineRule="auto"/>
        <w:jc w:val="both"/>
        <w:rPr>
          <w:rFonts w:eastAsia="Times New Roman" w:cs="Times New Roman"/>
          <w:szCs w:val="24"/>
        </w:rPr>
      </w:pPr>
      <w:bookmarkStart w:id="45" w:name="_heading=h.3znysh7" w:colFirst="0" w:colLast="0"/>
      <w:bookmarkEnd w:id="45"/>
      <w:r w:rsidRPr="00216965">
        <w:rPr>
          <w:rFonts w:eastAsia="Times New Roman" w:cs="Times New Roman"/>
          <w:szCs w:val="24"/>
        </w:rPr>
        <w:t xml:space="preserve">The metals Cd, Cu, Ni, Pb, As, Hg and Zn </w:t>
      </w:r>
      <w:r w:rsidR="00A42876" w:rsidRPr="00216965">
        <w:rPr>
          <w:rFonts w:eastAsia="Times New Roman" w:cs="Times New Roman"/>
          <w:szCs w:val="24"/>
        </w:rPr>
        <w:t xml:space="preserve">(without a particular order) </w:t>
      </w:r>
      <w:r w:rsidRPr="00216965">
        <w:rPr>
          <w:rFonts w:eastAsia="Times New Roman" w:cs="Times New Roman"/>
          <w:szCs w:val="24"/>
        </w:rPr>
        <w:t xml:space="preserve">are reported as the most common HMs in urban, industrial and agricultural soils worldwide </w:t>
      </w:r>
      <w:r w:rsidRPr="00216965">
        <w:rPr>
          <w:rFonts w:eastAsia="Times New Roman" w:cs="Times New Roman"/>
          <w:szCs w:val="24"/>
        </w:rPr>
        <w:fldChar w:fldCharType="begin" w:fldLock="1"/>
      </w:r>
      <w:r w:rsidR="004F0F92" w:rsidRPr="00216965">
        <w:rPr>
          <w:rFonts w:eastAsia="Times New Roman" w:cs="Times New Roman"/>
          <w:szCs w:val="24"/>
        </w:rPr>
        <w:instrText>ADDIN CSL_CITATION {"citationItems":[{"id":"ITEM-1","itemData":{"author":[{"dropping-particle":"","family":"Bonito","given":"Marcello","non-dropping-particle":"Di","parse-names":false,"suffix":""}],"id":"ITEM-1","issued":{"date-parts":[["2005"]]},"number-of-pages":"33-35,225-227","publisher":"University of Nottingham","title":"Trace elements in soil pore water: a comparison of sampling methods","type":"thesis"},"uris":["http://www.mendeley.com/documents/?uuid=72dd635c-c22d-4e00-a95a-d32853f602d8"]},{"id":"ITEM-2","itemData":{"DOI":"10.1016/j.sajb.2009.10.007","ISBN":"0254-6299","ISSN":"02546299","abstract":"Plants experience oxidative stress upon exposure to heavy metals that leads to cellular damage. In addition, plants accumulate metal ions that disturb cellular ionic homeostasis. To minimize the detrimental effects of heavy metal exposure and their accumulation, plants have evolved detoxification mechanisms. Such mechanisms are mainly based on chelation and subcellular compartmentalization. Chelation of heavy metals is a ubiquitous detoxification strategy described in wide variety of plants. A principal class of heavy metal chelator known in plants is phytochelatins (PCs), a family of Cys-rich peptides. PCs are synthesized non-translationally from reduced glutathione (GSH) in a transpeptidation reaction catalyzed by the enzyme phytochelatin synthase (PCS). Therefore, availability of glutathione is very essential for PCs synthesis in plants at least during their exposure to heavy metals. Here, I reviewed on effect of heavy metals exposure to plants and role of GSH and PCs in heavy metal stress tolerance. Further, genetic manipulations of GSH and PCs levels that help plants to ameliorate toxic effects of heavy metals have been presented. © 2009 Elsevier B.V. All rights reserved.","author":[{"dropping-particle":"","family":"Yadav","given":"S. K.","non-dropping-particle":"","parse-names":false,"suffix":""}],"container-title":"South African Journal of Botany","id":"ITEM-2","issue":"2","issued":{"date-parts":[["2010"]]},"page":"167-179","publisher":"Elsevier B.V.","title":"Heavy metals toxicity in plants: An overview on the role of glutathione and phytochelatins in heavy metal stress tolerance of plants","type":"article-journal","volume":"76"},"uris":["http://www.mendeley.com/documents/?uuid=3c74bcf6-fa74-4b54-adde-9bbc0694bc30"]},{"id":"ITEM-3","itemData":{"DOI":"10.1037/a0036071","ISBN":"22244263","ISSN":"1939-1277","PMID":"95769756","abstract":"Heavy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Critics","id":"ITEM-3","issue":"2","issued":{"date-parts":[["2014"]]},"page":"24-38","title":"A review on heavy metal contamination in the soil worldwide: Situation, impact and remediation techniques","type":"article-journal","volume":"3"},"uris":["http://www.mendeley.com/documents/?uuid=5dcca45e-40a9-4d03-8ac4-023dceaf84af"]}],"mendeley":{"formattedCitation":"(Di Bonito, 2005; Su et al., 2014; Yadav, 2010)","plainTextFormattedCitation":"(Di Bonito, 2005; Su et al., 2014; Yadav, 2010)","previouslyFormattedCitation":"(Di Bonito, 2005; Su et al., 2014; Yadav, 2010)"},"properties":{"noteIndex":0},"schema":"https://github.com/citation-style-language/schema/raw/master/csl-citation.json"}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(Di Bonito, 2005; Su et al., 2014; Yadav, 2010)</w:t>
      </w:r>
      <w:r w:rsidRPr="00216965">
        <w:rPr>
          <w:rFonts w:eastAsia="Times New Roman" w:cs="Times New Roman"/>
          <w:szCs w:val="24"/>
        </w:rPr>
        <w:fldChar w:fldCharType="end"/>
      </w:r>
      <w:r w:rsidRPr="00216965">
        <w:rPr>
          <w:rFonts w:eastAsia="Times New Roman" w:cs="Times New Roman"/>
          <w:szCs w:val="24"/>
        </w:rPr>
        <w:t>.</w:t>
      </w:r>
      <w:r w:rsidR="005850BF" w:rsidRPr="00216965">
        <w:rPr>
          <w:rFonts w:eastAsia="Times New Roman" w:cs="Times New Roman"/>
          <w:szCs w:val="24"/>
        </w:rPr>
        <w:t xml:space="preserve"> </w:t>
      </w:r>
      <w:r w:rsidR="005850BF" w:rsidRPr="00216965">
        <w:rPr>
          <w:rFonts w:eastAsia="Times New Roman" w:cs="Times New Roman"/>
          <w:szCs w:val="24"/>
        </w:rPr>
        <w:fldChar w:fldCharType="begin"/>
      </w:r>
      <w:r w:rsidR="005850BF" w:rsidRPr="00216965">
        <w:rPr>
          <w:rFonts w:eastAsia="Times New Roman" w:cs="Times New Roman"/>
          <w:szCs w:val="24"/>
        </w:rPr>
        <w:instrText xml:space="preserve"> REF _Ref86494691 \h </w:instrText>
      </w:r>
      <w:r w:rsidR="005850BF" w:rsidRPr="00216965">
        <w:rPr>
          <w:rFonts w:eastAsia="Times New Roman" w:cs="Times New Roman"/>
          <w:szCs w:val="24"/>
        </w:rPr>
      </w:r>
      <w:r w:rsidR="00216965" w:rsidRPr="00216965">
        <w:rPr>
          <w:rFonts w:eastAsia="Times New Roman" w:cs="Times New Roman"/>
          <w:szCs w:val="24"/>
        </w:rPr>
        <w:instrText xml:space="preserve"> \* MERGEFORMAT </w:instrText>
      </w:r>
      <w:r w:rsidR="005850BF" w:rsidRPr="00216965">
        <w:rPr>
          <w:rFonts w:eastAsia="Times New Roman" w:cs="Times New Roman"/>
          <w:szCs w:val="24"/>
        </w:rPr>
        <w:fldChar w:fldCharType="separate"/>
      </w:r>
      <w:r w:rsidR="006E23EA" w:rsidRPr="00216965">
        <w:rPr>
          <w:b/>
        </w:rPr>
        <w:t xml:space="preserve">Table </w:t>
      </w:r>
      <w:r w:rsidR="006E23EA" w:rsidRPr="00216965">
        <w:rPr>
          <w:b/>
          <w:bCs/>
          <w:noProof/>
        </w:rPr>
        <w:t>2</w:t>
      </w:r>
      <w:r w:rsidR="006E23EA" w:rsidRPr="00216965">
        <w:rPr>
          <w:b/>
        </w:rPr>
        <w:noBreakHyphen/>
      </w:r>
      <w:r w:rsidR="006E23EA" w:rsidRPr="00216965">
        <w:rPr>
          <w:b/>
          <w:bCs/>
          <w:noProof/>
        </w:rPr>
        <w:t>3</w:t>
      </w:r>
      <w:r w:rsidR="005850BF" w:rsidRPr="00216965">
        <w:rPr>
          <w:rFonts w:eastAsia="Times New Roman" w:cs="Times New Roman"/>
          <w:szCs w:val="24"/>
        </w:rPr>
        <w:fldChar w:fldCharType="end"/>
      </w:r>
      <w:r w:rsidRPr="00216965">
        <w:rPr>
          <w:rFonts w:eastAsia="Times New Roman" w:cs="Times New Roman"/>
          <w:szCs w:val="24"/>
        </w:rPr>
        <w:t xml:space="preserve"> presents heavy metal concentrations considered to reflect the most commonly observed ranges in soils as well as the UK soil guideline values (SGVs). SGVs are scientifically based generic assessment criteria that can be used to simplify the assessment of human health risks arising from long-term and on-site exposure to chemical contamination in soil. They represent “trigger values” which indicate that soil concentrations above these level may pose a significant harm to human health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{"citationItems":[{"id":"ITEM-1","itemData":{"author":[{"dropping-particle":"","family":"Environment Agency","given":"","non-dropping-particle":"","parse-names":false,"suffix":""}],"id":"ITEM-1","issued":{"date-parts":[["2009"]]},"publisher":"Environment Agency","publisher-place":"Cardiff","title":"Using soil guideline values","type":"report"},"uris":["http://www.mendeley.com/documents/?uuid=0aecdced-af3d-3999-b22e-084589e77ff0"]}],"mendeley":{"formattedCitation":"(Environment Agency, 2009)","plainTextFormattedCitation":"(Environment Agency, 2009)","previouslyFormattedCitation":"(Environment Agency, 2009)"},"properties":{"noteIndex":0},"schema":"https://github.com/citation-style-language/schema/raw/master/csl-citation.json"}</w:instrText>
      </w:r>
      <w:r w:rsidRPr="00216965">
        <w:rPr>
          <w:rFonts w:eastAsia="Times New Roman" w:cs="Times New Roman"/>
          <w:szCs w:val="24"/>
        </w:rPr>
        <w:fldChar w:fldCharType="separate"/>
      </w:r>
      <w:r w:rsidR="00330A4F" w:rsidRPr="00216965">
        <w:rPr>
          <w:rFonts w:eastAsia="Times New Roman" w:cs="Times New Roman"/>
          <w:noProof/>
          <w:szCs w:val="24"/>
        </w:rPr>
        <w:t>(Environment Agency, 2009)</w:t>
      </w:r>
      <w:r w:rsidRPr="00216965">
        <w:rPr>
          <w:rFonts w:eastAsia="Times New Roman" w:cs="Times New Roman"/>
          <w:szCs w:val="24"/>
        </w:rPr>
        <w:fldChar w:fldCharType="end"/>
      </w:r>
      <w:r w:rsidRPr="00216965">
        <w:rPr>
          <w:rFonts w:eastAsia="Times New Roman" w:cs="Times New Roman"/>
          <w:szCs w:val="24"/>
        </w:rPr>
        <w:t>.</w:t>
      </w:r>
    </w:p>
    <w:p w14:paraId="52C36A76" w14:textId="77777777" w:rsidR="00384B2E" w:rsidRPr="00216965" w:rsidRDefault="00384B2E" w:rsidP="008A33DA">
      <w:pPr>
        <w:spacing w:line="360" w:lineRule="auto"/>
        <w:jc w:val="both"/>
        <w:rPr>
          <w:rFonts w:eastAsia="Times New Roman" w:cs="Times New Roman"/>
          <w:szCs w:val="24"/>
        </w:rPr>
      </w:pPr>
    </w:p>
    <w:p w14:paraId="2D199312" w14:textId="5A94F780" w:rsidR="00632101" w:rsidRPr="00216965" w:rsidRDefault="00506ECF" w:rsidP="008A33DA">
      <w:pPr>
        <w:pStyle w:val="Caption"/>
        <w:rPr>
          <w:b/>
          <w:bCs w:val="0"/>
          <w:lang w:val="en-US"/>
        </w:rPr>
      </w:pPr>
      <w:bookmarkStart w:id="46" w:name="_Ref86494691"/>
      <w:bookmarkStart w:id="47" w:name="_Toc86440359"/>
      <w:bookmarkStart w:id="48" w:name="_Hlk86425729"/>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3</w:t>
      </w:r>
      <w:r w:rsidR="00E569FA" w:rsidRPr="00216965">
        <w:rPr>
          <w:b/>
          <w:bCs w:val="0"/>
        </w:rPr>
        <w:fldChar w:fldCharType="end"/>
      </w:r>
      <w:bookmarkEnd w:id="46"/>
      <w:r w:rsidRPr="00216965">
        <w:rPr>
          <w:b/>
          <w:bCs w:val="0"/>
        </w:rPr>
        <w:t xml:space="preserve"> </w:t>
      </w:r>
      <w:r w:rsidRPr="00216965">
        <w:rPr>
          <w:b/>
          <w:bCs w:val="0"/>
          <w:lang w:val="en-US"/>
        </w:rPr>
        <w:t>Range of normal concentration of heavy metal concentration in soils and UK guideline values</w:t>
      </w:r>
      <w:bookmarkEnd w:id="47"/>
      <w:r w:rsidR="00B06D44" w:rsidRPr="00216965">
        <w:rPr>
          <w:b/>
          <w:bCs w:val="0"/>
          <w:lang w:val="en-US"/>
        </w:rPr>
        <w:t xml:space="preserve">. </w:t>
      </w:r>
      <w:r w:rsidR="00B06D44" w:rsidRPr="00216965">
        <w:rPr>
          <w:lang w:val="en-US"/>
        </w:rPr>
        <w:t>Adapted from:</w:t>
      </w:r>
      <w:r w:rsidR="00B06D44" w:rsidRPr="00216965">
        <w:rPr>
          <w:b/>
          <w:bCs w:val="0"/>
          <w:lang w:val="en-US"/>
        </w:rPr>
        <w:t xml:space="preserve"> </w:t>
      </w:r>
      <w:r w:rsidR="00B06D44" w:rsidRPr="00216965">
        <w:rPr>
          <w:b/>
          <w:bCs w:val="0"/>
          <w:lang w:val="en-US"/>
        </w:rPr>
        <w:fldChar w:fldCharType="begin" w:fldLock="1"/>
      </w:r>
      <w:r w:rsidR="00B61794" w:rsidRPr="00216965">
        <w:rPr>
          <w:b/>
          <w:bCs w:val="0"/>
          <w:lang w:val="en-US"/>
        </w:rPr>
        <w:instrText>ADDIN CSL_CITATION {"citationItems":[{"id":"ITEM-1","itemData":{"DOI":"https://doi.org/10.1007/978-94-011-7339-1","ISBN":"0-85334-923-1","author":[{"dropping-particle":"","family":"Phipps","given":"D","non-dropping-particle":"","parse-names":false,"suffix":""}],"container-title":"Effect of heavy metal pollution on plants","edition":"First edit","id":"ITEM-1","issued":{"date-parts":[["1981"]]},"page":"1-54","publisher":"Applied Science Publlishers","publisher-place":"Liverpoool","title":"Chemistry and biochemistry of trace metals in biological systems","type":"chapter"},"uris":["http://www.mendeley.com/documents/?uuid=9d19e163-a8e0-45ac-b1c5-697e92468293"]},{"id":"ITEM-2","itemData":{"author":[{"dropping-particle":"","family":"Lancrop Laboratories","given":"","non-dropping-particle":"","parse-names":false,"suffix":""}],"container-title":"Technical Bulletin Yara","id":"ITEM-2","issue":"6","issued":{"date-parts":[["2014"]]},"publisher":"Yara","publisher-place":"Lincolnshire","title":"Heavy metal guidelines in soil","type":"report"},"uris":["http://www.mendeley.com/documents/?uuid=173e5805-5bf2-4c7b-b12d-8324c7bf7a54"]}],"mendeley":{"formattedCitation":"(Lancrop Laboratories, 2014; Phipps, 1981)","manualFormatting":"Lancrop Laboratories (2014) and Phipps (1981)","plainTextFormattedCitation":"(Lancrop Laboratories, 2014; Phipps, 1981)","previouslyFormattedCitation":"(Lancrop Laboratories, 2014; Phipps, 1981)"},"properties":{"noteIndex":0},"schema":"https://github.com/citation-style-language/schema/raw/master/csl-citation.json"}</w:instrText>
      </w:r>
      <w:r w:rsidR="00B06D44" w:rsidRPr="00216965">
        <w:rPr>
          <w:b/>
          <w:bCs w:val="0"/>
          <w:lang w:val="en-US"/>
        </w:rPr>
        <w:fldChar w:fldCharType="separate"/>
      </w:r>
      <w:r w:rsidR="00B06D44" w:rsidRPr="00216965">
        <w:rPr>
          <w:bCs w:val="0"/>
          <w:noProof/>
          <w:lang w:val="en-US"/>
        </w:rPr>
        <w:t>Lancrop Laboratories (2014) and Phipps (1981)</w:t>
      </w:r>
      <w:r w:rsidR="00B06D44" w:rsidRPr="00216965">
        <w:rPr>
          <w:b/>
          <w:bCs w:val="0"/>
          <w:lang w:val="en-US"/>
        </w:rPr>
        <w:fldChar w:fldCharType="end"/>
      </w:r>
      <w:r w:rsidR="00A95538" w:rsidRPr="00216965">
        <w:rPr>
          <w:b/>
          <w:bCs w:val="0"/>
          <w:lang w:val="en-US"/>
        </w:rPr>
        <w:t>.</w:t>
      </w:r>
    </w:p>
    <w:tbl>
      <w:tblPr>
        <w:tblStyle w:val="PlainTable22"/>
        <w:tblW w:w="8015" w:type="dxa"/>
        <w:jc w:val="center"/>
        <w:tblBorders>
          <w:top w:val="single" w:sz="4" w:space="0" w:color="auto"/>
          <w:bottom w:val="single" w:sz="4" w:space="0" w:color="auto"/>
        </w:tblBorders>
        <w:tblLook w:val="04A0" w:firstRow="1" w:lastRow="0" w:firstColumn="1" w:lastColumn="0" w:noHBand="0" w:noVBand="1"/>
      </w:tblPr>
      <w:tblGrid>
        <w:gridCol w:w="927"/>
        <w:gridCol w:w="1353"/>
        <w:gridCol w:w="2268"/>
        <w:gridCol w:w="600"/>
        <w:gridCol w:w="637"/>
        <w:gridCol w:w="2230"/>
      </w:tblGrid>
      <w:tr w:rsidR="00632101" w:rsidRPr="00216965" w14:paraId="4CB1546C" w14:textId="77777777" w:rsidTr="008A33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auto"/>
              <w:bottom w:val="single" w:sz="4" w:space="0" w:color="auto"/>
            </w:tcBorders>
            <w:shd w:val="clear" w:color="auto" w:fill="A8D08D" w:themeFill="accent6" w:themeFillTint="99"/>
          </w:tcPr>
          <w:p w14:paraId="492BE67D" w14:textId="77777777" w:rsidR="00632101" w:rsidRPr="00216965" w:rsidRDefault="00632101" w:rsidP="00A0457B">
            <w:pPr>
              <w:rPr>
                <w:sz w:val="20"/>
              </w:rPr>
            </w:pPr>
            <w:r w:rsidRPr="00216965">
              <w:rPr>
                <w:sz w:val="20"/>
              </w:rPr>
              <w:t>Element</w:t>
            </w:r>
          </w:p>
        </w:tc>
        <w:tc>
          <w:tcPr>
            <w:tcW w:w="1353" w:type="dxa"/>
            <w:tcBorders>
              <w:top w:val="single" w:sz="4" w:space="0" w:color="auto"/>
              <w:bottom w:val="single" w:sz="4" w:space="0" w:color="auto"/>
            </w:tcBorders>
            <w:shd w:val="clear" w:color="auto" w:fill="A8D08D" w:themeFill="accent6" w:themeFillTint="99"/>
          </w:tcPr>
          <w:p w14:paraId="34363828" w14:textId="75C98A3C" w:rsidR="00632101" w:rsidRPr="00216965" w:rsidRDefault="00632101" w:rsidP="00A0457B">
            <w:pPr>
              <w:jc w:val="center"/>
              <w:cnfStyle w:val="100000000000" w:firstRow="1" w:lastRow="0" w:firstColumn="0" w:lastColumn="0" w:oddVBand="0" w:evenVBand="0" w:oddHBand="0" w:evenHBand="0" w:firstRowFirstColumn="0" w:firstRowLastColumn="0" w:lastRowFirstColumn="0" w:lastRowLastColumn="0"/>
              <w:rPr>
                <w:sz w:val="20"/>
              </w:rPr>
            </w:pPr>
            <w:r w:rsidRPr="00216965">
              <w:rPr>
                <w:sz w:val="20"/>
              </w:rPr>
              <w:t>Normal Range in Soils</w:t>
            </w:r>
            <w:r w:rsidR="00EC7D12" w:rsidRPr="00216965">
              <w:rPr>
                <w:sz w:val="20"/>
                <w:vertAlign w:val="superscript"/>
              </w:rPr>
              <w:t>1</w:t>
            </w:r>
          </w:p>
        </w:tc>
        <w:tc>
          <w:tcPr>
            <w:tcW w:w="3505" w:type="dxa"/>
            <w:gridSpan w:val="3"/>
            <w:tcBorders>
              <w:top w:val="single" w:sz="4" w:space="0" w:color="auto"/>
              <w:bottom w:val="single" w:sz="4" w:space="0" w:color="auto"/>
            </w:tcBorders>
            <w:shd w:val="clear" w:color="auto" w:fill="A8D08D" w:themeFill="accent6" w:themeFillTint="99"/>
          </w:tcPr>
          <w:p w14:paraId="1F151BD8" w14:textId="7BF50812" w:rsidR="00632101" w:rsidRPr="00216965" w:rsidRDefault="00632101" w:rsidP="00A0457B">
            <w:pPr>
              <w:jc w:val="center"/>
              <w:cnfStyle w:val="100000000000" w:firstRow="1" w:lastRow="0" w:firstColumn="0" w:lastColumn="0" w:oddVBand="0" w:evenVBand="0" w:oddHBand="0" w:evenHBand="0" w:firstRowFirstColumn="0" w:firstRowLastColumn="0" w:lastRowFirstColumn="0" w:lastRowLastColumn="0"/>
              <w:rPr>
                <w:sz w:val="20"/>
                <w:lang w:val="en-GB"/>
              </w:rPr>
            </w:pPr>
            <w:r w:rsidRPr="00216965">
              <w:rPr>
                <w:sz w:val="20"/>
                <w:lang w:val="en-GB"/>
              </w:rPr>
              <w:t>CLEA Soil Guideline Value (SGV)</w:t>
            </w:r>
            <w:r w:rsidR="00EC7D12" w:rsidRPr="00216965">
              <w:rPr>
                <w:b w:val="0"/>
                <w:sz w:val="20"/>
                <w:vertAlign w:val="superscript"/>
                <w:lang w:val="en-GB"/>
              </w:rPr>
              <w:t xml:space="preserve"> </w:t>
            </w:r>
            <w:r w:rsidR="00EC7D12" w:rsidRPr="00216965">
              <w:rPr>
                <w:sz w:val="20"/>
                <w:vertAlign w:val="superscript"/>
                <w:lang w:val="en-GB"/>
              </w:rPr>
              <w:t>2</w:t>
            </w:r>
          </w:p>
        </w:tc>
        <w:tc>
          <w:tcPr>
            <w:tcW w:w="2230" w:type="dxa"/>
            <w:tcBorders>
              <w:top w:val="single" w:sz="4" w:space="0" w:color="auto"/>
              <w:bottom w:val="single" w:sz="4" w:space="0" w:color="auto"/>
            </w:tcBorders>
            <w:shd w:val="clear" w:color="auto" w:fill="A8D08D" w:themeFill="accent6" w:themeFillTint="99"/>
          </w:tcPr>
          <w:p w14:paraId="07D9E19F" w14:textId="02439714" w:rsidR="00632101" w:rsidRPr="00216965" w:rsidRDefault="00632101" w:rsidP="00A0457B">
            <w:pPr>
              <w:jc w:val="center"/>
              <w:cnfStyle w:val="100000000000" w:firstRow="1" w:lastRow="0" w:firstColumn="0" w:lastColumn="0" w:oddVBand="0" w:evenVBand="0" w:oddHBand="0" w:evenHBand="0" w:firstRowFirstColumn="0" w:firstRowLastColumn="0" w:lastRowFirstColumn="0" w:lastRowLastColumn="0"/>
              <w:rPr>
                <w:sz w:val="20"/>
              </w:rPr>
            </w:pPr>
            <w:r w:rsidRPr="00216965">
              <w:rPr>
                <w:sz w:val="20"/>
              </w:rPr>
              <w:t>EC Directive 86/278/EEC</w:t>
            </w:r>
            <w:r w:rsidR="00EC7D12" w:rsidRPr="00216965">
              <w:rPr>
                <w:b w:val="0"/>
                <w:sz w:val="20"/>
                <w:vertAlign w:val="superscript"/>
                <w:lang w:val="en-GB"/>
              </w:rPr>
              <w:t xml:space="preserve"> </w:t>
            </w:r>
            <w:r w:rsidR="00EC7D12" w:rsidRPr="00216965">
              <w:rPr>
                <w:sz w:val="20"/>
                <w:vertAlign w:val="superscript"/>
                <w:lang w:val="en-GB"/>
              </w:rPr>
              <w:t>2</w:t>
            </w:r>
          </w:p>
        </w:tc>
      </w:tr>
      <w:tr w:rsidR="00632101" w:rsidRPr="00216965" w14:paraId="05574735" w14:textId="77777777" w:rsidTr="008A33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auto"/>
              <w:bottom w:val="none" w:sz="0" w:space="0" w:color="auto"/>
            </w:tcBorders>
          </w:tcPr>
          <w:p w14:paraId="4A008DE6" w14:textId="77777777" w:rsidR="00632101" w:rsidRPr="00216965" w:rsidRDefault="00632101" w:rsidP="00A0457B">
            <w:pPr>
              <w:rPr>
                <w:sz w:val="20"/>
              </w:rPr>
            </w:pPr>
          </w:p>
        </w:tc>
        <w:tc>
          <w:tcPr>
            <w:tcW w:w="1353" w:type="dxa"/>
            <w:tcBorders>
              <w:top w:val="single" w:sz="4" w:space="0" w:color="auto"/>
              <w:bottom w:val="single" w:sz="4" w:space="0" w:color="auto"/>
            </w:tcBorders>
          </w:tcPr>
          <w:p w14:paraId="12508228"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b/>
                <w:sz w:val="20"/>
              </w:rPr>
            </w:pPr>
            <w:r w:rsidRPr="00216965">
              <w:rPr>
                <w:b/>
                <w:sz w:val="20"/>
              </w:rPr>
              <w:t>mg.kg</w:t>
            </w:r>
            <w:r w:rsidRPr="00216965">
              <w:rPr>
                <w:b/>
                <w:sz w:val="20"/>
                <w:vertAlign w:val="superscript"/>
              </w:rPr>
              <w:t>-1</w:t>
            </w:r>
          </w:p>
        </w:tc>
        <w:tc>
          <w:tcPr>
            <w:tcW w:w="5735" w:type="dxa"/>
            <w:gridSpan w:val="4"/>
            <w:tcBorders>
              <w:top w:val="single" w:sz="4" w:space="0" w:color="auto"/>
              <w:bottom w:val="single" w:sz="4" w:space="0" w:color="auto"/>
            </w:tcBorders>
          </w:tcPr>
          <w:p w14:paraId="359DE497" w14:textId="7FA1D453"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b/>
                <w:sz w:val="20"/>
                <w:lang w:val="en-GB"/>
              </w:rPr>
            </w:pPr>
            <w:r w:rsidRPr="00216965">
              <w:rPr>
                <w:b/>
                <w:sz w:val="20"/>
                <w:lang w:val="en-GB"/>
              </w:rPr>
              <w:t xml:space="preserve">Soil land use   </w:t>
            </w:r>
            <w:r w:rsidRPr="00216965">
              <w:rPr>
                <w:b/>
                <w:sz w:val="20"/>
                <w:vertAlign w:val="superscript"/>
                <w:lang w:val="en-GB"/>
              </w:rPr>
              <w:t xml:space="preserve"> </w:t>
            </w:r>
            <w:r w:rsidRPr="00216965">
              <w:rPr>
                <w:b/>
                <w:sz w:val="20"/>
                <w:lang w:val="en-GB"/>
              </w:rPr>
              <w:t xml:space="preserve">               </w:t>
            </w:r>
            <w:r w:rsidR="00EC7D12" w:rsidRPr="00216965">
              <w:rPr>
                <w:b/>
                <w:sz w:val="20"/>
                <w:lang w:val="en-GB"/>
              </w:rPr>
              <w:t>mg.kg</w:t>
            </w:r>
            <w:r w:rsidR="00EC7D12" w:rsidRPr="00216965">
              <w:rPr>
                <w:b/>
                <w:sz w:val="20"/>
                <w:vertAlign w:val="superscript"/>
                <w:lang w:val="en-GB"/>
              </w:rPr>
              <w:t>-1</w:t>
            </w:r>
            <w:r w:rsidRPr="00216965">
              <w:rPr>
                <w:b/>
                <w:sz w:val="20"/>
                <w:lang w:val="en-GB"/>
              </w:rPr>
              <w:t xml:space="preserve">                       mg.kg</w:t>
            </w:r>
            <w:r w:rsidRPr="00216965">
              <w:rPr>
                <w:b/>
                <w:sz w:val="20"/>
                <w:vertAlign w:val="superscript"/>
                <w:lang w:val="en-GB"/>
              </w:rPr>
              <w:t>-1</w:t>
            </w:r>
          </w:p>
        </w:tc>
      </w:tr>
      <w:tr w:rsidR="00632101" w:rsidRPr="00216965" w14:paraId="562B945A" w14:textId="77777777" w:rsidTr="008A33DA">
        <w:trPr>
          <w:jc w:val="center"/>
        </w:trPr>
        <w:tc>
          <w:tcPr>
            <w:cnfStyle w:val="001000000000" w:firstRow="0" w:lastRow="0" w:firstColumn="1" w:lastColumn="0" w:oddVBand="0" w:evenVBand="0" w:oddHBand="0" w:evenHBand="0" w:firstRowFirstColumn="0" w:firstRowLastColumn="0" w:lastRowFirstColumn="0" w:lastRowLastColumn="0"/>
            <w:tcW w:w="927" w:type="dxa"/>
          </w:tcPr>
          <w:p w14:paraId="00536146" w14:textId="77777777" w:rsidR="00632101" w:rsidRPr="00216965" w:rsidRDefault="00632101" w:rsidP="00A0457B">
            <w:pPr>
              <w:rPr>
                <w:b w:val="0"/>
                <w:sz w:val="20"/>
                <w:lang w:val="en-GB"/>
              </w:rPr>
            </w:pPr>
          </w:p>
        </w:tc>
        <w:tc>
          <w:tcPr>
            <w:tcW w:w="1353" w:type="dxa"/>
            <w:tcBorders>
              <w:top w:val="single" w:sz="4" w:space="0" w:color="auto"/>
            </w:tcBorders>
          </w:tcPr>
          <w:p w14:paraId="19C76391" w14:textId="7555C092"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b/>
                <w:sz w:val="20"/>
                <w:vertAlign w:val="superscript"/>
                <w:lang w:val="en-GB"/>
              </w:rPr>
            </w:pPr>
          </w:p>
        </w:tc>
        <w:tc>
          <w:tcPr>
            <w:tcW w:w="2868" w:type="dxa"/>
            <w:gridSpan w:val="2"/>
            <w:tcBorders>
              <w:top w:val="single" w:sz="4" w:space="0" w:color="auto"/>
            </w:tcBorders>
          </w:tcPr>
          <w:p w14:paraId="114380CE" w14:textId="02AE8370" w:rsidR="00632101" w:rsidRPr="00216965" w:rsidRDefault="00EC7D12" w:rsidP="00EC7D12">
            <w:pPr>
              <w:cnfStyle w:val="000000000000" w:firstRow="0" w:lastRow="0" w:firstColumn="0" w:lastColumn="0" w:oddVBand="0" w:evenVBand="0" w:oddHBand="0" w:evenHBand="0" w:firstRowFirstColumn="0" w:firstRowLastColumn="0" w:lastRowFirstColumn="0" w:lastRowLastColumn="0"/>
              <w:rPr>
                <w:sz w:val="20"/>
                <w:lang w:val="en-GB"/>
              </w:rPr>
            </w:pPr>
            <w:r w:rsidRPr="00216965">
              <w:rPr>
                <w:b/>
                <w:sz w:val="20"/>
                <w:vertAlign w:val="superscript"/>
                <w:lang w:val="en-GB"/>
              </w:rPr>
              <w:t xml:space="preserve">                               </w:t>
            </w:r>
          </w:p>
        </w:tc>
        <w:tc>
          <w:tcPr>
            <w:tcW w:w="2867" w:type="dxa"/>
            <w:gridSpan w:val="2"/>
            <w:tcBorders>
              <w:top w:val="single" w:sz="4" w:space="0" w:color="auto"/>
            </w:tcBorders>
          </w:tcPr>
          <w:p w14:paraId="65B1197C" w14:textId="76077A1B"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p>
        </w:tc>
      </w:tr>
      <w:tr w:rsidR="00632101" w:rsidRPr="00216965" w14:paraId="65B1816F" w14:textId="77777777" w:rsidTr="008A33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none" w:sz="0" w:space="0" w:color="auto"/>
              <w:bottom w:val="none" w:sz="0" w:space="0" w:color="auto"/>
            </w:tcBorders>
          </w:tcPr>
          <w:p w14:paraId="60E718BC" w14:textId="77777777" w:rsidR="00632101" w:rsidRPr="00216965" w:rsidRDefault="00632101" w:rsidP="00A0457B">
            <w:pPr>
              <w:rPr>
                <w:sz w:val="20"/>
              </w:rPr>
            </w:pPr>
            <w:r w:rsidRPr="00216965">
              <w:rPr>
                <w:sz w:val="20"/>
              </w:rPr>
              <w:t>Zn</w:t>
            </w:r>
          </w:p>
        </w:tc>
        <w:tc>
          <w:tcPr>
            <w:tcW w:w="1353" w:type="dxa"/>
            <w:tcBorders>
              <w:top w:val="none" w:sz="0" w:space="0" w:color="auto"/>
              <w:bottom w:val="none" w:sz="0" w:space="0" w:color="auto"/>
            </w:tcBorders>
          </w:tcPr>
          <w:p w14:paraId="1CACCE8C" w14:textId="77C2F9E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5-200</w:t>
            </w:r>
          </w:p>
        </w:tc>
        <w:tc>
          <w:tcPr>
            <w:tcW w:w="2268" w:type="dxa"/>
            <w:tcBorders>
              <w:top w:val="none" w:sz="0" w:space="0" w:color="auto"/>
              <w:bottom w:val="none" w:sz="0" w:space="0" w:color="auto"/>
            </w:tcBorders>
          </w:tcPr>
          <w:p w14:paraId="2C7C9A11" w14:textId="7349F552"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Agricultural</w:t>
            </w:r>
            <w:r w:rsidR="00EC7D12" w:rsidRPr="00216965">
              <w:rPr>
                <w:sz w:val="20"/>
                <w:lang w:val="en-GB"/>
              </w:rPr>
              <w:t xml:space="preserve"> and </w:t>
            </w:r>
            <w:r w:rsidRPr="00216965">
              <w:rPr>
                <w:sz w:val="20"/>
                <w:lang w:val="en-GB"/>
              </w:rPr>
              <w:t>after sludge application</w:t>
            </w:r>
          </w:p>
        </w:tc>
        <w:tc>
          <w:tcPr>
            <w:tcW w:w="1237" w:type="dxa"/>
            <w:gridSpan w:val="2"/>
            <w:tcBorders>
              <w:top w:val="none" w:sz="0" w:space="0" w:color="auto"/>
              <w:bottom w:val="none" w:sz="0" w:space="0" w:color="auto"/>
            </w:tcBorders>
          </w:tcPr>
          <w:p w14:paraId="432F4369" w14:textId="77777777" w:rsidR="00632101" w:rsidRPr="00216965" w:rsidRDefault="00632101" w:rsidP="00A0457B">
            <w:pPr>
              <w:cnfStyle w:val="000000100000" w:firstRow="0" w:lastRow="0" w:firstColumn="0" w:lastColumn="0" w:oddVBand="0" w:evenVBand="0" w:oddHBand="1" w:evenHBand="0" w:firstRowFirstColumn="0" w:firstRowLastColumn="0" w:lastRowFirstColumn="0" w:lastRowLastColumn="0"/>
              <w:rPr>
                <w:sz w:val="20"/>
              </w:rPr>
            </w:pPr>
            <w:r w:rsidRPr="00216965">
              <w:rPr>
                <w:sz w:val="20"/>
              </w:rPr>
              <w:t>Not available at present</w:t>
            </w:r>
          </w:p>
        </w:tc>
        <w:tc>
          <w:tcPr>
            <w:tcW w:w="2230" w:type="dxa"/>
            <w:tcBorders>
              <w:top w:val="none" w:sz="0" w:space="0" w:color="auto"/>
              <w:bottom w:val="none" w:sz="0" w:space="0" w:color="auto"/>
            </w:tcBorders>
          </w:tcPr>
          <w:p w14:paraId="0739E6B2" w14:textId="77777777" w:rsidR="00632101" w:rsidRPr="00216965" w:rsidRDefault="00632101" w:rsidP="00A0457B">
            <w:pP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5- 5.4 = 200</w:t>
            </w:r>
          </w:p>
          <w:p w14:paraId="5353DC15"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5.5-5.9 = 250</w:t>
            </w:r>
          </w:p>
          <w:p w14:paraId="532EEBEB"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6-7= 300</w:t>
            </w:r>
          </w:p>
          <w:p w14:paraId="4A1D6B7D"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At pH 7.1+ = 450</w:t>
            </w:r>
          </w:p>
        </w:tc>
      </w:tr>
      <w:tr w:rsidR="00632101" w:rsidRPr="00216965" w14:paraId="6FB844C1" w14:textId="77777777" w:rsidTr="008A33DA">
        <w:trPr>
          <w:jc w:val="center"/>
        </w:trPr>
        <w:tc>
          <w:tcPr>
            <w:cnfStyle w:val="001000000000" w:firstRow="0" w:lastRow="0" w:firstColumn="1" w:lastColumn="0" w:oddVBand="0" w:evenVBand="0" w:oddHBand="0" w:evenHBand="0" w:firstRowFirstColumn="0" w:firstRowLastColumn="0" w:lastRowFirstColumn="0" w:lastRowLastColumn="0"/>
            <w:tcW w:w="927" w:type="dxa"/>
          </w:tcPr>
          <w:p w14:paraId="65BF7629" w14:textId="77777777" w:rsidR="00632101" w:rsidRPr="00216965" w:rsidRDefault="00632101" w:rsidP="00A0457B">
            <w:pPr>
              <w:rPr>
                <w:sz w:val="20"/>
              </w:rPr>
            </w:pPr>
            <w:r w:rsidRPr="00216965">
              <w:rPr>
                <w:sz w:val="20"/>
              </w:rPr>
              <w:t>Ni</w:t>
            </w:r>
          </w:p>
        </w:tc>
        <w:tc>
          <w:tcPr>
            <w:tcW w:w="1353" w:type="dxa"/>
          </w:tcPr>
          <w:p w14:paraId="4CBF0551"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2-100</w:t>
            </w:r>
          </w:p>
          <w:p w14:paraId="7D24DFE1" w14:textId="0DFA179F" w:rsidR="00EC7D12" w:rsidRPr="00216965" w:rsidRDefault="00EC7D12" w:rsidP="00A0457B">
            <w:pPr>
              <w:jc w:val="center"/>
              <w:cnfStyle w:val="000000000000" w:firstRow="0" w:lastRow="0" w:firstColumn="0" w:lastColumn="0" w:oddVBand="0" w:evenVBand="0" w:oddHBand="0" w:evenHBand="0" w:firstRowFirstColumn="0" w:firstRowLastColumn="0" w:lastRowFirstColumn="0" w:lastRowLastColumn="0"/>
              <w:rPr>
                <w:sz w:val="20"/>
              </w:rPr>
            </w:pPr>
          </w:p>
        </w:tc>
        <w:tc>
          <w:tcPr>
            <w:tcW w:w="2268" w:type="dxa"/>
          </w:tcPr>
          <w:p w14:paraId="0AADA48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Residential </w:t>
            </w:r>
          </w:p>
          <w:p w14:paraId="428E07E4"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Allotment </w:t>
            </w:r>
          </w:p>
          <w:p w14:paraId="5DD193C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Commercial</w:t>
            </w:r>
          </w:p>
          <w:p w14:paraId="4C1F7DAE"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p>
          <w:p w14:paraId="6F25591F"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Agricultural and after sludge application</w:t>
            </w:r>
          </w:p>
        </w:tc>
        <w:tc>
          <w:tcPr>
            <w:tcW w:w="1237" w:type="dxa"/>
            <w:gridSpan w:val="2"/>
          </w:tcPr>
          <w:p w14:paraId="06D8DD1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130</w:t>
            </w:r>
          </w:p>
          <w:p w14:paraId="48A6ABAC"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230</w:t>
            </w:r>
          </w:p>
          <w:p w14:paraId="3D14CA0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1800</w:t>
            </w:r>
          </w:p>
          <w:p w14:paraId="6197B254"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p>
          <w:p w14:paraId="13A1326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tc>
        <w:tc>
          <w:tcPr>
            <w:tcW w:w="2230" w:type="dxa"/>
          </w:tcPr>
          <w:p w14:paraId="2A179D38"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p>
          <w:p w14:paraId="66F7343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p>
          <w:p w14:paraId="349B6877"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p>
          <w:p w14:paraId="49037D70"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At pH 5.0-5.4 = 50</w:t>
            </w:r>
          </w:p>
          <w:p w14:paraId="25F01438"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At pH 5.5 – 5.9 = 60</w:t>
            </w:r>
          </w:p>
          <w:p w14:paraId="06447CB8"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At pH 6.0-7.0 = 75</w:t>
            </w:r>
          </w:p>
          <w:p w14:paraId="0C714031"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At pH 7.1+ = 110</w:t>
            </w:r>
          </w:p>
        </w:tc>
      </w:tr>
      <w:tr w:rsidR="00632101" w:rsidRPr="00216965" w14:paraId="43776DE8" w14:textId="77777777" w:rsidTr="008A33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none" w:sz="0" w:space="0" w:color="auto"/>
              <w:bottom w:val="none" w:sz="0" w:space="0" w:color="auto"/>
            </w:tcBorders>
          </w:tcPr>
          <w:p w14:paraId="0B329FB8" w14:textId="77777777" w:rsidR="00632101" w:rsidRPr="00216965" w:rsidRDefault="00632101" w:rsidP="00A0457B">
            <w:pPr>
              <w:rPr>
                <w:sz w:val="20"/>
              </w:rPr>
            </w:pPr>
            <w:r w:rsidRPr="00216965">
              <w:rPr>
                <w:sz w:val="20"/>
              </w:rPr>
              <w:t>Cu</w:t>
            </w:r>
          </w:p>
        </w:tc>
        <w:tc>
          <w:tcPr>
            <w:tcW w:w="1353" w:type="dxa"/>
            <w:tcBorders>
              <w:top w:val="none" w:sz="0" w:space="0" w:color="auto"/>
              <w:bottom w:val="none" w:sz="0" w:space="0" w:color="auto"/>
            </w:tcBorders>
          </w:tcPr>
          <w:p w14:paraId="30261635" w14:textId="7D266272"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2-60</w:t>
            </w:r>
          </w:p>
        </w:tc>
        <w:tc>
          <w:tcPr>
            <w:tcW w:w="2268" w:type="dxa"/>
            <w:tcBorders>
              <w:top w:val="none" w:sz="0" w:space="0" w:color="auto"/>
              <w:bottom w:val="none" w:sz="0" w:space="0" w:color="auto"/>
            </w:tcBorders>
          </w:tcPr>
          <w:p w14:paraId="402ECA38"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Agricultural and after sludge application</w:t>
            </w:r>
          </w:p>
        </w:tc>
        <w:tc>
          <w:tcPr>
            <w:tcW w:w="1237" w:type="dxa"/>
            <w:gridSpan w:val="2"/>
            <w:tcBorders>
              <w:top w:val="none" w:sz="0" w:space="0" w:color="auto"/>
              <w:bottom w:val="none" w:sz="0" w:space="0" w:color="auto"/>
            </w:tcBorders>
          </w:tcPr>
          <w:p w14:paraId="5E108D73"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Not available at present</w:t>
            </w:r>
          </w:p>
        </w:tc>
        <w:tc>
          <w:tcPr>
            <w:tcW w:w="2230" w:type="dxa"/>
            <w:tcBorders>
              <w:top w:val="none" w:sz="0" w:space="0" w:color="auto"/>
              <w:bottom w:val="none" w:sz="0" w:space="0" w:color="auto"/>
            </w:tcBorders>
          </w:tcPr>
          <w:p w14:paraId="3C0F5D14"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5 – 5.4 = 80</w:t>
            </w:r>
          </w:p>
          <w:p w14:paraId="34729C1D"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5.5-5.9 = 100</w:t>
            </w:r>
          </w:p>
          <w:p w14:paraId="2BDBC1D4"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At pH 6-7 = 135</w:t>
            </w:r>
          </w:p>
          <w:p w14:paraId="28A7ABD2"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At pH 7.1 + = 200</w:t>
            </w:r>
          </w:p>
        </w:tc>
      </w:tr>
      <w:tr w:rsidR="00632101" w:rsidRPr="00216965" w14:paraId="36CABF6F" w14:textId="77777777" w:rsidTr="008A33DA">
        <w:trPr>
          <w:jc w:val="center"/>
        </w:trPr>
        <w:tc>
          <w:tcPr>
            <w:cnfStyle w:val="001000000000" w:firstRow="0" w:lastRow="0" w:firstColumn="1" w:lastColumn="0" w:oddVBand="0" w:evenVBand="0" w:oddHBand="0" w:evenHBand="0" w:firstRowFirstColumn="0" w:firstRowLastColumn="0" w:lastRowFirstColumn="0" w:lastRowLastColumn="0"/>
            <w:tcW w:w="927" w:type="dxa"/>
          </w:tcPr>
          <w:p w14:paraId="57C03638" w14:textId="77777777" w:rsidR="00632101" w:rsidRPr="00216965" w:rsidRDefault="00632101" w:rsidP="00A0457B">
            <w:pPr>
              <w:rPr>
                <w:sz w:val="20"/>
              </w:rPr>
            </w:pPr>
            <w:r w:rsidRPr="00216965">
              <w:rPr>
                <w:sz w:val="20"/>
              </w:rPr>
              <w:t>As</w:t>
            </w:r>
          </w:p>
        </w:tc>
        <w:tc>
          <w:tcPr>
            <w:tcW w:w="1353" w:type="dxa"/>
          </w:tcPr>
          <w:p w14:paraId="03ECF37D"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&lt;5-40</w:t>
            </w:r>
          </w:p>
        </w:tc>
        <w:tc>
          <w:tcPr>
            <w:tcW w:w="2268" w:type="dxa"/>
          </w:tcPr>
          <w:p w14:paraId="3445C087"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Residential </w:t>
            </w:r>
          </w:p>
          <w:p w14:paraId="72F7C4C5"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Allotment </w:t>
            </w:r>
          </w:p>
          <w:p w14:paraId="2644AF95"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Commercial</w:t>
            </w:r>
          </w:p>
          <w:p w14:paraId="34109DE7"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Agricultural and after sludge application</w:t>
            </w:r>
          </w:p>
        </w:tc>
        <w:tc>
          <w:tcPr>
            <w:tcW w:w="1237" w:type="dxa"/>
            <w:gridSpan w:val="2"/>
          </w:tcPr>
          <w:p w14:paraId="7C86784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32</w:t>
            </w:r>
          </w:p>
          <w:p w14:paraId="4DC192C3"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43</w:t>
            </w:r>
          </w:p>
          <w:p w14:paraId="162821A1"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640</w:t>
            </w:r>
          </w:p>
          <w:p w14:paraId="1C9EC85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tc>
        <w:tc>
          <w:tcPr>
            <w:tcW w:w="2230" w:type="dxa"/>
          </w:tcPr>
          <w:p w14:paraId="1278D447"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40746862"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4CD5411B"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2C2F89EB"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50</w:t>
            </w:r>
          </w:p>
        </w:tc>
      </w:tr>
      <w:tr w:rsidR="00632101" w:rsidRPr="00216965" w14:paraId="4953DE35" w14:textId="77777777" w:rsidTr="008A33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none" w:sz="0" w:space="0" w:color="auto"/>
              <w:bottom w:val="none" w:sz="0" w:space="0" w:color="auto"/>
            </w:tcBorders>
          </w:tcPr>
          <w:p w14:paraId="1B1ECE9B" w14:textId="77777777" w:rsidR="00632101" w:rsidRPr="00216965" w:rsidRDefault="00632101" w:rsidP="00A0457B">
            <w:pPr>
              <w:rPr>
                <w:sz w:val="20"/>
              </w:rPr>
            </w:pPr>
            <w:r w:rsidRPr="00216965">
              <w:rPr>
                <w:sz w:val="20"/>
              </w:rPr>
              <w:t>Pb</w:t>
            </w:r>
          </w:p>
        </w:tc>
        <w:tc>
          <w:tcPr>
            <w:tcW w:w="1353" w:type="dxa"/>
            <w:tcBorders>
              <w:top w:val="none" w:sz="0" w:space="0" w:color="auto"/>
              <w:bottom w:val="none" w:sz="0" w:space="0" w:color="auto"/>
            </w:tcBorders>
          </w:tcPr>
          <w:p w14:paraId="07E8DC84" w14:textId="27DA41C6"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10-150</w:t>
            </w:r>
          </w:p>
        </w:tc>
        <w:tc>
          <w:tcPr>
            <w:tcW w:w="2268" w:type="dxa"/>
            <w:tcBorders>
              <w:top w:val="none" w:sz="0" w:space="0" w:color="auto"/>
              <w:bottom w:val="none" w:sz="0" w:space="0" w:color="auto"/>
            </w:tcBorders>
          </w:tcPr>
          <w:p w14:paraId="0B605D04"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 xml:space="preserve">Residential </w:t>
            </w:r>
          </w:p>
          <w:p w14:paraId="0ADD2A9D"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 xml:space="preserve">Allotment </w:t>
            </w:r>
          </w:p>
          <w:p w14:paraId="61B87970"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Commercial</w:t>
            </w:r>
          </w:p>
          <w:p w14:paraId="7D17A490"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lang w:val="en-GB"/>
              </w:rPr>
            </w:pPr>
            <w:r w:rsidRPr="00216965">
              <w:rPr>
                <w:sz w:val="20"/>
                <w:lang w:val="en-GB"/>
              </w:rPr>
              <w:t>Agricultural and after sludge application</w:t>
            </w:r>
          </w:p>
        </w:tc>
        <w:tc>
          <w:tcPr>
            <w:tcW w:w="1237" w:type="dxa"/>
            <w:gridSpan w:val="2"/>
            <w:tcBorders>
              <w:top w:val="none" w:sz="0" w:space="0" w:color="auto"/>
              <w:bottom w:val="none" w:sz="0" w:space="0" w:color="auto"/>
            </w:tcBorders>
          </w:tcPr>
          <w:p w14:paraId="0F111137"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450</w:t>
            </w:r>
          </w:p>
          <w:p w14:paraId="1CCE29D9"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450</w:t>
            </w:r>
          </w:p>
          <w:p w14:paraId="2C282C85"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750</w:t>
            </w:r>
          </w:p>
          <w:p w14:paraId="1C40B71F"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w:t>
            </w:r>
          </w:p>
        </w:tc>
        <w:tc>
          <w:tcPr>
            <w:tcW w:w="2230" w:type="dxa"/>
            <w:tcBorders>
              <w:top w:val="none" w:sz="0" w:space="0" w:color="auto"/>
              <w:bottom w:val="none" w:sz="0" w:space="0" w:color="auto"/>
            </w:tcBorders>
          </w:tcPr>
          <w:p w14:paraId="79BDDAB4"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w:t>
            </w:r>
          </w:p>
          <w:p w14:paraId="037C1F4F"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w:t>
            </w:r>
          </w:p>
          <w:p w14:paraId="4BC9CD2D"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w:t>
            </w:r>
          </w:p>
          <w:p w14:paraId="17D10906" w14:textId="77777777" w:rsidR="00632101" w:rsidRPr="00216965" w:rsidRDefault="00632101" w:rsidP="00A0457B">
            <w:pPr>
              <w:jc w:val="center"/>
              <w:cnfStyle w:val="000000100000" w:firstRow="0" w:lastRow="0" w:firstColumn="0" w:lastColumn="0" w:oddVBand="0" w:evenVBand="0" w:oddHBand="1" w:evenHBand="0" w:firstRowFirstColumn="0" w:firstRowLastColumn="0" w:lastRowFirstColumn="0" w:lastRowLastColumn="0"/>
              <w:rPr>
                <w:sz w:val="20"/>
              </w:rPr>
            </w:pPr>
            <w:r w:rsidRPr="00216965">
              <w:rPr>
                <w:sz w:val="20"/>
              </w:rPr>
              <w:t>300</w:t>
            </w:r>
          </w:p>
        </w:tc>
      </w:tr>
      <w:tr w:rsidR="00632101" w:rsidRPr="00216965" w14:paraId="1467F2C5" w14:textId="77777777" w:rsidTr="008A33DA">
        <w:trPr>
          <w:jc w:val="center"/>
        </w:trPr>
        <w:tc>
          <w:tcPr>
            <w:cnfStyle w:val="001000000000" w:firstRow="0" w:lastRow="0" w:firstColumn="1" w:lastColumn="0" w:oddVBand="0" w:evenVBand="0" w:oddHBand="0" w:evenHBand="0" w:firstRowFirstColumn="0" w:firstRowLastColumn="0" w:lastRowFirstColumn="0" w:lastRowLastColumn="0"/>
            <w:tcW w:w="927" w:type="dxa"/>
          </w:tcPr>
          <w:p w14:paraId="3180657B" w14:textId="77777777" w:rsidR="00632101" w:rsidRPr="00216965" w:rsidRDefault="00632101" w:rsidP="00A0457B">
            <w:pPr>
              <w:rPr>
                <w:sz w:val="20"/>
              </w:rPr>
            </w:pPr>
            <w:r w:rsidRPr="00216965">
              <w:rPr>
                <w:sz w:val="20"/>
              </w:rPr>
              <w:t>Cd</w:t>
            </w:r>
          </w:p>
        </w:tc>
        <w:tc>
          <w:tcPr>
            <w:tcW w:w="1353" w:type="dxa"/>
          </w:tcPr>
          <w:p w14:paraId="25C1EB70"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&lt;1-2</w:t>
            </w:r>
          </w:p>
        </w:tc>
        <w:tc>
          <w:tcPr>
            <w:tcW w:w="2268" w:type="dxa"/>
          </w:tcPr>
          <w:p w14:paraId="1B71F3AB"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Residential </w:t>
            </w:r>
          </w:p>
          <w:p w14:paraId="7D9DA1A3"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 xml:space="preserve">Allotment </w:t>
            </w:r>
          </w:p>
          <w:p w14:paraId="234EE519"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Commercial</w:t>
            </w:r>
          </w:p>
          <w:p w14:paraId="24B7C5B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lang w:val="en-GB"/>
              </w:rPr>
            </w:pPr>
            <w:r w:rsidRPr="00216965">
              <w:rPr>
                <w:sz w:val="20"/>
                <w:lang w:val="en-GB"/>
              </w:rPr>
              <w:t>Agricultural and after sludge application</w:t>
            </w:r>
          </w:p>
        </w:tc>
        <w:tc>
          <w:tcPr>
            <w:tcW w:w="1237" w:type="dxa"/>
            <w:gridSpan w:val="2"/>
          </w:tcPr>
          <w:p w14:paraId="39293BA6"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10</w:t>
            </w:r>
          </w:p>
          <w:p w14:paraId="7DE2294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1.8</w:t>
            </w:r>
          </w:p>
          <w:p w14:paraId="685701DA"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230</w:t>
            </w:r>
          </w:p>
          <w:p w14:paraId="6CEEFFB4"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tc>
        <w:tc>
          <w:tcPr>
            <w:tcW w:w="2230" w:type="dxa"/>
          </w:tcPr>
          <w:p w14:paraId="27D491BB"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20E777CB"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6AEB7DCF"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w:t>
            </w:r>
          </w:p>
          <w:p w14:paraId="674670F2" w14:textId="77777777" w:rsidR="00632101" w:rsidRPr="00216965" w:rsidRDefault="00632101" w:rsidP="00A0457B">
            <w:pPr>
              <w:jc w:val="center"/>
              <w:cnfStyle w:val="000000000000" w:firstRow="0" w:lastRow="0" w:firstColumn="0" w:lastColumn="0" w:oddVBand="0" w:evenVBand="0" w:oddHBand="0" w:evenHBand="0" w:firstRowFirstColumn="0" w:firstRowLastColumn="0" w:lastRowFirstColumn="0" w:lastRowLastColumn="0"/>
              <w:rPr>
                <w:sz w:val="20"/>
              </w:rPr>
            </w:pPr>
            <w:r w:rsidRPr="00216965">
              <w:rPr>
                <w:sz w:val="20"/>
              </w:rPr>
              <w:t>3</w:t>
            </w:r>
          </w:p>
        </w:tc>
      </w:tr>
    </w:tbl>
    <w:p w14:paraId="72D936E5" w14:textId="463D55B6" w:rsidR="00632101" w:rsidRPr="00216965" w:rsidRDefault="00883B70" w:rsidP="008A33DA">
      <w:pPr>
        <w:spacing w:after="0" w:line="240" w:lineRule="auto"/>
        <w:rPr>
          <w:vertAlign w:val="superscript"/>
          <w:lang w:val="en-US"/>
        </w:rPr>
      </w:pPr>
      <w:r w:rsidRPr="00216965">
        <w:rPr>
          <w:vertAlign w:val="superscript"/>
          <w:lang w:val="en-US"/>
        </w:rPr>
        <w:t>1</w:t>
      </w:r>
      <w:r w:rsidR="00F92313" w:rsidRPr="00216965">
        <w:rPr>
          <w:vertAlign w:val="superscript"/>
          <w:lang w:val="en-US"/>
        </w:rPr>
        <w:fldChar w:fldCharType="begin" w:fldLock="1"/>
      </w:r>
      <w:r w:rsidR="00B06D44" w:rsidRPr="00216965">
        <w:rPr>
          <w:vertAlign w:val="superscript"/>
          <w:lang w:val="en-US"/>
        </w:rPr>
        <w:instrText>ADDIN CSL_CITATION {"citationItems":[{"id":"ITEM-1","itemData":{"DOI":"https://doi.org/10.1007/978-94-011-7339-1","ISBN":"0-85334-923-1","author":[{"dropping-particle":"","family":"Phipps","given":"D","non-dropping-particle":"","parse-names":false,"suffix":""}],"container-title":"Effect of heavy metal pollution on plants","edition":"First edit","id":"ITEM-1","issued":{"date-parts":[["1981"]]},"page":"1-54","publisher":"Applied Science Publlishers","publisher-place":"Liverpoool","title":"Chemistry and biochemistry of trace metals in biological systems","type":"chapter"},"uris":["http://www.mendeley.com/documents/?uuid=9d19e163-a8e0-45ac-b1c5-697e92468293"]}],"mendeley":{"formattedCitation":"(Phipps, 1981)","manualFormatting":"Phipps (1981)","plainTextFormattedCitation":"(Phipps, 1981)","previouslyFormattedCitation":"(Phipps, 1981)"},"properties":{"noteIndex":0},"schema":"https://github.com/citation-style-language/schema/raw/master/csl-citation.json"}</w:instrText>
      </w:r>
      <w:r w:rsidR="00F92313" w:rsidRPr="00216965">
        <w:rPr>
          <w:vertAlign w:val="superscript"/>
          <w:lang w:val="en-US"/>
        </w:rPr>
        <w:fldChar w:fldCharType="separate"/>
      </w:r>
      <w:r w:rsidR="00F92313" w:rsidRPr="00216965">
        <w:rPr>
          <w:noProof/>
          <w:lang w:val="en-US"/>
        </w:rPr>
        <w:t>Phipps (1981)</w:t>
      </w:r>
      <w:r w:rsidR="00F92313" w:rsidRPr="00216965">
        <w:rPr>
          <w:vertAlign w:val="superscript"/>
          <w:lang w:val="en-US"/>
        </w:rPr>
        <w:fldChar w:fldCharType="end"/>
      </w:r>
    </w:p>
    <w:p w14:paraId="121BEC66" w14:textId="37279AE5" w:rsidR="00632101" w:rsidRPr="00216965" w:rsidRDefault="00883B70" w:rsidP="008A33DA">
      <w:pPr>
        <w:spacing w:after="0" w:line="240" w:lineRule="auto"/>
        <w:rPr>
          <w:vertAlign w:val="superscript"/>
          <w:lang w:val="en-US"/>
        </w:rPr>
      </w:pPr>
      <w:r w:rsidRPr="00216965">
        <w:rPr>
          <w:vertAlign w:val="superscript"/>
          <w:lang w:val="en-US"/>
        </w:rPr>
        <w:t>2</w:t>
      </w:r>
      <w:r w:rsidR="00632101" w:rsidRPr="00216965">
        <w:rPr>
          <w:vertAlign w:val="superscript"/>
          <w:lang w:val="en-US"/>
        </w:rPr>
        <w:fldChar w:fldCharType="begin" w:fldLock="1"/>
      </w:r>
      <w:r w:rsidR="00F56BD7" w:rsidRPr="00216965">
        <w:rPr>
          <w:vertAlign w:val="superscript"/>
          <w:lang w:val="en-US"/>
        </w:rPr>
        <w:instrText>ADDIN CSL_CITATION {"citationItems":[{"id":"ITEM-1","itemData":{"author":[{"dropping-particle":"","family":"Lancrop Laboratories","given":"","non-dropping-particle":"","parse-names":false,"suffix":""}],"container-title":"Technical Bulletin Yara","id":"ITEM-1","issue":"6","issued":{"date-parts":[["2014"]]},"publisher":"Yara","publisher-place":"Lincolnshire","title":"Heavy metal guidelines in soil","type":"report"},"uris":["http://www.mendeley.com/documents/?uuid=173e5805-5bf2-4c7b-b12d-8324c7bf7a54"]}],"mendeley":{"formattedCitation":"(Lancrop Laboratories, 2014)","manualFormatting":"Lancrop Laboratories (2014)","plainTextFormattedCitation":"(Lancrop Laboratories, 2014)","previouslyFormattedCitation":"(Lancrop Laboratories, 2014)"},"properties":{"noteIndex":0},"schema":"https://github.com/citation-style-language/schema/raw/master/csl-citation.json"}</w:instrText>
      </w:r>
      <w:r w:rsidR="00632101" w:rsidRPr="00216965">
        <w:rPr>
          <w:vertAlign w:val="superscript"/>
          <w:lang w:val="en-US"/>
        </w:rPr>
        <w:fldChar w:fldCharType="separate"/>
      </w:r>
      <w:r w:rsidR="00632101" w:rsidRPr="00216965">
        <w:rPr>
          <w:noProof/>
          <w:lang w:val="en-US"/>
        </w:rPr>
        <w:t>Lancrop Laboratories (2014)</w:t>
      </w:r>
      <w:r w:rsidR="00632101" w:rsidRPr="00216965">
        <w:rPr>
          <w:vertAlign w:val="superscript"/>
          <w:lang w:val="en-US"/>
        </w:rPr>
        <w:fldChar w:fldCharType="end"/>
      </w:r>
    </w:p>
    <w:bookmarkEnd w:id="48"/>
    <w:p w14:paraId="5448CC9C" w14:textId="77777777" w:rsidR="00632101" w:rsidRPr="00216965" w:rsidRDefault="00632101" w:rsidP="008A33DA">
      <w:pPr>
        <w:jc w:val="both"/>
        <w:rPr>
          <w:rFonts w:eastAsia="Times New Roman" w:cs="Times New Roman"/>
          <w:sz w:val="20"/>
          <w:szCs w:val="20"/>
        </w:rPr>
      </w:pPr>
    </w:p>
    <w:p w14:paraId="07DE686C" w14:textId="0B1E7BAB"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heavy metals, Pb, Cd and Zn have been selected for study in this thesis because, from the group of pollutants commonly present in soils, they often occur together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{"citationItems":[{"id":"ITEM-1","itemData":{"DOI":"10.1016/J.ENVINT.2020.105519","ISSN":"0160-4120","abstract":"Soils in coastal areas of the land-sea interface are vulnerable to heavy metal (HM) accumulation and subsequently to human health risk. However, few studies have investigated the HM pollution and risk in soils along the coastal areas of the Yellow Sea Large Marine Ecosystem (YSLME), in an international perspective. This study is the first comprehensive work in the YSLME encompassing 122 coastal locations along the Bohai Sea (BS), Yellow Sea of China (YSC), and Yellow Sea of South Korea (YSK). Soil HM pollution showed great spatial variations cross the regions and countries. Accumulations of As, Cu, Pb, and Zn in the YSK were significantly higher than those in the BS and YSC (p &lt; 0.05). Whilst the elevated Cd, Hg, and Ni in soils were found in the BS and YSC compared to those in the YSK (p &lt; 0.05). Meantime, the assessment of ecological risk posed by HMs indicated higher potential risk in the BS than other coastal areas. In specific, Cd and Hg posed a higher risk in the BS and YSC, while As showed relatively high risk in the YSK, indicating site-dependent accumulation of HMs in soils. Soil pH and organic matter were found to be important factors affecting the HM accumulation in the study areas. Industrial activities are the major driving factors influencing spatial distributions of HMs, and such activities exhibited different degrees of influence across the sampling sites. Altogether, the results of present study first identified the bilateral characteristics of soil HM pollution along the entire coasts of the YSLME in a comprehensive manner in several aspects: (1) sources, (2) hot spots, (3) priority chemicals of concern, and (4) site-specific potential risk of the soil HMs. Overall, this study provides references and backgrounds for future environmental management strategies and aids in developing a bilateral government policy towards coastal pollution management of HMs from an international scale and perspective.","author":[{"dropping-particle":"","family":"Liu","given":"Peng","non-dropping-particle":"","parse-names":false,"suffix":""},{"dropping-particle":"","family":"Hu","given":"Wenyou","non-dropping-particle":"","parse-names":false,"suffix":""},{"dropping-particle":"","family":"Tian","given":"Kang","non-dropping-particle":"","parse-names":false,"suffix":""},{"dropping-particle":"","family":"Huang","given":"Biao","non-dropping-particle":"","parse-names":false,"suffix":""},{"dropping-particle":"","family":"Zhao","given":"Yongcun","non-dropping-particle":"","parse-names":false,"suffix":""},{"dropping-particle":"","family":"Wang","given":"Xinkai","non-dropping-particle":"","parse-names":false,"suffix":""},{"dropping-particle":"","family":"Zhou","given":"Yunqiao","non-dropping-particle":"","parse-names":false,"suffix":""},{"dropping-particle":"","family":"Shi","given":"Bin","non-dropping-particle":"","parse-names":false,"suffix":""},{"dropping-particle":"","family":"Kwon","given":"Bong Oh","non-dropping-particle":"","parse-names":false,"suffix":""},{"dropping-particle":"","family":"Choi","given":"Kyungsik","non-dropping-particle":"","parse-names":false,"suffix":""},{"dropping-particle":"","family":"Ryu","given":"Jongseong","non-dropping-particle":"","parse-names":false,"suffix":""},{"dropping-particle":"","family":"Chen","given":"Yong","non-dropping-particle":"","parse-names":false,"suffix":""},{"dropping-particle":"","family":"Wang","given":"Tieyu","non-dropping-particle":"","parse-names":false,"suffix":""},{"dropping-particle":"","family":"Khim","given":"Jong Seong","non-dropping-particle":"","parse-names":false,"suffix":""}],"container-title":"Environment International","id":"ITEM-1","issued":{"date-parts":[["2020","4","1"]]},"page":"105519","publisher":"Pergamon","title":"Accumulation and ecological risk of heavy metals in soils along the coastal areas of the Bohai Sea and the Yellow Sea: A comparative study of China and South Korea","type":"article-journal","volume":"137"},"uris":["http://www.mendeley.com/documents/?uuid=17b7e655-8a72-3ba1-91b4-7cea0e600051"]},{"id":"ITEM-2","itemData":{"DOI":"10.1007/s12665-015-5167-z","abstract":"Permeable reactive barrier (PRB) systems containing effective and low-cost adsorbents for heavy metals are expected to function as in situ treatment methods for leachate from waste landfills and contaminated groundwater surrounding the landfills in developing countries. This study was conducted to characterize the adsorption of Cd 2? and Pb 2? onto coconut shell biochar (fine granules), a local soil from Sri Lanka (Entisol), and a biochar-mixed soil (1:1 mixture of biochar and soil) as potential adsorbents for PRB systems. Batch experiments were carried out to investigate the effects of solution pH, contact time, initial ion concentration, and competitive ions on the Cd 2? and Pb 2? adsorption. Results showed that the adsorption kinetics of Cd 2? and Pb 2? onto all adsorbents were well described by the pseudo second order kinetics model and that adsorption isotherms followed the Lang-muir model. In the range of pH C3, the initial solution pH had a minor effect on efficiency of metal removal and the removal of metals mostly exceeded 80 % for all adsor-bents. Measured maximum adsorptions onto soil and bio-char-mixed soil were 30.1 mmol/g for Cd 2? and 44.8-46.7 mmol/g for Pb 2?. These adsorption capacities are similar to or higher than the values of biosorbents tested for wastewater treatment in previous studies, suggesting our tested materials would be useful as adsorbents of Cd 2? and Pb 2? in PRB systems. Additional analysis by scanning electron microscopy linked with energy dispersive X-ray revealed that both Cd 2? and Pb 2? exhibited high adsorp-tion affinity towards soil particles while adsorbing randomly to biochar granules.","author":[{"dropping-particle":"","family":"Paranavithana","given":"G N","non-dropping-particle":"","parse-names":false,"suffix":""},{"dropping-particle":"","family":"Kawamoto","given":"K","non-dropping-particle":"","parse-names":false,"suffix":""},{"dropping-particle":"","family":"Inoue","given":"Y","non-dropping-particle":"","parse-names":false,"suffix":""},{"dropping-particle":"","family":"Saito","given":"T","non-dropping-particle":"","parse-names":false,"suffix":""},{"dropping-particle":"","family":"Vithanage","given":"M","non-dropping-particle":"","parse-names":false,"suffix":""},{"dropping-particle":"","family":"Kalpage","given":"C S","non-dropping-particle":"","parse-names":false,"suffix":""},{"dropping-particle":"","family":"Herath","given":"G B B","non-dropping-particle":"","parse-names":false,"suffix":""}],"container-title":"Environmental Earth Sciences","id":"ITEM-2","issue":"484","issued":{"date-parts":[["2016"]]},"page":"1-12","title":"Adsorption of Cd 2+ and Pb 2+ onto coconut shell biochar and biochar-mixed soil","type":"article-journal","volume":"75"},"uris":["http://www.mendeley.com/documents/?uuid=4ce8d18f-b8e4-37a8-b360-d4a9732e65b3"]},{"id":"ITEM-3","itemData":{"DOI":"10.1007/s11356-015-4233-0","abstract":"Biochar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Research","id":"ITEM-3","issued":{"date-parts":[["2016"]]},"page":"974-984","title":"Effect of biochar on the extractability of heavy metals (Cd, Cu, Pb, and Zn) and enzyme activity in soil","type":"article-journal","volume":"23"},"uris":["http://www.mendeley.com/documents/?uuid=2cc320c9-b009-37a7-80a9-9edc49123e98"]}],"mendeley":{"formattedCitation":"(P. Liu et al., 2020; Paranavithana et al., 2016; X. Yang et al., 2016)","plainTextFormattedCitation":"(P. Liu et al., 2020; Paranavithana et al., 2016; X. Yang et al., 2016)","previouslyFormattedCitation":"(P. Liu et al., 2020; Paranavithana et al., 2016; X. Yang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 Liu et al., 2020; Paranavithana et al., 2016; X. Yang et al., 2016)</w:t>
      </w:r>
      <w:r w:rsidRPr="00216965">
        <w:rPr>
          <w:rFonts w:eastAsia="Times New Roman" w:cs="Times New Roman"/>
          <w:szCs w:val="24"/>
        </w:rPr>
        <w:fldChar w:fldCharType="end"/>
      </w:r>
      <w:r w:rsidRPr="00216965">
        <w:rPr>
          <w:rFonts w:eastAsia="Times New Roman" w:cs="Times New Roman"/>
          <w:szCs w:val="24"/>
        </w:rPr>
        <w:t xml:space="preserve"> and have been reported as potentially toxic at the lowest bioavailable concentrations </w:t>
      </w:r>
      <w:r w:rsidRPr="00216965">
        <w:rPr>
          <w:rFonts w:eastAsia="Times New Roman" w:cs="Times New Roman"/>
          <w:szCs w:val="24"/>
        </w:rPr>
        <w:fldChar w:fldCharType="begin" w:fldLock="1"/>
      </w:r>
      <w:r w:rsidR="004F0F92" w:rsidRPr="00216965">
        <w:rPr>
          <w:rFonts w:eastAsia="Times New Roman" w:cs="Times New Roman"/>
          <w:szCs w:val="24"/>
        </w:rPr>
        <w:instrText>ADDIN CSL_CITATION {"citationItems":[{"id":"ITEM-1","itemData":{"author":[{"dropping-particle":"","family":"Bonito","given":"Marcello","non-dropping-particle":"Di","parse-names":false,"suffix":""}],"id":"ITEM-1","issued":{"date-parts":[["2005"]]},"number-of-pages":"33-35,225-227","publisher":"University of Nottingham","title":"Trace elements in soil pore water: a comparison of sampling methods","type":"thesis"},"uris":["http://www.mendeley.com/documents/?uuid=72dd635c-c22d-4e00-a95a-d32853f602d8"]},{"id":"ITEM-2","itemData":{"DOI":"10.1097/00010694-199703000-00009","ISBN":"0126564469","ISSN":"0038-075X","PMID":"4388","abstract":"Environmental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-2","issued":{"date-parts":[["2003"]]},"number-of-pages":"229-231","publisher":"Academic Press","publisher-place":"San Diego, California","title":"Environmental Soil Chemistry","type":"book"},"uris":["http://www.mendeley.com/documents/?uuid=2e8cdb2d-9122-4c0b-8580-27a612fa364d"]}],"mendeley":{"formattedCitation":"(Di Bonito, 2005; Sparks, 2003)","plainTextFormattedCitation":"(Di Bonito, 2005; Sparks, 2003)","previouslyFormattedCitation":"(Di Bonito, 2005; Sparks, 2003)"},"properties":{"noteIndex":0},"schema":"https://github.com/citation-style-language/schema/raw/master/csl-citation.json"}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(Di Bonito, 2005; Sparks, 2003)</w:t>
      </w:r>
      <w:r w:rsidRPr="00216965">
        <w:rPr>
          <w:rFonts w:eastAsia="Times New Roman" w:cs="Times New Roman"/>
          <w:szCs w:val="24"/>
        </w:rPr>
        <w:fldChar w:fldCharType="end"/>
      </w:r>
      <w:r w:rsidRPr="00216965">
        <w:rPr>
          <w:rFonts w:eastAsia="Times New Roman" w:cs="Times New Roman"/>
          <w:szCs w:val="24"/>
        </w:rPr>
        <w:t xml:space="preserve"> as discussed below. Pb, Cd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URL":"http://www.inchem.org/documents/jecfa/jecmono/v024je09.htm","accessed":{"date-parts":[["2018","5","5"]]},"author":[{"dropping-particle":"","family":"World Health Organisation","given":"","non-dropping-particle":"","parse-names":false,"suffix":""}],"id":"ITEM-2","issued":{"date-parts":[["1972"]]},"title":"Cadmium (WHO Food Additives Series 24)","type":"webpage"},"uris":["http://www.mendeley.com/documents/?uuid=26c7b764-94ec-328a-8bb3-e3b2358d22dc"]},{"id":"ITEM-3","itemData":{"URL":"http://www.inchem.org/documents/jecfa/jecmono/v004je03.htm","accessed":{"date-parts":[["2018","5","5"]]},"author":[{"dropping-particle":"","family":"World Health Organisation","given":"","non-dropping-particle":"","parse-names":false,"suffix":""}],"container-title":"WHO Food Additives Series","id":"ITEM-3","issued":{"date-parts":[["1972"]]},"title":"Evaluation of mercury, lead, cadmiun and the food additives amaranth, diethylpyrocarbonate and octyl gallate","type":"webpage"},"uris":["http://www.mendeley.com/documents/?uuid=57851b52-cb21-3f5d-9917-25e6b305c64a"]}],"mendeley":{"formattedCitation":"(Amari et al., 2017; World Health Organisation, 1972a, 1972b)","plainTextFormattedCitation":"(Amari et al., 2017; World Health Organisation, 1972a, 1972b)","previouslyFormattedCitation":"(Amari et al., 2017; World Health Organisation, 1972a, 1972b)"},"properties":{"noteIndex":0},"schema":"https://github.com/citation-style-language/schema/raw/master/csl-citation.json"}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(Amari et al., 2017; World Health Organisation, 1972a, 1972b)</w:t>
      </w:r>
      <w:r w:rsidRPr="00216965">
        <w:rPr>
          <w:rFonts w:eastAsia="Times New Roman" w:cs="Times New Roman"/>
          <w:szCs w:val="24"/>
        </w:rPr>
        <w:fldChar w:fldCharType="end"/>
      </w:r>
      <w:r w:rsidRPr="00216965">
        <w:rPr>
          <w:rFonts w:eastAsia="Times New Roman" w:cs="Times New Roman"/>
          <w:szCs w:val="24"/>
        </w:rPr>
        <w:t xml:space="preserve">, and Zn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{"citationItems":[{"id":"ITEM-1","itemData":{"URL":"http://www.inchem.org/documents/jecfa/jecmono/v17je33.htm","accessed":{"date-parts":[["2018","5","5"]]},"author":[{"dropping-particle":"","family":"World Health Organisation","given":"","non-dropping-particle":"","parse-names":false,"suffix":""}],"id":"ITEM-1","issued":{"date-parts":[["1996"]]},"title":"Zinc (WHO Food Additives Series 17)","type":"webpage"},"uris":["http://www.mendeley.com/documents/?uuid=a473e71c-37b3-32e4-a733-144bfee10fea"]}],"mendeley":{"formattedCitation":"(World Health Organisation, 1996)","plainTextFormattedCitation":"(World Health Organisation, 1996)","previouslyFormattedCitation":"(World Health Organisation, 1996)"},"properties":{"noteIndex":0},"schema":"https://github.com/citation-style-language/schema/raw/master/csl-citation.json"}</w:instrText>
      </w:r>
      <w:r w:rsidRPr="00216965">
        <w:rPr>
          <w:rFonts w:eastAsia="Times New Roman" w:cs="Times New Roman"/>
          <w:szCs w:val="24"/>
        </w:rPr>
        <w:fldChar w:fldCharType="separate"/>
      </w:r>
      <w:r w:rsidR="00330A4F" w:rsidRPr="00216965">
        <w:rPr>
          <w:rFonts w:eastAsia="Times New Roman" w:cs="Times New Roman"/>
          <w:noProof/>
          <w:szCs w:val="24"/>
        </w:rPr>
        <w:t>(World Health Organisation, 1996)</w:t>
      </w:r>
      <w:r w:rsidRPr="00216965">
        <w:rPr>
          <w:rFonts w:eastAsia="Times New Roman" w:cs="Times New Roman"/>
          <w:szCs w:val="24"/>
        </w:rPr>
        <w:fldChar w:fldCharType="end"/>
      </w:r>
      <w:r w:rsidRPr="00216965">
        <w:rPr>
          <w:rFonts w:eastAsia="Times New Roman" w:cs="Times New Roman"/>
          <w:szCs w:val="24"/>
        </w:rPr>
        <w:t xml:space="preserve"> are recognized as major environmental pollutants with a well-documented biological toxicity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{"citationItems":[{"id":"ITEM-1","itemData":{"DOI":"10.5194/se-5-65-2014","ISBN":"00439339","ISSN":"18699510","abstract":"Abstract Anthropogenic activities are resulting in an increase on the use and extraction of heavy metals . Heavy metals cannot be degraded and hence accumulate in the environment having the potential to contaminate the food chain. This pollution threatens soil quality, ... \\n","author":[{"dropping-particle":"","family":"Paz-Ferreiro","given":"J.","non-dropping-particle":"","parse-names":false,"suffix":""},{"dropping-particle":"","family":"Lu","given":"H.","non-dropping-particle":"","parse-names":false,"suffix":""},{"dropping-particle":"","family":"Fu","given":"S.","non-dropping-particle":"","parse-names":false,"suffix":""},{"dropping-particle":"","family":"Méndez","given":"A.","non-dropping-particle":"","parse-names":false,"suffix":""},{"dropping-particle":"","family":"Gascó","given":"G.","non-dropping-particle":"","parse-names":false,"suffix":""}],"container-title":"Solid Earth","id":"ITEM-1","issue":"1","issued":{"date-parts":[["2014"]]},"page":"65-75","title":"Use of phytoremediation and biochar to remediate heavy metal polluted soils: A review","type":"article-journal","volume":"5"},"uris":["http://www.mendeley.com/documents/?uuid=ec72afca-9995-4d22-b356-cc7f8d8c7d01"]},{"id":"ITEM-2","itemData":{"DOI":"10.1037/a0036071","ISBN":"22244263","ISSN":"1939-1277","PMID":"95769756","abstract":"Heavy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Critics","id":"ITEM-2","issue":"2","issued":{"date-parts":[["2014"]]},"page":"24-38","title":"A review on heavy metal contamination in the soil worldwide: Situation, impact and remediation techniques","type":"article-journal","volume":"3"},"uris":["http://www.mendeley.com/documents/?uuid=5dcca45e-40a9-4d03-8ac4-023dceaf84af"]}],"mendeley":{"formattedCitation":"(Paz-Ferreiro et al., 2014; Su et al., 2014)","plainTextFormattedCitation":"(Paz-Ferreiro et al., 2014; Su et al., 2014)","previouslyFormattedCitation":"(Paz-Ferreiro et al., 2014; Su et al., 2014)"},"properties":{"noteIndex":0},"schema":"https://github.com/citation-style-language/schema/raw/master/csl-citation.json"}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(Paz-Ferreiro et al., 2014; Su et al., 2014)</w:t>
      </w:r>
      <w:r w:rsidRPr="00216965">
        <w:rPr>
          <w:rFonts w:eastAsia="Times New Roman" w:cs="Times New Roman"/>
          <w:szCs w:val="24"/>
        </w:rPr>
        <w:fldChar w:fldCharType="end"/>
      </w:r>
      <w:r w:rsidRPr="00216965">
        <w:rPr>
          <w:rFonts w:eastAsia="Times New Roman" w:cs="Times New Roman"/>
          <w:szCs w:val="24"/>
        </w:rPr>
        <w:t xml:space="preserve">. </w:t>
      </w:r>
    </w:p>
    <w:p w14:paraId="7A58B259" w14:textId="77777777" w:rsidR="00632101" w:rsidRPr="00216965" w:rsidRDefault="00632101" w:rsidP="008A33DA">
      <w:pPr>
        <w:pStyle w:val="Heading2"/>
      </w:pPr>
      <w:bookmarkStart w:id="49" w:name="_heading=h.2et92p0" w:colFirst="0" w:colLast="0"/>
      <w:bookmarkStart w:id="50" w:name="_Ref82958852"/>
      <w:bookmarkStart w:id="51" w:name="_Toc86504631"/>
      <w:bookmarkEnd w:id="49"/>
      <w:r w:rsidRPr="00216965">
        <w:lastRenderedPageBreak/>
        <w:t>Fractionation of HM in soil</w:t>
      </w:r>
      <w:bookmarkEnd w:id="50"/>
      <w:bookmarkEnd w:id="51"/>
    </w:p>
    <w:p w14:paraId="37BF0C99" w14:textId="7AD18F68" w:rsidR="00632101" w:rsidRPr="00216965" w:rsidRDefault="00632101" w:rsidP="008A33DA">
      <w:pPr>
        <w:spacing w:before="240" w:line="360" w:lineRule="auto"/>
        <w:jc w:val="both"/>
      </w:pPr>
      <w:r w:rsidRPr="00216965">
        <w:t xml:space="preserve">Heavy metals are present in soil in different chemical forms (species) which are controlled by complex interacting processes such as adsorption/desorption, complexation/dissociation, precipitation/dissolution, or very slow diffusion into the interior of clay minerals and oxides </w:t>
      </w:r>
      <w:r w:rsidRPr="00216965">
        <w:fldChar w:fldCharType="begin" w:fldLock="1"/>
      </w:r>
      <w:r w:rsidR="006C06AA" w:rsidRPr="00216965">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2015)","plainTextFormattedCitation":"(Kim et al., 2015)","previouslyFormattedCitation":"(Kim et al., 2015)"},"properties":{"noteIndex":0},"schema":"https://github.com/citation-style-language/schema/raw/master/csl-citation.json"}</w:instrText>
      </w:r>
      <w:r w:rsidRPr="00216965">
        <w:fldChar w:fldCharType="separate"/>
      </w:r>
      <w:r w:rsidR="00C83E62" w:rsidRPr="00216965">
        <w:rPr>
          <w:noProof/>
        </w:rPr>
        <w:t>(Kim et al., 2015)</w:t>
      </w:r>
      <w:r w:rsidRPr="00216965">
        <w:fldChar w:fldCharType="end"/>
      </w:r>
      <w:r w:rsidRPr="00216965">
        <w:t xml:space="preserve">. Heavy metal mobility and bioavailability in sediments and soil depend strongly on the mineralogical and chemical forms in which they occur </w:t>
      </w:r>
      <w:r w:rsidRPr="00216965">
        <w:fldChar w:fldCharType="begin" w:fldLock="1"/>
      </w:r>
      <w:r w:rsidR="006C06AA" w:rsidRPr="00216965">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sediments","type":"article-journal","volume":"1"},"uris":["http://www.mendeley.com/documents/?uuid=19cf9187-8aee-460e-ad8e-5187b017ed8a"]}],"mendeley":{"formattedCitation":"(Okoro et al., 2012)","plainTextFormattedCitation":"(Okoro et al., 2012)","previouslyFormattedCitation":"(Okoro et al., 2012)"},"properties":{"noteIndex":0},"schema":"https://github.com/citation-style-language/schema/raw/master/csl-citation.json"}</w:instrText>
      </w:r>
      <w:r w:rsidRPr="00216965">
        <w:fldChar w:fldCharType="separate"/>
      </w:r>
      <w:r w:rsidR="00C83E62" w:rsidRPr="00216965">
        <w:rPr>
          <w:noProof/>
        </w:rPr>
        <w:t>(Okoro et al., 2012)</w:t>
      </w:r>
      <w:r w:rsidRPr="00216965">
        <w:fldChar w:fldCharType="end"/>
      </w:r>
      <w:r w:rsidRPr="00216965">
        <w:t xml:space="preserve">. In order to determine the speciation of metals in soils, sequential extraction methodologies have been developed. </w:t>
      </w:r>
    </w:p>
    <w:p w14:paraId="3753249F" w14:textId="23E07150" w:rsidR="00632101" w:rsidRPr="00216965" w:rsidRDefault="00632101" w:rsidP="008A33DA">
      <w:pPr>
        <w:spacing w:before="240" w:line="360" w:lineRule="auto"/>
        <w:jc w:val="both"/>
      </w:pPr>
      <w:r w:rsidRPr="00216965">
        <w:t xml:space="preserve">Sequential extraction procedures provide information on the fractionation of metals in the different lattices of the solid sample </w:t>
      </w:r>
      <w:r w:rsidRPr="00216965">
        <w:fldChar w:fldCharType="begin" w:fldLock="1"/>
      </w:r>
      <w:r w:rsidR="006C06AA" w:rsidRPr="00216965">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sediments","type":"article-journal","volume":"1"},"uris":["http://www.mendeley.com/documents/?uuid=19cf9187-8aee-460e-ad8e-5187b017ed8a"]}],"mendeley":{"formattedCitation":"(Okoro et al., 2012)","plainTextFormattedCitation":"(Okoro et al., 2012)","previouslyFormattedCitation":"(Okoro et al., 2012)"},"properties":{"noteIndex":0},"schema":"https://github.com/citation-style-language/schema/raw/master/csl-citation.json"}</w:instrText>
      </w:r>
      <w:r w:rsidRPr="00216965">
        <w:fldChar w:fldCharType="separate"/>
      </w:r>
      <w:r w:rsidR="00C83E62" w:rsidRPr="00216965">
        <w:rPr>
          <w:noProof/>
        </w:rPr>
        <w:t>(Okoro et al., 2012)</w:t>
      </w:r>
      <w:r w:rsidRPr="00216965">
        <w:fldChar w:fldCharType="end"/>
      </w:r>
      <w:r w:rsidRPr="00216965">
        <w:t xml:space="preserve">. Heavy metal fractions have been operationally defined by chemical extraction methods </w:t>
      </w:r>
      <w:r w:rsidRPr="00216965">
        <w:fldChar w:fldCharType="begin" w:fldLock="1"/>
      </w:r>
      <w:r w:rsidR="006C06AA" w:rsidRPr="00216965">
        <w:instrText>ADDIN CSL_CITATION {"citationItems":[{"id":"ITEM-1","itemData":{"author":[{"dropping-particle":"","family":"Tessier","given":"A","non-dropping-particle":"","parse-names":false,"suffix":""},{"dropping-particle":"","family":"Campbell","given":"P G C","non-dropping-particle":"","parse-names":false,"suffix":""},{"dropping-particle":"","family":"Bisson","given":"M","non-dropping-particle":"","parse-names":false,"suffix":""}],"container-title":"Analytical Chemistry","id":"ITEM-1","issue":"7","issued":{"date-parts":[["1979"]]},"page":"844-851","title":"Sequential extraction procedure for the speciation of particulate trace metals","type":"article-journal","volume":"51"},"uris":["http://www.mendeley.com/documents/?uuid=1d1e9d90-39b3-46fd-bd46-0b3d3a00a1d6"]}],"mendeley":{"formattedCitation":"(Tessier et al., 1979)","plainTextFormattedCitation":"(Tessier et al., 1979)","previouslyFormattedCitation":"(Tessier et al., 1979)"},"properties":{"noteIndex":0},"schema":"https://github.com/citation-style-language/schema/raw/master/csl-citation.json"}</w:instrText>
      </w:r>
      <w:r w:rsidRPr="00216965">
        <w:fldChar w:fldCharType="separate"/>
      </w:r>
      <w:r w:rsidR="001974AA" w:rsidRPr="00216965">
        <w:rPr>
          <w:noProof/>
        </w:rPr>
        <w:t>(Tessier et al., 1979)</w:t>
      </w:r>
      <w:r w:rsidRPr="00216965">
        <w:fldChar w:fldCharType="end"/>
      </w:r>
      <w:r w:rsidRPr="00216965">
        <w:t xml:space="preserve">. They are known generally as “water soluble fraction”, “exchangeable fraction”, “carbonate or acid soluble fraction”, “easily reducible or associated with iron or manganese oxides”, “oxidizable or associated with organic matter and sulfur’’, and ‘‘residuals or associated with silicates’’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author":[{"dropping-particle":"","family":"Tessier","given":"A","non-dropping-particle":"","parse-names":false,"suffix":""},{"dropping-particle":"","family":"Campbell","given":"P G C","non-dropping-particle":"","parse-names":false,"suffix":""},{"dropping-particle":"","family":"Bisson","given":"M","non-dropping-particle":"","parse-names":false,"suffix":""}],"container-title":"Analytical Chemistry","id":"ITEM-2","issue":"7","issued":{"date-parts":[["1979"]]},"page":"844-851","title":"Sequential extraction procedure for the speciation of particulate trace metals","type":"article-journal","volume":"51"},"uris":["http://www.mendeley.com/documents/?uuid=1d1e9d90-39b3-46fd-bd46-0b3d3a00a1d6"]}],"mendeley":{"formattedCitation":"(Filgueiras et al., 2002; Tessier et al., 1979)","plainTextFormattedCitation":"(Filgueiras et al., 2002; Tessier et al., 1979)","previouslyFormattedCitation":"(Filgueiras et al., 2002; Tessier et al., 1979)"},"properties":{"noteIndex":0},"schema":"https://github.com/citation-style-language/schema/raw/master/csl-citation.json"}</w:instrText>
      </w:r>
      <w:r w:rsidRPr="00216965">
        <w:fldChar w:fldCharType="separate"/>
      </w:r>
      <w:r w:rsidR="001974AA" w:rsidRPr="00216965">
        <w:rPr>
          <w:noProof/>
        </w:rPr>
        <w:t>(Filgueiras et al., 2002; Tessier et al., 1979)</w:t>
      </w:r>
      <w:r w:rsidRPr="00216965">
        <w:fldChar w:fldCharType="end"/>
      </w:r>
      <w:r w:rsidRPr="00216965">
        <w:t xml:space="preserve">. </w:t>
      </w:r>
    </w:p>
    <w:p w14:paraId="13E28FA3" w14:textId="55746411" w:rsidR="00FD5FFA" w:rsidRPr="00216965" w:rsidRDefault="00632101" w:rsidP="008A33DA">
      <w:pPr>
        <w:spacing w:before="240" w:line="360" w:lineRule="auto"/>
        <w:jc w:val="both"/>
      </w:pPr>
      <w:r w:rsidRPr="00216965">
        <w:t xml:space="preserve">The </w:t>
      </w:r>
      <w:r w:rsidRPr="00216965">
        <w:rPr>
          <w:b/>
          <w:bCs/>
          <w:i/>
          <w:iCs/>
        </w:rPr>
        <w:t>water soluble fraction</w:t>
      </w:r>
      <w:r w:rsidRPr="00216965">
        <w:t xml:space="preserve"> is made up of free ions and ions complexed with soluble organic matter and other constituents. It constitutes the most mobile and potentially the most available metal and metalloid species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fldChar w:fldCharType="separate"/>
      </w:r>
      <w:r w:rsidR="001974AA" w:rsidRPr="00216965">
        <w:rPr>
          <w:noProof/>
        </w:rPr>
        <w:t>(Filgueiras et al., 2002)</w:t>
      </w:r>
      <w:r w:rsidRPr="00216965">
        <w:fldChar w:fldCharType="end"/>
      </w:r>
      <w:r w:rsidRPr="00216965">
        <w:t xml:space="preserve">. The </w:t>
      </w:r>
      <w:r w:rsidRPr="00216965">
        <w:rPr>
          <w:b/>
          <w:bCs/>
          <w:i/>
          <w:iCs/>
        </w:rPr>
        <w:t>exchangeable fraction</w:t>
      </w:r>
      <w:r w:rsidRPr="00216965">
        <w:t xml:space="preserve"> involves metals weakly retained on the solid surface by relatively weak electrostatic interaction (non-specific binding) which can be released by ion-exchange processes. This fraction generally accounts for less than 2% of total metals in soil, except for K, Ca, and Mn </w:t>
      </w:r>
      <w:r w:rsidRPr="00216965">
        <w:fldChar w:fldCharType="begin" w:fldLock="1"/>
      </w:r>
      <w:r w:rsidR="006C06AA" w:rsidRPr="00216965">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sediments","type":"article-journal","volume":"1"},"uris":["http://www.mendeley.com/documents/?uuid=19cf9187-8aee-460e-ad8e-5187b017ed8a"]}],"mendeley":{"formattedCitation":"(Okoro et al., 2012)","plainTextFormattedCitation":"(Okoro et al., 2012)","previouslyFormattedCitation":"(Okoro et al., 2012)"},"properties":{"noteIndex":0},"schema":"https://github.com/citation-style-language/schema/raw/master/csl-citation.json"}</w:instrText>
      </w:r>
      <w:r w:rsidRPr="00216965">
        <w:fldChar w:fldCharType="separate"/>
      </w:r>
      <w:r w:rsidR="00C83E62" w:rsidRPr="00216965">
        <w:rPr>
          <w:noProof/>
        </w:rPr>
        <w:t>(Okoro et al., 2012)</w:t>
      </w:r>
      <w:r w:rsidRPr="00216965">
        <w:fldChar w:fldCharType="end"/>
      </w:r>
      <w:r w:rsidRPr="00216965">
        <w:t xml:space="preserve">. The </w:t>
      </w:r>
      <w:r w:rsidRPr="00216965">
        <w:rPr>
          <w:b/>
          <w:bCs/>
          <w:i/>
          <w:iCs/>
        </w:rPr>
        <w:t>carbonate fraction</w:t>
      </w:r>
      <w:r w:rsidRPr="00216965">
        <w:t xml:space="preserve"> contains the metals which are precipitated or coprecipitated with carbonate, it is a loosely bound phase in which metals are specifically sorbed to organic and inorganic substrates. It is susceptible to changes in pH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sediments","type":"article-journal","volume":"1"},"uris":["http://www.mendeley.com/documents/?uuid=19cf9187-8aee-460e-ad8e-5187b017ed8a"]}],"mendeley":{"formattedCitation":"(Filgueiras et al., 2002; Okoro et al., 2012)","plainTextFormattedCitation":"(Filgueiras et al., 2002; Okoro et al., 2012)","previouslyFormattedCitation":"(Filgueiras et al., 2002; Okoro et al., 2012)"},"properties":{"noteIndex":0},"schema":"https://github.com/citation-style-language/schema/raw/master/csl-citation.json"}</w:instrText>
      </w:r>
      <w:r w:rsidRPr="00216965">
        <w:fldChar w:fldCharType="separate"/>
      </w:r>
      <w:r w:rsidR="001974AA" w:rsidRPr="00216965">
        <w:rPr>
          <w:noProof/>
        </w:rPr>
        <w:t>(Filgueiras et al., 2002; Okoro et al., 2012)</w:t>
      </w:r>
      <w:r w:rsidRPr="00216965">
        <w:fldChar w:fldCharType="end"/>
      </w:r>
      <w:r w:rsidRPr="00216965">
        <w:t xml:space="preserve">. </w:t>
      </w:r>
    </w:p>
    <w:p w14:paraId="0BB0B5D7" w14:textId="18F27EE3" w:rsidR="00632101" w:rsidRPr="00216965" w:rsidRDefault="00632101" w:rsidP="008A33DA">
      <w:pPr>
        <w:spacing w:before="240" w:line="360" w:lineRule="auto"/>
        <w:jc w:val="both"/>
      </w:pPr>
      <w:r w:rsidRPr="00216965">
        <w:t xml:space="preserve">The </w:t>
      </w:r>
      <w:r w:rsidRPr="00216965">
        <w:rPr>
          <w:b/>
          <w:bCs/>
          <w:i/>
          <w:iCs/>
        </w:rPr>
        <w:t>iron and manganese oxides fraction</w:t>
      </w:r>
      <w:r w:rsidRPr="00216965">
        <w:t xml:space="preserve"> involves the metals present as coating on mineral surfaces or as fine discrete particles. This fraction could be split into three sub-fractions: easily reducible fraction (Mn oxides); moderately reducible fraction (amorphous Fe oxides); and poorly-reducible fraction (crystalline Fe oxides)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sediments","type":"article-journal","volume":"1"},"uris":["http://www.mendeley.com/documents/?uuid=19cf9187-8aee-460e-ad8e-5187b017ed8a"]}],"mendeley":{"formattedCitation":"(Filgueiras et al., 2002; Okoro et al., 2012)","plainTextFormattedCitation":"(Filgueiras et al., 2002; Okoro et al., 2012)","previouslyFormattedCitation":"(Filgueiras et al., 2002; Okoro et al., 2012)"},"properties":{"noteIndex":0},"schema":"https://github.com/citation-style-language/schema/raw/master/csl-citation.json"}</w:instrText>
      </w:r>
      <w:r w:rsidRPr="00216965">
        <w:fldChar w:fldCharType="separate"/>
      </w:r>
      <w:r w:rsidR="001974AA" w:rsidRPr="00216965">
        <w:rPr>
          <w:noProof/>
        </w:rPr>
        <w:t>(Filgueiras et al., 2002; Okoro et al., 2012)</w:t>
      </w:r>
      <w:r w:rsidRPr="00216965">
        <w:fldChar w:fldCharType="end"/>
      </w:r>
      <w:r w:rsidRPr="00216965">
        <w:t xml:space="preserve">. In the </w:t>
      </w:r>
      <w:r w:rsidRPr="00216965">
        <w:rPr>
          <w:b/>
          <w:bCs/>
          <w:i/>
          <w:iCs/>
        </w:rPr>
        <w:t>organic fraction</w:t>
      </w:r>
      <w:r w:rsidRPr="00216965">
        <w:t xml:space="preserve"> trace metals are associated with organic mat</w:t>
      </w:r>
      <w:r w:rsidR="00976453" w:rsidRPr="00216965">
        <w:t>ter</w:t>
      </w:r>
      <w:r w:rsidRPr="00216965">
        <w:t xml:space="preserve"> (living organisms, detritus, etc) due to bioaccumulation or complexation. </w:t>
      </w:r>
      <w:r w:rsidRPr="00216965">
        <w:lastRenderedPageBreak/>
        <w:t xml:space="preserve">Metallic pollutants bound to this phase are assumed not to be bioavailable due to the fact that are associated with stable high molecular weight humic substances, although they may be mobilised by decomposition processes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sediments","type":"article-journal","volume":"1"},"uris":["http://www.mendeley.com/documents/?uuid=19cf9187-8aee-460e-ad8e-5187b017ed8a"]}],"mendeley":{"formattedCitation":"(Filgueiras et al., 2002; Okoro et al., 2012)","plainTextFormattedCitation":"(Filgueiras et al., 2002; Okoro et al., 2012)","previouslyFormattedCitation":"(Filgueiras et al., 2002; Okoro et al., 2012)"},"properties":{"noteIndex":0},"schema":"https://github.com/citation-style-language/schema/raw/master/csl-citation.json"}</w:instrText>
      </w:r>
      <w:r w:rsidRPr="00216965">
        <w:fldChar w:fldCharType="separate"/>
      </w:r>
      <w:r w:rsidR="001974AA" w:rsidRPr="00216965">
        <w:rPr>
          <w:noProof/>
        </w:rPr>
        <w:t>(Filgueiras et al., 2002; Okoro et al., 2012)</w:t>
      </w:r>
      <w:r w:rsidRPr="00216965">
        <w:fldChar w:fldCharType="end"/>
      </w:r>
      <w:r w:rsidRPr="00216965">
        <w:t xml:space="preserve">. Finally, the strong </w:t>
      </w:r>
      <w:r w:rsidRPr="00216965">
        <w:rPr>
          <w:b/>
          <w:bCs/>
          <w:i/>
          <w:iCs/>
        </w:rPr>
        <w:t>acid-extractable or residual fraction</w:t>
      </w:r>
      <w:r w:rsidRPr="00216965">
        <w:t xml:space="preserve"> consists of metals present in the crystalline lattice of primary and secondary minerals. The residual phase gives an estimate of the maximum amount of elements that are potentially </w:t>
      </w:r>
      <w:r w:rsidR="00976453" w:rsidRPr="00216965">
        <w:t>mobilizable</w:t>
      </w:r>
      <w:r w:rsidRPr="00216965">
        <w:t xml:space="preserve"> with changes </w:t>
      </w:r>
      <w:r w:rsidR="00976453" w:rsidRPr="00216965">
        <w:t xml:space="preserve">in the </w:t>
      </w:r>
      <w:r w:rsidRPr="00216965">
        <w:t xml:space="preserve">environmental conditions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sediments","type":"article-journal","volume":"1"},"uris":["http://www.mendeley.com/documents/?uuid=19cf9187-8aee-460e-ad8e-5187b017ed8a"]}],"mendeley":{"formattedCitation":"(Filgueiras et al., 2002; Okoro et al., 2012)","plainTextFormattedCitation":"(Filgueiras et al., 2002; Okoro et al., 2012)","previouslyFormattedCitation":"(Filgueiras et al., 2002; Okoro et al., 2012)"},"properties":{"noteIndex":0},"schema":"https://github.com/citation-style-language/schema/raw/master/csl-citation.json"}</w:instrText>
      </w:r>
      <w:r w:rsidRPr="00216965">
        <w:fldChar w:fldCharType="separate"/>
      </w:r>
      <w:r w:rsidR="001974AA" w:rsidRPr="00216965">
        <w:rPr>
          <w:noProof/>
        </w:rPr>
        <w:t>(Filgueiras et al., 2002; Okoro et al., 2012)</w:t>
      </w:r>
      <w:r w:rsidRPr="00216965">
        <w:fldChar w:fldCharType="end"/>
      </w:r>
      <w:r w:rsidRPr="00216965">
        <w:t xml:space="preserve">. Typically metals of anthropogenic inputs are contained in the first four fractions while metals found in the residual fraction are generally of natural occurrence in the parent rock </w:t>
      </w:r>
      <w:r w:rsidRPr="00216965">
        <w:fldChar w:fldCharType="begin" w:fldLock="1"/>
      </w:r>
      <w:r w:rsidR="00F56BD7" w:rsidRPr="00216965">
        <w:instrText>ADDIN CSL_CITATION {"citationItems":[{"id":"ITEM-1","itemData":{"DOI":"10.1155/2010/387803","author":[{"dropping-particle":"","family":"Zimmerman","given":"Amanda Jo","non-dropping-particle":"","parse-names":false,"suffix":""},{"dropping-particle":"","family":"Weindorf","given":"David C","non-dropping-particle":"","parse-names":false,"suffix":""}],"container-title":"International Journal of Analytical Chemistry","id":"ITEM-1","issued":{"date-parts":[["2010"]]},"page":"387803","title":"Heavy metal and trace metal analysis in soil by sequential extraction : A review of procedures","type":"article-journal","volume":"2010"},"uris":["http://www.mendeley.com/documents/?uuid=2535487b-843e-4313-93bd-7ff74b17e777"]}],"mendeley":{"formattedCitation":"(Zimmerman and Weindorf, 2010)","plainTextFormattedCitation":"(Zimmerman and Weindorf, 2010)","previouslyFormattedCitation":"(Zimmerman and Weindorf, 2010)"},"properties":{"noteIndex":0},"schema":"https://github.com/citation-style-language/schema/raw/master/csl-citation.json"}</w:instrText>
      </w:r>
      <w:r w:rsidRPr="00216965">
        <w:fldChar w:fldCharType="separate"/>
      </w:r>
      <w:r w:rsidR="00330A4F" w:rsidRPr="00216965">
        <w:rPr>
          <w:noProof/>
        </w:rPr>
        <w:t>(Zimmerman and Weindorf, 2010)</w:t>
      </w:r>
      <w:r w:rsidRPr="00216965">
        <w:fldChar w:fldCharType="end"/>
      </w:r>
      <w:r w:rsidRPr="00216965">
        <w:t>.</w:t>
      </w:r>
    </w:p>
    <w:p w14:paraId="153CB6ED" w14:textId="1129FCF2" w:rsidR="00632101" w:rsidRPr="00216965" w:rsidRDefault="00632101" w:rsidP="008A33DA">
      <w:pPr>
        <w:spacing w:before="240" w:line="360" w:lineRule="auto"/>
        <w:jc w:val="both"/>
      </w:pPr>
      <w:r w:rsidRPr="00216965">
        <w:t xml:space="preserve">Each of these fractions have an assumed different behaviour regarding mobility and solubility, as depicted in </w:t>
      </w:r>
      <w:r w:rsidRPr="00216965">
        <w:fldChar w:fldCharType="begin"/>
      </w:r>
      <w:r w:rsidRPr="00216965">
        <w:instrText xml:space="preserve"> REF _Ref82811286 \h  \* MERGEFORMAT </w:instrText>
      </w:r>
      <w:r w:rsidRPr="00216965">
        <w:fldChar w:fldCharType="separate"/>
      </w:r>
      <w:r w:rsidR="006E23EA" w:rsidRPr="00216965">
        <w:rPr>
          <w:b/>
          <w:bCs/>
        </w:rPr>
        <w:t xml:space="preserve">Fig. </w:t>
      </w:r>
      <w:r w:rsidR="006E23EA" w:rsidRPr="00216965">
        <w:rPr>
          <w:b/>
          <w:bCs/>
          <w:noProof/>
        </w:rPr>
        <w:t>2</w:t>
      </w:r>
      <w:r w:rsidR="006E23EA" w:rsidRPr="00216965">
        <w:rPr>
          <w:b/>
          <w:bCs/>
          <w:noProof/>
        </w:rPr>
        <w:noBreakHyphen/>
        <w:t>2</w:t>
      </w:r>
      <w:r w:rsidRPr="00216965">
        <w:fldChar w:fldCharType="end"/>
      </w:r>
      <w:r w:rsidRPr="00216965">
        <w:t xml:space="preserve">; the higher the solubility, the higher the mobility and consequently a higher risk for an element to become bioavailable or toxic. From these phases, some are more biologically available than others </w:t>
      </w:r>
      <w:r w:rsidRPr="00216965">
        <w:fldChar w:fldCharType="begin" w:fldLock="1"/>
      </w:r>
      <w:r w:rsidR="00F56BD7" w:rsidRPr="00216965">
        <w:instrText>ADDIN CSL_CITATION {"citationItems":[{"id":"ITEM-1","itemData":{"DOI":"10.1155/2010/387803","author":[{"dropping-particle":"","family":"Zimmerman","given":"Amanda Jo","non-dropping-particle":"","parse-names":false,"suffix":""},{"dropping-particle":"","family":"Weindorf","given":"David C","non-dropping-particle":"","parse-names":false,"suffix":""}],"container-title":"International Journal of Analytical Chemistry","id":"ITEM-1","issued":{"date-parts":[["2010"]]},"page":"387803","title":"Heavy metal and trace metal analysis in soil by sequential extraction : A review of procedures","type":"article-journal","volume":"2010"},"uris":["http://www.mendeley.com/documents/?uuid=2535487b-843e-4313-93bd-7ff74b17e777"]}],"mendeley":{"formattedCitation":"(Zimmerman and Weindorf, 2010)","plainTextFormattedCitation":"(Zimmerman and Weindorf, 2010)","previouslyFormattedCitation":"(Zimmerman and Weindorf, 2010)"},"properties":{"noteIndex":0},"schema":"https://github.com/citation-style-language/schema/raw/master/csl-citation.json"}</w:instrText>
      </w:r>
      <w:r w:rsidRPr="00216965">
        <w:fldChar w:fldCharType="separate"/>
      </w:r>
      <w:r w:rsidR="00330A4F" w:rsidRPr="00216965">
        <w:rPr>
          <w:noProof/>
        </w:rPr>
        <w:t>(Zimmerman and Weindorf, 2010)</w:t>
      </w:r>
      <w:r w:rsidRPr="00216965">
        <w:fldChar w:fldCharType="end"/>
      </w:r>
      <w:r w:rsidRPr="00216965">
        <w:t xml:space="preserve">. Metals that occur in a chemical form which can be accessible to the food chain, plants and other components of the soil microbial biomass are considered the </w:t>
      </w:r>
      <w:r w:rsidRPr="00216965">
        <w:rPr>
          <w:b/>
          <w:bCs/>
          <w:i/>
          <w:iCs/>
        </w:rPr>
        <w:t>bioavailable fraction</w:t>
      </w:r>
      <w:r w:rsidRPr="00216965">
        <w:t xml:space="preserve"> </w:t>
      </w:r>
      <w:r w:rsidRPr="00216965">
        <w:fldChar w:fldCharType="begin" w:fldLock="1"/>
      </w:r>
      <w:r w:rsidR="006C06AA" w:rsidRPr="00216965">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microbes","type":"article-journal","volume":"15"},"uris":["http://www.mendeley.com/documents/?uuid=b874bf00-8864-4188-90b6-39010f72c7e5"]}],"mendeley":{"formattedCitation":"(Abdu et al., 2017)","plainTextFormattedCitation":"(Abdu et al., 2017)","previouslyFormattedCitation":"(Abdu et al., 2017)"},"properties":{"noteIndex":0},"schema":"https://github.com/citation-style-language/schema/raw/master/csl-citation.json"}</w:instrText>
      </w:r>
      <w:r w:rsidRPr="00216965">
        <w:fldChar w:fldCharType="separate"/>
      </w:r>
      <w:r w:rsidR="001974AA" w:rsidRPr="00216965">
        <w:rPr>
          <w:noProof/>
        </w:rPr>
        <w:t>(Abdu et al., 2017)</w:t>
      </w:r>
      <w:r w:rsidRPr="00216965">
        <w:fldChar w:fldCharType="end"/>
      </w:r>
      <w:r w:rsidRPr="00216965">
        <w:t xml:space="preserve">. Considering the properties of the different fractions, it has been generally considered that the water soluble and exchangeable fractions represent the bioavailable metals in soil </w:t>
      </w:r>
      <w:r w:rsidRPr="00216965">
        <w:fldChar w:fldCharType="begin" w:fldLock="1"/>
      </w:r>
      <w:r w:rsidR="006C06AA" w:rsidRPr="00216965">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id":"ITEM-2","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Monitoring","id":"ITEM-2","issued":{"date-parts":[["2002"]]},"page":"823-857","title":"Chemical sequential extraction for metal partitioning in environmental solid samples","type":"article-journal","volume":"4"},"uris":["http://www.mendeley.com/documents/?uuid=2e486f2f-667e-4f6b-8f5d-ce9fdb80ce75"]}],"mendeley":{"formattedCitation":"(Filgueiras et al., 2002; Kim et al., 2015)","plainTextFormattedCitation":"(Filgueiras et al., 2002; Kim et al., 2015)","previouslyFormattedCitation":"(Filgueiras et al., 2002; Kim et al., 2015)"},"properties":{"noteIndex":0},"schema":"https://github.com/citation-style-language/schema/raw/master/csl-citation.json"}</w:instrText>
      </w:r>
      <w:r w:rsidRPr="00216965">
        <w:fldChar w:fldCharType="separate"/>
      </w:r>
      <w:r w:rsidR="001974AA" w:rsidRPr="00216965">
        <w:rPr>
          <w:noProof/>
        </w:rPr>
        <w:t>(Filgueiras et al., 2002; Kim et al., 2015)</w:t>
      </w:r>
      <w:r w:rsidRPr="00216965">
        <w:fldChar w:fldCharType="end"/>
      </w:r>
      <w:r w:rsidRPr="00216965">
        <w:t xml:space="preserve">.  </w:t>
      </w:r>
    </w:p>
    <w:p w14:paraId="55424FF4" w14:textId="77777777" w:rsidR="00632101" w:rsidRPr="00216965" w:rsidRDefault="00632101" w:rsidP="008A33DA">
      <w:pPr>
        <w:spacing w:line="240" w:lineRule="auto"/>
        <w:jc w:val="center"/>
        <w:rPr>
          <w:rFonts w:eastAsia="Times New Roman" w:cs="Times New Roman"/>
          <w:szCs w:val="24"/>
        </w:rPr>
      </w:pPr>
      <w:r w:rsidRPr="00216965">
        <w:rPr>
          <w:rFonts w:eastAsia="Times New Roman" w:cs="Times New Roman"/>
          <w:noProof/>
          <w:szCs w:val="24"/>
        </w:rPr>
        <w:drawing>
          <wp:inline distT="0" distB="0" distL="0" distR="0" wp14:anchorId="10E37761" wp14:editId="1DA58F36">
            <wp:extent cx="4111154" cy="3183467"/>
            <wp:effectExtent l="0" t="0" r="3810" b="0"/>
            <wp:docPr id="30" name="Picture 30" descr="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olyg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34769" cy="3201753"/>
                    </a:xfrm>
                    <a:prstGeom prst="rect">
                      <a:avLst/>
                    </a:prstGeom>
                    <a:noFill/>
                  </pic:spPr>
                </pic:pic>
              </a:graphicData>
            </a:graphic>
          </wp:inline>
        </w:drawing>
      </w:r>
    </w:p>
    <w:p w14:paraId="6C0223C5" w14:textId="1FE7C7B0" w:rsidR="00632101" w:rsidRPr="00216965" w:rsidRDefault="00632101" w:rsidP="008A33DA">
      <w:pPr>
        <w:pStyle w:val="Caption"/>
        <w:rPr>
          <w:rFonts w:eastAsia="Times New Roman" w:cs="Times New Roman"/>
          <w:b/>
          <w:bCs w:val="0"/>
          <w:color w:val="000000"/>
          <w:szCs w:val="24"/>
        </w:rPr>
      </w:pPr>
      <w:bookmarkStart w:id="52" w:name="_heading=h.tyjcwt" w:colFirst="0" w:colLast="0"/>
      <w:bookmarkStart w:id="53" w:name="_Ref82811286"/>
      <w:bookmarkStart w:id="54" w:name="_Toc86439345"/>
      <w:bookmarkEnd w:id="52"/>
      <w:r w:rsidRPr="00216965">
        <w:rPr>
          <w:b/>
          <w:bCs w:val="0"/>
        </w:rPr>
        <w:t xml:space="preserve">Fig.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2</w:t>
      </w:r>
      <w:r w:rsidR="00BF3EBE" w:rsidRPr="00216965">
        <w:rPr>
          <w:b/>
          <w:bCs w:val="0"/>
        </w:rPr>
        <w:fldChar w:fldCharType="end"/>
      </w:r>
      <w:bookmarkEnd w:id="53"/>
      <w:r w:rsidRPr="00216965">
        <w:rPr>
          <w:b/>
          <w:bCs w:val="0"/>
        </w:rPr>
        <w:t xml:space="preserve"> </w:t>
      </w:r>
      <w:r w:rsidRPr="00216965">
        <w:rPr>
          <w:rFonts w:eastAsia="Times New Roman" w:cs="Times New Roman"/>
          <w:b/>
          <w:bCs w:val="0"/>
          <w:color w:val="000000"/>
          <w:szCs w:val="24"/>
        </w:rPr>
        <w:t>Relationship between heavy metal soil phases or operationally defined fractions and its mobility and bioavailability</w:t>
      </w:r>
      <w:bookmarkEnd w:id="54"/>
      <w:r w:rsidR="00A95538" w:rsidRPr="00216965">
        <w:rPr>
          <w:rFonts w:eastAsia="Times New Roman" w:cs="Times New Roman"/>
          <w:b/>
          <w:bCs w:val="0"/>
          <w:color w:val="000000"/>
          <w:szCs w:val="24"/>
        </w:rPr>
        <w:t>.</w:t>
      </w:r>
    </w:p>
    <w:p w14:paraId="29233E7E" w14:textId="77777777" w:rsidR="00632101" w:rsidRPr="00216965" w:rsidRDefault="00632101" w:rsidP="008A33DA">
      <w:pPr>
        <w:pStyle w:val="Heading3"/>
      </w:pPr>
      <w:bookmarkStart w:id="55" w:name="_Toc86504632"/>
      <w:r w:rsidRPr="00216965">
        <w:lastRenderedPageBreak/>
        <w:t>Bioavailability of HM in soil</w:t>
      </w:r>
      <w:bookmarkEnd w:id="55"/>
    </w:p>
    <w:p w14:paraId="4821406A" w14:textId="2C60C505"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There is much debate on the precise definition of bioavailability and on the standardization of methods for the measurement of bioavailability. According to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2015)","manualFormatting":"Kim et al. (2015)","plainTextFormattedCitation":"(Kim et al., 2015)","previouslyFormattedCitation":"(Kim et al.,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Kim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bioavailability is a dynamic </w:t>
      </w:r>
      <w:r w:rsidR="00FD5FFA" w:rsidRPr="00216965">
        <w:rPr>
          <w:rFonts w:eastAsia="Times New Roman" w:cs="Times New Roman"/>
          <w:szCs w:val="24"/>
        </w:rPr>
        <w:t xml:space="preserve">process </w:t>
      </w:r>
      <w:r w:rsidRPr="00216965">
        <w:rPr>
          <w:rFonts w:eastAsia="Times New Roman" w:cs="Times New Roman"/>
          <w:szCs w:val="24"/>
        </w:rPr>
        <w:t>that comprises three st</w:t>
      </w:r>
      <w:r w:rsidR="00FD5FFA" w:rsidRPr="00216965">
        <w:rPr>
          <w:rFonts w:eastAsia="Times New Roman" w:cs="Times New Roman"/>
          <w:szCs w:val="24"/>
        </w:rPr>
        <w:t>ages</w:t>
      </w:r>
      <w:r w:rsidRPr="00216965">
        <w:rPr>
          <w:rFonts w:eastAsia="Times New Roman" w:cs="Times New Roman"/>
          <w:szCs w:val="24"/>
        </w:rPr>
        <w:t xml:space="preserve">, (1) </w:t>
      </w:r>
      <w:r w:rsidRPr="00216965">
        <w:rPr>
          <w:rFonts w:eastAsia="Times New Roman" w:cs="Times New Roman"/>
          <w:i/>
          <w:szCs w:val="24"/>
        </w:rPr>
        <w:t xml:space="preserve">Environmental availability, </w:t>
      </w:r>
      <w:r w:rsidRPr="00216965">
        <w:rPr>
          <w:rFonts w:eastAsia="Times New Roman" w:cs="Times New Roman"/>
          <w:szCs w:val="24"/>
        </w:rPr>
        <w:t xml:space="preserve">which is determined by measuring the available amount of metal in the soil pore water and the amount potentially available in the soil matrix. This is influenced by the physico-chemical properties of the soil (e.g. dissolved organic matter, pH, texture) and the properties of the trace element (e.g. binding strength). This fraction contains dissolved free ions and molecules but also species complexed with organic matter.  (2) </w:t>
      </w:r>
      <w:r w:rsidRPr="00216965">
        <w:rPr>
          <w:rFonts w:eastAsia="Times New Roman" w:cs="Times New Roman"/>
          <w:i/>
          <w:szCs w:val="24"/>
        </w:rPr>
        <w:t>Environmental bioavailability</w:t>
      </w:r>
      <w:r w:rsidRPr="00216965">
        <w:rPr>
          <w:rFonts w:eastAsia="Times New Roman" w:cs="Times New Roman"/>
          <w:szCs w:val="24"/>
        </w:rPr>
        <w:t xml:space="preserve"> is the fraction of dissolved metal species in the pore water which can be taken up by plant roots or other soil organisms; it is a physiologically controlled process which may be specific to individual microorganisms. (3) </w:t>
      </w:r>
      <w:r w:rsidRPr="00216965">
        <w:rPr>
          <w:rFonts w:eastAsia="Times New Roman" w:cs="Times New Roman"/>
          <w:i/>
          <w:szCs w:val="24"/>
        </w:rPr>
        <w:t>Toxicological bioavailability</w:t>
      </w:r>
      <w:r w:rsidRPr="00216965">
        <w:rPr>
          <w:rFonts w:eastAsia="Times New Roman" w:cs="Times New Roman"/>
          <w:szCs w:val="24"/>
        </w:rPr>
        <w:t xml:space="preserve">, is the biological effect of accumulation within the organism. This type of bioavailability can be determined by bioassays such as measuring bioaccumulation of metals in plant roots, shoots and grains or assessing growth inhibition. </w:t>
      </w:r>
    </w:p>
    <w:p w14:paraId="3EB0F7C7" w14:textId="6198B958"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As mentioned previously in </w:t>
      </w:r>
      <w:r w:rsidRPr="00216965">
        <w:rPr>
          <w:rFonts w:eastAsia="Times New Roman" w:cs="Times New Roman"/>
          <w:b/>
          <w:bCs/>
          <w:szCs w:val="24"/>
        </w:rPr>
        <w:t xml:space="preserve">section </w:t>
      </w:r>
      <w:r w:rsidRPr="00216965">
        <w:rPr>
          <w:rFonts w:eastAsia="Times New Roman" w:cs="Times New Roman"/>
          <w:b/>
          <w:bCs/>
          <w:szCs w:val="24"/>
        </w:rPr>
        <w:fldChar w:fldCharType="begin"/>
      </w:r>
      <w:r w:rsidRPr="00216965">
        <w:rPr>
          <w:rFonts w:eastAsia="Times New Roman" w:cs="Times New Roman"/>
          <w:b/>
          <w:bCs/>
          <w:szCs w:val="24"/>
        </w:rPr>
        <w:instrText xml:space="preserve"> REF _Ref82958852 \r \h  \* MERGEFORMAT </w:instrText>
      </w:r>
      <w:r w:rsidRPr="00216965">
        <w:rPr>
          <w:rFonts w:eastAsia="Times New Roman" w:cs="Times New Roman"/>
          <w:b/>
          <w:bCs/>
          <w:szCs w:val="24"/>
        </w:rPr>
      </w:r>
      <w:r w:rsidRPr="00216965">
        <w:rPr>
          <w:rFonts w:eastAsia="Times New Roman" w:cs="Times New Roman"/>
          <w:b/>
          <w:bCs/>
          <w:szCs w:val="24"/>
        </w:rPr>
        <w:fldChar w:fldCharType="separate"/>
      </w:r>
      <w:r w:rsidR="006E23EA" w:rsidRPr="00216965">
        <w:rPr>
          <w:rFonts w:eastAsia="Times New Roman" w:cs="Times New Roman"/>
          <w:b/>
          <w:bCs/>
          <w:szCs w:val="24"/>
        </w:rPr>
        <w:t>2.3</w:t>
      </w:r>
      <w:r w:rsidRPr="00216965">
        <w:rPr>
          <w:rFonts w:eastAsia="Times New Roman" w:cs="Times New Roman"/>
          <w:b/>
          <w:bCs/>
          <w:szCs w:val="24"/>
        </w:rPr>
        <w:fldChar w:fldCharType="end"/>
      </w:r>
      <w:r w:rsidRPr="00216965">
        <w:rPr>
          <w:rFonts w:eastAsia="Times New Roman" w:cs="Times New Roman"/>
          <w:szCs w:val="24"/>
        </w:rPr>
        <w:t xml:space="preserve">, not all the forms of metals in soil are available to soil organisms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{"citationItems":[{"id":"ITEM-1","itemData":{"DOI":"10.1016/j.scitotenv.2004.06.009","ISBN":"00489697","ISSN":"00489697","PMID":"15626388","abstract":"The aim of this work was to estimate, on the basis of soil extraction procedures, whether a given soil is suitable for cultivation of plants used as food or feed. The paper discusses the transfer of metal ions (As, Cd, Cr, Cu, Hg, Mn, Ni, Pb, Zn) from contaminated soils to plants in terms of transfer factors (TF). The knowledge of transfer factors for a given element should enable prediction, before plants are sowed, whether a given soil is suitable for the cultivation of plants for consumption purposes. TF can only be evaluated when a linear relationship is observed between soil and plant composition for a given element. Such a relationship is rarely observed between the total soil content of a given metal and that of the plant. For this reason, it was necessary to develop an extraction procedure that would represent the content of metal available to plants during growing season. Several extracting agents were tested. The extracting agent that fulfilled these criteria was 2% (w/v) ammonium citrate. Statistically significant correlation coefficients were determined between the citrate-soluble fraction of soil and content in plant in the case of all the elements studied, except Ni. If a statistically significant correlation exists, it is then possible to evaluate the soil-plant transfer factor for a given metal in plants. © 2004 Elsevier B.V. All rights reserved.","author":[{"dropping-particle":"","family":"Chojnacka","given":"K.","non-dropping-particle":"","parse-names":false,"suffix":""},{"dropping-particle":"","family":"Chojnacki","given":"A.","non-dropping-particle":"","parse-names":false,"suffix":""},{"dropping-particle":"","family":"Górecka","given":"H.","non-dropping-particle":"","parse-names":false,"suffix":""},{"dropping-particle":"","family":"Górecki","given":"H.","non-dropping-particle":"","parse-names":false,"suffix":""}],"container-title":"Science of the Total Environment","id":"ITEM-1","issue":"1-3","issued":{"date-parts":[["2005"]]},"page":"175-182","title":"Bioavailability of heavy metals from polluted soils to plants","type":"article-journal","volume":"337"},"uris":["http://www.mendeley.com/documents/?uuid=e71f1b9c-67ac-4c29-8a88-dc5136eff660"]}],"mendeley":{"formattedCitation":"(Chojnacka et al., 2005)","plainTextFormattedCitation":"(Chojnacka et al., 2005)","previouslyFormattedCitation":"(Chojnacka et al., 2005)"},"properties":{"noteIndex":0},"schema":"https://github.com/citation-style-language/schema/raw/master/csl-citation.json"}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(Chojnacka et al., 2005)</w:t>
      </w:r>
      <w:r w:rsidRPr="00216965">
        <w:rPr>
          <w:rFonts w:eastAsia="Times New Roman" w:cs="Times New Roman"/>
          <w:szCs w:val="24"/>
        </w:rPr>
        <w:fldChar w:fldCharType="end"/>
      </w:r>
      <w:r w:rsidRPr="00216965">
        <w:rPr>
          <w:rFonts w:eastAsia="Times New Roman" w:cs="Times New Roman"/>
          <w:szCs w:val="24"/>
        </w:rPr>
        <w:t xml:space="preserve">. It is common that soils with very large concentrations of metals have a small bioavailable fraction due to the presence of insoluble mineral forms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w:t>
      </w:r>
      <w:r w:rsidRPr="00216965">
        <w:rPr>
          <w:rFonts w:eastAsia="Times New Roman" w:cs="Times New Roman"/>
          <w:szCs w:val="24"/>
        </w:rPr>
        <w:fldChar w:fldCharType="end"/>
      </w:r>
      <w:r w:rsidRPr="00216965">
        <w:rPr>
          <w:rFonts w:eastAsia="Times New Roman" w:cs="Times New Roman"/>
          <w:szCs w:val="24"/>
        </w:rPr>
        <w:t xml:space="preserve">. Therefore, remediation approaches, as well as monitoring techniques, should be directed to target only the metal fraction that accounts for toxicity, because risk assessment based on total metal concentrations may overestimate the risk induced by the exposure to these elements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{"citationItems":[{"id":"ITEM-1","itemData":{"DOI":"10.1016/j.scitotenv.2014.06.006","ISBN":"0048-9697","ISSN":"18791026","PMID":"25029503","abstract":"The solubility of soil-associated potentially toxic elements (PTEs) in surrogate biological fluids provides valuable information about their potential health hazard. This work addresses the concentrations and bioaccessibility of nine PTEs (As, Co, Cr, Cu, Mn, Ni, Pb, V, and Zn) in thirty eight agricultural land and playground soils collected from a semi-arid urban area of Baghdad-Iraq. Two surrogate biological fluids (SBFs), macrophage vacuole (MS) and gastric (GS) solutions, were used to extract the metals to simulate the biological availability of the PTEs via inhalation and ingestion exposure routes. ICP/AES was used to quantify PTEs in both strong acid digests (for total concentration), and in the SBF extracts. Soil contamination factors showed that some sites exhibited elevated levels of As (36??10mg/kg), however, these levels of As are not likely to have significant human health impacts whether the particulate arsenic is ingested or/and inhaled. Soil-geochemical variables (including: pH, EC, CO3=, soil organic carbon (SOC)) and major elements (e.g. Al, Ca, and Fe) were used to interpret the lability of PTEs in the soils. Hazardous index (HI) based non-cancer risk of inhalation and ingestion of PTEs was estimated to be 2-fold higher for that based on total element concentrations compared with that for bioavailable fractions for both children and adults. A similar conclusion was reached for the estimated cancer risk (which was lower than the threshold level of concern for children and adults). A sensitivity analysis showed that there is a 97% chance for children and 90% for adults to have hazardous indices of the total PTEs &gt;1 (the acceptable value); the corresponding metrics for the bioavailable fraction of the elements were 39% for children, and 3% for adults; these results were sensitive to the concentrations of \"airborne\" soil particles.","author":[{"dropping-particle":"","family":"Hamad","given":"Samera H.","non-dropping-particle":"","parse-names":false,"suffix":""},{"dropping-particle":"","family":"Schauer","given":"James J.","non-dropping-particle":"","parse-names":false,"suffix":""},{"dropping-particle":"","family":"Shafer","given":"Martin M.","non-dropping-particle":"","parse-names":false,"suffix":""},{"dropping-particle":"","family":"Al-Rheem","given":"Esam Abd","non-dropping-particle":"","parse-names":false,"suffix":""},{"dropping-particle":"","family":"Skaar","given":"Pamela S.","non-dropping-particle":"","parse-names":false,"suffix":""},{"dropping-particle":"","family":"Heo","given":"Jongbae","non-dropping-particle":"","parse-names":false,"suffix":""},{"dropping-particle":"","family":"Tejedor-Tejedor","given":"Isabel","non-dropping-particle":"","parse-names":false,"suffix":""}],"container-title":"Science of the Total Environment","id":"ITEM-1","issued":{"date-parts":[["2014"]]},"page":"39-48","publisher":"Elsevier B.V.","title":"Risk assessment of total and bioavailable potentially toxic elements (PTEs) in urban soils of Baghdad-Iraq","type":"article-journal","volume":"494-495"},"uris":["http://www.mendeley.com/documents/?uuid=c9088d33-c1fb-438e-a9c2-a9cdf6079842"]}],"mendeley":{"formattedCitation":"(Hamad et al., 2014)","plainTextFormattedCitation":"(Hamad et al., 2014)","previouslyFormattedCitation":"(Hamad et al., 2014)"},"properties":{"noteIndex":0},"schema":"https://github.com/citation-style-language/schema/raw/master/csl-citation.json"}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(Hamad et al., 2014)</w:t>
      </w:r>
      <w:r w:rsidRPr="00216965">
        <w:rPr>
          <w:rFonts w:eastAsia="Times New Roman" w:cs="Times New Roman"/>
          <w:szCs w:val="24"/>
        </w:rPr>
        <w:fldChar w:fldCharType="end"/>
      </w:r>
      <w:r w:rsidRPr="00216965">
        <w:rPr>
          <w:rFonts w:eastAsia="Times New Roman" w:cs="Times New Roman"/>
          <w:szCs w:val="24"/>
        </w:rPr>
        <w:t xml:space="preserve">. </w:t>
      </w:r>
    </w:p>
    <w:p w14:paraId="261E5BE5" w14:textId="37F8A0F4" w:rsidR="00632101" w:rsidRPr="00216965" w:rsidRDefault="005850BF" w:rsidP="008A33DA">
      <w:pPr>
        <w:spacing w:line="360" w:lineRule="auto"/>
        <w:jc w:val="both"/>
        <w:rPr>
          <w:rFonts w:eastAsia="Times New Roman" w:cs="Times New Roman"/>
          <w:szCs w:val="24"/>
        </w:rPr>
      </w:pPr>
      <w:r w:rsidRPr="00216965">
        <w:rPr>
          <w:rFonts w:eastAsia="Times New Roman" w:cs="Times New Roman"/>
          <w:szCs w:val="24"/>
        </w:rPr>
        <w:fldChar w:fldCharType="begin"/>
      </w:r>
      <w:r w:rsidRPr="00216965">
        <w:rPr>
          <w:rFonts w:eastAsia="Times New Roman" w:cs="Times New Roman"/>
          <w:szCs w:val="24"/>
        </w:rPr>
        <w:instrText xml:space="preserve"> REF _Ref86494714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Table </w:t>
      </w:r>
      <w:r w:rsidR="006E23EA" w:rsidRPr="00216965">
        <w:rPr>
          <w:b/>
          <w:bCs/>
          <w:noProof/>
        </w:rPr>
        <w:t>2</w:t>
      </w:r>
      <w:r w:rsidR="006E23EA" w:rsidRPr="00216965">
        <w:rPr>
          <w:b/>
        </w:rPr>
        <w:noBreakHyphen/>
      </w:r>
      <w:r w:rsidR="006E23EA" w:rsidRPr="00216965">
        <w:rPr>
          <w:b/>
          <w:bCs/>
          <w:noProof/>
        </w:rPr>
        <w:t>4</w:t>
      </w:r>
      <w:r w:rsidRPr="00216965">
        <w:rPr>
          <w:rFonts w:eastAsia="Times New Roman" w:cs="Times New Roman"/>
          <w:szCs w:val="24"/>
        </w:rPr>
        <w:fldChar w:fldCharType="end"/>
      </w:r>
      <w:r w:rsidR="00632101" w:rsidRPr="00216965">
        <w:rPr>
          <w:rFonts w:eastAsia="Times New Roman" w:cs="Times New Roman"/>
          <w:szCs w:val="24"/>
        </w:rPr>
        <w:t xml:space="preserve"> presents the</w:t>
      </w:r>
      <w:r w:rsidR="00632101" w:rsidRPr="00216965">
        <w:rPr>
          <w:rFonts w:eastAsia="Times New Roman" w:cs="Times New Roman"/>
          <w:sz w:val="18"/>
          <w:szCs w:val="18"/>
        </w:rPr>
        <w:t xml:space="preserve">  </w:t>
      </w:r>
      <w:r w:rsidR="00632101" w:rsidRPr="00216965">
        <w:rPr>
          <w:rFonts w:eastAsia="Times New Roman" w:cs="Times New Roman"/>
          <w:szCs w:val="24"/>
        </w:rPr>
        <w:t xml:space="preserve">concentrations of HMs in soils above which plant toxicity is considered possible as well as the potentially toxic concentrations in soil pore water. However, it is important to mention that the term “potentially toxic” has been used, because not all metals present in the soil solution will be readily bioavailable because of chelation with organic molecules and the occurrence of chemical forms that cannot be taken up directly by living organisms </w:t>
      </w:r>
      <w:r w:rsidR="00632101"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00632101" w:rsidRPr="00216965">
        <w:rPr>
          <w:rFonts w:eastAsia="Times New Roman" w:cs="Times New Roman"/>
          <w:szCs w:val="24"/>
        </w:rPr>
        <w:fldChar w:fldCharType="separate"/>
      </w:r>
      <w:r w:rsidR="001974AA" w:rsidRPr="00216965">
        <w:rPr>
          <w:rFonts w:eastAsia="Times New Roman" w:cs="Times New Roman"/>
          <w:noProof/>
          <w:szCs w:val="24"/>
        </w:rPr>
        <w:t>(Giller et al., 1998)</w:t>
      </w:r>
      <w:r w:rsidR="00632101" w:rsidRPr="00216965">
        <w:rPr>
          <w:rFonts w:eastAsia="Times New Roman" w:cs="Times New Roman"/>
          <w:szCs w:val="24"/>
        </w:rPr>
        <w:fldChar w:fldCharType="end"/>
      </w:r>
      <w:r w:rsidR="00632101" w:rsidRPr="00216965">
        <w:rPr>
          <w:rFonts w:eastAsia="Times New Roman" w:cs="Times New Roman"/>
          <w:szCs w:val="24"/>
        </w:rPr>
        <w:t>.</w:t>
      </w:r>
    </w:p>
    <w:p w14:paraId="4269AFEB" w14:textId="4224F30B" w:rsidR="00B155FD" w:rsidRPr="00216965" w:rsidRDefault="00B155FD" w:rsidP="008A33DA">
      <w:pPr>
        <w:spacing w:line="360" w:lineRule="auto"/>
        <w:jc w:val="both"/>
        <w:rPr>
          <w:rFonts w:eastAsia="Times New Roman" w:cs="Times New Roman"/>
          <w:szCs w:val="24"/>
        </w:rPr>
      </w:pPr>
    </w:p>
    <w:p w14:paraId="1E8CCE8E" w14:textId="285A92AB" w:rsidR="00B155FD" w:rsidRPr="00216965" w:rsidRDefault="00B155FD" w:rsidP="008A33DA">
      <w:pPr>
        <w:spacing w:line="360" w:lineRule="auto"/>
        <w:jc w:val="both"/>
        <w:rPr>
          <w:rFonts w:eastAsia="Times New Roman" w:cs="Times New Roman"/>
          <w:szCs w:val="24"/>
        </w:rPr>
      </w:pPr>
    </w:p>
    <w:p w14:paraId="35B9646B" w14:textId="77777777" w:rsidR="00B155FD" w:rsidRPr="00216965" w:rsidRDefault="00B155FD" w:rsidP="008A33DA">
      <w:pPr>
        <w:spacing w:line="360" w:lineRule="auto"/>
        <w:jc w:val="both"/>
        <w:rPr>
          <w:rFonts w:eastAsia="Times New Roman" w:cs="Times New Roman"/>
          <w:szCs w:val="24"/>
        </w:rPr>
      </w:pPr>
    </w:p>
    <w:p w14:paraId="3DA9DDFA" w14:textId="19E46AC7" w:rsidR="00632101" w:rsidRPr="00216965" w:rsidRDefault="00085AAA" w:rsidP="008A33DA">
      <w:pPr>
        <w:pStyle w:val="Caption"/>
        <w:rPr>
          <w:rFonts w:eastAsia="Times New Roman" w:cs="Times New Roman"/>
          <w:b/>
          <w:color w:val="000000"/>
          <w:sz w:val="20"/>
          <w:szCs w:val="20"/>
        </w:rPr>
      </w:pPr>
      <w:bookmarkStart w:id="56" w:name="_Ref86494714"/>
      <w:bookmarkStart w:id="57" w:name="_Toc86440360"/>
      <w:bookmarkStart w:id="58" w:name="_Hlk86425777"/>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4</w:t>
      </w:r>
      <w:r w:rsidR="00E569FA" w:rsidRPr="00216965">
        <w:rPr>
          <w:b/>
          <w:bCs w:val="0"/>
        </w:rPr>
        <w:fldChar w:fldCharType="end"/>
      </w:r>
      <w:bookmarkEnd w:id="56"/>
      <w:r w:rsidRPr="00216965">
        <w:t xml:space="preserve"> </w:t>
      </w:r>
      <w:r w:rsidRPr="00216965">
        <w:rPr>
          <w:rFonts w:eastAsia="Times New Roman" w:cs="Times New Roman"/>
          <w:b/>
          <w:color w:val="000000"/>
          <w:szCs w:val="24"/>
        </w:rPr>
        <w:t>Toxic trace element concentrations in soil and soil solution.</w:t>
      </w:r>
      <w:bookmarkEnd w:id="57"/>
      <w:r w:rsidR="006C06AA" w:rsidRPr="00216965">
        <w:rPr>
          <w:rFonts w:eastAsia="Times New Roman" w:cs="Times New Roman"/>
          <w:b/>
          <w:color w:val="000000"/>
          <w:szCs w:val="24"/>
        </w:rPr>
        <w:t xml:space="preserve"> </w:t>
      </w:r>
      <w:r w:rsidR="006C06AA" w:rsidRPr="00216965">
        <w:rPr>
          <w:rFonts w:eastAsia="Times New Roman" w:cs="Times New Roman"/>
          <w:bCs w:val="0"/>
          <w:color w:val="000000"/>
          <w:szCs w:val="24"/>
        </w:rPr>
        <w:t>Adapted from</w:t>
      </w:r>
      <w:r w:rsidR="00433C84" w:rsidRPr="00216965">
        <w:rPr>
          <w:rFonts w:eastAsia="Times New Roman" w:cs="Times New Roman"/>
          <w:b/>
          <w:color w:val="000000"/>
          <w:szCs w:val="24"/>
        </w:rPr>
        <w:t xml:space="preserve">: </w:t>
      </w:r>
      <w:r w:rsidR="006C06AA" w:rsidRPr="00216965">
        <w:rPr>
          <w:rFonts w:eastAsia="Times New Roman" w:cs="Times New Roman"/>
          <w:b/>
          <w:color w:val="000000"/>
          <w:szCs w:val="24"/>
        </w:rPr>
        <w:fldChar w:fldCharType="begin" w:fldLock="1"/>
      </w:r>
      <w:r w:rsidR="004F0F92" w:rsidRPr="00216965">
        <w:rPr>
          <w:rFonts w:eastAsia="Times New Roman" w:cs="Times New Roman"/>
          <w:b/>
          <w:color w:val="000000"/>
          <w:szCs w:val="24"/>
        </w:rPr>
        <w:instrText>ADDIN CSL_CITATION {"citationItems":[{"id":"ITEM-1","itemData":{"ISBN":"0-8493-1575-1","author":[{"dropping-particle":"","family":"Kabata-Pendias","given":"Alina","non-dropping-particle":"","parse-names":false,"suffix":""},{"dropping-particle":"","family":"Pendias","given":"H","non-dropping-particle":"","parse-names":false,"suffix":""}],"edition":"Third Edit","id":"ITEM-1","issued":{"date-parts":[["2001"]]},"number-of-pages":"331","publisher":"CRC Press LLC","publisher-place":"Boca Raton","title":"Trace elements in soils and plants","type":"book"},"uris":["http://www.mendeley.com/documents/?uuid=75d95714-b09f-411c-bcb7-9c7a6d03ee36"]},{"id":"ITEM-2","itemData":{"DOI":"10.1007/s10653-015-9695-y","ISBN":"1065301596","ISSN":"15732983","PMID":"25841357","abstract":"Worldwide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w:instrText>
      </w:r>
      <w:r w:rsidR="004F0F92" w:rsidRPr="00216965">
        <w:rPr>
          <w:rFonts w:eastAsia="Times New Roman" w:cs="Times New Roman"/>
          <w:b/>
          <w:color w:val="000000"/>
          <w:szCs w:val="24"/>
          <w:lang w:val="it-IT"/>
        </w:rPr>
        <w:instrText>,"family":"Kim","given":"Kwon Rae","non-dropping-particle":"","parse-names":false,"suffix":""}],"container-title":"Environmental Geochemistry and Health","id":"ITEM-2","issue":"6","issued":{"date-parts":[["2015"]]},"page":"1041-1061","publisher":"Springer Netherlands","title":"Bioavailability of heavy metals in soils: definitions and practical implementation—a critical review","type":"article-journal","volume":"37"},"uris":["http://www.mendeley.com/documents/?uuid=a499b4d6-df8c-4834-ba4a-1d5dbc21ef92"]},{"id":"ITEM-3","itemData":{"author":[{"dropping-particle":"","family":"Bonito","given":"Marcello","non-dropping-particle":"Di","parse-names":false,"suffix":""}],"id":"ITEM-3","issued":{"date-parts":[["2005"]]},"number-of-pages":"33-35,225-227","publisher":"University of Nottingham","title":"Trace elements in soil pore water: a comparison of sampling methods","type":"thesis"},"uris":["http://www.mendeley.com/documents/?uuid=72dd635c-c22d-4e00-a95a-d32853f602d8"]}],"mendeley":{"formattedCitation":"(Di Bonito, 2005; Kabata-Pendias and Pendias, 2001; Kim et al., 2015)","manualFormatting":"Di Bonito (2005); Kabata-Pendias and Pendias (2001) and Kim et al. (2015)","plainTextFormattedCitation":"(Di Bonito, 2005; Kabata-Pendias and Pendias, 2001; Kim et al., 2015)","previouslyFormattedCitation":"(Di Bonito, 2005; Kabata-Pendias and Pendias, 2001; Kim et al., 2015)"},"properties":{"noteIndex":0},"schema":"https://github.com/citation-style-language/schema/raw/master/csl-citation.json"}</w:instrText>
      </w:r>
      <w:r w:rsidR="006C06AA" w:rsidRPr="00216965">
        <w:rPr>
          <w:rFonts w:eastAsia="Times New Roman" w:cs="Times New Roman"/>
          <w:b/>
          <w:color w:val="000000"/>
          <w:szCs w:val="24"/>
        </w:rPr>
        <w:fldChar w:fldCharType="separate"/>
      </w:r>
      <w:r w:rsidR="00433C84" w:rsidRPr="00216965">
        <w:rPr>
          <w:rFonts w:eastAsia="Times New Roman" w:cs="Times New Roman"/>
          <w:noProof/>
          <w:color w:val="000000"/>
          <w:szCs w:val="24"/>
          <w:lang w:val="it-IT"/>
        </w:rPr>
        <w:t xml:space="preserve">Di Bonito (2005); Kabata-Pendias and Pendias (2001) and Kim et al. </w:t>
      </w:r>
      <w:r w:rsidR="00433C84" w:rsidRPr="00216965">
        <w:rPr>
          <w:rFonts w:eastAsia="Times New Roman" w:cs="Times New Roman"/>
          <w:noProof/>
          <w:color w:val="000000"/>
          <w:szCs w:val="24"/>
        </w:rPr>
        <w:t>(2015)</w:t>
      </w:r>
      <w:r w:rsidR="006C06AA" w:rsidRPr="00216965">
        <w:rPr>
          <w:rFonts w:eastAsia="Times New Roman" w:cs="Times New Roman"/>
          <w:b/>
          <w:color w:val="000000"/>
          <w:szCs w:val="24"/>
        </w:rPr>
        <w:fldChar w:fldCharType="end"/>
      </w:r>
      <w:r w:rsidR="00A95538" w:rsidRPr="00216965">
        <w:rPr>
          <w:rFonts w:eastAsia="Times New Roman" w:cs="Times New Roman"/>
          <w:b/>
          <w:color w:val="000000"/>
          <w:szCs w:val="24"/>
        </w:rPr>
        <w:t>.</w:t>
      </w:r>
    </w:p>
    <w:tbl>
      <w:tblPr>
        <w:tblW w:w="8505" w:type="dxa"/>
        <w:jc w:val="center"/>
        <w:tblBorders>
          <w:top w:val="single" w:sz="4" w:space="0" w:color="000000"/>
          <w:bottom w:val="single" w:sz="4" w:space="0" w:color="000000"/>
        </w:tblBorders>
        <w:tblLayout w:type="fixed"/>
        <w:tblLook w:val="0400" w:firstRow="0" w:lastRow="0" w:firstColumn="0" w:lastColumn="0" w:noHBand="0" w:noVBand="1"/>
      </w:tblPr>
      <w:tblGrid>
        <w:gridCol w:w="1134"/>
        <w:gridCol w:w="2268"/>
        <w:gridCol w:w="2268"/>
        <w:gridCol w:w="2268"/>
        <w:gridCol w:w="567"/>
      </w:tblGrid>
      <w:tr w:rsidR="00632101" w:rsidRPr="00216965" w14:paraId="37B57FDC" w14:textId="77777777" w:rsidTr="008A33DA">
        <w:trPr>
          <w:jc w:val="center"/>
        </w:trPr>
        <w:tc>
          <w:tcPr>
            <w:tcW w:w="1134" w:type="dxa"/>
            <w:tcBorders>
              <w:top w:val="single" w:sz="4" w:space="0" w:color="000000"/>
              <w:bottom w:val="single" w:sz="4" w:space="0" w:color="000000"/>
            </w:tcBorders>
            <w:shd w:val="clear" w:color="auto" w:fill="A8D08D" w:themeFill="accent6" w:themeFillTint="99"/>
          </w:tcPr>
          <w:p w14:paraId="38B59D8E" w14:textId="77777777" w:rsidR="00632101" w:rsidRPr="00216965" w:rsidRDefault="00632101" w:rsidP="00A0457B">
            <w:pPr>
              <w:keepNext/>
              <w:keepLines/>
              <w:spacing w:after="0"/>
              <w:jc w:val="both"/>
              <w:rPr>
                <w:rFonts w:eastAsia="Times New Roman" w:cs="Times New Roman"/>
                <w:b/>
                <w:sz w:val="20"/>
                <w:szCs w:val="20"/>
              </w:rPr>
            </w:pPr>
            <w:r w:rsidRPr="00216965">
              <w:rPr>
                <w:rFonts w:eastAsia="Times New Roman" w:cs="Times New Roman"/>
                <w:b/>
                <w:sz w:val="20"/>
                <w:szCs w:val="20"/>
              </w:rPr>
              <w:t>Element</w:t>
            </w:r>
          </w:p>
        </w:tc>
        <w:tc>
          <w:tcPr>
            <w:tcW w:w="2268" w:type="dxa"/>
            <w:tcBorders>
              <w:top w:val="single" w:sz="4" w:space="0" w:color="000000"/>
              <w:bottom w:val="single" w:sz="4" w:space="0" w:color="000000"/>
            </w:tcBorders>
            <w:shd w:val="clear" w:color="auto" w:fill="A8D08D" w:themeFill="accent6" w:themeFillTint="99"/>
          </w:tcPr>
          <w:p w14:paraId="2A6A3358" w14:textId="77777777" w:rsidR="00632101" w:rsidRPr="00216965" w:rsidRDefault="00632101" w:rsidP="00A0457B">
            <w:pPr>
              <w:keepNext/>
              <w:keepLines/>
              <w:spacing w:after="0"/>
              <w:jc w:val="center"/>
              <w:rPr>
                <w:rFonts w:eastAsia="Times New Roman" w:cs="Times New Roman"/>
                <w:b/>
                <w:sz w:val="20"/>
                <w:szCs w:val="20"/>
              </w:rPr>
            </w:pPr>
            <w:r w:rsidRPr="00216965">
              <w:rPr>
                <w:rFonts w:eastAsia="Times New Roman" w:cs="Times New Roman"/>
                <w:b/>
                <w:sz w:val="20"/>
                <w:szCs w:val="20"/>
              </w:rPr>
              <w:t xml:space="preserve">Critical Soil Concentration (Total metal in soil) </w:t>
            </w:r>
            <w:r w:rsidRPr="00216965">
              <w:rPr>
                <w:rFonts w:eastAsia="Times New Roman" w:cs="Times New Roman"/>
                <w:b/>
                <w:sz w:val="20"/>
                <w:szCs w:val="20"/>
                <w:vertAlign w:val="superscript"/>
              </w:rPr>
              <w:t>1</w:t>
            </w:r>
          </w:p>
        </w:tc>
        <w:tc>
          <w:tcPr>
            <w:tcW w:w="2268" w:type="dxa"/>
            <w:tcBorders>
              <w:top w:val="single" w:sz="4" w:space="0" w:color="000000"/>
              <w:bottom w:val="single" w:sz="4" w:space="0" w:color="000000"/>
            </w:tcBorders>
            <w:shd w:val="clear" w:color="auto" w:fill="A8D08D" w:themeFill="accent6" w:themeFillTint="99"/>
          </w:tcPr>
          <w:p w14:paraId="474079E1" w14:textId="77777777" w:rsidR="00632101" w:rsidRPr="00216965" w:rsidRDefault="00632101" w:rsidP="00A0457B">
            <w:pPr>
              <w:keepNext/>
              <w:keepLines/>
              <w:spacing w:after="0"/>
              <w:jc w:val="center"/>
              <w:rPr>
                <w:rFonts w:eastAsia="Times New Roman" w:cs="Times New Roman"/>
                <w:b/>
                <w:sz w:val="20"/>
                <w:szCs w:val="20"/>
              </w:rPr>
            </w:pPr>
            <w:r w:rsidRPr="00216965">
              <w:rPr>
                <w:rFonts w:eastAsia="Times New Roman" w:cs="Times New Roman"/>
                <w:b/>
                <w:sz w:val="20"/>
                <w:szCs w:val="20"/>
              </w:rPr>
              <w:t>Trigger values for arable soils (Total metal in soil)</w:t>
            </w:r>
            <w:r w:rsidRPr="00216965">
              <w:rPr>
                <w:rFonts w:eastAsia="Times New Roman" w:cs="Times New Roman"/>
                <w:b/>
                <w:sz w:val="20"/>
                <w:szCs w:val="20"/>
                <w:vertAlign w:val="superscript"/>
              </w:rPr>
              <w:t>2</w:t>
            </w:r>
          </w:p>
        </w:tc>
        <w:tc>
          <w:tcPr>
            <w:tcW w:w="2835" w:type="dxa"/>
            <w:gridSpan w:val="2"/>
            <w:tcBorders>
              <w:top w:val="single" w:sz="4" w:space="0" w:color="000000"/>
              <w:bottom w:val="single" w:sz="4" w:space="0" w:color="000000"/>
            </w:tcBorders>
            <w:shd w:val="clear" w:color="auto" w:fill="A8D08D" w:themeFill="accent6" w:themeFillTint="99"/>
          </w:tcPr>
          <w:p w14:paraId="0F908E73" w14:textId="77777777" w:rsidR="00632101" w:rsidRPr="00216965" w:rsidRDefault="00632101" w:rsidP="00A0457B">
            <w:pPr>
              <w:keepNext/>
              <w:keepLines/>
              <w:spacing w:after="0"/>
              <w:jc w:val="center"/>
              <w:rPr>
                <w:rFonts w:eastAsia="Times New Roman" w:cs="Times New Roman"/>
                <w:b/>
                <w:sz w:val="20"/>
                <w:szCs w:val="20"/>
              </w:rPr>
            </w:pPr>
            <w:r w:rsidRPr="00216965">
              <w:rPr>
                <w:rFonts w:eastAsia="Times New Roman" w:cs="Times New Roman"/>
                <w:b/>
                <w:sz w:val="20"/>
                <w:szCs w:val="20"/>
              </w:rPr>
              <w:t>Potentially toxic concentration in soil pore water (bioavailable)</w:t>
            </w:r>
            <w:r w:rsidRPr="00216965">
              <w:rPr>
                <w:rFonts w:eastAsia="Times New Roman" w:cs="Times New Roman"/>
                <w:b/>
                <w:sz w:val="20"/>
                <w:szCs w:val="20"/>
                <w:vertAlign w:val="superscript"/>
              </w:rPr>
              <w:t>3</w:t>
            </w:r>
          </w:p>
        </w:tc>
      </w:tr>
      <w:tr w:rsidR="00632101" w:rsidRPr="00216965" w14:paraId="74AF3CEA" w14:textId="77777777" w:rsidTr="008A33DA">
        <w:trPr>
          <w:gridAfter w:val="1"/>
          <w:wAfter w:w="567" w:type="dxa"/>
          <w:jc w:val="center"/>
        </w:trPr>
        <w:tc>
          <w:tcPr>
            <w:tcW w:w="1134" w:type="dxa"/>
            <w:tcBorders>
              <w:top w:val="single" w:sz="4" w:space="0" w:color="000000"/>
            </w:tcBorders>
          </w:tcPr>
          <w:p w14:paraId="48F6E999" w14:textId="77777777" w:rsidR="00632101" w:rsidRPr="00216965" w:rsidRDefault="00632101" w:rsidP="00A0457B">
            <w:pPr>
              <w:spacing w:after="0"/>
              <w:jc w:val="both"/>
              <w:rPr>
                <w:rFonts w:eastAsia="Times New Roman" w:cs="Times New Roman"/>
                <w:sz w:val="20"/>
                <w:szCs w:val="20"/>
              </w:rPr>
            </w:pPr>
          </w:p>
        </w:tc>
        <w:tc>
          <w:tcPr>
            <w:tcW w:w="2268" w:type="dxa"/>
            <w:tcBorders>
              <w:top w:val="single" w:sz="4" w:space="0" w:color="000000"/>
              <w:bottom w:val="single" w:sz="4" w:space="0" w:color="000000"/>
            </w:tcBorders>
          </w:tcPr>
          <w:p w14:paraId="436C61C8"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mg.kg</w:t>
            </w:r>
            <w:r w:rsidRPr="00216965">
              <w:rPr>
                <w:rFonts w:eastAsia="Times New Roman" w:cs="Times New Roman"/>
                <w:sz w:val="20"/>
                <w:szCs w:val="20"/>
                <w:vertAlign w:val="superscript"/>
              </w:rPr>
              <w:t>-1</w:t>
            </w:r>
          </w:p>
        </w:tc>
        <w:tc>
          <w:tcPr>
            <w:tcW w:w="2268" w:type="dxa"/>
            <w:tcBorders>
              <w:top w:val="single" w:sz="4" w:space="0" w:color="000000"/>
              <w:bottom w:val="single" w:sz="4" w:space="0" w:color="000000"/>
            </w:tcBorders>
          </w:tcPr>
          <w:p w14:paraId="2FF00F46"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mg.kg</w:t>
            </w:r>
            <w:r w:rsidRPr="00216965">
              <w:rPr>
                <w:rFonts w:eastAsia="Times New Roman" w:cs="Times New Roman"/>
                <w:sz w:val="20"/>
                <w:szCs w:val="20"/>
                <w:vertAlign w:val="superscript"/>
              </w:rPr>
              <w:t>-1</w:t>
            </w:r>
          </w:p>
        </w:tc>
        <w:tc>
          <w:tcPr>
            <w:tcW w:w="2268" w:type="dxa"/>
            <w:tcBorders>
              <w:top w:val="single" w:sz="4" w:space="0" w:color="000000"/>
              <w:bottom w:val="single" w:sz="4" w:space="0" w:color="000000"/>
            </w:tcBorders>
          </w:tcPr>
          <w:p w14:paraId="2786AD33"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mg.L</w:t>
            </w:r>
            <w:r w:rsidRPr="00216965">
              <w:rPr>
                <w:rFonts w:eastAsia="Times New Roman" w:cs="Times New Roman"/>
                <w:sz w:val="20"/>
                <w:szCs w:val="20"/>
                <w:vertAlign w:val="superscript"/>
              </w:rPr>
              <w:t>-1</w:t>
            </w:r>
          </w:p>
        </w:tc>
      </w:tr>
      <w:tr w:rsidR="00632101" w:rsidRPr="00216965" w14:paraId="197965B5" w14:textId="77777777" w:rsidTr="008A33DA">
        <w:trPr>
          <w:gridAfter w:val="1"/>
          <w:wAfter w:w="567" w:type="dxa"/>
          <w:jc w:val="center"/>
        </w:trPr>
        <w:tc>
          <w:tcPr>
            <w:tcW w:w="1134" w:type="dxa"/>
          </w:tcPr>
          <w:p w14:paraId="01C0D07A"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Zn</w:t>
            </w:r>
          </w:p>
        </w:tc>
        <w:tc>
          <w:tcPr>
            <w:tcW w:w="2268" w:type="dxa"/>
            <w:tcBorders>
              <w:top w:val="single" w:sz="4" w:space="0" w:color="000000"/>
            </w:tcBorders>
            <w:shd w:val="clear" w:color="auto" w:fill="auto"/>
            <w:vAlign w:val="center"/>
          </w:tcPr>
          <w:p w14:paraId="5D0A8859"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70-400</w:t>
            </w:r>
          </w:p>
        </w:tc>
        <w:tc>
          <w:tcPr>
            <w:tcW w:w="2268" w:type="dxa"/>
            <w:tcBorders>
              <w:top w:val="single" w:sz="4" w:space="0" w:color="000000"/>
            </w:tcBorders>
          </w:tcPr>
          <w:p w14:paraId="781DA8BB"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150-600</w:t>
            </w:r>
          </w:p>
        </w:tc>
        <w:tc>
          <w:tcPr>
            <w:tcW w:w="2268" w:type="dxa"/>
            <w:tcBorders>
              <w:top w:val="single" w:sz="4" w:space="0" w:color="000000"/>
            </w:tcBorders>
          </w:tcPr>
          <w:p w14:paraId="24DEFC15"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0.0052</w:t>
            </w:r>
          </w:p>
        </w:tc>
      </w:tr>
      <w:tr w:rsidR="00632101" w:rsidRPr="00216965" w14:paraId="6F8A7A40" w14:textId="77777777" w:rsidTr="008A33DA">
        <w:trPr>
          <w:gridAfter w:val="1"/>
          <w:wAfter w:w="567" w:type="dxa"/>
          <w:jc w:val="center"/>
        </w:trPr>
        <w:tc>
          <w:tcPr>
            <w:tcW w:w="1134" w:type="dxa"/>
          </w:tcPr>
          <w:p w14:paraId="613F8D72"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Ni</w:t>
            </w:r>
          </w:p>
        </w:tc>
        <w:tc>
          <w:tcPr>
            <w:tcW w:w="2268" w:type="dxa"/>
            <w:shd w:val="clear" w:color="auto" w:fill="auto"/>
            <w:vAlign w:val="center"/>
          </w:tcPr>
          <w:p w14:paraId="5E222D32"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100</w:t>
            </w:r>
          </w:p>
        </w:tc>
        <w:tc>
          <w:tcPr>
            <w:tcW w:w="2268" w:type="dxa"/>
          </w:tcPr>
          <w:p w14:paraId="602CCEBF"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50-230</w:t>
            </w:r>
          </w:p>
        </w:tc>
        <w:tc>
          <w:tcPr>
            <w:tcW w:w="2268" w:type="dxa"/>
          </w:tcPr>
          <w:p w14:paraId="320471B2"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0.0099</w:t>
            </w:r>
          </w:p>
        </w:tc>
      </w:tr>
      <w:tr w:rsidR="00632101" w:rsidRPr="00216965" w14:paraId="1C557C2A" w14:textId="77777777" w:rsidTr="008A33DA">
        <w:trPr>
          <w:gridAfter w:val="1"/>
          <w:wAfter w:w="567" w:type="dxa"/>
          <w:jc w:val="center"/>
        </w:trPr>
        <w:tc>
          <w:tcPr>
            <w:tcW w:w="1134" w:type="dxa"/>
          </w:tcPr>
          <w:p w14:paraId="2E80D91F"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Cu</w:t>
            </w:r>
          </w:p>
        </w:tc>
        <w:tc>
          <w:tcPr>
            <w:tcW w:w="2268" w:type="dxa"/>
            <w:shd w:val="clear" w:color="auto" w:fill="auto"/>
            <w:vAlign w:val="center"/>
          </w:tcPr>
          <w:p w14:paraId="20163515"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60-125</w:t>
            </w:r>
          </w:p>
        </w:tc>
        <w:tc>
          <w:tcPr>
            <w:tcW w:w="2268" w:type="dxa"/>
          </w:tcPr>
          <w:p w14:paraId="0EFF30A9"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40-200</w:t>
            </w:r>
          </w:p>
        </w:tc>
        <w:tc>
          <w:tcPr>
            <w:tcW w:w="2268" w:type="dxa"/>
          </w:tcPr>
          <w:p w14:paraId="6EFA888D"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0.0635</w:t>
            </w:r>
          </w:p>
        </w:tc>
      </w:tr>
      <w:tr w:rsidR="00632101" w:rsidRPr="00216965" w14:paraId="7D1BA736" w14:textId="77777777" w:rsidTr="008A33DA">
        <w:trPr>
          <w:gridAfter w:val="1"/>
          <w:wAfter w:w="567" w:type="dxa"/>
          <w:jc w:val="center"/>
        </w:trPr>
        <w:tc>
          <w:tcPr>
            <w:tcW w:w="1134" w:type="dxa"/>
          </w:tcPr>
          <w:p w14:paraId="16892350"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Pb</w:t>
            </w:r>
          </w:p>
        </w:tc>
        <w:tc>
          <w:tcPr>
            <w:tcW w:w="2268" w:type="dxa"/>
            <w:shd w:val="clear" w:color="auto" w:fill="auto"/>
            <w:vAlign w:val="center"/>
          </w:tcPr>
          <w:p w14:paraId="261C758D"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100-400</w:t>
            </w:r>
          </w:p>
        </w:tc>
        <w:tc>
          <w:tcPr>
            <w:tcW w:w="2268" w:type="dxa"/>
          </w:tcPr>
          <w:p w14:paraId="2CD6729F"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50-200</w:t>
            </w:r>
          </w:p>
        </w:tc>
        <w:tc>
          <w:tcPr>
            <w:tcW w:w="2268" w:type="dxa"/>
          </w:tcPr>
          <w:p w14:paraId="39F813C8"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0.0010</w:t>
            </w:r>
          </w:p>
        </w:tc>
      </w:tr>
      <w:tr w:rsidR="00632101" w:rsidRPr="00216965" w14:paraId="64B2CED0" w14:textId="77777777" w:rsidTr="008A33DA">
        <w:trPr>
          <w:gridAfter w:val="1"/>
          <w:wAfter w:w="567" w:type="dxa"/>
          <w:jc w:val="center"/>
        </w:trPr>
        <w:tc>
          <w:tcPr>
            <w:tcW w:w="1134" w:type="dxa"/>
          </w:tcPr>
          <w:p w14:paraId="28EAAE5E"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Cd</w:t>
            </w:r>
          </w:p>
        </w:tc>
        <w:tc>
          <w:tcPr>
            <w:tcW w:w="2268" w:type="dxa"/>
            <w:shd w:val="clear" w:color="auto" w:fill="auto"/>
            <w:vAlign w:val="center"/>
          </w:tcPr>
          <w:p w14:paraId="4E30076B"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3-8</w:t>
            </w:r>
          </w:p>
        </w:tc>
        <w:tc>
          <w:tcPr>
            <w:tcW w:w="2268" w:type="dxa"/>
          </w:tcPr>
          <w:p w14:paraId="23996159"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1-4</w:t>
            </w:r>
          </w:p>
        </w:tc>
        <w:tc>
          <w:tcPr>
            <w:tcW w:w="2268" w:type="dxa"/>
          </w:tcPr>
          <w:p w14:paraId="4E386621" w14:textId="77777777" w:rsidR="00632101" w:rsidRPr="00216965" w:rsidRDefault="00632101" w:rsidP="00A0457B">
            <w:pPr>
              <w:spacing w:after="0"/>
              <w:jc w:val="center"/>
              <w:rPr>
                <w:rFonts w:eastAsia="Times New Roman" w:cs="Times New Roman"/>
                <w:sz w:val="20"/>
                <w:szCs w:val="20"/>
              </w:rPr>
            </w:pPr>
            <w:r w:rsidRPr="00216965">
              <w:rPr>
                <w:rFonts w:eastAsia="Times New Roman" w:cs="Times New Roman"/>
                <w:sz w:val="20"/>
                <w:szCs w:val="20"/>
              </w:rPr>
              <w:t>0.0045</w:t>
            </w:r>
          </w:p>
        </w:tc>
      </w:tr>
    </w:tbl>
    <w:p w14:paraId="3AB4DEB3" w14:textId="324EC68F" w:rsidR="00632101" w:rsidRPr="00216965" w:rsidRDefault="00632101" w:rsidP="008A33DA">
      <w:pPr>
        <w:spacing w:after="0" w:line="240" w:lineRule="auto"/>
        <w:ind w:left="426"/>
        <w:jc w:val="both"/>
        <w:rPr>
          <w:rFonts w:eastAsia="Times New Roman" w:cs="Times New Roman"/>
          <w:sz w:val="18"/>
          <w:szCs w:val="18"/>
        </w:rPr>
      </w:pPr>
      <w:r w:rsidRPr="00216965">
        <w:rPr>
          <w:rFonts w:eastAsia="Times New Roman" w:cs="Times New Roman"/>
          <w:sz w:val="18"/>
          <w:szCs w:val="18"/>
          <w:vertAlign w:val="superscript"/>
        </w:rPr>
        <w:t>1</w:t>
      </w:r>
      <w:r w:rsidR="00433C84" w:rsidRPr="00216965">
        <w:rPr>
          <w:rFonts w:eastAsia="Times New Roman" w:cs="Times New Roman"/>
          <w:b/>
          <w:color w:val="000000"/>
          <w:sz w:val="18"/>
          <w:szCs w:val="18"/>
        </w:rPr>
        <w:fldChar w:fldCharType="begin" w:fldLock="1"/>
      </w:r>
      <w:r w:rsidR="00433C84" w:rsidRPr="00216965">
        <w:rPr>
          <w:rFonts w:eastAsia="Times New Roman" w:cs="Times New Roman"/>
          <w:b/>
          <w:color w:val="000000"/>
          <w:sz w:val="18"/>
          <w:szCs w:val="18"/>
        </w:rPr>
        <w:instrText>ADDIN CSL_CITATION {"citationItems":[{"id":"ITEM-1","itemData":{"ISBN":"0-8493-1575-1","author":[{"dropping-particle":"","family":"Kabata-Pendias","given":"Alina","non-dropping-particle":"","parse-names":false,"suffix":""},{"dropping-particle":"","family":"Pendias","given":"H","non-dropping-particle":"","parse-names":false,"suffix":""}],"edition":"Third Edit","id":"ITEM-1","issued":{"date-parts":[["2001"]]},"number-of-pages":"331","publisher":"CRC Press LLC","publisher-place":"Boca Raton","title":"Trace elements in soils and plants","type":"book"},"uris":["http://www.mendeley.com/documents/?uuid=75d95714-b09f-411c-bcb7-9c7a6d03ee36"]}],"mendeley":{"formattedCitation":"(Kabata-Pendias and Pendias, 2001)","manualFormatting":"Kabata-Pendias and Pendias (2001)","plainTextFormattedCitation":"(Kabata-Pendias and Pendias, 2001)","previouslyFormattedCitation":"(Kabata-Pendias and Pendias, 2001)"},"properties":{"noteIndex":0},"schema":"https://github.com/citation-style-language/schema/raw/master/csl-citation.json"}</w:instrText>
      </w:r>
      <w:r w:rsidR="00433C84" w:rsidRPr="00216965">
        <w:rPr>
          <w:rFonts w:eastAsia="Times New Roman" w:cs="Times New Roman"/>
          <w:b/>
          <w:color w:val="000000"/>
          <w:sz w:val="18"/>
          <w:szCs w:val="18"/>
        </w:rPr>
        <w:fldChar w:fldCharType="separate"/>
      </w:r>
      <w:r w:rsidR="00433C84" w:rsidRPr="00216965">
        <w:rPr>
          <w:rFonts w:eastAsia="Times New Roman" w:cs="Times New Roman"/>
          <w:noProof/>
          <w:color w:val="000000"/>
          <w:sz w:val="18"/>
          <w:szCs w:val="18"/>
        </w:rPr>
        <w:t>Kabata-Pendias and Pendias (2001)</w:t>
      </w:r>
      <w:r w:rsidR="00433C84" w:rsidRPr="00216965">
        <w:rPr>
          <w:rFonts w:eastAsia="Times New Roman" w:cs="Times New Roman"/>
          <w:b/>
          <w:color w:val="000000"/>
          <w:sz w:val="18"/>
          <w:szCs w:val="18"/>
        </w:rPr>
        <w:fldChar w:fldCharType="end"/>
      </w:r>
      <w:r w:rsidR="00433C84" w:rsidRPr="00216965">
        <w:rPr>
          <w:rFonts w:eastAsia="Times New Roman" w:cs="Times New Roman"/>
          <w:bCs/>
          <w:color w:val="000000"/>
          <w:sz w:val="20"/>
          <w:szCs w:val="20"/>
        </w:rPr>
        <w:t>,</w:t>
      </w:r>
      <w:r w:rsidR="00433C84" w:rsidRPr="00216965">
        <w:rPr>
          <w:rFonts w:eastAsia="Times New Roman" w:cs="Times New Roman"/>
          <w:b/>
          <w:color w:val="000000"/>
          <w:szCs w:val="24"/>
        </w:rPr>
        <w:t xml:space="preserve"> </w:t>
      </w:r>
      <w:r w:rsidRPr="00216965">
        <w:rPr>
          <w:rFonts w:eastAsia="Times New Roman" w:cs="Times New Roman"/>
          <w:sz w:val="18"/>
          <w:szCs w:val="18"/>
        </w:rPr>
        <w:t xml:space="preserve">the critical soil concentration is the range of values </w:t>
      </w:r>
      <w:bookmarkStart w:id="59" w:name="_Hlk82731303"/>
      <w:r w:rsidRPr="00216965">
        <w:rPr>
          <w:rFonts w:eastAsia="Times New Roman" w:cs="Times New Roman"/>
          <w:sz w:val="18"/>
          <w:szCs w:val="18"/>
        </w:rPr>
        <w:t>above which plant toxicity is considered possible</w:t>
      </w:r>
      <w:bookmarkEnd w:id="59"/>
    </w:p>
    <w:p w14:paraId="47D04A66" w14:textId="68974C68" w:rsidR="00632101" w:rsidRPr="00216965" w:rsidRDefault="00632101" w:rsidP="008A33DA">
      <w:pPr>
        <w:spacing w:after="0" w:line="240" w:lineRule="auto"/>
        <w:ind w:left="426"/>
        <w:jc w:val="both"/>
        <w:rPr>
          <w:rFonts w:eastAsia="Times New Roman" w:cs="Times New Roman"/>
          <w:sz w:val="18"/>
          <w:szCs w:val="18"/>
          <w:vertAlign w:val="superscript"/>
        </w:rPr>
      </w:pPr>
      <w:r w:rsidRPr="00216965">
        <w:rPr>
          <w:rFonts w:eastAsia="Times New Roman" w:cs="Times New Roman"/>
          <w:sz w:val="18"/>
          <w:szCs w:val="18"/>
          <w:vertAlign w:val="superscript"/>
        </w:rPr>
        <w:t>2</w:t>
      </w:r>
      <w:r w:rsidR="006A4DA8" w:rsidRPr="00216965">
        <w:rPr>
          <w:rFonts w:eastAsia="Times New Roman" w:cs="Times New Roman"/>
          <w:sz w:val="18"/>
          <w:szCs w:val="18"/>
          <w:vertAlign w:val="superscript"/>
          <w:lang w:val="it-IT"/>
        </w:rPr>
        <w:fldChar w:fldCharType="begin" w:fldLock="1"/>
      </w:r>
      <w:r w:rsidR="006C06AA" w:rsidRPr="00216965">
        <w:rPr>
          <w:rFonts w:eastAsia="Times New Roman" w:cs="Times New Roman"/>
          <w:sz w:val="18"/>
          <w:szCs w:val="18"/>
          <w:vertAlign w:val="superscript"/>
        </w:rPr>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2015)","manualFormatting":"Kim et al. (2015)","plainTextFormattedCitation":"(Kim et al., 2015)","previouslyFormattedCitation":"(Kim et al., 2015)"},"properties":{"noteIndex":0},"schema":"https://github.com/citation-style-language/schema/raw/master/csl-citation.json"}</w:instrText>
      </w:r>
      <w:r w:rsidR="006A4DA8" w:rsidRPr="00216965">
        <w:rPr>
          <w:rFonts w:eastAsia="Times New Roman" w:cs="Times New Roman"/>
          <w:sz w:val="18"/>
          <w:szCs w:val="18"/>
          <w:vertAlign w:val="superscript"/>
          <w:lang w:val="it-IT"/>
        </w:rPr>
        <w:fldChar w:fldCharType="separate"/>
      </w:r>
      <w:r w:rsidR="006A4DA8" w:rsidRPr="00216965">
        <w:rPr>
          <w:rFonts w:eastAsia="Times New Roman" w:cs="Times New Roman"/>
          <w:noProof/>
          <w:sz w:val="18"/>
          <w:szCs w:val="18"/>
        </w:rPr>
        <w:t xml:space="preserve">Kim </w:t>
      </w:r>
      <w:r w:rsidR="006A4DA8" w:rsidRPr="00216965">
        <w:rPr>
          <w:rFonts w:eastAsia="Times New Roman" w:cs="Times New Roman"/>
          <w:iCs/>
          <w:noProof/>
          <w:sz w:val="18"/>
          <w:szCs w:val="18"/>
        </w:rPr>
        <w:t>et al</w:t>
      </w:r>
      <w:r w:rsidR="006A4DA8" w:rsidRPr="00216965">
        <w:rPr>
          <w:rFonts w:eastAsia="Times New Roman" w:cs="Times New Roman"/>
          <w:i/>
          <w:noProof/>
          <w:sz w:val="18"/>
          <w:szCs w:val="18"/>
        </w:rPr>
        <w:t>.</w:t>
      </w:r>
      <w:r w:rsidR="006A4DA8" w:rsidRPr="00216965">
        <w:rPr>
          <w:rFonts w:eastAsia="Times New Roman" w:cs="Times New Roman"/>
          <w:noProof/>
          <w:sz w:val="18"/>
          <w:szCs w:val="18"/>
        </w:rPr>
        <w:t xml:space="preserve"> (2015)</w:t>
      </w:r>
      <w:r w:rsidR="006A4DA8" w:rsidRPr="00216965">
        <w:rPr>
          <w:rFonts w:eastAsia="Times New Roman" w:cs="Times New Roman"/>
          <w:sz w:val="18"/>
          <w:szCs w:val="18"/>
          <w:vertAlign w:val="superscript"/>
          <w:lang w:val="it-IT"/>
        </w:rPr>
        <w:fldChar w:fldCharType="end"/>
      </w:r>
    </w:p>
    <w:p w14:paraId="1CC30EF0" w14:textId="294FF6CC" w:rsidR="00632101" w:rsidRPr="00216965" w:rsidRDefault="00632101" w:rsidP="008A33DA">
      <w:pPr>
        <w:spacing w:after="0" w:line="240" w:lineRule="auto"/>
        <w:ind w:left="426"/>
        <w:jc w:val="both"/>
        <w:rPr>
          <w:rFonts w:eastAsia="Times New Roman" w:cs="Times New Roman"/>
          <w:sz w:val="18"/>
          <w:szCs w:val="18"/>
        </w:rPr>
      </w:pPr>
      <w:r w:rsidRPr="00216965">
        <w:rPr>
          <w:rFonts w:eastAsia="Times New Roman" w:cs="Times New Roman"/>
          <w:sz w:val="18"/>
          <w:szCs w:val="18"/>
          <w:vertAlign w:val="superscript"/>
        </w:rPr>
        <w:t>3</w:t>
      </w:r>
      <w:r w:rsidRPr="00216965">
        <w:rPr>
          <w:rFonts w:eastAsia="Times New Roman" w:cs="Times New Roman"/>
          <w:sz w:val="18"/>
          <w:szCs w:val="18"/>
        </w:rPr>
        <w:t>Di Bonito (2015)</w:t>
      </w:r>
    </w:p>
    <w:bookmarkEnd w:id="58"/>
    <w:p w14:paraId="7BBBC779" w14:textId="77777777" w:rsidR="005563EE" w:rsidRPr="00216965" w:rsidRDefault="005563EE" w:rsidP="008A33DA">
      <w:pPr>
        <w:spacing w:after="0" w:line="240" w:lineRule="auto"/>
        <w:ind w:left="426"/>
        <w:jc w:val="both"/>
        <w:rPr>
          <w:rFonts w:eastAsia="Times New Roman" w:cs="Times New Roman"/>
          <w:sz w:val="18"/>
          <w:szCs w:val="18"/>
          <w:vertAlign w:val="superscript"/>
        </w:rPr>
      </w:pPr>
    </w:p>
    <w:p w14:paraId="0220C58A" w14:textId="77777777" w:rsidR="00632101" w:rsidRPr="00216965" w:rsidRDefault="00632101" w:rsidP="008A33DA">
      <w:pPr>
        <w:pStyle w:val="Heading3"/>
        <w:rPr>
          <w:rFonts w:eastAsia="Times New Roman"/>
        </w:rPr>
      </w:pPr>
      <w:bookmarkStart w:id="60" w:name="_Toc86504633"/>
      <w:r w:rsidRPr="00216965">
        <w:rPr>
          <w:rFonts w:eastAsia="Times New Roman"/>
        </w:rPr>
        <w:t>Factors affecting bioavailability of HM</w:t>
      </w:r>
      <w:bookmarkEnd w:id="60"/>
    </w:p>
    <w:p w14:paraId="65AF6D25" w14:textId="2CF5DE00"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Currently, it is recognized that the bioavailability of heavy metals in soils largely depends on the metal </w:t>
      </w:r>
      <w:r w:rsidR="00810D61" w:rsidRPr="00216965">
        <w:rPr>
          <w:rFonts w:eastAsia="Times New Roman" w:cs="Times New Roman"/>
          <w:szCs w:val="24"/>
        </w:rPr>
        <w:t>chemical speciation</w:t>
      </w:r>
      <w:r w:rsidRPr="00216965">
        <w:rPr>
          <w:rFonts w:eastAsia="Times New Roman" w:cs="Times New Roman"/>
          <w:szCs w:val="24"/>
        </w:rPr>
        <w:t xml:space="preserve">, mobility and concentration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(Filgueiras et al., 2002)</w:t>
      </w:r>
      <w:r w:rsidRPr="00216965">
        <w:rPr>
          <w:rFonts w:eastAsia="Times New Roman" w:cs="Times New Roman"/>
          <w:szCs w:val="24"/>
        </w:rPr>
        <w:fldChar w:fldCharType="end"/>
      </w:r>
      <w:r w:rsidRPr="00216965">
        <w:rPr>
          <w:rFonts w:eastAsia="Times New Roman" w:cs="Times New Roman"/>
          <w:szCs w:val="24"/>
        </w:rPr>
        <w:t xml:space="preserve">.  Bioavailability is metal specific because of the different adsorption affinities of metals on clay mineral and oxide binding sites, the different propensities to form stable complexes with organic and inorganic ligands, and the different complex and mineral solubilities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2015)","plainTextFormattedCitation":"(Kim et al., 2015)","previouslyFormattedCitation":"(Kim et al., 2015)"},"properties":{"noteIndex":0},"schema":"https://github.com/citation-style-language/schema/raw/master/csl-citation.json"}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(Kim et al., 2015)</w:t>
      </w:r>
      <w:r w:rsidRPr="00216965">
        <w:rPr>
          <w:rFonts w:eastAsia="Times New Roman" w:cs="Times New Roman"/>
          <w:szCs w:val="24"/>
        </w:rPr>
        <w:fldChar w:fldCharType="end"/>
      </w:r>
      <w:r w:rsidRPr="00216965">
        <w:rPr>
          <w:rFonts w:eastAsia="Times New Roman" w:cs="Times New Roman"/>
          <w:szCs w:val="24"/>
        </w:rPr>
        <w:t xml:space="preserve">. </w:t>
      </w:r>
    </w:p>
    <w:p w14:paraId="58FFA191" w14:textId="07207BF8"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addition, other factors such as natural and anthropogenic environmental changes can also influence the behaviour of metallic pollutants influencing bioavailability. These external influences include pH, temperature, redox potential, organic matter decomposition, leaching and ion exchange processes and microbial activity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{"citationItems":[{"id":"ITEM-1","itemData":{"DOI":"10.1016/j.apsoil.2008.01.005","author":[{"dropping-particle":"","family":"Epelde","given":"Lur","non-dropping-particle":"","parse-names":false,"suffix":""},{"dropping-particle":"","family":"Becerril","given":"José M","non-dropping-particle":"","parse-names":false,"suffix":""},{"dropping-particle":"","family":"Herná Ndez-Allica","given":"Javier","non-dropping-particle":"","parse-names":false,"suffix":""},{"dropping-particle":"","family":"Barrutia","given":"Oihana","non-dropping-particle":"","parse-names":false,"suffix":""},{"dropping-particle":"","family":"Garbisu","given":"Carlos","non-dropping-particle":"","parse-names":false,"suffix":""}],"container-title":"Applied Soil Ecology","id":"ITEM-1","issued":{"date-parts":[["2008"]]},"page":"299-310","title":"Functional diversity as indicator of the recovery of soil health derived from Thlaspi caerulescens growth and metal phytoextraction","type":"article-journal","volume":"39"},"uris":["http://www.mendeley.com/documents/?uuid=d6049670-4b30-3339-b524-880ec7b17cc8"]},{"id":"ITEM-2","itemData":{"DOI":"10.1155/2010/387803","author":[{"dropping-particle":"","family":"Zimmerman","given":"Amanda Jo","non-dropping-particle":"","parse-names":false,"suffix":""},{"dropping-particle":"","family":"Weindorf","given":"David C","non-dropping-particle":"","parse-names":false,"suffix":""}],"container-title":"International Journal of Analytical Chemistry","id":"ITEM-2","issued":{"date-parts":[["2010"]]},"page":"387803","title":"Heavy metal and trace metal analysis in soil by sequential extraction : A review of procedures","type":"article-journal","volume":"2010"},"uris":["http://www.mendeley.com/documents/?uuid=2535487b-843e-4313-93bd-7ff74b17e777"]}],"mendeley":{"formattedCitation":"(Epelde et al., 2008; Zimmerman and Weindorf, 2010)","plainTextFormattedCitation":"(Epelde et al., 2008; Zimmerman and Weindorf, 2010)","previouslyFormattedCitation":"(Epelde et al., 2008; Zimmerman and Weindorf, 2010)"},"properties":{"noteIndex":0},"schema":"https://github.com/citation-style-language/schema/raw/master/csl-citation.json"}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(Epelde et al., 2008; Zimmerman and Weindorf, 2010)</w:t>
      </w:r>
      <w:r w:rsidRPr="00216965">
        <w:rPr>
          <w:rFonts w:eastAsia="Times New Roman" w:cs="Times New Roman"/>
          <w:szCs w:val="24"/>
        </w:rPr>
        <w:fldChar w:fldCharType="end"/>
      </w:r>
      <w:r w:rsidRPr="00216965">
        <w:rPr>
          <w:rFonts w:eastAsia="Times New Roman" w:cs="Times New Roman"/>
          <w:szCs w:val="24"/>
        </w:rPr>
        <w:t xml:space="preserve">. Of these, soil pH often has the greatest influence on bioavailability due to its strong effects on the solubility and speciation of heavy metals, both in the soil as a whole and particularly the soil solution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w:t>
      </w:r>
      <w:r w:rsidRPr="00216965">
        <w:rPr>
          <w:rFonts w:eastAsia="Times New Roman" w:cs="Times New Roman"/>
          <w:szCs w:val="24"/>
        </w:rPr>
        <w:fldChar w:fldCharType="end"/>
      </w:r>
      <w:r w:rsidRPr="00216965">
        <w:rPr>
          <w:rFonts w:eastAsia="Times New Roman" w:cs="Times New Roman"/>
          <w:szCs w:val="24"/>
        </w:rPr>
        <w:t xml:space="preserve">. Acidic conditions tend to increase the mobility of heavy metals as a result of proton competition and decreased negative binding sites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microbes","type":"article-journal","volume":"15"},"uris":["http://www.mendeley.com/documents/?uuid=b874bf00-8864-4188-90b6-39010f72c7e5"]}],"mendeley":{"formattedCitation":"(Abdu et al., 2017)","plainTextFormattedCitation":"(Abdu et al., 2017)","previouslyFormattedCitation":"(Abdu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(Abdu et al., 2017)</w:t>
      </w:r>
      <w:r w:rsidRPr="00216965">
        <w:rPr>
          <w:rFonts w:eastAsia="Times New Roman" w:cs="Times New Roman"/>
          <w:szCs w:val="24"/>
        </w:rPr>
        <w:fldChar w:fldCharType="end"/>
      </w:r>
      <w:r w:rsidRPr="00216965">
        <w:rPr>
          <w:rFonts w:eastAsia="Times New Roman" w:cs="Times New Roman"/>
          <w:szCs w:val="24"/>
        </w:rPr>
        <w:t xml:space="preserve">. </w:t>
      </w:r>
    </w:p>
    <w:p w14:paraId="3E46E306" w14:textId="6467333A"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Furthermore, processes such as oxidation, hydrolysis, and microbial degradation can modify the availability of heavy metals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Research","id":"ITEM-1","issue":"20","issued":{"date-parts":[["2016"]]},"page":"20619-20627","publisher":"Environmental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properties","type":"article-journal","volume":"23"},"uris":["http://www.mendeley.com/documents/?uuid=4f6b4466-61da-4665-bb63-c0b88ebc42c0"]}],"mendeley":{"formattedCitation":"(Venegas et al., 2016)","plainTextFormattedCitation":"(Venegas et al., 2016)","previouslyFormattedCitation":"(Venegas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(Venegas et al., 2016)</w:t>
      </w:r>
      <w:r w:rsidRPr="00216965">
        <w:rPr>
          <w:rFonts w:eastAsia="Times New Roman" w:cs="Times New Roman"/>
          <w:szCs w:val="24"/>
        </w:rPr>
        <w:fldChar w:fldCharType="end"/>
      </w:r>
      <w:r w:rsidRPr="00216965">
        <w:rPr>
          <w:rFonts w:eastAsia="Times New Roman" w:cs="Times New Roman"/>
          <w:szCs w:val="24"/>
        </w:rPr>
        <w:t xml:space="preserve">. In addition, plant root exudates may affect metal availability directly or through the effect </w:t>
      </w:r>
      <w:r w:rsidR="00675EA9" w:rsidRPr="00216965">
        <w:rPr>
          <w:rFonts w:eastAsia="Times New Roman" w:cs="Times New Roman"/>
          <w:szCs w:val="24"/>
        </w:rPr>
        <w:t xml:space="preserve">that </w:t>
      </w:r>
      <w:r w:rsidRPr="00216965">
        <w:rPr>
          <w:rFonts w:eastAsia="Times New Roman" w:cs="Times New Roman"/>
          <w:szCs w:val="24"/>
        </w:rPr>
        <w:t xml:space="preserve">exudates have on the rhizosphere chemistry. Similarly, microorganisms may alter metal availability in their vicinity due to acidification of the soil or production of compounds which complex metals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w:t>
      </w:r>
      <w:r w:rsidRPr="00216965">
        <w:rPr>
          <w:rFonts w:eastAsia="Times New Roman" w:cs="Times New Roman"/>
          <w:szCs w:val="24"/>
        </w:rPr>
        <w:fldChar w:fldCharType="end"/>
      </w:r>
      <w:r w:rsidRPr="00216965">
        <w:rPr>
          <w:rFonts w:eastAsia="Times New Roman" w:cs="Times New Roman"/>
          <w:szCs w:val="24"/>
        </w:rPr>
        <w:t>.</w:t>
      </w:r>
    </w:p>
    <w:p w14:paraId="4080373F" w14:textId="77777777" w:rsidR="00632101" w:rsidRPr="00216965" w:rsidRDefault="00632101" w:rsidP="008A33DA">
      <w:pPr>
        <w:pStyle w:val="Heading2"/>
      </w:pPr>
      <w:bookmarkStart w:id="61" w:name="_heading=h.1t3h5sf" w:colFirst="0" w:colLast="0"/>
      <w:bookmarkStart w:id="62" w:name="_Toc86504634"/>
      <w:bookmarkEnd w:id="61"/>
      <w:r w:rsidRPr="00216965">
        <w:lastRenderedPageBreak/>
        <w:t>Soil remediation techniques</w:t>
      </w:r>
      <w:bookmarkEnd w:id="62"/>
    </w:p>
    <w:p w14:paraId="11D4431B" w14:textId="6DBEF7AE" w:rsidR="00632101" w:rsidRPr="00216965" w:rsidRDefault="00632101" w:rsidP="008A33DA">
      <w:pPr>
        <w:spacing w:line="360" w:lineRule="auto"/>
        <w:jc w:val="both"/>
      </w:pPr>
      <w:r w:rsidRPr="00216965">
        <w:t xml:space="preserve">Heavy metal contamination can reduce soil health and degrade its function to sustain life. </w:t>
      </w:r>
      <w:r w:rsidRPr="00216965">
        <w:rPr>
          <w:rFonts w:eastAsia="Times New Roman" w:cs="Times New Roman"/>
          <w:szCs w:val="24"/>
        </w:rPr>
        <w:t xml:space="preserve">On the contrary, </w:t>
      </w:r>
      <w:r w:rsidR="002735B6" w:rsidRPr="00216965">
        <w:rPr>
          <w:rFonts w:eastAsia="Times New Roman" w:cs="Times New Roman"/>
          <w:szCs w:val="24"/>
        </w:rPr>
        <w:t xml:space="preserve">healthy </w:t>
      </w:r>
      <w:r w:rsidRPr="00216965">
        <w:t>soils</w:t>
      </w:r>
      <w:r w:rsidR="002735B6" w:rsidRPr="00216965">
        <w:t xml:space="preserve"> </w:t>
      </w:r>
      <w:r w:rsidRPr="00216965">
        <w:t xml:space="preserve">provide us with food and fibre, clean water and clean air among other ecosystem services </w:t>
      </w:r>
      <w:r w:rsidRPr="00216965">
        <w:fldChar w:fldCharType="begin" w:fldLock="1"/>
      </w:r>
      <w:r w:rsidR="00F56BD7" w:rsidRPr="00216965">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2019)","plainTextFormattedCitation":"(Bruyninckx, 2019)","previouslyFormattedCitation":"(Bruyninckx, 2019)"},"properties":{"noteIndex":0},"schema":"https://github.com/citation-style-language/schema/raw/master/csl-citation.json"}</w:instrText>
      </w:r>
      <w:r w:rsidRPr="00216965">
        <w:fldChar w:fldCharType="separate"/>
      </w:r>
      <w:r w:rsidR="00330A4F" w:rsidRPr="00216965">
        <w:rPr>
          <w:noProof/>
        </w:rPr>
        <w:t>(Bruyninckx, 2019)</w:t>
      </w:r>
      <w:r w:rsidRPr="00216965">
        <w:fldChar w:fldCharType="end"/>
      </w:r>
      <w:r w:rsidRPr="00216965">
        <w:t xml:space="preserve">. Because land and soil are limited resources, the only sustainable option is to prevent their degradation and use, hence the importance of soil remediation techniques to restore soil functions and allow contaminated lands to be repurposed. </w:t>
      </w:r>
    </w:p>
    <w:p w14:paraId="56AD1369" w14:textId="3F46C590"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remediation of heavy metals in contaminated soils is considered to be one of the most complicated tasks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{"citationItems":[{"id":"ITEM-1","itemData":{"DOI":"10.1007/s10653-017-9964-z","abstract":"The major frequent contaminants in soil are heavy metals which may be responsible for detrimental health effects. The remediation of heavy metals in contaminated soils is considered as one of the most complicated tasks. Among different tech-nologies, in situ immobilization of metals has received a great deal of attention and turned out to be a promising solution for soil remediation. In this review, remediation methods for removal of heavy metals in soil are explored with an emphasis on the in situ immobilization technique of metal(loid)s. Besides, the immobilization technique in contaminated soils is evaluated through the manipulation of the bioavail-ability of heavy metals using a range of soil amend-ment conditions. This technique is expected to efficiently alleviate the risk of groundwater contam-ination, plant uptake, and exposure to other living organisms. The efficacy of several amendments (e.g., red mud, biochar, phosphate rock) has been examined to emphasize the need for the simultaneous measure-ment of leaching and the phytoavailability of heavy metals. In addition, some amendments that are used in this technique are inexpensive and readily available in large quantities because they have been derived from bio-products or industrial by-products (e.g., biochar, red mud, and steel slag). Among different amend-ments, iron-rich compounds and biochars show high efficiency to remediate multi-metal contaminated soils. Thereupon, immobilization technique can be considered a preferable option as it is inexpensive and easily applicable to large quantities of contaminants derived from various sources.","author":[{"dropping-particle":"","family":"Derakhshan","given":"Zahra","non-dropping-particle":"","parse-names":false,"suffix":""},{"dropping-particle":"","family":"Chae","given":"Myung","non-dropping-particle":"","parse-names":false,"suffix":""},{"dropping-particle":"","family":"Ki-Hyun","given":"Kim","non-dropping-particle":"","parse-names":false,"suffix":""}],"container-title":"Environmental Geochemistry and Health","id":"ITEM-1","issued":{"date-parts":[["2017"]]},"title":"Remediation of soils contaminated with heavy metals with an emphasis on immobilization technology","type":"article-journal"},"uris":["http://www.mendeley.com/documents/?uuid=807b718e-beed-3aa5-aad4-942c59374ff5"]}],"mendeley":{"formattedCitation":"(Derakhshan et al., 2017)","plainTextFormattedCitation":"(Derakhshan et al., 2017)","previouslyFormattedCitation":"(Derakhshan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(Derakhshan et al., 2017)</w:t>
      </w:r>
      <w:r w:rsidRPr="00216965">
        <w:rPr>
          <w:rFonts w:eastAsia="Times New Roman" w:cs="Times New Roman"/>
          <w:szCs w:val="24"/>
        </w:rPr>
        <w:fldChar w:fldCharType="end"/>
      </w:r>
      <w:r w:rsidRPr="00216965">
        <w:rPr>
          <w:rFonts w:eastAsia="Times New Roman" w:cs="Times New Roman"/>
          <w:szCs w:val="24"/>
        </w:rPr>
        <w:t xml:space="preserve">. However, understanding the mechanisms that govern metal mobility in soils has allowed the development of remediation approaches that reduce metal availability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Research","id":"ITEM-1","issue":"20","issued":{"date-parts":[["2016"]]},"page":"20619-20627","publisher":"Environmental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properties","type":"article-journal","volume":"23"},"uris":["http://www.mendeley.com/documents/?uuid=4f6b4466-61da-4665-bb63-c0b88ebc42c0"]}],"mendeley":{"formattedCitation":"(Venegas et al., 2016)","plainTextFormattedCitation":"(Venegas et al., 2016)","previouslyFormattedCitation":"(Venegas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(Venegas et al., 2016)</w:t>
      </w:r>
      <w:r w:rsidRPr="00216965">
        <w:rPr>
          <w:rFonts w:eastAsia="Times New Roman" w:cs="Times New Roman"/>
          <w:szCs w:val="24"/>
        </w:rPr>
        <w:fldChar w:fldCharType="end"/>
      </w:r>
      <w:r w:rsidRPr="00216965">
        <w:rPr>
          <w:rFonts w:eastAsia="Times New Roman" w:cs="Times New Roman"/>
          <w:szCs w:val="24"/>
        </w:rPr>
        <w:t xml:space="preserve">.  Conventional remediation methods for heavy metals in soil using physicochemical or biological processes include </w:t>
      </w:r>
      <w:r w:rsidRPr="00216965">
        <w:rPr>
          <w:rFonts w:eastAsia="Times New Roman" w:cs="Times New Roman"/>
          <w:i/>
          <w:szCs w:val="24"/>
        </w:rPr>
        <w:t>in</w:t>
      </w:r>
      <w:r w:rsidRPr="00216965">
        <w:rPr>
          <w:rFonts w:eastAsia="Times New Roman" w:cs="Times New Roman"/>
          <w:szCs w:val="24"/>
        </w:rPr>
        <w:t xml:space="preserve"> </w:t>
      </w:r>
      <w:r w:rsidRPr="00216965">
        <w:rPr>
          <w:rFonts w:eastAsia="Times New Roman" w:cs="Times New Roman"/>
          <w:i/>
          <w:szCs w:val="24"/>
        </w:rPr>
        <w:t xml:space="preserve">situ </w:t>
      </w:r>
      <w:r w:rsidRPr="00216965">
        <w:rPr>
          <w:rFonts w:eastAsia="Times New Roman" w:cs="Times New Roman"/>
          <w:szCs w:val="24"/>
        </w:rPr>
        <w:t xml:space="preserve">and/or </w:t>
      </w:r>
      <w:r w:rsidRPr="00216965">
        <w:rPr>
          <w:rFonts w:eastAsia="Times New Roman" w:cs="Times New Roman"/>
          <w:i/>
          <w:szCs w:val="24"/>
        </w:rPr>
        <w:t>ex situ</w:t>
      </w:r>
      <w:r w:rsidRPr="00216965">
        <w:rPr>
          <w:rFonts w:eastAsia="Times New Roman" w:cs="Times New Roman"/>
          <w:szCs w:val="24"/>
        </w:rPr>
        <w:t xml:space="preserve"> techniques </w:t>
      </w:r>
      <w:r w:rsidR="00B61794" w:rsidRPr="00216965">
        <w:rPr>
          <w:rFonts w:eastAsia="Times New Roman" w:cs="Times New Roman"/>
          <w:szCs w:val="24"/>
        </w:rPr>
        <w:fldChar w:fldCharType="begin" w:fldLock="1"/>
      </w:r>
      <w:r w:rsidR="00B61794" w:rsidRPr="00216965">
        <w:rPr>
          <w:rFonts w:eastAsia="Times New Roman" w:cs="Times New Roman"/>
          <w:szCs w:val="24"/>
        </w:rPr>
        <w:instrText>ADDIN CSL_CITATION {"citationItems":[{"id":"ITEM-1","itemData":{"DOI":"10.1037/a0036071","ISBN":"22244263","ISSN":"1939-1277","PMID":"95769756","abstract":"Heavy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Critics","id":"ITEM-1","issue":"2","issued":{"date-parts":[["2014"]]},"page":"24-38","title":"A review on heavy metal contamination in the soil worldwide: Situation, impact and remediation techniques","type":"article-journal","volume":"3"},"uris":["http://www.mendeley.com/documents/?uuid=5dcca45e-40a9-4d03-8ac4-023dceaf84af"]},{"id":"ITEM-2","itemData":{"DOI":"10.1016/j.jes.2017.08.004","ISSN":"18787320","abstract":"Biochar is a carbon-neutral or even carbon-negative material produced through thermal decomposition of plant- and animal-based biomass under oxygen-limited conditions. Recently, there has been an increasing interest in the application of biochar as an adsorbent, soil ameliorant and climate mitigation approach in many types of applications. Metal-contaminated soil remediation using biochar has been intensively investigated in small-scale and pilot-scale trials with obtained beneficial results and multifaceted effects. But so far, the study and application of biochar in contaminated sediment management has been very limited, and this is also a worldwide problem. Nonetheless, there is reason to believe that the same multiple benefits can also be realized with these sediments due to similar mechanisms for stabilizing contaminants. This paper provides a review on current biochar properties and its use as a sorbent/amendment for metal-contaminated soil/sediment remediation and its effect on plant growth, fauna habits as well as microorganism communities. In addition, the use of biochar as a potential strategy for contaminated sediment management is also discussed, especially as regards in-situ planning. Finally, we highlight the possibility of biochar application as an effective amendment and propose further research directions to ensure the safe and sustainable use of biochar as an amendment for remediation of contaminated soil and sediment.","author":[{"dropping-particle":"","family":"Wang","given":"Mingming","non-dropping-particle":"","parse-names":false,"suffix":""},{"dropping-particle":"","family":"Zhu","given":"Yi","non-dropping-particle":"","parse-names":false,"suffix":""},{"dropping-particle":"","family":"Cheng","given":"Lirong","non-dropping-particle":"","parse-names":false,"suffix":""},{"dropping-particle":"","family":"Andserson","given":"Bruce","non-dropping-particle":"","parse-names":false,"suffix":""},{"dropping-particle":"","family":"Zhao","given":"Xiaohui","non-dropping-particle":"","parse-names":false,"suffix":""},{"dropping-particle":"","family":"Wang","given":"Dayang","non-dropping-particle":"","parse-names":false,"suffix":""},{"dropping-particle":"","family":"Ding","given":"Aizhong","non-dropping-particle":"","parse-names":false,"suffix":""}],"container-title":"Journal of Environmental Sciences (China)","id":"ITEM-2","issued":{"date-parts":[["2018","1","1"]]},"page":"156-173","publisher":"Chinese Academy of Sciences","title":"Review on utilization of biochar for metal-contaminated soil and sediment remediation","type":"article-journal","volume":"63"},"uris":["http://www.mendeley.com/documents/?uuid=b79da991-e0cc-3994-82d5-d1bc196064aa"]}],"mendeley":{"formattedCitation":"(Su et al., 2014; M. Wang et al., 2018)","plainTextFormattedCitation":"(Su et al., 2014; M. Wang et al., 2018)","previouslyFormattedCitation":"(Su et al., 2014; M. Wang et al., 2018)"},"properties":{"noteIndex":0},"schema":"https://github.com/citation-style-language/schema/raw/master/csl-citation.json"}</w:instrText>
      </w:r>
      <w:r w:rsidR="00B61794" w:rsidRPr="00216965">
        <w:rPr>
          <w:rFonts w:eastAsia="Times New Roman" w:cs="Times New Roman"/>
          <w:szCs w:val="24"/>
        </w:rPr>
        <w:fldChar w:fldCharType="separate"/>
      </w:r>
      <w:r w:rsidR="00B61794" w:rsidRPr="00216965">
        <w:rPr>
          <w:rFonts w:eastAsia="Times New Roman" w:cs="Times New Roman"/>
          <w:noProof/>
          <w:szCs w:val="24"/>
        </w:rPr>
        <w:t>(Su et al., 2014; M. Wang et al., 2018)</w:t>
      </w:r>
      <w:r w:rsidR="00B61794" w:rsidRPr="00216965">
        <w:rPr>
          <w:rFonts w:eastAsia="Times New Roman" w:cs="Times New Roman"/>
          <w:szCs w:val="24"/>
        </w:rPr>
        <w:fldChar w:fldCharType="end"/>
      </w:r>
      <w:r w:rsidR="00B61794" w:rsidRPr="00216965">
        <w:rPr>
          <w:rFonts w:eastAsia="Times New Roman" w:cs="Times New Roman"/>
          <w:szCs w:val="24"/>
        </w:rPr>
        <w:t>.</w:t>
      </w:r>
      <w:r w:rsidRPr="00216965">
        <w:rPr>
          <w:rFonts w:eastAsia="Times New Roman" w:cs="Times New Roman"/>
          <w:szCs w:val="24"/>
        </w:rPr>
        <w:t xml:space="preserve"> </w:t>
      </w:r>
    </w:p>
    <w:p w14:paraId="171F26C5" w14:textId="641C4CF1"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Of the physico</w:t>
      </w:r>
      <w:r w:rsidR="007B5E51" w:rsidRPr="00216965">
        <w:rPr>
          <w:rFonts w:eastAsia="Times New Roman" w:cs="Times New Roman"/>
          <w:szCs w:val="24"/>
        </w:rPr>
        <w:t xml:space="preserve"> or physico-</w:t>
      </w:r>
      <w:r w:rsidRPr="00216965">
        <w:rPr>
          <w:rFonts w:eastAsia="Times New Roman" w:cs="Times New Roman"/>
          <w:szCs w:val="24"/>
        </w:rPr>
        <w:t xml:space="preserve">chemical methods, the most commonly used are soil replacement, electro-kinetic remediation, soil leaching, thermal desorption, soil washing and adsorption. Between the bioremediation methods commonly used are phytoremediation techniques such as phytostabilization, phytovolatilization and phytoextraction and microbial remediation methods such as microbial leaching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{"citationItems":[{"id":"ITEM-1","itemData":{"DOI":"10.1037/a0036071","ISBN":"22244263","ISSN":"1939-1277","PMID":"95769756","abstract":"Heavy metals in the soil refers to some significant heavy metals of biological toxicity, including mercury (Hg), cadmium (Cd), lead (Pb), chromium (Cr), and arsenic (As), etc. With the development of the global economy, both type and content of heavy metals in the soil caused by human activities have gradually increased in recent years, which have resulted in serious environment deterioration. In present study we compared and analyzed soil contamination of heavy metals in various cities/countries, and reviewed background, impact and remediation methods of soil heavy metal contamination worldwide.","author":[{"dropping-particle":"","family":"Su","given":"Chao","non-dropping-particle":"","parse-names":false,"suffix":""},{"dropping-particle":"","family":"Jiang","given":"LiQin","non-dropping-particle":"","parse-names":false,"suffix":""},{"dropping-particle":"","family":"Zhang","given":"WenJun","non-dropping-particle":"","parse-names":false,"suffix":""}],"container-title":"Environmental Skeptics and Critics","id":"ITEM-1","issue":"2","issued":{"date-parts":[["2014"]]},"page":"24-38","title":"A review on heavy metal contamination in the soil worldwide: Situation, impact and remediation techniques","type":"article-journal","volume":"3"},"uris":["http://www.mendeley.com/documents/?uuid=5dcca45e-40a9-4d03-8ac4-023dceaf84af"]},{"id":"ITEM-2","itemData":{"DOI":"10.1016/j.proenv.2012.10.099","ISSN":"1878-0296","abstract":"The environmental safety of soil has become severe in China with the boost of industrialization and urbanization. In this paper, on the basis of investigating the status of soil contaminated in China, the remediation technologies of soil contaminated by heavy metals, including physical remediation, chemical remediation and biological remediation were focused. The mechanisms of remediation, strengths and drawbacks, developing trend were reviewed in order to supply reference to the study in this field.","author":[{"dropping-particle":"","family":"Yao","given":"Zhitong","non-dropping-particle":"","parse-names":false,"suffix":""},{"dropping-particle":"","family":"Li","given":"Jinhui","non-dropping-particle":"","parse-names":false,"suffix":""},{"dropping-particle":"","family":"Xie","given":"Henghua","non-dropping-particle":"","parse-names":false,"suffix":""},{"dropping-particle":"","family":"Yu","given":"Conghai","non-dropping-particle":"","parse-names":false,"suffix":""}],"container-title":"Procedia Environmental Sciences","id":"ITEM-2","issued":{"date-parts":[["2012"]]},"page":"722-729","title":"Review on remediation technologies of soil contaminated by heavy metals","type":"article-journal","volume":"16"},"uris":["http://www.mendeley.com/documents/?uuid=a2b2bd27-1808-3ff0-8bbe-65b1112ec9ae"]}],"mendeley":{"formattedCitation":"(Su et al., 2014; Yao et al., 2012)","plainTextFormattedCitation":"(Su et al., 2014; Yao et al., 2012)","previouslyFormattedCitation":"(Su et al., 2014; Yao et al., 2012)"},"properties":{"noteIndex":0},"schema":"https://github.com/citation-style-language/schema/raw/master/csl-citation.json"}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(Su et al., 2014; Yao et al., 2012)</w:t>
      </w:r>
      <w:r w:rsidRPr="00216965">
        <w:rPr>
          <w:rFonts w:eastAsia="Times New Roman" w:cs="Times New Roman"/>
          <w:szCs w:val="24"/>
        </w:rPr>
        <w:fldChar w:fldCharType="end"/>
      </w:r>
      <w:r w:rsidRPr="00216965">
        <w:rPr>
          <w:rFonts w:eastAsia="Times New Roman" w:cs="Times New Roman"/>
          <w:szCs w:val="24"/>
        </w:rPr>
        <w:t xml:space="preserve">. The key factors determining the application and selection of such technologies are cost, long-term effectiveness, commercial availability, general acceptance, the abundance of target metal concentrations, type of heavy metal, and physicochemical properties of the pollutant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{"citationItems":[{"id":"ITEM-1","itemData":{"DOI":"10.1007/s10653-017-9964-z","abstract":"The major frequent contaminants in soil are heavy metals which may be responsible for detrimental health effects. The remediation of heavy metals in contaminated soils is considered as one of the most complicated tasks. Among different tech-nologies, in situ immobilization of metals has received a great deal of attention and turned out to be a promising solution for soil remediation. In this review, remediation methods for removal of heavy metals in soil are explored with an emphasis on the in situ immobilization technique of metal(loid)s. Besides, the immobilization technique in contaminated soils is evaluated through the manipulation of the bioavail-ability of heavy metals using a range of soil amend-ment conditions. This technique is expected to efficiently alleviate the risk of groundwater contam-ination, plant uptake, and exposure to other living organisms. The efficacy of several amendments (e.g., red mud, biochar, phosphate rock) has been examined to emphasize the need for the simultaneous measure-ment of leaching and the phytoavailability of heavy metals. In addition, some amendments that are used in this technique are inexpensive and readily available in large quantities because they have been derived from bio-products or industrial by-products (e.g., biochar, red mud, and steel slag). Among different amend-ments, iron-rich compounds and biochars show high efficiency to remediate multi-metal contaminated soils. Thereupon, immobilization technique can be considered a preferable option as it is inexpensive and easily applicable to large quantities of contaminants derived from various sources.","author":[{"dropping-particle":"","family":"Derakhshan","given":"Zahra","non-dropping-particle":"","parse-names":false,"suffix":""},{"dropping-particle":"","family":"Chae","given":"Myung","non-dropping-particle":"","parse-names":false,"suffix":""},{"dropping-particle":"","family":"Ki-Hyun","given":"Kim","non-dropping-particle":"","parse-names":false,"suffix":""}],"container-title":"Environmental Geochemistry and Health","id":"ITEM-1","issued":{"date-parts":[["2017"]]},"title":"Remediation of soils contaminated with heavy metals with an emphasis on immobilization technology","type":"article-journal"},"uris":["http://www.mendeley.com/documents/?uuid=807b718e-beed-3aa5-aad4-942c59374ff5"]}],"mendeley":{"formattedCitation":"(Derakhshan et al., 2017)","plainTextFormattedCitation":"(Derakhshan et al., 2017)","previouslyFormattedCitation":"(Derakhshan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(Derakhshan et al., 2017)</w:t>
      </w:r>
      <w:r w:rsidRPr="00216965">
        <w:rPr>
          <w:rFonts w:eastAsia="Times New Roman" w:cs="Times New Roman"/>
          <w:szCs w:val="24"/>
        </w:rPr>
        <w:fldChar w:fldCharType="end"/>
      </w:r>
      <w:r w:rsidRPr="00216965">
        <w:rPr>
          <w:rFonts w:eastAsia="Times New Roman" w:cs="Times New Roman"/>
          <w:szCs w:val="24"/>
        </w:rPr>
        <w:t>.</w:t>
      </w:r>
    </w:p>
    <w:p w14:paraId="211F23BE" w14:textId="0028D10F"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spite of the broad range of available remediation options, conventional treatment methods have limitations. </w:t>
      </w:r>
      <w:r w:rsidR="007B3981" w:rsidRPr="00216965">
        <w:rPr>
          <w:rFonts w:eastAsia="Times New Roman" w:cs="Times New Roman"/>
          <w:szCs w:val="24"/>
        </w:rPr>
        <w:t xml:space="preserve">For example, high costs and process complexity have limited the use of some physico-chemical methods in </w:t>
      </w:r>
      <w:r w:rsidR="008C755F" w:rsidRPr="00216965">
        <w:rPr>
          <w:rFonts w:eastAsia="Times New Roman" w:cs="Times New Roman"/>
          <w:szCs w:val="24"/>
        </w:rPr>
        <w:t xml:space="preserve">the </w:t>
      </w:r>
      <w:r w:rsidR="007B3981" w:rsidRPr="00216965">
        <w:rPr>
          <w:rFonts w:eastAsia="Times New Roman" w:cs="Times New Roman"/>
          <w:szCs w:val="24"/>
        </w:rPr>
        <w:t xml:space="preserve">immobilization or removal </w:t>
      </w:r>
      <w:r w:rsidR="008C755F" w:rsidRPr="00216965">
        <w:rPr>
          <w:rFonts w:eastAsia="Times New Roman" w:cs="Times New Roman"/>
          <w:szCs w:val="24"/>
        </w:rPr>
        <w:t xml:space="preserve">of HM </w:t>
      </w:r>
      <w:r w:rsidR="007B3981" w:rsidRPr="00216965">
        <w:rPr>
          <w:rFonts w:eastAsia="Times New Roman" w:cs="Times New Roman"/>
          <w:szCs w:val="24"/>
        </w:rPr>
        <w:t>from soil</w:t>
      </w:r>
      <w:r w:rsidR="008C755F" w:rsidRPr="00216965">
        <w:rPr>
          <w:rFonts w:eastAsia="Times New Roman" w:cs="Times New Roman"/>
          <w:szCs w:val="24"/>
        </w:rPr>
        <w:t xml:space="preserve"> </w:t>
      </w:r>
      <w:r w:rsidR="008C755F"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{"citationItems":[{"id":"ITEM-1","itemData":{"DOI":"10.3390/su7022189","ISSN":"2071-1050","abstract":"Heavy metals are natural constituents of the environment, but indiscriminate use for human purposes has altered their geochemical cycles and biochemical balance. This results in excess release of heavy metals such as cadmium, copper, lead, nickel, zinc etc. into natural resources like the soil and aquatic environments. Prolonged exposure and higher accumulation of such heavy metals can have deleterious health effects on human life and aquatic biota. The role of microorganisms and plants in biotransformation of heavy metals into nontoxic forms is well-documented, and understanding the molecular mechanism of metal accumulation has numerous biotechnological implications for bioremediation of OPEN ACCESS Sustainability 2015, 7 2190 metal-contaminated sites. In view of this, the present review investigates the abilities of microorganisms and plants in terms of tolerance and degradation of heavy metals. Also, advances in bioremediation technologies and strategies to explore these immense and valuable biological resources for bioremediation are discussed. An assessment of the current status of technology deployment and suggestions for future bioremediation research has also been included. Finally, there is a discussion of the genetic and molecular basis of metal tolerance in microbes, with special reference to the genomics of heavy metal accumulator plants and the identification of functional genes involved in tolerance and detoxification.","author":[{"dropping-particle":"","family":"Dixit","given":"Ruchita","non-dropping-particle":"","parse-names":false,"suffix":""},{"dropping-particle":"","family":"Malaviya","given":"Deepti","non-dropping-particle":"","parse-names":false,"suffix":""},{"dropping-particle":"","family":"Pandiyan","given":"Kuppusamy","non-dropping-particle":"","parse-names":false,"suffix":""},{"dropping-particle":"","family":"Singh","given":"Udai B","non-dropping-particle":"","parse-names":false,"suffix":""},{"dropping-particle":"","family":"Sahu","given":"Asha","non-dropping-particle":"","parse-names":false,"suffix":""},{"dropping-particle":"","family":"Shukla","given":"Renu","non-dropping-particle":"","parse-names":false,"suffix":""},{"dropping-particle":"","family":"Singh","given":"Bhanu P","non-dropping-particle":"","parse-names":false,"suffix":""},{"dropping-particle":"","family":"Rai","given":"Jai P","non-dropping-particle":"","parse-names":false,"suffix":""},{"dropping-particle":"","family":"Kumar Sharma","given":"Pawan","non-dropping-particle":"","parse-names":false,"suffix":""},{"dropping-particle":"","family":"Lade","given":"Harshad","non-dropping-particle":"","parse-names":false,"suffix":""},{"dropping-particle":"","family":"Paul","given":"Diby","non-dropping-particle":"","parse-names":false,"suffix":""}],"container-title":"Sustainability","id":"ITEM-1","issued":{"date-parts":[["2015"]]},"page":"2189-2212","title":"Bioremediation of heavy metals from soil and aquatic environment: An overview of principles and criteria of fundamental processes","type":"article-journal","volume":"7"},"uris":["http://www.mendeley.com/documents/?uuid=740de46e-89b6-3197-afa9-0880d7ac040c"]}],"mendeley":{"formattedCitation":"(Dixit et al., 2015)","plainTextFormattedCitation":"(Dixit et al., 2015)","previouslyFormattedCitation":"(Dixit et al., 2015)"},"properties":{"noteIndex":0},"schema":"https://github.com/citation-style-language/schema/raw/master/csl-citation.json"}</w:instrText>
      </w:r>
      <w:r w:rsidR="008C755F" w:rsidRPr="00216965">
        <w:rPr>
          <w:rFonts w:eastAsia="Times New Roman" w:cs="Times New Roman"/>
          <w:szCs w:val="24"/>
        </w:rPr>
        <w:fldChar w:fldCharType="separate"/>
      </w:r>
      <w:r w:rsidR="00C83E62" w:rsidRPr="00216965">
        <w:rPr>
          <w:rFonts w:eastAsia="Times New Roman" w:cs="Times New Roman"/>
          <w:noProof/>
          <w:szCs w:val="24"/>
        </w:rPr>
        <w:t>(Dixit et al., 2015)</w:t>
      </w:r>
      <w:r w:rsidR="008C755F" w:rsidRPr="00216965">
        <w:rPr>
          <w:rFonts w:eastAsia="Times New Roman" w:cs="Times New Roman"/>
          <w:szCs w:val="24"/>
        </w:rPr>
        <w:fldChar w:fldCharType="end"/>
      </w:r>
      <w:r w:rsidR="007B3981" w:rsidRPr="00216965">
        <w:rPr>
          <w:rFonts w:eastAsia="Times New Roman" w:cs="Times New Roman"/>
          <w:szCs w:val="24"/>
        </w:rPr>
        <w:t xml:space="preserve">. </w:t>
      </w:r>
      <w:r w:rsidRPr="00216965">
        <w:rPr>
          <w:rFonts w:eastAsia="Times New Roman" w:cs="Times New Roman"/>
          <w:szCs w:val="24"/>
        </w:rPr>
        <w:t xml:space="preserve">For these reasons, </w:t>
      </w:r>
      <w:r w:rsidRPr="00216965">
        <w:rPr>
          <w:rFonts w:eastAsia="Times New Roman" w:cs="Times New Roman"/>
          <w:i/>
          <w:szCs w:val="24"/>
        </w:rPr>
        <w:t>in situ</w:t>
      </w:r>
      <w:r w:rsidRPr="00216965">
        <w:rPr>
          <w:rFonts w:eastAsia="Times New Roman" w:cs="Times New Roman"/>
          <w:szCs w:val="24"/>
        </w:rPr>
        <w:t xml:space="preserve"> chemical stabilisation by the addition of amendments has been considered the most suitable alternative for treating heavy metal-polluted soils </w:t>
      </w:r>
      <w:bookmarkStart w:id="63" w:name="_Hlk86514261"/>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{"citationItems":[{"id":"ITEM-1","itemData":{"DOI":"10.1016/j.soilbio.2005.05.010","abstract":"We studied the effects of in situ remediation of a heavy metal (HM) contaminated soil on some soil chemical properties, microbial function and microbial structural diversity after 18 months. The experiment was carried out at semifield scale in containers filled with HM contaminated soil from the Aznalcóllar mine accident (Southern Spain, 1998). The remediation measures consisted of the application of different amendments and/or establishment of a plant cover (Agrostis stolonifera L.). Seven treatments were established: four organic treatments (municipal waste compost (MWC), biosolid compost (BC), leonardite (LEO) and litter (LIT)), one inorganic treatment (sugar beet lime (SL)) and two controls (control with plant cover (CTRP) and control without plant cover (CTR)). Several soil chemical (pH, soluble HM, total organic C (TOC), water-soluble C (WSC) and available-P) and biochemical properties (microbial biomass C (MBC), MBC/TOC ratio and enzyme activities) were determined. Microbial community structure was studied by means of ARDRA (amplified ribosomal DNA restriction analysis). The SL, MWC and BC treatments were the most efficient to raise soil pH and decrease soluble HM concentrations. Total organic C was increased in the organic treatments by 2 to 4-fold, whereas water-soluble C was statistically similar in the CTRP, SL and the organic treatments, probably due to the presence of a root system in all these treatments. Available-P was also increased in the BC, SL and MWC treatments due to the higher P content of the amendments applied in these treatments. Soil microbial function was generally enhanced in the amended and CTRP treatments. The MWC, BC and SL treatments were particularly efficient to increase microbial biomass C, the MBC/TOC ratio and the dehydrogenase and aryl-sulphatase enzyme activities. These results could be attributed to the amelioration of some of the soil chemical properties: increase in soil pH and water-soluble C and decrease of HM soluble concentrations. ARDRA analyses showed changes in structural diversity in both the bacterial and fungal community under the different treatments. Fingerprinting patterns of the 16S rDNA obtained with Hinf-I and of the 18S rDNA with Hpa-II revealed higher similarity percentages among samples from the same treatment compared with samples from the other treatments. In addition, a higher similarity was found between samples from all treatments under the Agrostis influence. The use of certain amendmen…","author":[{"dropping-particle":"","family":"Pérez-De-Mora","given":"Alfredo","non-dropping-particle":"","parse-names":false,"suffix":""},{"dropping-particle":"","family":"Burgos","given":"Pilar","non-dropping-particle":"","parse-names":false,"suffix":""},{"dropping-particle":"","family":"Madejón","given":"Engracia","non-dropping-particle":"","parse-names":false,"suffix":""},{"dropping-particle":"","family":"Cabrera","given":"Francisco","non-dropping-particle":"","parse-names":false,"suffix":""},{"dropping-particle":"","family":"Jaeckel","given":"Petra","non-dropping-particle":"","parse-names":false,"suffix":""},{"dropping-particle":"","family":"Schloter","given":"Michael","non-dropping-particle":"","parse-names":false,"suffix":""}],"container-title":"Soil Biology and Biochemistry","id":"ITEM-1","issued":{"date-parts":[["2006"]]},"page":"327-341","title":"Microbial community structure and function in a soil contaminated by heavy metals: effects of plant growth and different amendments","type":"article-journal","volume":"38"},"uris":["http://www.mendeley.com/documents/?uuid=6a531a14-8c38-3bf7-a36d-00ec1a7e660a"]},{"id":"ITEM-2","itemData":{"DOI":"10.1016/j.jenvman.2015.05.036","ISSN":"10958630","PMID":"26048395","abstract":"Heavy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Management","id":"ITEM-2","issued":{"date-parts":[["2015"]]},"page":"86-93","publisher":"Elsevier Ltd","title":"Biochar application to a contaminated soil reduces the availability and plant uptake of zinc, lead and cadmium","type":"article-journal","volume":"159"},"uris":["http://www.mendeley.com/documents/?uuid=d81a5f4f-09c2-480c-8ac8-2c21cb1ed496"]},{"id":"ITEM-3","itemData":{"DOI":"10.1007/s11356-016-7250-8","ISSN":"16147499","abstract":"Remediation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Research","id":"ITEM-3","issue":"20","issued":{"date-parts":[["2016"]]},"page":"20619-20627","publisher":"Environmental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properties","type":"article-journal","volume":"23"},"uris":["http://www.mendeley.com/documents/?uuid=4f6b4466-61da-4665-bb63-c0b88ebc42c0"]}],"mendeley":{"formattedCitation":"(Pérez-De-Mora et al., 2006; Puga et al., 2015a; Venegas et al., 2016)","plainTextFormattedCitation":"(Pérez-De-Mora et al., 2006; Puga et al., 2015a; Venegas et al., 2016)","previouslyFormattedCitation":"(Pérez-De-Mora et al., 2006; Puga et al., 2015a; Venegas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(Pérez-De-Mora et al., 2006; Puga et al., 2015a; Venegas et al., 2016)</w:t>
      </w:r>
      <w:r w:rsidRPr="00216965">
        <w:rPr>
          <w:rFonts w:eastAsia="Times New Roman" w:cs="Times New Roman"/>
          <w:szCs w:val="24"/>
        </w:rPr>
        <w:fldChar w:fldCharType="end"/>
      </w:r>
      <w:r w:rsidRPr="00216965">
        <w:rPr>
          <w:rFonts w:eastAsia="Times New Roman" w:cs="Times New Roman"/>
          <w:szCs w:val="24"/>
        </w:rPr>
        <w:t xml:space="preserve">. </w:t>
      </w:r>
      <w:bookmarkEnd w:id="63"/>
      <w:r w:rsidRPr="00216965">
        <w:rPr>
          <w:rFonts w:eastAsia="Times New Roman" w:cs="Times New Roman"/>
          <w:szCs w:val="24"/>
        </w:rPr>
        <w:t xml:space="preserve">The most commonly used amendments can be either inorganic compounds (e.g. lime, phosphate minerals, Al and Fe oxides) or organic compounds, including biosolids, animal manure, peat, compost and, more recently, biochar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soil","type":"article-journal","volume":"39"},"uris":["http://www.mendeley.com/documents/?uuid=11a55112-223f-38f1-b45d-89e3281424c5"]},{"id":"ITEM-2","itemData":{"DOI":"10.1016/j.jenvman.2016.12.041","ISSN":"10958630","abstract":"Residual soil pollution from the Aznalcóllar mine spill is still a problem in some parts of the affected area, today converted in the Guadiamar Green Corridor. Dispersed spots of polluted soils, identified by the absence of vegetation, are characterized by soil acid pH and high concentrations of As, Pb, Cu and Zn. Ex situ remediation techniques were performed with unrecovered soil samples. Landfarming, Composting and Biopiles techniques were tested in order to immobilize pollutants, to improve soil properties and to promote vegetation recovery. The effectiveness of these techniques was assessed by toxicity bioassays: Lactuca sativa L. root elongation test, Vibrio fischeri bioluminescence reduction test, soil induced respiration test, and Eisenia andrei survival and metal bioaccumulation tests. Landfarming and Composting were not effective techniques, mainly due to the poor improvement of soil properties which maintained high soluble concentrations of Zn and Cu after treatments. Biopile technique, using adjacent recovered soils in the area, was the most effective action in the reduction of soil toxicity; the improvement of soil properties and the reduction in pollutants solubility were key to improve the response of the tested organisms. Therefore, the mixture of recovered soils with polluted soils in the areas affected by residual contamination is considered a more suitable technique to reduce the residual pollution and to promote the complete soil recovery in the Guadiamar Green Corridor.","author":[{"dropping-particle":"","family":"García-Carmona","given":"M.","non-dropping-particle":"","parse-names":false,"suffix":""},{"dropping-particle":"","family":"Romero-Freire","given":"A.","non-dropping-particle":"","parse-names":false,"suffix":""},{"dropping-particle":"","family":"Sierra Aragón","given":"M.","non-dropping-particle":"","parse-names":false,"suffix":""},{"dropping-particle":"","family":"Martínez Garzón","given":"F. J.","non-dropping-particle":"","parse-names":false,"suffix":""},{"dropping-particle":"","family":"Martín Peinado","given":"F. J.","non-dropping-particle":"","parse-names":false,"suffix":""}],"container-title":"Journal of Environmental Management","id":"ITEM-2","issued":{"date-parts":[["2017"]]},"page":"228-236","title":"Evaluation of remediation techniques in soils affected by residual contamination with heavy metals and arsenic","type":"article-journal","volume":"191"},"uris":["http://www.mendeley.com/documents/?uuid=c90c3616-8104-4a40-9ff8-5673562050a0"]},{"id":"ITEM-3","itemData":{"DOI":"10.1016/j.jhazmat.2010.09.082","abstract":"a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Materials","id":"ITEM-3","issued":{"date-parts":[["2011"]]},"page":"549-574","title":"Role of organic amendments on enhanced bioremediation of heavy metal(loid) contaminated soils","type":"article-journal","volume":"185"},"uris":["http://www.mendeley.com/documents/?uuid=057ae436-4376-3486-a8cd-3e21b8c989a9"]}],"mendeley":{"formattedCitation":"(Bandara et al., 2017; García-Carmona et al., 2017; Park et al., 2011b)","plainTextFormattedCitation":"(Bandara et al., 2017; García-Carmona et al., 2017; Park et al., 2011b)","previouslyFormattedCitation":"(Bandara et al., 2017; García-Carmona et al., 2017; Park et al., 2011b)"},"properties":{"noteIndex":0},"schema":"https://github.com/citation-style-language/schema/raw/master/csl-citation.json"}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(Bandara et al., 2017; García-Carmona et al., 2017; Park et al., 2011b)</w:t>
      </w:r>
      <w:r w:rsidRPr="00216965">
        <w:rPr>
          <w:rFonts w:eastAsia="Times New Roman" w:cs="Times New Roman"/>
          <w:szCs w:val="24"/>
        </w:rPr>
        <w:fldChar w:fldCharType="end"/>
      </w:r>
      <w:r w:rsidRPr="00216965">
        <w:rPr>
          <w:rFonts w:eastAsia="Times New Roman" w:cs="Times New Roman"/>
          <w:szCs w:val="24"/>
        </w:rPr>
        <w:t>.</w:t>
      </w:r>
    </w:p>
    <w:p w14:paraId="42AAF123" w14:textId="265B21EA"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lastRenderedPageBreak/>
        <w:t xml:space="preserve">Amendments derived from organic wastes are promising candidates for heavy metal immobilization. They can regulate soil pH and provide specific sorption sites for heavy metal binding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Research","id":"ITEM-1","issue":"20","issued":{"date-parts":[["2016"]]},"page":"20619-20627","publisher":"Environmental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properties","type":"article-journal","volume":"23"},"uris":["http://www.mendeley.com/documents/?uuid=4f6b4466-61da-4665-bb63-c0b88ebc42c0"]}],"mendeley":{"formattedCitation":"(Venegas et al., 2016)","plainTextFormattedCitation":"(Venegas et al., 2016)","previouslyFormattedCitation":"(Venegas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(Venegas et al., 2016)</w:t>
      </w:r>
      <w:r w:rsidRPr="00216965">
        <w:rPr>
          <w:rFonts w:eastAsia="Times New Roman" w:cs="Times New Roman"/>
          <w:szCs w:val="24"/>
        </w:rPr>
        <w:fldChar w:fldCharType="end"/>
      </w:r>
      <w:r w:rsidRPr="00216965">
        <w:rPr>
          <w:rFonts w:eastAsia="Times New Roman" w:cs="Times New Roman"/>
          <w:szCs w:val="24"/>
        </w:rPr>
        <w:t xml:space="preserve">, but also contribute nutrients to improve the soil condition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ryegrass","type":"article-journal","volume":"191"},"uris":["http://www.mendeley.com/documents/?uuid=2e021c3e-c811-4cdf-b456-4f53f6ef7853"]}],"mendeley":{"formattedCitation":"(Karami et al., 2011)","plainTextFormattedCitation":"(Karami et al., 2011)","previouslyFormattedCitation":"(Karami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(Karami et al., 2011)</w:t>
      </w:r>
      <w:r w:rsidRPr="00216965">
        <w:rPr>
          <w:rFonts w:eastAsia="Times New Roman" w:cs="Times New Roman"/>
          <w:szCs w:val="24"/>
        </w:rPr>
        <w:fldChar w:fldCharType="end"/>
      </w:r>
      <w:r w:rsidRPr="00216965">
        <w:rPr>
          <w:rFonts w:eastAsia="Times New Roman" w:cs="Times New Roman"/>
          <w:szCs w:val="24"/>
        </w:rPr>
        <w:t xml:space="preserve">. The advantages of these amendments are that they encourage recycling of biomass wastes, are inexpensive and readily available in large quantities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{"citationItems":[{"id":"ITEM-1","itemData":{"DOI":"10.1007/s10653-017-9964-z","abstract":"The major frequent contaminants in soil are heavy metals which may be responsible for detrimental health effects. The remediation of heavy metals in contaminated soils is considered as one of the most complicated tasks. Among different tech-nologies, in situ immobilization of metals has received a great deal of attention and turned out to be a promising solution for soil remediation. In this review, remediation methods for removal of heavy metals in soil are explored with an emphasis on the in situ immobilization technique of metal(loid)s. Besides, the immobilization technique in contaminated soils is evaluated through the manipulation of the bioavail-ability of heavy metals using a range of soil amend-ment conditions. This technique is expected to efficiently alleviate the risk of groundwater contam-ination, plant uptake, and exposure to other living organisms. The efficacy of several amendments (e.g., red mud, biochar, phosphate rock) has been examined to emphasize the need for the simultaneous measure-ment of leaching and the phytoavailability of heavy metals. In addition, some amendments that are used in this technique are inexpensive and readily available in large quantities because they have been derived from bio-products or industrial by-products (e.g., biochar, red mud, and steel slag). Among different amend-ments, iron-rich compounds and biochars show high efficiency to remediate multi-metal contaminated soils. Thereupon, immobilization technique can be considered a preferable option as it is inexpensive and easily applicable to large quantities of contaminants derived from various sources.","author":[{"dropping-particle":"","family":"Derakhshan","given":"Zahra","non-dropping-particle":"","parse-names":false,"suffix":""},{"dropping-particle":"","family":"Chae","given":"Myung","non-dropping-particle":"","parse-names":false,"suffix":""},{"dropping-particle":"","family":"Ki-Hyun","given":"Kim","non-dropping-particle":"","parse-names":false,"suffix":""}],"container-title":"Environmental Geochemistry and Health","id":"ITEM-1","issued":{"date-parts":[["2017"]]},"title":"Remediation of soils contaminated with heavy metals with an emphasis on immobilization technology","type":"article-journal"},"uris":["http://www.mendeley.com/documents/?uuid=807b718e-beed-3aa5-aad4-942c59374ff5"]}],"mendeley":{"formattedCitation":"(Derakhshan et al., 2017)","plainTextFormattedCitation":"(Derakhshan et al., 2017)","previouslyFormattedCitation":"(Derakhshan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(Derakhshan et al., 2017)</w:t>
      </w:r>
      <w:r w:rsidRPr="00216965">
        <w:rPr>
          <w:rFonts w:eastAsia="Times New Roman" w:cs="Times New Roman"/>
          <w:szCs w:val="24"/>
        </w:rPr>
        <w:fldChar w:fldCharType="end"/>
      </w:r>
      <w:r w:rsidRPr="00216965">
        <w:rPr>
          <w:rFonts w:eastAsia="Times New Roman" w:cs="Times New Roman"/>
          <w:szCs w:val="24"/>
        </w:rPr>
        <w:t xml:space="preserve">. These materials can reduce the mobility of heavy metals due to various immobilizing mechanisms, which can decrease metal bioavailability in polluted soils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Materials","id":"ITEM-1","issued":{"date-parts":[["2011"]]},"page":"549-574","title":"Role of organic amendments on enhanced bioremediation of heavy metal(loid) contaminated soils","type":"article-journal","volume":"185"},"uris":["http://www.mendeley.com/documents/?uuid=057ae436-4376-3486-a8cd-3e21b8c989a9"]}],"mendeley":{"formattedCitation":"(Park et al., 2011b)","plainTextFormattedCitation":"(Park et al., 2011b)","previouslyFormattedCitation":"(Park et al., 2011b)"},"properties":{"noteIndex":0},"schema":"https://github.com/citation-style-language/schema/raw/master/csl-citation.json"}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(Park et al., 2011b)</w:t>
      </w:r>
      <w:r w:rsidRPr="00216965">
        <w:rPr>
          <w:rFonts w:eastAsia="Times New Roman" w:cs="Times New Roman"/>
          <w:szCs w:val="24"/>
        </w:rPr>
        <w:fldChar w:fldCharType="end"/>
      </w:r>
      <w:r w:rsidRPr="00216965">
        <w:rPr>
          <w:rFonts w:eastAsia="Times New Roman" w:cs="Times New Roman"/>
          <w:szCs w:val="24"/>
        </w:rPr>
        <w:t xml:space="preserve">. </w:t>
      </w:r>
    </w:p>
    <w:p w14:paraId="32F19FA3" w14:textId="77777777" w:rsidR="00632101" w:rsidRPr="00216965" w:rsidRDefault="00632101" w:rsidP="008A33DA">
      <w:pPr>
        <w:pStyle w:val="Heading2"/>
      </w:pPr>
      <w:bookmarkStart w:id="64" w:name="_heading=h.4d34og8" w:colFirst="0" w:colLast="0"/>
      <w:bookmarkStart w:id="65" w:name="_Toc86504635"/>
      <w:bookmarkEnd w:id="64"/>
      <w:r w:rsidRPr="00216965">
        <w:t>Biochar</w:t>
      </w:r>
      <w:bookmarkEnd w:id="65"/>
      <w:r w:rsidRPr="00216965">
        <w:t xml:space="preserve"> </w:t>
      </w:r>
    </w:p>
    <w:p w14:paraId="3732C37A" w14:textId="3E0D8863"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Biochar is a black carbon compound obtained by a thermal degradation process (pyrolysis), in which residual biomass is treated under oxygen-limited conditions at temperatures ranging from 300ᵒC to 700ᵒC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{"citationItems":[{"id":"ITEM-1","itemData":{"DOI":"10.1016/j.biortech.2016.04.043","ISSN":"18732976","abstract":"Biochar samples were generated by low temperature pyrolysis of different types of waste. The physicochemical characteristics of the different types of biochar affected the copper retention capacity, by determining the main mechanism involved. The capacity of the biochar to retain copper present in solution depended on the size of the inorganic fraction and varied in the following order: rice biochar &gt; chicken manure biochar &gt; olive mill waste biochar &gt; acacia biochar &gt; eucalyptus biochar &gt; corn cob biochar. The distribution of copper between the forms bound to solid biochar, dissolved organic matter and free organic matter in solution also depended on the starting material. However, the effect of pH on the adsorption capacity was independent of the nature of the starting material, and the copper retention of all types of biochar increased with pH.","author":[{"dropping-particle":"","family":"Arán","given":"Diego","non-dropping-particle":"","parse-names":false,"suffix":""},{"dropping-particle":"","family":"Antelo","given":"Juan","non-dropping-particle":"","parse-names":false,"suffix":""},{"dropping-particle":"","family":"Fiol","given":"Sarah","non-dropping-particle":"","parse-names":false,"suffix":""},{"dropping-particle":"","family":"Macías","given":"Felipe","non-dropping-particle":"","parse-names":false,"suffix":""}],"container-title":"Bioresource Technology","id":"ITEM-1","issued":{"date-parts":[["2016"]]},"page":"199-206","title":"Influence of feedstock on the copper removal capacity of waste-derived biochars","type":"article-journal","volume":"212"},"uris":["http://www.mendeley.com/documents/?uuid=4f5b7490-9f9e-4356-ae9e-12dffde4a3a6"]},{"id":"ITEM-2","itemData":{"DOI":"10.1016/j.soilbio.2011.04.022","ISBN":"0038-0717","ISSN":"00380717","abstract":"Soil amendment with biochar is evaluated globally as a means to improve soil fertility and to mitigate climate change. However, the effects of biochar on soil biota have received much less attention than its effects on soil chemical properties. A review of the literature reveals a significant number of early studies on biochar-type materials as soil amendments either for managing pathogens, as inoculant carriers or for manipulative experiments to sorb signaling compounds or toxins. However, no studies exist in the soil biology literature that recognize the observed large variations of biochar physico-chemical properties. This shortcoming has hampered insight into mechanisms by which biochar influences soil microorganisms, fauna and plant roots. Additional factors limiting meaningful interpretation of many datasets are the clearly demonstrated sorption properties that interfere with standard extraction procedures for soil microbial biomass or enzyme assays, and the confounding effects of varying amounts of minerals. In most studies, microbial biomass has been found to increase as a result of biochar additions, with significant changes in microbial community composition and enzyme activities that may explain biogeochemical effects of biochar on element cycles, plant pathogens, and crop growth. Yet, very little is known about the mechanisms through which biochar affects microbial abundance and community composition. The effects of biochar on soil fauna are even less understood than its effects on microorganisms, apart from several notable studies on earthworms. It is clear, however, that sorption phenomena, pH and physical properties of biochars such as pore structure, surface area and mineral matter play important roles in determining how different biochars affect soil biota. Observations on microbial dynamics lead to the conclusion of a possible improved resource use due to co-location of various resources in and around biochars. Sorption and thereby inactivation of growth-inhibiting substances likely plays a role for increased abundance of soil biota. No evidence exists so far for direct negative effects of biochars on plant roots. Occasionally observed decreases in abundance of mycorrhizal fungi are likely caused by concomitant increases in nutrient availability, reducing the need for symbionts. In the short term, the release of a variety of organic molecules from fresh biochar may in some cases be responsible for increases or decreases in abundance an…","author":[{"dropping-particle":"","family":"Lehmann","given":"Johannes","non-dropping-particle":"","parse-names":false,"suffix":""},{"dropping-particle":"","family":"Rillig","given":"Matthias C.","non-dropping-particle":"","parse-names":false,"suffix":""},{"dropping-particle":"","family":"Thies","given":"Janice","non-dropping-particle":"","parse-names":false,"suffix":""},{"dropping-particle":"","family":"Masiello","given":"Caroline A.","non-dropping-particle":"","parse-names":false,"suffix":""},{"dropping-particle":"","family":"Hockaday","given":"William C.","non-dropping-particle":"","parse-names":false,"suffix":""},{"dropping-particle":"","family":"Crowley","given":"David","non-dropping-particle":"","parse-names":false,"suffix":""}],"container-title":"Soil Biology and Biochemistry","id":"ITEM-2","issue":"9","issued":{"date-parts":[["2011"]]},"page":"1812-1836","publisher":"Elsevier Ltd","title":"Biochar effects on soil biota - A review","type":"article-journal","volume":"43"},"uris":["http://www.mendeley.com/documents/?uuid=e9ca3f98-8360-4ad5-8c89-4fe971a27f54"]},{"id":"ITEM-3","itemData":{"DOI":"10.1016/j.biortech.2015.08.129","ISBN":"0960-8524","ISSN":"18732976","PMID":"26364228","abstract":"The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Technology","id":"ITEM-3","issued":{"date-parts":[["2015"]]},"page":"55-62","publisher":"Elsevier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study","type":"article-journal","volume":"198"},"uris":["http://www.mendeley.com/documents/?uuid=b0f2ca34-a163-46bf-bfad-c9c01a62c411"]},{"id":"ITEM-4","itemData":{"DOI":"10.1016/B978-0-12-803837-6.00004-4","ISBN":"9780128039069","abstract":"Biochar has created a lot of interest because of its unique properties of sustainable agricultural production and environmental protection. Biochar is known to reduce nitrogen loss from soil in terms of nitrous oxide emission and ammonia volatilization, improve the nutrient retention capacity and structural and chemical properties of soil, and increase plant growth and productivity. Biowaste materials such as biosolids, municipal waste, and paper mill sludge are effective raw materials for biochar production. These materials are rich in nutrient content, and biochar produced using these waste products is highly effective for agricultural production and environmen</w:instrText>
      </w:r>
      <w:r w:rsidR="006C06AA" w:rsidRPr="00216965">
        <w:rPr>
          <w:rFonts w:eastAsia="Times New Roman" w:cs="Times New Roman"/>
          <w:szCs w:val="24"/>
          <w:lang w:val="fr-FR"/>
        </w:rPr>
        <w:instrText>tal remediation.","author":[{"dropping-particle":"","family":"Mandal","given":"S.","non-dropping-particle":"","parse-names":false,"suffix":""},{"dropping-particle":"","family":"Kunhikrishnan","given":"A.","non-dropping-particle":"","parse-names":false,"suffix":""},{"dropping-particle":"","family":"Bolan","given":"N. S.","non-dropping-particle":"","parse-names":false,"suffix":""},{"dropping-particle":"","family":"Wijesekara","given":"H.","non-dropping-particle":"","parse-names":false,"suffix":""},{"dropping-particle":"","family":"Naidu","given":"R.","non-dropping-particle":"","parse-names":false,"suffix":""}],"container-title":"Environmental Materials and Waste: Resource Recovery and Pollution Prevention","id":"ITEM-4","issue":"December","issued":{"date-parts":[["2016"]]},"page":"73-89","title":"Application of biochar produced from biowaste materials for environmental protection and sustainable agriculture production","type":"chapter"},"uris":["http://www.mendeley.com/documents/?uuid=b34913d2-d9ca-4038-a11a-1189c6a5bd99"]}],"mendeley":{"formattedCitation":"(Arán et al., 2016; Lehmann et al., 2011; Liu et al., 2015; Mandal et al., 2016)","plainTextFormattedCitation":"(Arán et al., 2016; Lehmann et al., 2011; Liu et al., 2015; Mandal et al., 2016)","previouslyFormattedCitation":"(Arán et al., 2016; Lehmann et al., 2011; Liu et al., 2015; Mandal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fr-FR"/>
        </w:rPr>
        <w:t>(Arán et al., 2016; Lehmann et al., 2011; Liu et al., 2015; Mandal et al., 2016)</w:t>
      </w:r>
      <w:r w:rsidRPr="00216965">
        <w:rPr>
          <w:rFonts w:eastAsia="Times New Roman" w:cs="Times New Roman"/>
          <w:szCs w:val="24"/>
        </w:rPr>
        <w:fldChar w:fldCharType="end"/>
      </w:r>
      <w:r w:rsidRPr="00216965">
        <w:rPr>
          <w:rFonts w:eastAsia="Times New Roman" w:cs="Times New Roman"/>
          <w:szCs w:val="24"/>
          <w:lang w:val="fr-FR"/>
        </w:rPr>
        <w:t xml:space="preserve">. </w:t>
      </w:r>
      <w:r w:rsidRPr="00216965">
        <w:rPr>
          <w:rFonts w:eastAsia="Times New Roman" w:cs="Times New Roman"/>
          <w:szCs w:val="24"/>
        </w:rPr>
        <w:t xml:space="preserve">It is obtained from a wide variety of feedstock materials, such as grasses, nutshells, wheat straw, wicker, sewage sludge and biosolids, forestry products, animal manures and municipal waste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Science","id":"ITEM-1","issued":{"date-parts":[["2009"]]},"page":"195-206","title":"Characterization of designer biochar produced at different temperatures and their effects on a loamy sand","type":"article-journal","volume":"3"},"uris":["http://www.mendeley.com/documents/?uuid=3c7aa499-9e43-4da0-9234-dbfde814e0c3"]},{"id":"ITEM-2","itemData":{"DOI":"10.1016/j.biortech.2015.08.129","ISBN":"0960-8524","ISSN":"18732976","PMID":"26364228","abstract":"The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Technology","id":"ITEM-2","issued":{"date-parts":[["2015"]]},"page":"55-62","publisher":"Elsevier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study","type":"article-journal","volume":"198"},"uris":["http://www.mendeley.com/documents/?uuid=b0f2ca34-a163-46bf-bfad-c9c01a62c411"]},{"id":"ITEM-3","itemData":{"DOI":"10.1016/j.envpol.2011.07.023","ISBN":"0269-7491","ISSN":"02697491","PMID":"21855187","abstract":"Biochars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Pollution","id":"ITEM-3","issue":"12","issued":{"date-parts":[["2011"]]},"page":"3269-3282","publisher":"Elsevier Ltd","title":"A review of biochars' potential role in the remediation, revegetation and restoration of contaminated soils","type":"article-journal","volume":"159"},"uris":["http://www.mendeley.com/documents/?uuid=3cf5d665-bd14-4c22-a4ff-9a77990dcd3d"]},{"id":"ITEM-4","itemData":{"DOI":"10.1016/j.jenvman.2015.07.056","ISSN":"10958630","PMID":"26265597","abstract":"Biochars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Management","id":"ITEM-4","issued":{"date-parts":[["2015"]]},"page":"275-289","title":"Elaboration, characteristics and advantages of biochars for the management of contaminated soils with a specific overview on Miscanthus biochars","type":"article-journal","volume":"162"},"uris":["http://www.mendeley.com/documents/?uuid=fb799e3b-320c-45b9-af26-4ace74302f75"]}],"mendeley":{"formattedCitation":"(Beesley et al., 2011; Janus et al., 2015; Liu et al., 2015; Novak et al., 2009)","plainTextFormattedCitation":"(Beesley et al., 2011; Janus et al., 2015; Liu et al., 2015; Novak et al., 2009)","previouslyFormattedCitation":"(Beesley et al., 2011; Janus et al., 2015; Liu et al., 2015; Novak et al., 2009)"},"properties":{"noteIndex":0},"schema":"https://github.com/citation-style-language/schema/raw/master/csl-citation.json"}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(Beesley et al., 2011; Janus et al., 2015; Liu et al., 2015; Novak et al., 2009)</w:t>
      </w:r>
      <w:r w:rsidRPr="00216965">
        <w:rPr>
          <w:rFonts w:eastAsia="Times New Roman" w:cs="Times New Roman"/>
          <w:szCs w:val="24"/>
        </w:rPr>
        <w:fldChar w:fldCharType="end"/>
      </w:r>
      <w:r w:rsidRPr="00216965">
        <w:rPr>
          <w:rFonts w:eastAsia="Times New Roman" w:cs="Times New Roman"/>
          <w:szCs w:val="24"/>
        </w:rPr>
        <w:t xml:space="preserve">. </w:t>
      </w:r>
    </w:p>
    <w:p w14:paraId="7A85F479" w14:textId="58438F46"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Previous studies describe this form of carbon as a stable solid, recalcitrant, low density, with high porosity and surface area, rich in functional groups (e.g. carboxylic, alcohol, hydroxyl group, phenolic among others), chemically heterogeneous and dominated by aromatic structured material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Bioengineering","id":"ITEM-1","issue":"6","issued":{"date-parts":[["2013"]]},"page":"653-659","publisher":"Elsevier Ltd","title":"Characteristics of biochar and its application in remediation of contaminated soil","type":"article-journal","volume":"116"},"uris":["http://www.mendeley.com/documents/?uuid=f1de9e6e-b7e1-4802-a8e9-d2fd999dd84c"]},{"id":"ITEM-2","itemData":{"DOI":"10.1016/j.jenvman.2015.05.036","ISSN":"10958630","PMID":"26048395","abstract":"Heavy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Management","id":"ITEM-2","issued":{"date-parts":[["2015"]]},"page":"86-93","publisher":"Elsevier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 Tang et al., 2013)","plainTextFormattedCitation":"(Puga et al., 2015a; Tang et al., 2013)","previouslyFormattedCitation":"(Puga et al., 2015a; Tang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(Puga et al., 2015a; Tang et al., 2013)</w:t>
      </w:r>
      <w:r w:rsidRPr="00216965">
        <w:rPr>
          <w:rFonts w:eastAsia="Times New Roman" w:cs="Times New Roman"/>
          <w:szCs w:val="24"/>
        </w:rPr>
        <w:fldChar w:fldCharType="end"/>
      </w:r>
      <w:r w:rsidRPr="00216965">
        <w:rPr>
          <w:rFonts w:eastAsia="Times New Roman" w:cs="Times New Roman"/>
          <w:szCs w:val="24"/>
        </w:rPr>
        <w:t xml:space="preserve">. The pore distribution of biochar in general comprise micropores &lt; 2 nm, mesopores 2–50 nm, and macropores &gt; 50 nm in diameter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{"citationItems":[{"id":"ITEM-1","itemData":{"DOI":"10.1016/j.chemosphere.2015.03.072","ISBN":"0045-6535","ISSN":"18791298","PMID":"25958252","abstract":"In this work, the potential benefits, economics, and challenges of applying biochar in water treatment operations to remove organic and microbial contaminants was reviewed. Minimizing the use of relatively more expensive traditional sorbents in water treatment is a motivating aspect of biochar production, e.g., $246/ton non-activated biochar to $1500/ton activated carbon. Biochar can remove organic contaminants in water, such as some pesticides (0.02-23mgg&lt;sup&gt;-1&lt;/sup&gt;), pharmaceutical and personal care products (0.001-59mgg&lt;sup&gt;-1&lt;/sup&gt;), dyes (2-104mgg&lt;sup&gt;-1&lt;/sup&gt;), humic acid (60mgg&lt;sup&gt;-1&lt;/sup&gt;), perfluorooctane sulfonate (164mgg&lt;sup&gt;-1&lt;/sup&gt;), and N-nitrosomodimethylamine (3mgg&lt;sup&gt;-1&lt;/sup&gt;). Including adsorption/filtration applications, biochar can potentially be used to inactivate Escherichia coli via disinfection, and transform 95% of 2-chlorobiphenyl via advanced oxidation processes. However, more sorption data using biochar especially at demonstration-scale, for treating potable and reuse water in adsorption/filtration applications will help establish the potential of biochars to serve as surrogates for activated carbons.","author":[{"dropping-particle":"","family":"Inyang","given":"Mandu","non-dropping-particle":"","parse-names":false,"suffix":""},{"dropping-particle":"","family":"Dickenson","given":"Eric","non-dropping-particle":"","parse-names":false,"suffix":""}],"container-title":"Chemosphere","id":"ITEM-1","issued":{"date-parts":[["2015"]]},"page":"232-240","publisher":"Elsevier Ltd","title":"The potential role of biochar in the removal of organic and microbial contaminants from potable and reuse water: A review","type":"article-journal","volume":"134"},"uris":["http://www.mendeley.com/documents/?uuid=edd10196-6bd5-4f54-b94f-c338d0b490da"]},{"id":"ITEM-2","itemData":{"DOI":"10.1039/c2ee21166a","ISBN":"1754-5692","ISSN":"1754-5692","abstract":"This perspective review paper provides an overview on recently developed carbon material technology synthesised from the hydrothermal carbonisation (HTC) approach, with a particular focus on the carbon formation mechanism, perspectives on large scale production, nanostructuring, functionalisation and applications. Perceptions on how this technology will be developed especially with regard to application fields where the use of HTC-derived materials could be extended will also be introduced and discussed.","author":[{"dropping-particle":"","family":"Titirici","given":"Maria-Magdalena","non-dropping-particle":"","parse-names":false,"suffix":""},{"dropping-particle":"","family":"White","given":"Robin. J.","non-dropping-particle":"","parse-names":false,"suffix":""},{"dropping-particle":"","family":"Falco","given":"Camillo","non-dropping-particle":"","parse-names":false,"suffix":""},{"dropping-particle":"","family":"Sevilla","given":"Marta","non-dropping-particle":"","parse-names":false,"suffix":""}],"container-title":"Energy &amp; Environmental Science","id":"ITEM-2","issue":"5","issued":{"date-parts":[["2012"]]},"page":"6796","title":"Black perspectives for a green future: hydrothermal carbons for environment protection and energy storage","type":"article-journal","volume":"5"},"uris":["http://www.mendeley.com/documents/?uuid=c6d68343-1b3d-4598-8c7d-108b08104966"]}],"mendeley":{"formattedCitation":"(Inyang and Dickenson, 2015; Titirici et al., 2012)","plainTextFormattedCitation":"(Inyang and Dickenson, 2015; Titirici et al., 2012)","previouslyFormattedCitation":"(Inyang and Dickenson, 2015; Titirici et al., 2012)"},"properties":{"noteIndex":0},"schema":"https://github.com/citation-style-language/schema/raw/master/csl-citation.json"}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(Inyang and Dickenson, 2015; Titirici et al., 2012)</w:t>
      </w:r>
      <w:r w:rsidRPr="00216965">
        <w:rPr>
          <w:rFonts w:eastAsia="Times New Roman" w:cs="Times New Roman"/>
          <w:szCs w:val="24"/>
        </w:rPr>
        <w:fldChar w:fldCharType="end"/>
      </w:r>
      <w:r w:rsidRPr="00216965">
        <w:rPr>
          <w:rFonts w:eastAsia="Times New Roman" w:cs="Times New Roman"/>
          <w:szCs w:val="24"/>
        </w:rPr>
        <w:t xml:space="preserve">. However, pores 2–20 nm in size are considered to be the main contributors to the high surface area of biochar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{"citationItems":[{"id":"ITEM-1","itemData":{"DOI":"10.1016/j.chemosphere.2015.03.072","ISBN":"0045-6535","ISSN":"18791298","PMID":"25958252","abstract":"In this work, the potential benefits, economics, and challenges of applying biochar in water treatment operations to remove organic and microbial contaminants was reviewed. Minimizing the use of relatively more expensive traditional sorbents in water treatment is a motivating aspect of biochar production, e.g., $246/ton non-activated biochar to $1500/ton activated carbon. Biochar can remove organic contaminants in water, such as some pesticides (0.02-23mgg&lt;sup&gt;-1&lt;/sup&gt;), pharmaceutical and personal care products (0.001-59mgg&lt;sup&gt;-1&lt;/sup&gt;), dyes (2-104mgg&lt;sup&gt;-1&lt;/sup&gt;), humic acid (60mgg&lt;sup&gt;-1&lt;/sup&gt;), perfluorooctane sulfonate (164mgg&lt;sup&gt;-1&lt;/sup&gt;), and N-nitrosomodimethylamine (3mgg&lt;sup&gt;-1&lt;/sup&gt;). Including adsorption/filtration applications, biochar can potentially be used to inactivate Escherichia coli via disinfection, and transform 95% of 2-chlorobiphenyl via advanced oxidation processes. However, more sorption data using biochar especially at demonstration-scale, for treating potable and reuse water in adsorption/filtration applications will help establish the potential of biochars to serve as surrogates for activated carbons.","author":[{"dropping-particle":"","family":"Inyang","given":"Mandu","non-dropping-particle":"","parse-names":false,"suffix":""},{"dropping-particle":"","family":"Dickenson","given":"Eric","non-dropping-particle":"","parse-names":false,"suffix":""}],"container-title":"Chemosphere","id":"ITEM-1","issued":{"date-parts":[["2015"]]},"page":"232-240","publisher":"Elsevier Ltd","title":"The potential role of biochar in the removal of organic and microbial contaminants from potable and reuse water: A review","type":"article-journal","volume":"134"},"uris":["http://www.mendeley.com/documents/?uuid=edd10196-6bd5-4f54-b94f-c338d0b490da"]},{"id":"ITEM-2","itemData":{"DOI":"10.1016/B978-0-12-803837-6.00004-4","ISBN":"9780128039069","abstract":"Biochar has created a lot of interest because of its unique properties of sustainable agricultural production and environmental protection. Biochar is known to reduce nitrogen loss from soil in terms of nitrous oxide emission and ammonia volatilization, improve the nutrient retention capacity and structural and chemical properties of soil, and increase plant growth and productivity. Biowaste materials such as biosolids, municipal waste, and paper mill sludge are effective raw materials for biochar production. These materials are rich in nutrient content, and biochar produced using these waste products is highly effective for agricultural production and environmental remediation.","author":[{"dropping-particle":"","family":"Mandal","given":"S.","non-dropping-particle":"","parse-names":false,"suffix":""},{"dropping-particle":"","family":"Kunhikrishnan","given":"A.","non-dropping-particle":"","parse-names":false,"suffix":""},{"dropping-particle":"","family":"Bolan","given":"N. S.","non-dropping-particle":"","parse-names":false,"suffix":""},{"dropping-particle":"","family":"Wijesekara","given":"H.","non-dropping-particle":"","parse-names":false,"suffix":""},{"dropping-particle":"","family":"Naidu","given":"R.","non-dropping-particle":"","parse-names":false,"suffix":""}],"container-title":"Environmental Materials and Waste: Resource Recovery and Pollution Prevention","id":"ITEM-2","issue":"December","issued":{"date-parts":[["2016"]]},"page":"73-89","title":"Application of biochar produced from biowaste materials for environmental protection and sustainable agriculture production","type":"chapter"},"uris":["http://www.mendeley.com/documents/?uuid=b34913d2-d9ca-4038-a11a-1189c6a5bd99"]}],"mendeley":{"formattedCitation":"(Inyang and Dickenson, 2015; Mandal et al., 2016)","plainTextFormattedCitation":"(Inyang and Dickenson, 2015; Mandal et al., 2016)","previouslyFormattedCitation":"(Inyang and Dickenson, 2015; Mandal et al., 2016)"},"properties":{"noteIndex":0},"schema":"https://github.com/citation-style-language/schema/raw/master/csl-citation.json"}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(Inyang and Dickenson, 2015; Mandal et al., 2016)</w:t>
      </w:r>
      <w:r w:rsidRPr="00216965">
        <w:rPr>
          <w:rFonts w:eastAsia="Times New Roman" w:cs="Times New Roman"/>
          <w:szCs w:val="24"/>
        </w:rPr>
        <w:fldChar w:fldCharType="end"/>
      </w:r>
      <w:r w:rsidRPr="00216965">
        <w:rPr>
          <w:rFonts w:eastAsia="Times New Roman" w:cs="Times New Roman"/>
          <w:szCs w:val="24"/>
        </w:rPr>
        <w:t xml:space="preserve">. The physical characteristics of biochar, porosity and internal structure can be observed in </w:t>
      </w:r>
      <w:r w:rsidRPr="00216965">
        <w:rPr>
          <w:rFonts w:eastAsia="Times New Roman" w:cs="Times New Roman"/>
          <w:szCs w:val="24"/>
        </w:rPr>
        <w:fldChar w:fldCharType="begin"/>
      </w:r>
      <w:r w:rsidRPr="00216965">
        <w:rPr>
          <w:rFonts w:eastAsia="Times New Roman" w:cs="Times New Roman"/>
          <w:szCs w:val="24"/>
        </w:rPr>
        <w:instrText xml:space="preserve"> REF _Ref82815210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3</w:t>
      </w:r>
      <w:r w:rsidRPr="00216965">
        <w:rPr>
          <w:rFonts w:eastAsia="Times New Roman" w:cs="Times New Roman"/>
          <w:szCs w:val="24"/>
        </w:rPr>
        <w:fldChar w:fldCharType="end"/>
      </w:r>
      <w:r w:rsidRPr="00216965">
        <w:rPr>
          <w:rFonts w:eastAsia="Times New Roman" w:cs="Times New Roman"/>
          <w:szCs w:val="24"/>
        </w:rPr>
        <w:t xml:space="preserve"> . </w:t>
      </w:r>
    </w:p>
    <w:tbl>
      <w:tblPr>
        <w:tblW w:w="8640" w:type="dxa"/>
        <w:tblLayout w:type="fixed"/>
        <w:tblLook w:val="0400" w:firstRow="0" w:lastRow="0" w:firstColumn="0" w:lastColumn="0" w:noHBand="0" w:noVBand="1"/>
      </w:tblPr>
      <w:tblGrid>
        <w:gridCol w:w="4184"/>
        <w:gridCol w:w="4456"/>
      </w:tblGrid>
      <w:tr w:rsidR="00632101" w:rsidRPr="00216965" w14:paraId="33F7CF85" w14:textId="77777777" w:rsidTr="008A33DA">
        <w:trPr>
          <w:trHeight w:val="3772"/>
        </w:trPr>
        <w:tc>
          <w:tcPr>
            <w:tcW w:w="4184" w:type="dxa"/>
          </w:tcPr>
          <w:p w14:paraId="0000B202" w14:textId="77777777" w:rsidR="00632101" w:rsidRPr="00216965" w:rsidRDefault="00632101" w:rsidP="00A0457B">
            <w:pPr>
              <w:spacing w:after="0" w:line="240" w:lineRule="auto"/>
              <w:jc w:val="center"/>
              <w:rPr>
                <w:rFonts w:ascii="Arial" w:eastAsia="Arial" w:hAnsi="Arial" w:cs="Arial"/>
                <w:sz w:val="18"/>
                <w:szCs w:val="18"/>
              </w:rPr>
            </w:pPr>
            <w:r w:rsidRPr="00216965">
              <w:rPr>
                <w:rFonts w:ascii="Arial" w:eastAsia="Arial" w:hAnsi="Arial" w:cs="Arial"/>
                <w:noProof/>
                <w:sz w:val="18"/>
                <w:szCs w:val="18"/>
              </w:rPr>
              <w:lastRenderedPageBreak/>
              <w:drawing>
                <wp:inline distT="0" distB="0" distL="0" distR="0" wp14:anchorId="7C2E7935" wp14:editId="1DECD18E">
                  <wp:extent cx="2486297" cy="2019600"/>
                  <wp:effectExtent l="0" t="0" r="0" b="0"/>
                  <wp:docPr id="80" name="image3.png" descr="C:\Users\rosa\Downloads\SEM image of bicohar OSR550.tif"/>
                  <wp:cNvGraphicFramePr/>
                  <a:graphic xmlns:a="http://schemas.openxmlformats.org/drawingml/2006/main">
                    <a:graphicData uri="http://schemas.openxmlformats.org/drawingml/2006/picture">
                      <pic:pic xmlns:pic="http://schemas.openxmlformats.org/drawingml/2006/picture">
                        <pic:nvPicPr>
                          <pic:cNvPr id="0" name="image3.png" descr="C:\Users\rosa\Downloads\SEM image of bicohar OSR550.tif"/>
                          <pic:cNvPicPr preferRelativeResize="0"/>
                        </pic:nvPicPr>
                        <pic:blipFill>
                          <a:blip r:embed="rId16"/>
                          <a:srcRect/>
                          <a:stretch>
                            <a:fillRect/>
                          </a:stretch>
                        </pic:blipFill>
                        <pic:spPr>
                          <a:xfrm>
                            <a:off x="0" y="0"/>
                            <a:ext cx="2486297" cy="2019600"/>
                          </a:xfrm>
                          <a:prstGeom prst="rect">
                            <a:avLst/>
                          </a:prstGeom>
                          <a:ln/>
                        </pic:spPr>
                      </pic:pic>
                    </a:graphicData>
                  </a:graphic>
                </wp:inline>
              </w:drawing>
            </w:r>
          </w:p>
          <w:p w14:paraId="35B9A781" w14:textId="77777777" w:rsidR="00632101" w:rsidRPr="00216965" w:rsidRDefault="00632101" w:rsidP="00A0457B">
            <w:pPr>
              <w:spacing w:after="0" w:line="240" w:lineRule="auto"/>
              <w:jc w:val="center"/>
              <w:rPr>
                <w:rFonts w:ascii="Arial" w:eastAsia="Arial" w:hAnsi="Arial" w:cs="Arial"/>
                <w:sz w:val="18"/>
                <w:szCs w:val="18"/>
              </w:rPr>
            </w:pPr>
            <w:r w:rsidRPr="00216965">
              <w:rPr>
                <w:rFonts w:ascii="Arial" w:eastAsia="Arial" w:hAnsi="Arial" w:cs="Arial"/>
                <w:sz w:val="18"/>
                <w:szCs w:val="18"/>
              </w:rPr>
              <w:t>(a)</w:t>
            </w:r>
          </w:p>
        </w:tc>
        <w:tc>
          <w:tcPr>
            <w:tcW w:w="4456" w:type="dxa"/>
          </w:tcPr>
          <w:p w14:paraId="2E5BE339" w14:textId="77777777" w:rsidR="00632101" w:rsidRPr="00216965" w:rsidRDefault="00632101" w:rsidP="00A0457B">
            <w:pPr>
              <w:spacing w:after="0" w:line="240" w:lineRule="auto"/>
              <w:jc w:val="center"/>
              <w:rPr>
                <w:rFonts w:ascii="Arial" w:eastAsia="Arial" w:hAnsi="Arial" w:cs="Arial"/>
                <w:sz w:val="18"/>
                <w:szCs w:val="18"/>
              </w:rPr>
            </w:pPr>
            <w:r w:rsidRPr="00216965">
              <w:rPr>
                <w:rFonts w:ascii="Arial" w:eastAsia="Arial" w:hAnsi="Arial" w:cs="Arial"/>
                <w:noProof/>
                <w:sz w:val="18"/>
                <w:szCs w:val="18"/>
              </w:rPr>
              <w:drawing>
                <wp:inline distT="0" distB="0" distL="0" distR="0" wp14:anchorId="212FF7CC" wp14:editId="48422453">
                  <wp:extent cx="2669033" cy="2028129"/>
                  <wp:effectExtent l="0" t="0" r="0" b="0"/>
                  <wp:docPr id="83" name="image4.png" descr="C:\Users\rosa\Downloads\x1000-6.tif"/>
                  <wp:cNvGraphicFramePr/>
                  <a:graphic xmlns:a="http://schemas.openxmlformats.org/drawingml/2006/main">
                    <a:graphicData uri="http://schemas.openxmlformats.org/drawingml/2006/picture">
                      <pic:pic xmlns:pic="http://schemas.openxmlformats.org/drawingml/2006/picture">
                        <pic:nvPicPr>
                          <pic:cNvPr id="0" name="image4.png" descr="C:\Users\rosa\Downloads\x1000-6.tif"/>
                          <pic:cNvPicPr preferRelativeResize="0"/>
                        </pic:nvPicPr>
                        <pic:blipFill>
                          <a:blip r:embed="rId17"/>
                          <a:srcRect/>
                          <a:stretch>
                            <a:fillRect/>
                          </a:stretch>
                        </pic:blipFill>
                        <pic:spPr>
                          <a:xfrm>
                            <a:off x="0" y="0"/>
                            <a:ext cx="2669033" cy="2028129"/>
                          </a:xfrm>
                          <a:prstGeom prst="rect">
                            <a:avLst/>
                          </a:prstGeom>
                          <a:ln/>
                        </pic:spPr>
                      </pic:pic>
                    </a:graphicData>
                  </a:graphic>
                </wp:inline>
              </w:drawing>
            </w:r>
          </w:p>
          <w:p w14:paraId="1628BD6E" w14:textId="77777777" w:rsidR="00632101" w:rsidRPr="00216965" w:rsidRDefault="00632101" w:rsidP="00A0457B">
            <w:pPr>
              <w:spacing w:after="0" w:line="240" w:lineRule="auto"/>
              <w:jc w:val="center"/>
              <w:rPr>
                <w:rFonts w:ascii="Arial" w:eastAsia="Arial" w:hAnsi="Arial" w:cs="Arial"/>
                <w:sz w:val="18"/>
                <w:szCs w:val="18"/>
              </w:rPr>
            </w:pPr>
            <w:r w:rsidRPr="00216965">
              <w:rPr>
                <w:rFonts w:ascii="Arial" w:eastAsia="Arial" w:hAnsi="Arial" w:cs="Arial"/>
                <w:sz w:val="18"/>
                <w:szCs w:val="18"/>
              </w:rPr>
              <w:t>(b)</w:t>
            </w:r>
          </w:p>
        </w:tc>
      </w:tr>
    </w:tbl>
    <w:p w14:paraId="44E101C0" w14:textId="5358C6F6" w:rsidR="00632101" w:rsidRPr="00216965" w:rsidRDefault="00632101" w:rsidP="008A33DA">
      <w:pPr>
        <w:pStyle w:val="Caption"/>
      </w:pPr>
      <w:bookmarkStart w:id="66" w:name="_heading=h.2s8eyo1" w:colFirst="0" w:colLast="0"/>
      <w:bookmarkStart w:id="67" w:name="_Ref82815210"/>
      <w:bookmarkStart w:id="68" w:name="_Toc86439346"/>
      <w:bookmarkEnd w:id="66"/>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3</w:t>
      </w:r>
      <w:r w:rsidR="00BF3EBE" w:rsidRPr="00216965">
        <w:rPr>
          <w:b/>
          <w:bCs w:val="0"/>
        </w:rPr>
        <w:fldChar w:fldCharType="end"/>
      </w:r>
      <w:bookmarkEnd w:id="67"/>
      <w:r w:rsidRPr="00216965">
        <w:t xml:space="preserve"> </w:t>
      </w:r>
      <w:r w:rsidRPr="00216965">
        <w:rPr>
          <w:rFonts w:eastAsia="Times New Roman" w:cs="Times New Roman"/>
          <w:b/>
          <w:bCs w:val="0"/>
          <w:color w:val="000000"/>
          <w:szCs w:val="24"/>
        </w:rPr>
        <w:t>SEM images of (a) oil seed rape straw biochar pellets (550⁰C) and (b) soft wood biochar pellets (550⁰C).</w:t>
      </w:r>
      <w:bookmarkEnd w:id="68"/>
    </w:p>
    <w:p w14:paraId="070CF3D4" w14:textId="77777777" w:rsidR="00632101" w:rsidRPr="00216965" w:rsidRDefault="00632101" w:rsidP="008A33DA">
      <w:pPr>
        <w:pStyle w:val="Heading3"/>
      </w:pPr>
      <w:bookmarkStart w:id="69" w:name="_heading=h.17dp8vu" w:colFirst="0" w:colLast="0"/>
      <w:bookmarkStart w:id="70" w:name="_Toc86504636"/>
      <w:bookmarkEnd w:id="69"/>
      <w:r w:rsidRPr="00216965">
        <w:t>Factors determining biochar properties</w:t>
      </w:r>
      <w:bookmarkEnd w:id="70"/>
    </w:p>
    <w:p w14:paraId="16F2ADA9" w14:textId="794029FE" w:rsidR="00632101" w:rsidRPr="00216965" w:rsidRDefault="00632101" w:rsidP="008A33DA">
      <w:pPr>
        <w:spacing w:after="0" w:line="360" w:lineRule="auto"/>
        <w:jc w:val="both"/>
        <w:rPr>
          <w:rFonts w:eastAsia="Times New Roman" w:cs="Times New Roman"/>
          <w:szCs w:val="24"/>
          <w:lang w:val="nl-NL"/>
        </w:rPr>
      </w:pPr>
      <w:r w:rsidRPr="00216965">
        <w:rPr>
          <w:rFonts w:eastAsia="Times New Roman" w:cs="Times New Roman"/>
          <w:szCs w:val="24"/>
        </w:rPr>
        <w:t xml:space="preserve">The study of biochar properties is vital for understanding its ability to immobilize heavy metals in polluted soils, as evidenced by previous studies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10.17628/ECB.2012.1.535","author":[{"dropping-particle":"","family":"Břendová","given":"K","non-dropping-particle":"","parse-names":false,"suffix":""},{"dropping-particle":"","family":"Tlustoš","given":"P","non-dropping-particle":"","parse-names":false,"suffix":""},{"dropping-particle":"","family":"Száková","given":"J","non-dropping-particle":"","parse-names":false,"suffix":""},{"dropping-particle":"","family":"Habart","given":"J","non-dropping-particle":"","parse-names":false,"suffix":""}],"container-title":"European Chemical Bulletin","id":"ITEM-1","issue":"12","issued":{"date-parts":[["2012"]]},"page":"535-539","title":"Biochar properties from different materials of plant origin","type":"article-journal","volume":"1"},"uris":["http://www.mendeley.com/documents/?uuid=9166a6f3-083d-42a5-9d00-a2efe30c50bc"]},{"id":"ITEM-2","itemData":{"DOI":"10.1016/j.ecoenv.2014.04.042","abstract":"Five types of biochars prepared from four crop straws and one wood shaving at 600 1C were characterized, and their sorption to Cd(II) were determined to investigate the differences in capacity to function as sorbents to heavy metals. Surface areas and pore volumes of the biochars were inversely correlated to the lignin content of raw biomass. The biochars derived from crop straws displayed more developed pore structure than wood char due to the higher lignin content of wood. Sorption capacity of the biochars to Cd(II) followed the order of corn straw4cotton straw4wheat straw4rice straw4poplar shaving, which was not strictly consistent with the surface area of the chars. The surface characteristics of chars before and after Cd(II) sorption were investigated with scanning electron microscopy equipped with an energy dispersive X-ray spectroscopy and Fourier transform infrared spectroscopy, which suggested that the higher sorption of Cd(II) on corn straw chars was mainly attributed to cation exchange, surface precipitation of carbonate, and surface complexation with oxygen-containing groups. This study indicated that crop straw biochars exhibit distinct sorption capacities to heavy metals due to various surface characteristics, and thus the sorption efficiency should be carefully evaluated specific to target contaminant.","author":[{"dropping-particle":"","family":"Sun","given":"Jingkuan","non-dropping-particle":"","parse-names":false,"suffix":""},{"dropping-particle":"","family":"Lian","given":"Fei","non-dropping-particle":"","parse-names":false,"suffix":""},{"dropping-particle":"","family":"Liu","given":"Zhongqi","non-dropping-particle":"","parse-names":false,"suffix":""},{"dropping-particle":"","family":"Zhu","given":"Lingyan","non-dropping-particle":"","parse-names":false,"suffix":""},{"dropping-particle":"","family":"Song","given":"Zhengguo","non-dropping-particle":"","parse-names":false,"suffix":""}],"container-title":"Ecotoxicology and Environmental Safety","id":"ITEM-2","issue":"106","issued":{"date-parts":[["2014"]]},"page":"226-231","title":"Biochars derived from various crop straws: Characterization and Cd(II) removal potential","type":"article-journal"},"uris":["http://www.mendeley.com/documents/?uuid=b62ef779-1580-3f61-9c7b-fbda5517dba9"]},{"id":"ITEM-3","itemData":{"DOI":"10.1016/j.jhazmat.2013.04.015","ISBN":"0304-3894","ISSN":"03043894","PMID":"23669784","abstract":"The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Materials","id":"ITEM-3","issued":{"date-parts":[["2013"]]},"page":"1-9","title":"Heterogeneity of biochar properties as a function of feedstock sources and production temperatures","type":"article-journal","volume":"256-257"},"uris":["http://www.mendeley.com/documents/?uuid=c07cfa46-e517-44ec-8ae0-4ee24c7a6a97"]}],"mendeley":{"formattedCitation":"(Břendová et al., 2012; Sun et al., 2014; Zhao et al., 2013)","plainTextFormattedCitation":"(Břendová et al., 2012; Sun et al., 2014; Zhao et al., 2013)","previouslyFormattedCitation":"(Břendová et al., 2012; Sun et al., 2014; Zhao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(Břendová et al., 2012; Sun et al., 2014; Zhao et al., 2013)</w:t>
      </w:r>
      <w:r w:rsidRPr="00216965">
        <w:rPr>
          <w:rFonts w:eastAsia="Times New Roman" w:cs="Times New Roman"/>
          <w:szCs w:val="24"/>
        </w:rPr>
        <w:fldChar w:fldCharType="end"/>
      </w:r>
      <w:r w:rsidRPr="00216965">
        <w:rPr>
          <w:rFonts w:eastAsia="Times New Roman" w:cs="Times New Roman"/>
          <w:szCs w:val="24"/>
        </w:rPr>
        <w:t xml:space="preserve">. It is known that pyrolysis conditions and the composition of the feedstock materials are the key factors which determine biochar properties and consequently its suitability for applications in pollutant removal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biochars","type":"article-journal","volume":"162"},"uris":["http://www.mendeley.com/documents/?uuid=fb799e3b-320c-45b9-af26-4ace74302f75"]},{"id":"ITEM-2","itemData":{"DOI":"Novak,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Science","id":"ITEM-2","issued":{"date-parts":[["2009"]]},"page":"195-206","title":"Characterization of designer biochar produced at different temperatures and their effects on a loamy sand","type":"article-journal","volume":"3"},"uris":["http://www.mendeley.com/documents/?uuid=3c7aa499-9e43-4da0-9234-dbfde814e0c3"]},{"id":"ITEM-3","itemData":{"DOI":"10.1016/j.jhazmat.2013.04.015","ISBN":"0304-3894","ISSN":"03043894","PMID":"23669784","abstract":"The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Materials","id":"ITEM-3","issued":{"date-parts":[["2013"]]},"page":"1-9","title":"Heterogeneity of biochar properties as a function of feedstock sources and production temperatures","type":"article-journal","volume":"256-257"},"uris":["http://www.mendeley.com/documents/?uuid=c07cfa46-e517-44ec-8ae0-4ee24c7a6a97"]}],"mendeley":{"formattedCitation":"(Janus et al., 2015; Novak et al., 2009; Zhao et al., 2013)","plainTextFormattedCitation":"(Janus et al., 2015; Novak et al., 2009; Zhao et al., 2013)","previouslyFormattedCitation":"(Janus et al., 2015; Novak et al., 2009; Zhao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nl-NL"/>
        </w:rPr>
        <w:t>(Janus et al., 2015; Novak et al., 2009; Zhao et al., 2013)</w:t>
      </w:r>
      <w:r w:rsidRPr="00216965">
        <w:rPr>
          <w:rFonts w:eastAsia="Times New Roman" w:cs="Times New Roman"/>
          <w:szCs w:val="24"/>
        </w:rPr>
        <w:fldChar w:fldCharType="end"/>
      </w:r>
      <w:r w:rsidRPr="00216965">
        <w:rPr>
          <w:rFonts w:eastAsia="Times New Roman" w:cs="Times New Roman"/>
          <w:szCs w:val="24"/>
          <w:lang w:val="nl-NL"/>
        </w:rPr>
        <w:t xml:space="preserve">. </w:t>
      </w:r>
    </w:p>
    <w:p w14:paraId="76FCF539" w14:textId="77777777" w:rsidR="00632101" w:rsidRPr="00216965" w:rsidRDefault="00632101" w:rsidP="008A33DA">
      <w:pPr>
        <w:pStyle w:val="Heading4"/>
      </w:pPr>
      <w:bookmarkStart w:id="71" w:name="_heading=h.3rdcrjn" w:colFirst="0" w:colLast="0"/>
      <w:bookmarkEnd w:id="71"/>
      <w:r w:rsidRPr="00216965">
        <w:t>Influence of feedstock on biochar properties</w:t>
      </w:r>
    </w:p>
    <w:p w14:paraId="57333B4D" w14:textId="3DBC01D8" w:rsidR="00FD5FFA" w:rsidRPr="00216965" w:rsidRDefault="00632101" w:rsidP="008A33DA">
      <w:pPr>
        <w:spacing w:after="0" w:line="360" w:lineRule="auto"/>
        <w:jc w:val="both"/>
        <w:rPr>
          <w:rFonts w:eastAsia="Times New Roman" w:cs="Times New Roman"/>
          <w:szCs w:val="24"/>
        </w:rPr>
      </w:pPr>
      <w:r w:rsidRPr="00216965">
        <w:rPr>
          <w:rFonts w:eastAsia="Times New Roman" w:cs="Times New Roman"/>
          <w:szCs w:val="24"/>
        </w:rPr>
        <w:t xml:space="preserve">Biomass is generally composed of three major groups of polymeric materials: cellulose, hemicellulose and lignin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{"citationItems":[{"id":"ITEM-1","itemData":{"DOI":"10.1017/CBO9781107415324.004","ISBN":"9788578110796","ISSN":"1098-6596","PMID":"25246403","abstract":"This review focuses on biomass pyrolysis processes for use in biochar systems. Objectives are to describe the scope, range of control and degree of variability of such processes. Slow, intermediate and fast pyrolysis processes are reviewed. Product yield distributions change depending on feedstock composition and preparation, control of temperature and material flows. These allow some control over distribution of main products – char, liquids and gases. Typical mass yield ranges for slow pyrolysis are char 25-35%, liquid 20-50%, gas 20-50%; for intermediate pyrolysis, char 30-40%, liquid 35-45%, gas 20-30%; and for fast pyrolysis, char 10-25%, liquid 50- 70%, gas 10-30%. Variability associated with char yield is estimated at ±5% (relative). Char yield should be considered an underlying, but minor source of variability in pyrolysis biochar systems.","author":[{"dropping-particle":"","family":"Brownsort","given":"Peter A","non-dropping-particle":"","parse-names":false,"suffix":""}],"container-title":"UKBRC","id":"ITEM-1","issued":{"date-parts":[["2009"]]},"number-of-pages":"38","title":"Biomass pyrolysis processes: Review of scope, control and variability","type":"report"},"uris":["http://www.mendeley.com/documents/?uuid=88ca44be-bb14-4993-8a65-0d29e6a2cdfd"]}],"mendeley":{"formattedCitation":"(Brownsort, 2009)","plainTextFormattedCitation":"(Brownsort, 2009)","previouslyFormattedCitation":"(Brownsort, 2009)"},"properties":{"noteIndex":0},"schema":"https://github.com/citation-style-language/schema/raw/master/csl-citation.json"}</w:instrText>
      </w:r>
      <w:r w:rsidRPr="00216965">
        <w:rPr>
          <w:rFonts w:eastAsia="Times New Roman" w:cs="Times New Roman"/>
          <w:szCs w:val="24"/>
        </w:rPr>
        <w:fldChar w:fldCharType="separate"/>
      </w:r>
      <w:r w:rsidR="00330A4F" w:rsidRPr="00216965">
        <w:rPr>
          <w:rFonts w:eastAsia="Times New Roman" w:cs="Times New Roman"/>
          <w:noProof/>
          <w:szCs w:val="24"/>
        </w:rPr>
        <w:t>(Brownsort, 2009)</w:t>
      </w:r>
      <w:r w:rsidRPr="00216965">
        <w:rPr>
          <w:rFonts w:eastAsia="Times New Roman" w:cs="Times New Roman"/>
          <w:szCs w:val="24"/>
        </w:rPr>
        <w:fldChar w:fldCharType="end"/>
      </w:r>
      <w:r w:rsidRPr="00216965">
        <w:rPr>
          <w:rFonts w:eastAsia="Times New Roman" w:cs="Times New Roman"/>
          <w:szCs w:val="24"/>
        </w:rPr>
        <w:t xml:space="preserve">, with minor amounts of smaller organic molecules and minerals such as K, Ca, Si and Al among others. These compounds are present in various proportions depending on the biomass origin. Previous reports demonstrated that feedstock nature has a significant influence on its </w:t>
      </w:r>
      <w:r w:rsidR="000665B9" w:rsidRPr="00216965">
        <w:rPr>
          <w:rFonts w:eastAsia="Times New Roman" w:cs="Times New Roman"/>
          <w:szCs w:val="24"/>
        </w:rPr>
        <w:t xml:space="preserve">mineral </w:t>
      </w:r>
      <w:r w:rsidRPr="00216965">
        <w:rPr>
          <w:rFonts w:eastAsia="Times New Roman" w:cs="Times New Roman"/>
          <w:szCs w:val="24"/>
        </w:rPr>
        <w:t xml:space="preserve">composition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id":"ITEM-2","itemData":{"DOI":"10.17628/ECB.2012.1.535","author":[{"dropping-particle":"","family":"Břendová","given":"K","non-dropping-particle":"","parse-names":false,"suffix":""},{"dropping-particle":"","family":"Tlustoš","given":"P","non-dropping-particle":"","parse-names":false,"suffix":""},{"dropping-particle":"","family":"Száková","given":"J","non-dropping-particle":"","parse-names":false,"suffix":""},{"dropping-particle":"","family":"Habart","given":"J","non-dropping-particle":"","parse-names":false,"suffix":""}],"container-title":"European Chemical Bulletin","id":"ITEM-2","issue":"12","issued":{"date-parts":[["2012"]]},"page":"535-539","title":"Biochar properties from different materials of plant origin","type":"article-journal","volume":"1"},"uris":["http://www.mendeley.com/documents/?uuid=9166a6f3-083d-42a5-9d00-a2efe30c50bc"]},{"id":"ITEM-3","itemData":{"DOI":"Novak,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Science","id":"ITEM-3","issued":{"date-parts":[["2009"]]},"page":"195-206","title":"Characterization of designer biochar produced at different temperatures and their effects on a loamy sand","type":"article-journal","volume":"3"},"uris":["http://www.mendeley.com/documents/?uuid=3c7aa499-9e43-4da0-9234-dbfde814e0c3"]}],"mendeley":{"formattedCitation":"(Bandara et al., 2017; Břendová et al., 2012; Novak et al., 2009)","plainTextFormattedCitation":"(Bandara et al., 2017; Břendová et al., 2012; Novak et al., 2009)","previouslyFormattedCitation":"(Bandara et al., 2017; Břendová et al., 2012; Novak et al., 2009)"},"properties":{"noteIndex":0},"schema":"https://github.com/citation-style-language/schema/raw/master/csl-citation.json"}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(Bandara et al., 2017; Břendová et al., 2012; Novak et al., 2009)</w:t>
      </w:r>
      <w:r w:rsidRPr="00216965">
        <w:rPr>
          <w:rFonts w:eastAsia="Times New Roman" w:cs="Times New Roman"/>
          <w:szCs w:val="24"/>
        </w:rPr>
        <w:fldChar w:fldCharType="end"/>
      </w:r>
      <w:r w:rsidR="00FD5FFA" w:rsidRPr="00216965">
        <w:rPr>
          <w:rFonts w:eastAsia="Times New Roman" w:cs="Times New Roman"/>
          <w:szCs w:val="24"/>
        </w:rPr>
        <w:t>.</w:t>
      </w:r>
    </w:p>
    <w:p w14:paraId="1A6CD8E1" w14:textId="32DC5A14" w:rsidR="00632101" w:rsidRPr="00216965" w:rsidRDefault="00632101" w:rsidP="00FD5FFA">
      <w:pPr>
        <w:spacing w:before="120" w:after="0" w:line="360" w:lineRule="auto"/>
        <w:jc w:val="both"/>
        <w:rPr>
          <w:rFonts w:eastAsia="Times New Roman" w:cs="Times New Roman"/>
          <w:szCs w:val="24"/>
        </w:rPr>
      </w:pPr>
      <w:r w:rsidRPr="00216965">
        <w:rPr>
          <w:rFonts w:eastAsia="Times New Roman" w:cs="Times New Roman"/>
          <w:szCs w:val="24"/>
        </w:rPr>
        <w:t xml:space="preserve">According to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Zhao et al. (2013)</w:t>
      </w:r>
      <w:r w:rsidRPr="00216965">
        <w:rPr>
          <w:rFonts w:eastAsia="Times New Roman" w:cs="Times New Roman"/>
          <w:szCs w:val="24"/>
        </w:rPr>
        <w:fldChar w:fldCharType="end"/>
      </w:r>
      <w:r w:rsidRPr="00216965">
        <w:rPr>
          <w:rFonts w:eastAsia="Times New Roman" w:cs="Times New Roman"/>
          <w:szCs w:val="24"/>
        </w:rPr>
        <w:t xml:space="preserve">, the biochar parameters most affected by feedstock properties are total organic carbon and mineral composition. According to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biochars","type":"article-journal","volume":"162"},"uris":["http://www.mendeley.com/documents/?uuid=fb799e3b-320c-45b9-af26-4ace74302f75"]}],"mendeley":{"formattedCitation":"(Janus et al., 2015)","manualFormatting":"Janus et al. (2015)","plainTextFormattedCitation":"(Janus et al., 2015)","previouslyFormattedCitation":"(Janus et al.,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Janus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biochars produced from woodchip have a higher C:N ratio and specific surface area than dairy manure biochar produced at the same temperature. Similarly,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Zhao </w:t>
      </w:r>
      <w:r w:rsidR="009B2252" w:rsidRPr="00216965">
        <w:rPr>
          <w:rFonts w:eastAsia="Times New Roman" w:cs="Times New Roman"/>
          <w:iCs/>
          <w:noProof/>
          <w:szCs w:val="24"/>
        </w:rPr>
        <w:t>et al</w:t>
      </w:r>
      <w:r w:rsidRPr="00216965">
        <w:rPr>
          <w:rFonts w:eastAsia="Times New Roman" w:cs="Times New Roman"/>
          <w:noProof/>
          <w:szCs w:val="24"/>
        </w:rPr>
        <w:t>. (2013)</w:t>
      </w:r>
      <w:r w:rsidRPr="00216965">
        <w:rPr>
          <w:rFonts w:eastAsia="Times New Roman" w:cs="Times New Roman"/>
          <w:szCs w:val="24"/>
        </w:rPr>
        <w:fldChar w:fldCharType="end"/>
      </w:r>
      <w:r w:rsidRPr="00216965">
        <w:rPr>
          <w:rFonts w:eastAsia="Times New Roman" w:cs="Times New Roman"/>
          <w:szCs w:val="24"/>
        </w:rPr>
        <w:t xml:space="preserve"> reported that biochars derived from wood biomasses often have a higher surface area than grass biochar. An increase in surface area in biochars produced above 350⁰C appears to reflect the temperature at which cellulose is known to decompose and </w:t>
      </w:r>
      <w:r w:rsidRPr="00216965">
        <w:rPr>
          <w:rFonts w:eastAsia="Times New Roman" w:cs="Times New Roman"/>
          <w:szCs w:val="24"/>
        </w:rPr>
        <w:lastRenderedPageBreak/>
        <w:t xml:space="preserve">transform  from layered C to amorphous char, leading to pore formation. These findings are supported by the data obtained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review","type":"article-journal","volume":"99"},"uris":["http://www.mendeley.com/documents/?uuid=48218992-b65d-439f-b228-8bd55f65ddf1"]}],"mendeley":{"formattedCitation":"(Ahmad et al., 2014)","manualFormatting":"Ahmad et al. (2014)","plainTextFormattedCitation":"(Ahmad et al., 2014)","previouslyFormattedCitation":"(Ahmad et al., 2014)"},"properties":{"noteIndex":0},"schema":"https://github.com/citation-style-language/schema/raw/master/csl-citation.json"}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Ahmad </w:t>
      </w:r>
      <w:r w:rsidR="009B2252" w:rsidRPr="00216965">
        <w:rPr>
          <w:rFonts w:eastAsia="Times New Roman" w:cs="Times New Roman"/>
          <w:iCs/>
          <w:noProof/>
          <w:szCs w:val="24"/>
        </w:rPr>
        <w:t>et al</w:t>
      </w:r>
      <w:r w:rsidRPr="00216965">
        <w:rPr>
          <w:rFonts w:eastAsia="Times New Roman" w:cs="Times New Roman"/>
          <w:noProof/>
          <w:szCs w:val="24"/>
        </w:rPr>
        <w:t>. (2014)</w:t>
      </w:r>
      <w:r w:rsidRPr="00216965">
        <w:rPr>
          <w:rFonts w:eastAsia="Times New Roman" w:cs="Times New Roman"/>
          <w:szCs w:val="24"/>
        </w:rPr>
        <w:fldChar w:fldCharType="end"/>
      </w:r>
      <w:r w:rsidRPr="00216965">
        <w:rPr>
          <w:rFonts w:eastAsia="Times New Roman" w:cs="Times New Roman"/>
          <w:szCs w:val="24"/>
        </w:rPr>
        <w:t xml:space="preserve"> who showed that biochars produced from animal litter and solid waste feedstocks exhibited lower surface areas compared to biochars produced from high lignocellulosic content, such as crop residues and wood biomass. These findings suggest that biochars derived from feedstock high in lingo-cellulosic content may have higher surface areas and high C content. The variation in biochar properties for different feedstocks treated at similar temperatures is shown in </w:t>
      </w:r>
      <w:r w:rsidR="005850BF" w:rsidRPr="00216965">
        <w:rPr>
          <w:rFonts w:eastAsia="Times New Roman" w:cs="Times New Roman"/>
          <w:szCs w:val="24"/>
        </w:rPr>
        <w:fldChar w:fldCharType="begin"/>
      </w:r>
      <w:r w:rsidR="005850BF" w:rsidRPr="00216965">
        <w:rPr>
          <w:rFonts w:eastAsia="Times New Roman" w:cs="Times New Roman"/>
          <w:szCs w:val="24"/>
        </w:rPr>
        <w:instrText xml:space="preserve"> REF _Ref86494738 \h </w:instrText>
      </w:r>
      <w:r w:rsidR="005850BF" w:rsidRPr="00216965">
        <w:rPr>
          <w:rFonts w:eastAsia="Times New Roman" w:cs="Times New Roman"/>
          <w:szCs w:val="24"/>
        </w:rPr>
      </w:r>
      <w:r w:rsidR="00216965" w:rsidRPr="00216965">
        <w:rPr>
          <w:rFonts w:eastAsia="Times New Roman" w:cs="Times New Roman"/>
          <w:szCs w:val="24"/>
        </w:rPr>
        <w:instrText xml:space="preserve"> \* MERGEFORMAT </w:instrText>
      </w:r>
      <w:r w:rsidR="005850BF" w:rsidRPr="00216965">
        <w:rPr>
          <w:rFonts w:eastAsia="Times New Roman" w:cs="Times New Roman"/>
          <w:szCs w:val="24"/>
        </w:rPr>
        <w:fldChar w:fldCharType="separate"/>
      </w:r>
      <w:r w:rsidR="006E23EA" w:rsidRPr="00216965">
        <w:rPr>
          <w:b/>
        </w:rPr>
        <w:t xml:space="preserve">Table </w:t>
      </w:r>
      <w:r w:rsidR="006E23EA" w:rsidRPr="00216965">
        <w:rPr>
          <w:b/>
          <w:bCs/>
          <w:noProof/>
        </w:rPr>
        <w:t>2</w:t>
      </w:r>
      <w:r w:rsidR="006E23EA" w:rsidRPr="00216965">
        <w:rPr>
          <w:b/>
        </w:rPr>
        <w:noBreakHyphen/>
      </w:r>
      <w:r w:rsidR="006E23EA" w:rsidRPr="00216965">
        <w:rPr>
          <w:b/>
          <w:bCs/>
          <w:noProof/>
        </w:rPr>
        <w:t>5</w:t>
      </w:r>
      <w:r w:rsidR="005850BF" w:rsidRPr="00216965">
        <w:rPr>
          <w:rFonts w:eastAsia="Times New Roman" w:cs="Times New Roman"/>
          <w:szCs w:val="24"/>
        </w:rPr>
        <w:fldChar w:fldCharType="end"/>
      </w:r>
      <w:r w:rsidRPr="00216965">
        <w:rPr>
          <w:rFonts w:eastAsia="Times New Roman" w:cs="Times New Roman"/>
          <w:b/>
          <w:szCs w:val="24"/>
        </w:rPr>
        <w:t>.</w:t>
      </w:r>
    </w:p>
    <w:p w14:paraId="5CC8FC9D" w14:textId="593662ED" w:rsidR="00632101" w:rsidRPr="00216965" w:rsidRDefault="00632101" w:rsidP="008A33DA">
      <w:pPr>
        <w:spacing w:after="0" w:line="360" w:lineRule="auto"/>
        <w:jc w:val="both"/>
        <w:rPr>
          <w:rFonts w:eastAsia="Times New Roman" w:cs="Times New Roman"/>
          <w:szCs w:val="24"/>
        </w:rPr>
      </w:pPr>
      <w:bookmarkStart w:id="72" w:name="_heading=h.26in1rg" w:colFirst="0" w:colLast="0"/>
      <w:bookmarkEnd w:id="72"/>
      <w:r w:rsidRPr="00216965">
        <w:rPr>
          <w:rFonts w:eastAsia="Times New Roman" w:cs="Times New Roman"/>
          <w:szCs w:val="24"/>
        </w:rPr>
        <w:t xml:space="preserve">Some variation is observed in the elemental composition of biochar, depending on the nature of the source material. For example, the coconut shell biochar obtained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{"citationItems":[{"id":"ITEM-1","itemData":{"DOI":"10.1007/s11356-014-3719-5","ISBN":"1135601437","ISSN":"16147499","PMID":"25345923","abstract":"Amending polycyclic aromatic hydrocarbon (PAH)-contaminated soils with biochar may be cheaper and environmentally friendly than other forms of organic materials. This has led to numerous studies on the use of biochar to either bind or stimulate the microbial degradation of organic compounds in soils. However, very little or no attention have been paid to the fact that biochars can give simultaneous impact on PAH fate processes, such as volatilization, sorption and biodegradation. In this review, we raised and considered the following questions: How does biochar affect microbes and microbial activities in the soil? What are the effects of adding biochar on sorption of PAHs? What are the effects of adding biochar on degradation of PAHs? What are the factors that we can manipulate in the laboratory to enhance the capability of biochars to degrade PAHs? A triphasic concept of how biochar can give simultaneous impact on PAH fate processes in soils was proposed, which involves rapid PAH sorption into biochar, subsequent desorption and modification of soil physicochemical properties by biochar, which in turn stimulates microbial degradation of the desorbed PAHs. It is anticipated that biochar can give simultaneous impact on PAH fate processes in soils.","author":[{"dropping-particle":"","family":"Anyika","given":"Chinedum","non-dropping-particle":"","parse-names":false,"suffix":""},{"dropping-particle":"","family":"Abdul Majid","given":"Zaiton","non-dropping-particle":"","parse-names":false,"suffix":""},{"dropping-particle":"","family":"Ibrahim","given":"Zahara","non-dropping-particle":"","parse-names":false,"suffix":""},{"dropping-particle":"","family":"Zakaria","given":"Mohamad Pauzi","non-dropping-particle":"","parse-names":false,"suffix":""},{"dropping-particle":"","family":"Yahya","given":"Adibah","non-dropping-particle":"","parse-names":false,"suffix":""}],"container-title":"Environmental Science and Pollution Research","id":"ITEM-1","issue":"5","issued":{"date-parts":[["2015"]]},"page":"3314-3341","title":"The impact of biochars on sorption and biodegradation of polycyclic aromatic hydrocarbons in soils—a review","type":"article-journal","volume":"22"},"uris":["http://www.mendeley.com/documents/?uuid=624dbb7f-e926-4a35-9237-44c49ac67b2b"]}],"mendeley":{"formattedCitation":"(Anyika et al., 2015)","manualFormatting":"Anyika et al. (2015)","plainTextFormattedCitation":"(Anyika et al., 2015)","previouslyFormattedCitation":"(Anyika et al.,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Anyika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had greater C but lower N and P content compared with livestock biochars. The elemental composition also may be responsible for influencing biochar pH.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Science","id":"ITEM-1","issued":{"date-parts":[["2009"]]},"page":"195-206","title":"Characterization of designer biochar produced at different temperatures and their effects on a loamy sand","type":"article-journal","volume":"3"},"uris":["http://www.mendeley.com/documents/?uuid=3c7aa499-9e43-4da0-9234-dbfde814e0c3"]}],"mendeley":{"formattedCitation":"(Novak et al., 2009)","manualFormatting":"Novak et al. (2009)","plainTextFormattedCitation":"(Novak et al., 2009)","previouslyFormattedCitation":"(Novak et al., 2009)"},"properties":{"noteIndex":0},"schema":"https://github.com/citation-style-language/schema/raw/master/csl-citation.json"}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Novak </w:t>
      </w:r>
      <w:r w:rsidR="009B2252" w:rsidRPr="00216965">
        <w:rPr>
          <w:rFonts w:eastAsia="Times New Roman" w:cs="Times New Roman"/>
          <w:iCs/>
          <w:noProof/>
          <w:szCs w:val="24"/>
        </w:rPr>
        <w:t>et al</w:t>
      </w:r>
      <w:r w:rsidRPr="00216965">
        <w:rPr>
          <w:rFonts w:eastAsia="Times New Roman" w:cs="Times New Roman"/>
          <w:noProof/>
          <w:szCs w:val="24"/>
        </w:rPr>
        <w:t>. (2009)</w:t>
      </w:r>
      <w:r w:rsidRPr="00216965">
        <w:rPr>
          <w:rFonts w:eastAsia="Times New Roman" w:cs="Times New Roman"/>
          <w:szCs w:val="24"/>
        </w:rPr>
        <w:fldChar w:fldCharType="end"/>
      </w:r>
      <w:r w:rsidRPr="00216965">
        <w:rPr>
          <w:rFonts w:eastAsia="Times New Roman" w:cs="Times New Roman"/>
          <w:szCs w:val="24"/>
        </w:rPr>
        <w:t xml:space="preserve"> studied different biochars (peanut hull, pecan shell, poultry litter and switchgrass) and demonstrated that poultry litter biochar had higher pH values than the other biochars due to the Ca and Mg content of the poultry biochar. These observations on mineral composition of biochars are supported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Zhao </w:t>
      </w:r>
      <w:r w:rsidR="009B2252" w:rsidRPr="00216965">
        <w:rPr>
          <w:rFonts w:eastAsia="Times New Roman" w:cs="Times New Roman"/>
          <w:iCs/>
          <w:noProof/>
          <w:szCs w:val="24"/>
        </w:rPr>
        <w:t>et al</w:t>
      </w:r>
      <w:r w:rsidRPr="00216965">
        <w:rPr>
          <w:rFonts w:eastAsia="Times New Roman" w:cs="Times New Roman"/>
          <w:noProof/>
          <w:szCs w:val="24"/>
        </w:rPr>
        <w:t>. (2013)</w:t>
      </w:r>
      <w:r w:rsidRPr="00216965">
        <w:rPr>
          <w:rFonts w:eastAsia="Times New Roman" w:cs="Times New Roman"/>
          <w:szCs w:val="24"/>
        </w:rPr>
        <w:fldChar w:fldCharType="end"/>
      </w:r>
      <w:r w:rsidRPr="00216965">
        <w:rPr>
          <w:rFonts w:eastAsia="Times New Roman" w:cs="Times New Roman"/>
          <w:szCs w:val="24"/>
        </w:rPr>
        <w:t xml:space="preserve">, who concluded that mineral elements of biochars were more influenced by feedstock composition than pyrolysis temperature. </w:t>
      </w:r>
    </w:p>
    <w:p w14:paraId="47501A9C" w14:textId="2F69AE97" w:rsidR="007D2873" w:rsidRPr="00216965" w:rsidRDefault="007D2873" w:rsidP="008A33DA">
      <w:pPr>
        <w:spacing w:after="0" w:line="360" w:lineRule="auto"/>
        <w:jc w:val="both"/>
        <w:rPr>
          <w:rFonts w:eastAsia="Times New Roman" w:cs="Times New Roman"/>
          <w:szCs w:val="24"/>
        </w:rPr>
      </w:pPr>
    </w:p>
    <w:p w14:paraId="045B9EB7" w14:textId="49E48D60" w:rsidR="007D2873" w:rsidRPr="00216965" w:rsidRDefault="007D2873" w:rsidP="008A33DA">
      <w:pPr>
        <w:spacing w:after="0" w:line="360" w:lineRule="auto"/>
        <w:jc w:val="both"/>
        <w:rPr>
          <w:rFonts w:eastAsia="Times New Roman" w:cs="Times New Roman"/>
          <w:szCs w:val="24"/>
        </w:rPr>
      </w:pPr>
    </w:p>
    <w:p w14:paraId="60106CDF" w14:textId="712D8E69" w:rsidR="007D2873" w:rsidRPr="00216965" w:rsidRDefault="007D2873" w:rsidP="008A33DA">
      <w:pPr>
        <w:spacing w:after="0" w:line="360" w:lineRule="auto"/>
        <w:jc w:val="both"/>
        <w:rPr>
          <w:rFonts w:eastAsia="Times New Roman" w:cs="Times New Roman"/>
          <w:szCs w:val="24"/>
        </w:rPr>
      </w:pPr>
    </w:p>
    <w:p w14:paraId="7BBD4575" w14:textId="271E8853" w:rsidR="007D2873" w:rsidRPr="00216965" w:rsidRDefault="007D2873" w:rsidP="008A33DA">
      <w:pPr>
        <w:spacing w:after="0" w:line="360" w:lineRule="auto"/>
        <w:jc w:val="both"/>
        <w:rPr>
          <w:rFonts w:eastAsia="Times New Roman" w:cs="Times New Roman"/>
          <w:szCs w:val="24"/>
        </w:rPr>
      </w:pPr>
    </w:p>
    <w:p w14:paraId="5960A481" w14:textId="6B93C639" w:rsidR="007D2873" w:rsidRPr="00216965" w:rsidRDefault="007D2873" w:rsidP="008A33DA">
      <w:pPr>
        <w:spacing w:after="0" w:line="360" w:lineRule="auto"/>
        <w:jc w:val="both"/>
        <w:rPr>
          <w:rFonts w:eastAsia="Times New Roman" w:cs="Times New Roman"/>
          <w:szCs w:val="24"/>
        </w:rPr>
      </w:pPr>
    </w:p>
    <w:p w14:paraId="1F285EFD" w14:textId="6AD0C123" w:rsidR="007D2873" w:rsidRPr="00216965" w:rsidRDefault="007D2873" w:rsidP="008A33DA">
      <w:pPr>
        <w:spacing w:after="0" w:line="360" w:lineRule="auto"/>
        <w:jc w:val="both"/>
        <w:rPr>
          <w:rFonts w:eastAsia="Times New Roman" w:cs="Times New Roman"/>
          <w:szCs w:val="24"/>
        </w:rPr>
      </w:pPr>
    </w:p>
    <w:p w14:paraId="658E4284" w14:textId="1D9AA3E3" w:rsidR="007D2873" w:rsidRPr="00216965" w:rsidRDefault="007D2873" w:rsidP="008A33DA">
      <w:pPr>
        <w:spacing w:after="0" w:line="360" w:lineRule="auto"/>
        <w:jc w:val="both"/>
        <w:rPr>
          <w:rFonts w:eastAsia="Times New Roman" w:cs="Times New Roman"/>
          <w:szCs w:val="24"/>
        </w:rPr>
      </w:pPr>
    </w:p>
    <w:p w14:paraId="508DFE73" w14:textId="72676A73" w:rsidR="007D2873" w:rsidRPr="00216965" w:rsidRDefault="007D2873" w:rsidP="008A33DA">
      <w:pPr>
        <w:spacing w:after="0" w:line="360" w:lineRule="auto"/>
        <w:jc w:val="both"/>
        <w:rPr>
          <w:rFonts w:eastAsia="Times New Roman" w:cs="Times New Roman"/>
          <w:szCs w:val="24"/>
        </w:rPr>
      </w:pPr>
    </w:p>
    <w:p w14:paraId="046BB478" w14:textId="7CF9476A" w:rsidR="007D2873" w:rsidRPr="00216965" w:rsidRDefault="007D2873" w:rsidP="008A33DA">
      <w:pPr>
        <w:spacing w:after="0" w:line="360" w:lineRule="auto"/>
        <w:jc w:val="both"/>
        <w:rPr>
          <w:rFonts w:eastAsia="Times New Roman" w:cs="Times New Roman"/>
          <w:szCs w:val="24"/>
        </w:rPr>
      </w:pPr>
    </w:p>
    <w:p w14:paraId="0235ABD7" w14:textId="100AE5E0" w:rsidR="00B155FD" w:rsidRPr="00216965" w:rsidRDefault="00B155FD" w:rsidP="008A33DA">
      <w:pPr>
        <w:spacing w:after="0" w:line="360" w:lineRule="auto"/>
        <w:jc w:val="both"/>
        <w:rPr>
          <w:rFonts w:eastAsia="Times New Roman" w:cs="Times New Roman"/>
          <w:szCs w:val="24"/>
        </w:rPr>
      </w:pPr>
    </w:p>
    <w:p w14:paraId="0D216AC4" w14:textId="2E767ADA" w:rsidR="00B155FD" w:rsidRPr="00216965" w:rsidRDefault="00B155FD" w:rsidP="008A33DA">
      <w:pPr>
        <w:spacing w:after="0" w:line="360" w:lineRule="auto"/>
        <w:jc w:val="both"/>
        <w:rPr>
          <w:rFonts w:eastAsia="Times New Roman" w:cs="Times New Roman"/>
          <w:szCs w:val="24"/>
        </w:rPr>
      </w:pPr>
    </w:p>
    <w:p w14:paraId="1253B911" w14:textId="67A4E6DC" w:rsidR="00B155FD" w:rsidRPr="00216965" w:rsidRDefault="00B155FD" w:rsidP="008A33DA">
      <w:pPr>
        <w:spacing w:after="0" w:line="360" w:lineRule="auto"/>
        <w:jc w:val="both"/>
        <w:rPr>
          <w:rFonts w:eastAsia="Times New Roman" w:cs="Times New Roman"/>
          <w:szCs w:val="24"/>
        </w:rPr>
      </w:pPr>
    </w:p>
    <w:p w14:paraId="3C3976EA" w14:textId="77777777" w:rsidR="000665B9" w:rsidRPr="00216965" w:rsidRDefault="000665B9" w:rsidP="008A33DA">
      <w:pPr>
        <w:spacing w:after="0" w:line="360" w:lineRule="auto"/>
        <w:jc w:val="both"/>
        <w:rPr>
          <w:rFonts w:eastAsia="Times New Roman" w:cs="Times New Roman"/>
          <w:szCs w:val="24"/>
        </w:rPr>
      </w:pPr>
    </w:p>
    <w:p w14:paraId="349AF873" w14:textId="672E66E7" w:rsidR="00B155FD" w:rsidRPr="00216965" w:rsidRDefault="00B155FD" w:rsidP="008A33DA">
      <w:pPr>
        <w:spacing w:after="0" w:line="360" w:lineRule="auto"/>
        <w:jc w:val="both"/>
        <w:rPr>
          <w:rFonts w:eastAsia="Times New Roman" w:cs="Times New Roman"/>
          <w:szCs w:val="24"/>
        </w:rPr>
      </w:pPr>
    </w:p>
    <w:p w14:paraId="7A2E89F3" w14:textId="77777777" w:rsidR="00B155FD" w:rsidRPr="00216965" w:rsidRDefault="00B155FD" w:rsidP="008A33DA">
      <w:pPr>
        <w:spacing w:after="0" w:line="360" w:lineRule="auto"/>
        <w:jc w:val="both"/>
        <w:rPr>
          <w:rFonts w:eastAsia="Times New Roman" w:cs="Times New Roman"/>
          <w:szCs w:val="24"/>
        </w:rPr>
      </w:pPr>
    </w:p>
    <w:p w14:paraId="258FFAD0" w14:textId="629D2590" w:rsidR="00632101" w:rsidRPr="00216965" w:rsidRDefault="00085AAA" w:rsidP="00B61794">
      <w:pPr>
        <w:pStyle w:val="Caption"/>
        <w:jc w:val="both"/>
        <w:rPr>
          <w:rFonts w:eastAsia="Times New Roman" w:cs="Times New Roman"/>
          <w:b/>
          <w:bCs w:val="0"/>
          <w:color w:val="000000"/>
          <w:szCs w:val="24"/>
        </w:rPr>
      </w:pPr>
      <w:bookmarkStart w:id="73" w:name="_Ref86494738"/>
      <w:bookmarkStart w:id="74" w:name="_Toc86440361"/>
      <w:bookmarkStart w:id="75" w:name="_Hlk86425888"/>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5</w:t>
      </w:r>
      <w:r w:rsidR="00E569FA" w:rsidRPr="00216965">
        <w:rPr>
          <w:b/>
          <w:bCs w:val="0"/>
        </w:rPr>
        <w:fldChar w:fldCharType="end"/>
      </w:r>
      <w:bookmarkEnd w:id="73"/>
      <w:r w:rsidRPr="00216965">
        <w:t xml:space="preserve"> </w:t>
      </w:r>
      <w:r w:rsidRPr="00216965">
        <w:rPr>
          <w:rFonts w:eastAsia="Times New Roman" w:cs="Times New Roman"/>
          <w:b/>
          <w:bCs w:val="0"/>
          <w:color w:val="000000"/>
          <w:szCs w:val="24"/>
        </w:rPr>
        <w:t>Physicochemical properties and structural characteristics of biochar derived from different source materials produced in a similar range of temperatures.</w:t>
      </w:r>
      <w:bookmarkEnd w:id="74"/>
      <w:r w:rsidR="00B61794" w:rsidRPr="00216965">
        <w:rPr>
          <w:rFonts w:eastAsia="Times New Roman" w:cs="Times New Roman"/>
          <w:b/>
          <w:bCs w:val="0"/>
          <w:color w:val="000000"/>
          <w:szCs w:val="24"/>
        </w:rPr>
        <w:t xml:space="preserve"> </w:t>
      </w:r>
      <w:r w:rsidR="00B61794" w:rsidRPr="00216965">
        <w:rPr>
          <w:rFonts w:eastAsia="Times New Roman" w:cs="Times New Roman"/>
          <w:color w:val="000000"/>
          <w:szCs w:val="24"/>
        </w:rPr>
        <w:t>Data obtained from various authors.</w:t>
      </w:r>
    </w:p>
    <w:tbl>
      <w:tblPr>
        <w:tblW w:w="8789" w:type="dxa"/>
        <w:tblBorders>
          <w:top w:val="single" w:sz="4" w:space="0" w:color="8EAADB"/>
          <w:left w:val="nil"/>
          <w:bottom w:val="nil"/>
          <w:right w:val="nil"/>
          <w:insideH w:val="nil"/>
          <w:insideV w:val="nil"/>
        </w:tblBorders>
        <w:tblLayout w:type="fixed"/>
        <w:tblLook w:val="0400" w:firstRow="0" w:lastRow="0" w:firstColumn="0" w:lastColumn="0" w:noHBand="0" w:noVBand="1"/>
      </w:tblPr>
      <w:tblGrid>
        <w:gridCol w:w="1066"/>
        <w:gridCol w:w="1296"/>
        <w:gridCol w:w="732"/>
        <w:gridCol w:w="658"/>
        <w:gridCol w:w="662"/>
        <w:gridCol w:w="667"/>
        <w:gridCol w:w="654"/>
        <w:gridCol w:w="688"/>
        <w:gridCol w:w="806"/>
        <w:gridCol w:w="1560"/>
      </w:tblGrid>
      <w:tr w:rsidR="00632101" w:rsidRPr="00216965" w14:paraId="09CA44BE" w14:textId="77777777" w:rsidTr="008A33DA">
        <w:tc>
          <w:tcPr>
            <w:tcW w:w="1066" w:type="dxa"/>
            <w:tcBorders>
              <w:top w:val="single" w:sz="4" w:space="0" w:color="000000"/>
              <w:bottom w:val="single" w:sz="4" w:space="0" w:color="000000"/>
            </w:tcBorders>
            <w:shd w:val="clear" w:color="auto" w:fill="A8D08D" w:themeFill="accent6" w:themeFillTint="99"/>
            <w:vAlign w:val="center"/>
          </w:tcPr>
          <w:p w14:paraId="1F95C6FF"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Biochar feedstock</w:t>
            </w:r>
          </w:p>
        </w:tc>
        <w:tc>
          <w:tcPr>
            <w:tcW w:w="1296" w:type="dxa"/>
            <w:tcBorders>
              <w:top w:val="single" w:sz="4" w:space="0" w:color="000000"/>
              <w:bottom w:val="single" w:sz="4" w:space="0" w:color="000000"/>
            </w:tcBorders>
            <w:shd w:val="clear" w:color="auto" w:fill="A8D08D" w:themeFill="accent6" w:themeFillTint="99"/>
            <w:vAlign w:val="center"/>
          </w:tcPr>
          <w:p w14:paraId="4FFFD869"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Temperature</w:t>
            </w:r>
            <w:r w:rsidRPr="00216965">
              <w:rPr>
                <w:rFonts w:eastAsia="Times New Roman" w:cs="Times New Roman"/>
                <w:b/>
                <w:sz w:val="18"/>
                <w:szCs w:val="18"/>
                <w:vertAlign w:val="superscript"/>
              </w:rPr>
              <w:t>a</w:t>
            </w:r>
          </w:p>
        </w:tc>
        <w:tc>
          <w:tcPr>
            <w:tcW w:w="732" w:type="dxa"/>
            <w:tcBorders>
              <w:top w:val="single" w:sz="4" w:space="0" w:color="000000"/>
              <w:bottom w:val="single" w:sz="4" w:space="0" w:color="000000"/>
            </w:tcBorders>
            <w:shd w:val="clear" w:color="auto" w:fill="A8D08D" w:themeFill="accent6" w:themeFillTint="99"/>
            <w:vAlign w:val="center"/>
          </w:tcPr>
          <w:p w14:paraId="251E21B1"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TC</w:t>
            </w:r>
            <w:r w:rsidRPr="00216965">
              <w:rPr>
                <w:rFonts w:eastAsia="Times New Roman" w:cs="Times New Roman"/>
                <w:b/>
                <w:sz w:val="18"/>
                <w:szCs w:val="18"/>
                <w:vertAlign w:val="superscript"/>
              </w:rPr>
              <w:t>b</w:t>
            </w:r>
            <w:r w:rsidRPr="00216965">
              <w:rPr>
                <w:rFonts w:eastAsia="Times New Roman" w:cs="Times New Roman"/>
                <w:b/>
                <w:sz w:val="18"/>
                <w:szCs w:val="18"/>
              </w:rPr>
              <w:t xml:space="preserve"> (%)</w:t>
            </w:r>
          </w:p>
        </w:tc>
        <w:tc>
          <w:tcPr>
            <w:tcW w:w="658" w:type="dxa"/>
            <w:tcBorders>
              <w:top w:val="single" w:sz="4" w:space="0" w:color="000000"/>
              <w:bottom w:val="single" w:sz="4" w:space="0" w:color="000000"/>
            </w:tcBorders>
            <w:shd w:val="clear" w:color="auto" w:fill="A8D08D" w:themeFill="accent6" w:themeFillTint="99"/>
            <w:vAlign w:val="center"/>
          </w:tcPr>
          <w:p w14:paraId="0FFF4C36"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Yield (%)</w:t>
            </w:r>
          </w:p>
        </w:tc>
        <w:tc>
          <w:tcPr>
            <w:tcW w:w="662" w:type="dxa"/>
            <w:tcBorders>
              <w:top w:val="single" w:sz="4" w:space="0" w:color="000000"/>
              <w:bottom w:val="single" w:sz="4" w:space="0" w:color="000000"/>
            </w:tcBorders>
            <w:shd w:val="clear" w:color="auto" w:fill="A8D08D" w:themeFill="accent6" w:themeFillTint="99"/>
            <w:vAlign w:val="center"/>
          </w:tcPr>
          <w:p w14:paraId="501B5CFA"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VM</w:t>
            </w:r>
            <w:r w:rsidRPr="00216965">
              <w:rPr>
                <w:rFonts w:eastAsia="Times New Roman" w:cs="Times New Roman"/>
                <w:b/>
                <w:sz w:val="18"/>
                <w:szCs w:val="18"/>
                <w:vertAlign w:val="superscript"/>
              </w:rPr>
              <w:t xml:space="preserve">c </w:t>
            </w:r>
            <w:r w:rsidRPr="00216965">
              <w:rPr>
                <w:rFonts w:eastAsia="Times New Roman" w:cs="Times New Roman"/>
                <w:b/>
                <w:sz w:val="18"/>
                <w:szCs w:val="18"/>
              </w:rPr>
              <w:t>(%)</w:t>
            </w:r>
          </w:p>
        </w:tc>
        <w:tc>
          <w:tcPr>
            <w:tcW w:w="667" w:type="dxa"/>
            <w:tcBorders>
              <w:top w:val="single" w:sz="4" w:space="0" w:color="000000"/>
              <w:bottom w:val="single" w:sz="4" w:space="0" w:color="000000"/>
            </w:tcBorders>
            <w:shd w:val="clear" w:color="auto" w:fill="A8D08D" w:themeFill="accent6" w:themeFillTint="99"/>
            <w:vAlign w:val="center"/>
          </w:tcPr>
          <w:p w14:paraId="44CAC6DA"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Ash (%)</w:t>
            </w:r>
          </w:p>
        </w:tc>
        <w:tc>
          <w:tcPr>
            <w:tcW w:w="654" w:type="dxa"/>
            <w:tcBorders>
              <w:top w:val="single" w:sz="4" w:space="0" w:color="000000"/>
              <w:bottom w:val="single" w:sz="4" w:space="0" w:color="000000"/>
            </w:tcBorders>
            <w:shd w:val="clear" w:color="auto" w:fill="A8D08D" w:themeFill="accent6" w:themeFillTint="99"/>
            <w:vAlign w:val="center"/>
          </w:tcPr>
          <w:p w14:paraId="323B5F7B"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pH</w:t>
            </w:r>
          </w:p>
        </w:tc>
        <w:tc>
          <w:tcPr>
            <w:tcW w:w="688" w:type="dxa"/>
            <w:tcBorders>
              <w:top w:val="single" w:sz="4" w:space="0" w:color="000000"/>
              <w:bottom w:val="single" w:sz="4" w:space="0" w:color="000000"/>
            </w:tcBorders>
            <w:shd w:val="clear" w:color="auto" w:fill="A8D08D" w:themeFill="accent6" w:themeFillTint="99"/>
            <w:vAlign w:val="center"/>
          </w:tcPr>
          <w:p w14:paraId="2ACAB3B2"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CEC</w:t>
            </w:r>
            <w:r w:rsidRPr="00216965">
              <w:rPr>
                <w:rFonts w:eastAsia="Times New Roman" w:cs="Times New Roman"/>
                <w:b/>
                <w:sz w:val="18"/>
                <w:szCs w:val="18"/>
                <w:vertAlign w:val="superscript"/>
              </w:rPr>
              <w:t>d</w:t>
            </w:r>
            <w:r w:rsidRPr="00216965">
              <w:rPr>
                <w:rFonts w:eastAsia="Times New Roman" w:cs="Times New Roman"/>
                <w:b/>
                <w:sz w:val="18"/>
                <w:szCs w:val="18"/>
              </w:rPr>
              <w:t xml:space="preserve"> (cmol kg</w:t>
            </w:r>
            <w:r w:rsidRPr="00216965">
              <w:rPr>
                <w:rFonts w:eastAsia="Times New Roman" w:cs="Times New Roman"/>
                <w:b/>
                <w:sz w:val="18"/>
                <w:szCs w:val="18"/>
                <w:vertAlign w:val="superscript"/>
              </w:rPr>
              <w:t>-1</w:t>
            </w:r>
            <w:r w:rsidRPr="00216965">
              <w:rPr>
                <w:rFonts w:eastAsia="Times New Roman" w:cs="Times New Roman"/>
                <w:b/>
                <w:sz w:val="18"/>
                <w:szCs w:val="18"/>
              </w:rPr>
              <w:t>)</w:t>
            </w:r>
          </w:p>
        </w:tc>
        <w:tc>
          <w:tcPr>
            <w:tcW w:w="806" w:type="dxa"/>
            <w:tcBorders>
              <w:top w:val="single" w:sz="4" w:space="0" w:color="000000"/>
              <w:bottom w:val="single" w:sz="4" w:space="0" w:color="000000"/>
            </w:tcBorders>
            <w:shd w:val="clear" w:color="auto" w:fill="A8D08D" w:themeFill="accent6" w:themeFillTint="99"/>
            <w:vAlign w:val="center"/>
          </w:tcPr>
          <w:p w14:paraId="3D5C8E7A"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SA (m</w:t>
            </w:r>
            <w:r w:rsidRPr="00216965">
              <w:rPr>
                <w:rFonts w:eastAsia="Times New Roman" w:cs="Times New Roman"/>
                <w:b/>
                <w:sz w:val="18"/>
                <w:szCs w:val="18"/>
                <w:vertAlign w:val="superscript"/>
              </w:rPr>
              <w:t>2</w:t>
            </w:r>
            <w:r w:rsidRPr="00216965">
              <w:rPr>
                <w:rFonts w:eastAsia="Times New Roman" w:cs="Times New Roman"/>
                <w:b/>
                <w:sz w:val="18"/>
                <w:szCs w:val="18"/>
              </w:rPr>
              <w:t>g</w:t>
            </w:r>
            <w:r w:rsidRPr="00216965">
              <w:rPr>
                <w:rFonts w:eastAsia="Times New Roman" w:cs="Times New Roman"/>
                <w:b/>
                <w:sz w:val="18"/>
                <w:szCs w:val="18"/>
                <w:vertAlign w:val="superscript"/>
              </w:rPr>
              <w:t>-1</w:t>
            </w:r>
            <w:r w:rsidRPr="00216965">
              <w:rPr>
                <w:rFonts w:eastAsia="Times New Roman" w:cs="Times New Roman"/>
                <w:b/>
                <w:sz w:val="18"/>
                <w:szCs w:val="18"/>
              </w:rPr>
              <w:t>)</w:t>
            </w:r>
          </w:p>
        </w:tc>
        <w:tc>
          <w:tcPr>
            <w:tcW w:w="1560" w:type="dxa"/>
            <w:tcBorders>
              <w:top w:val="single" w:sz="4" w:space="0" w:color="000000"/>
              <w:bottom w:val="single" w:sz="4" w:space="0" w:color="000000"/>
            </w:tcBorders>
            <w:shd w:val="clear" w:color="auto" w:fill="A8D08D" w:themeFill="accent6" w:themeFillTint="99"/>
            <w:vAlign w:val="center"/>
          </w:tcPr>
          <w:p w14:paraId="22D2BDDB" w14:textId="77777777" w:rsidR="00632101" w:rsidRPr="00216965" w:rsidRDefault="00632101" w:rsidP="00A0457B">
            <w:pPr>
              <w:jc w:val="center"/>
              <w:rPr>
                <w:rFonts w:eastAsia="Times New Roman" w:cs="Times New Roman"/>
                <w:b/>
              </w:rPr>
            </w:pPr>
            <w:r w:rsidRPr="00216965">
              <w:rPr>
                <w:rFonts w:eastAsia="Times New Roman" w:cs="Times New Roman"/>
                <w:b/>
                <w:sz w:val="18"/>
                <w:szCs w:val="18"/>
              </w:rPr>
              <w:t>Source</w:t>
            </w:r>
          </w:p>
        </w:tc>
      </w:tr>
      <w:tr w:rsidR="00632101" w:rsidRPr="00216965" w14:paraId="1324D7C5" w14:textId="77777777" w:rsidTr="008A33DA">
        <w:tc>
          <w:tcPr>
            <w:tcW w:w="1066" w:type="dxa"/>
          </w:tcPr>
          <w:p w14:paraId="2FBBD9C2" w14:textId="77777777" w:rsidR="00632101" w:rsidRPr="00216965" w:rsidRDefault="00632101" w:rsidP="00A0457B">
            <w:pPr>
              <w:rPr>
                <w:rFonts w:eastAsia="Times New Roman" w:cs="Times New Roman"/>
              </w:rPr>
            </w:pPr>
            <w:r w:rsidRPr="00216965">
              <w:rPr>
                <w:rFonts w:eastAsia="Times New Roman" w:cs="Times New Roman"/>
                <w:sz w:val="18"/>
                <w:szCs w:val="18"/>
              </w:rPr>
              <w:t>Soy bean</w:t>
            </w:r>
          </w:p>
        </w:tc>
        <w:tc>
          <w:tcPr>
            <w:tcW w:w="1296" w:type="dxa"/>
          </w:tcPr>
          <w:p w14:paraId="549DABCF"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3FD51737" w14:textId="77777777" w:rsidR="00632101" w:rsidRPr="00216965" w:rsidRDefault="00632101" w:rsidP="00A0457B">
            <w:pPr>
              <w:rPr>
                <w:rFonts w:eastAsia="Times New Roman" w:cs="Times New Roman"/>
              </w:rPr>
            </w:pPr>
            <w:r w:rsidRPr="00216965">
              <w:rPr>
                <w:rFonts w:eastAsia="Times New Roman" w:cs="Times New Roman"/>
                <w:sz w:val="18"/>
                <w:szCs w:val="18"/>
              </w:rPr>
              <w:t>57.5</w:t>
            </w:r>
          </w:p>
        </w:tc>
        <w:tc>
          <w:tcPr>
            <w:tcW w:w="658" w:type="dxa"/>
          </w:tcPr>
          <w:p w14:paraId="6CE86BD9" w14:textId="77777777" w:rsidR="00632101" w:rsidRPr="00216965" w:rsidRDefault="00632101" w:rsidP="00A0457B">
            <w:pPr>
              <w:rPr>
                <w:rFonts w:eastAsia="Times New Roman" w:cs="Times New Roman"/>
              </w:rPr>
            </w:pPr>
          </w:p>
        </w:tc>
        <w:tc>
          <w:tcPr>
            <w:tcW w:w="662" w:type="dxa"/>
          </w:tcPr>
          <w:p w14:paraId="2B7E5FFD" w14:textId="77777777" w:rsidR="00632101" w:rsidRPr="00216965" w:rsidRDefault="00632101" w:rsidP="00A0457B">
            <w:pPr>
              <w:rPr>
                <w:rFonts w:eastAsia="Times New Roman" w:cs="Times New Roman"/>
              </w:rPr>
            </w:pPr>
          </w:p>
        </w:tc>
        <w:tc>
          <w:tcPr>
            <w:tcW w:w="667" w:type="dxa"/>
          </w:tcPr>
          <w:p w14:paraId="2A354600" w14:textId="77777777" w:rsidR="00632101" w:rsidRPr="00216965" w:rsidRDefault="00632101" w:rsidP="00A0457B">
            <w:pPr>
              <w:rPr>
                <w:rFonts w:eastAsia="Times New Roman" w:cs="Times New Roman"/>
              </w:rPr>
            </w:pPr>
            <w:r w:rsidRPr="00216965">
              <w:rPr>
                <w:rFonts w:eastAsia="Times New Roman" w:cs="Times New Roman"/>
                <w:sz w:val="18"/>
                <w:szCs w:val="18"/>
              </w:rPr>
              <w:t>17.7</w:t>
            </w:r>
          </w:p>
        </w:tc>
        <w:tc>
          <w:tcPr>
            <w:tcW w:w="654" w:type="dxa"/>
          </w:tcPr>
          <w:p w14:paraId="58CB46B7" w14:textId="77777777" w:rsidR="00632101" w:rsidRPr="00216965" w:rsidRDefault="00632101" w:rsidP="00A0457B">
            <w:pPr>
              <w:rPr>
                <w:rFonts w:eastAsia="Times New Roman" w:cs="Times New Roman"/>
              </w:rPr>
            </w:pPr>
            <w:r w:rsidRPr="00216965">
              <w:rPr>
                <w:rFonts w:eastAsia="Times New Roman" w:cs="Times New Roman"/>
                <w:sz w:val="18"/>
                <w:szCs w:val="18"/>
              </w:rPr>
              <w:t>9.2</w:t>
            </w:r>
          </w:p>
        </w:tc>
        <w:tc>
          <w:tcPr>
            <w:tcW w:w="688" w:type="dxa"/>
          </w:tcPr>
          <w:p w14:paraId="0964B6B9" w14:textId="77777777" w:rsidR="00632101" w:rsidRPr="00216965" w:rsidRDefault="00632101" w:rsidP="00A0457B">
            <w:pPr>
              <w:rPr>
                <w:rFonts w:eastAsia="Times New Roman" w:cs="Times New Roman"/>
              </w:rPr>
            </w:pPr>
          </w:p>
        </w:tc>
        <w:tc>
          <w:tcPr>
            <w:tcW w:w="806" w:type="dxa"/>
          </w:tcPr>
          <w:p w14:paraId="77C27B52" w14:textId="77777777" w:rsidR="00632101" w:rsidRPr="00216965" w:rsidRDefault="00632101" w:rsidP="00A0457B">
            <w:pPr>
              <w:rPr>
                <w:rFonts w:eastAsia="Times New Roman" w:cs="Times New Roman"/>
              </w:rPr>
            </w:pPr>
            <w:r w:rsidRPr="00216965">
              <w:rPr>
                <w:rFonts w:eastAsia="Times New Roman" w:cs="Times New Roman"/>
                <w:sz w:val="18"/>
                <w:szCs w:val="18"/>
              </w:rPr>
              <w:t>17.50</w:t>
            </w:r>
          </w:p>
        </w:tc>
        <w:tc>
          <w:tcPr>
            <w:tcW w:w="1560" w:type="dxa"/>
          </w:tcPr>
          <w:p w14:paraId="7B01E7C1" w14:textId="1FB7F0E5"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030AA5F9" w14:textId="77777777" w:rsidTr="008A33DA">
        <w:tc>
          <w:tcPr>
            <w:tcW w:w="1066" w:type="dxa"/>
          </w:tcPr>
          <w:p w14:paraId="07764F66" w14:textId="77777777" w:rsidR="00632101" w:rsidRPr="00216965" w:rsidRDefault="00632101" w:rsidP="00A0457B">
            <w:pPr>
              <w:rPr>
                <w:rFonts w:eastAsia="Times New Roman" w:cs="Times New Roman"/>
              </w:rPr>
            </w:pPr>
            <w:r w:rsidRPr="00216965">
              <w:rPr>
                <w:rFonts w:eastAsia="Times New Roman" w:cs="Times New Roman"/>
                <w:sz w:val="18"/>
                <w:szCs w:val="18"/>
              </w:rPr>
              <w:t>Corn stalk</w:t>
            </w:r>
          </w:p>
        </w:tc>
        <w:tc>
          <w:tcPr>
            <w:tcW w:w="1296" w:type="dxa"/>
          </w:tcPr>
          <w:p w14:paraId="60D0C3AF"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43F0034A" w14:textId="77777777" w:rsidR="00632101" w:rsidRPr="00216965" w:rsidRDefault="00632101" w:rsidP="00A0457B">
            <w:pPr>
              <w:rPr>
                <w:rFonts w:eastAsia="Times New Roman" w:cs="Times New Roman"/>
              </w:rPr>
            </w:pPr>
            <w:r w:rsidRPr="00216965">
              <w:rPr>
                <w:rFonts w:eastAsia="Times New Roman" w:cs="Times New Roman"/>
                <w:sz w:val="18"/>
                <w:szCs w:val="18"/>
              </w:rPr>
              <w:t>62.2</w:t>
            </w:r>
          </w:p>
        </w:tc>
        <w:tc>
          <w:tcPr>
            <w:tcW w:w="658" w:type="dxa"/>
          </w:tcPr>
          <w:p w14:paraId="69BB0B3E" w14:textId="77777777" w:rsidR="00632101" w:rsidRPr="00216965" w:rsidRDefault="00632101" w:rsidP="00A0457B">
            <w:pPr>
              <w:rPr>
                <w:rFonts w:eastAsia="Times New Roman" w:cs="Times New Roman"/>
              </w:rPr>
            </w:pPr>
          </w:p>
        </w:tc>
        <w:tc>
          <w:tcPr>
            <w:tcW w:w="662" w:type="dxa"/>
          </w:tcPr>
          <w:p w14:paraId="47AB2FCD" w14:textId="77777777" w:rsidR="00632101" w:rsidRPr="00216965" w:rsidRDefault="00632101" w:rsidP="00A0457B">
            <w:pPr>
              <w:rPr>
                <w:rFonts w:eastAsia="Times New Roman" w:cs="Times New Roman"/>
              </w:rPr>
            </w:pPr>
          </w:p>
        </w:tc>
        <w:tc>
          <w:tcPr>
            <w:tcW w:w="667" w:type="dxa"/>
          </w:tcPr>
          <w:p w14:paraId="0D55A2FE" w14:textId="77777777" w:rsidR="00632101" w:rsidRPr="00216965" w:rsidRDefault="00632101" w:rsidP="00A0457B">
            <w:pPr>
              <w:rPr>
                <w:rFonts w:eastAsia="Times New Roman" w:cs="Times New Roman"/>
              </w:rPr>
            </w:pPr>
            <w:r w:rsidRPr="00216965">
              <w:rPr>
                <w:rFonts w:eastAsia="Times New Roman" w:cs="Times New Roman"/>
                <w:sz w:val="18"/>
                <w:szCs w:val="18"/>
              </w:rPr>
              <w:t>15.2</w:t>
            </w:r>
          </w:p>
        </w:tc>
        <w:tc>
          <w:tcPr>
            <w:tcW w:w="654" w:type="dxa"/>
          </w:tcPr>
          <w:p w14:paraId="295AA3BF" w14:textId="77777777" w:rsidR="00632101" w:rsidRPr="00216965" w:rsidRDefault="00632101" w:rsidP="00A0457B">
            <w:pPr>
              <w:rPr>
                <w:rFonts w:eastAsia="Times New Roman" w:cs="Times New Roman"/>
              </w:rPr>
            </w:pPr>
            <w:r w:rsidRPr="00216965">
              <w:rPr>
                <w:rFonts w:eastAsia="Times New Roman" w:cs="Times New Roman"/>
                <w:sz w:val="18"/>
                <w:szCs w:val="18"/>
              </w:rPr>
              <w:t>8.9</w:t>
            </w:r>
          </w:p>
        </w:tc>
        <w:tc>
          <w:tcPr>
            <w:tcW w:w="688" w:type="dxa"/>
          </w:tcPr>
          <w:p w14:paraId="15489614" w14:textId="77777777" w:rsidR="00632101" w:rsidRPr="00216965" w:rsidRDefault="00632101" w:rsidP="00A0457B">
            <w:pPr>
              <w:rPr>
                <w:rFonts w:eastAsia="Times New Roman" w:cs="Times New Roman"/>
              </w:rPr>
            </w:pPr>
          </w:p>
        </w:tc>
        <w:tc>
          <w:tcPr>
            <w:tcW w:w="806" w:type="dxa"/>
          </w:tcPr>
          <w:p w14:paraId="1CB23FE1" w14:textId="77777777" w:rsidR="00632101" w:rsidRPr="00216965" w:rsidRDefault="00632101" w:rsidP="00A0457B">
            <w:pPr>
              <w:rPr>
                <w:rFonts w:eastAsia="Times New Roman" w:cs="Times New Roman"/>
              </w:rPr>
            </w:pPr>
            <w:r w:rsidRPr="00216965">
              <w:rPr>
                <w:rFonts w:eastAsia="Times New Roman" w:cs="Times New Roman"/>
                <w:sz w:val="18"/>
                <w:szCs w:val="18"/>
              </w:rPr>
              <w:t>19.60</w:t>
            </w:r>
          </w:p>
        </w:tc>
        <w:tc>
          <w:tcPr>
            <w:tcW w:w="1560" w:type="dxa"/>
          </w:tcPr>
          <w:p w14:paraId="7D496091" w14:textId="62F095BC"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7B99A022" w14:textId="77777777" w:rsidTr="008A33DA">
        <w:tc>
          <w:tcPr>
            <w:tcW w:w="1066" w:type="dxa"/>
          </w:tcPr>
          <w:p w14:paraId="4A8DE858" w14:textId="77777777" w:rsidR="00632101" w:rsidRPr="00216965" w:rsidRDefault="00632101" w:rsidP="00A0457B">
            <w:pPr>
              <w:rPr>
                <w:rFonts w:eastAsia="Times New Roman" w:cs="Times New Roman"/>
              </w:rPr>
            </w:pPr>
            <w:r w:rsidRPr="00216965">
              <w:rPr>
                <w:rFonts w:eastAsia="Times New Roman" w:cs="Times New Roman"/>
                <w:sz w:val="18"/>
                <w:szCs w:val="18"/>
              </w:rPr>
              <w:t>Rice stalk</w:t>
            </w:r>
          </w:p>
        </w:tc>
        <w:tc>
          <w:tcPr>
            <w:tcW w:w="1296" w:type="dxa"/>
          </w:tcPr>
          <w:p w14:paraId="41175C3A"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3839E8E6" w14:textId="77777777" w:rsidR="00632101" w:rsidRPr="00216965" w:rsidRDefault="00632101" w:rsidP="00A0457B">
            <w:pPr>
              <w:rPr>
                <w:rFonts w:eastAsia="Times New Roman" w:cs="Times New Roman"/>
              </w:rPr>
            </w:pPr>
            <w:r w:rsidRPr="00216965">
              <w:rPr>
                <w:rFonts w:eastAsia="Times New Roman" w:cs="Times New Roman"/>
                <w:sz w:val="18"/>
                <w:szCs w:val="18"/>
              </w:rPr>
              <w:t>52.4</w:t>
            </w:r>
          </w:p>
        </w:tc>
        <w:tc>
          <w:tcPr>
            <w:tcW w:w="658" w:type="dxa"/>
          </w:tcPr>
          <w:p w14:paraId="20A89281" w14:textId="77777777" w:rsidR="00632101" w:rsidRPr="00216965" w:rsidRDefault="00632101" w:rsidP="00A0457B">
            <w:pPr>
              <w:rPr>
                <w:rFonts w:eastAsia="Times New Roman" w:cs="Times New Roman"/>
              </w:rPr>
            </w:pPr>
          </w:p>
        </w:tc>
        <w:tc>
          <w:tcPr>
            <w:tcW w:w="662" w:type="dxa"/>
          </w:tcPr>
          <w:p w14:paraId="7E091542" w14:textId="77777777" w:rsidR="00632101" w:rsidRPr="00216965" w:rsidRDefault="00632101" w:rsidP="00A0457B">
            <w:pPr>
              <w:rPr>
                <w:rFonts w:eastAsia="Times New Roman" w:cs="Times New Roman"/>
              </w:rPr>
            </w:pPr>
          </w:p>
        </w:tc>
        <w:tc>
          <w:tcPr>
            <w:tcW w:w="667" w:type="dxa"/>
          </w:tcPr>
          <w:p w14:paraId="3D81803C" w14:textId="77777777" w:rsidR="00632101" w:rsidRPr="00216965" w:rsidRDefault="00632101" w:rsidP="00A0457B">
            <w:pPr>
              <w:rPr>
                <w:rFonts w:eastAsia="Times New Roman" w:cs="Times New Roman"/>
              </w:rPr>
            </w:pPr>
            <w:r w:rsidRPr="00216965">
              <w:rPr>
                <w:rFonts w:eastAsia="Times New Roman" w:cs="Times New Roman"/>
                <w:sz w:val="18"/>
                <w:szCs w:val="18"/>
              </w:rPr>
              <w:t>27.1</w:t>
            </w:r>
          </w:p>
        </w:tc>
        <w:tc>
          <w:tcPr>
            <w:tcW w:w="654" w:type="dxa"/>
          </w:tcPr>
          <w:p w14:paraId="2C214FFF" w14:textId="77777777" w:rsidR="00632101" w:rsidRPr="00216965" w:rsidRDefault="00632101" w:rsidP="00A0457B">
            <w:pPr>
              <w:rPr>
                <w:rFonts w:eastAsia="Times New Roman" w:cs="Times New Roman"/>
              </w:rPr>
            </w:pPr>
            <w:r w:rsidRPr="00216965">
              <w:rPr>
                <w:rFonts w:eastAsia="Times New Roman" w:cs="Times New Roman"/>
                <w:sz w:val="18"/>
                <w:szCs w:val="18"/>
              </w:rPr>
              <w:t>9.5</w:t>
            </w:r>
          </w:p>
        </w:tc>
        <w:tc>
          <w:tcPr>
            <w:tcW w:w="688" w:type="dxa"/>
          </w:tcPr>
          <w:p w14:paraId="1506A715" w14:textId="77777777" w:rsidR="00632101" w:rsidRPr="00216965" w:rsidRDefault="00632101" w:rsidP="00A0457B">
            <w:pPr>
              <w:rPr>
                <w:rFonts w:eastAsia="Times New Roman" w:cs="Times New Roman"/>
              </w:rPr>
            </w:pPr>
          </w:p>
        </w:tc>
        <w:tc>
          <w:tcPr>
            <w:tcW w:w="806" w:type="dxa"/>
          </w:tcPr>
          <w:p w14:paraId="3B448202" w14:textId="77777777" w:rsidR="00632101" w:rsidRPr="00216965" w:rsidRDefault="00632101" w:rsidP="00A0457B">
            <w:pPr>
              <w:rPr>
                <w:rFonts w:eastAsia="Times New Roman" w:cs="Times New Roman"/>
              </w:rPr>
            </w:pPr>
            <w:r w:rsidRPr="00216965">
              <w:rPr>
                <w:rFonts w:eastAsia="Times New Roman" w:cs="Times New Roman"/>
                <w:sz w:val="18"/>
                <w:szCs w:val="18"/>
              </w:rPr>
              <w:t>25.80</w:t>
            </w:r>
          </w:p>
        </w:tc>
        <w:tc>
          <w:tcPr>
            <w:tcW w:w="1560" w:type="dxa"/>
          </w:tcPr>
          <w:p w14:paraId="4E3C551A" w14:textId="5E85E19A"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0EB6101E" w14:textId="77777777" w:rsidTr="008A33DA">
        <w:tc>
          <w:tcPr>
            <w:tcW w:w="1066" w:type="dxa"/>
          </w:tcPr>
          <w:p w14:paraId="4FA12273" w14:textId="77777777" w:rsidR="00632101" w:rsidRPr="00216965" w:rsidRDefault="00632101" w:rsidP="00A0457B">
            <w:pPr>
              <w:rPr>
                <w:rFonts w:eastAsia="Times New Roman" w:cs="Times New Roman"/>
              </w:rPr>
            </w:pPr>
            <w:r w:rsidRPr="00216965">
              <w:rPr>
                <w:rFonts w:eastAsia="Times New Roman" w:cs="Times New Roman"/>
                <w:sz w:val="18"/>
                <w:szCs w:val="18"/>
              </w:rPr>
              <w:t>Poultry manure</w:t>
            </w:r>
          </w:p>
        </w:tc>
        <w:tc>
          <w:tcPr>
            <w:tcW w:w="1296" w:type="dxa"/>
          </w:tcPr>
          <w:p w14:paraId="73B37768"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46F8C49F" w14:textId="77777777" w:rsidR="00632101" w:rsidRPr="00216965" w:rsidRDefault="00632101" w:rsidP="00A0457B">
            <w:pPr>
              <w:rPr>
                <w:rFonts w:eastAsia="Times New Roman" w:cs="Times New Roman"/>
              </w:rPr>
            </w:pPr>
            <w:r w:rsidRPr="00216965">
              <w:rPr>
                <w:rFonts w:eastAsia="Times New Roman" w:cs="Times New Roman"/>
                <w:sz w:val="18"/>
                <w:szCs w:val="18"/>
              </w:rPr>
              <w:t>43.8</w:t>
            </w:r>
          </w:p>
        </w:tc>
        <w:tc>
          <w:tcPr>
            <w:tcW w:w="658" w:type="dxa"/>
          </w:tcPr>
          <w:p w14:paraId="509BDAB5" w14:textId="77777777" w:rsidR="00632101" w:rsidRPr="00216965" w:rsidRDefault="00632101" w:rsidP="00A0457B">
            <w:pPr>
              <w:rPr>
                <w:rFonts w:eastAsia="Times New Roman" w:cs="Times New Roman"/>
              </w:rPr>
            </w:pPr>
          </w:p>
        </w:tc>
        <w:tc>
          <w:tcPr>
            <w:tcW w:w="662" w:type="dxa"/>
          </w:tcPr>
          <w:p w14:paraId="06222E85" w14:textId="77777777" w:rsidR="00632101" w:rsidRPr="00216965" w:rsidRDefault="00632101" w:rsidP="00A0457B">
            <w:pPr>
              <w:rPr>
                <w:rFonts w:eastAsia="Times New Roman" w:cs="Times New Roman"/>
              </w:rPr>
            </w:pPr>
          </w:p>
        </w:tc>
        <w:tc>
          <w:tcPr>
            <w:tcW w:w="667" w:type="dxa"/>
          </w:tcPr>
          <w:p w14:paraId="685F52D8" w14:textId="77777777" w:rsidR="00632101" w:rsidRPr="00216965" w:rsidRDefault="00632101" w:rsidP="00A0457B">
            <w:pPr>
              <w:rPr>
                <w:rFonts w:eastAsia="Times New Roman" w:cs="Times New Roman"/>
              </w:rPr>
            </w:pPr>
            <w:r w:rsidRPr="00216965">
              <w:rPr>
                <w:rFonts w:eastAsia="Times New Roman" w:cs="Times New Roman"/>
                <w:sz w:val="18"/>
                <w:szCs w:val="18"/>
              </w:rPr>
              <w:t>37.9</w:t>
            </w:r>
          </w:p>
        </w:tc>
        <w:tc>
          <w:tcPr>
            <w:tcW w:w="654" w:type="dxa"/>
          </w:tcPr>
          <w:p w14:paraId="2BFA20F4" w14:textId="77777777" w:rsidR="00632101" w:rsidRPr="00216965" w:rsidRDefault="00632101" w:rsidP="00A0457B">
            <w:pPr>
              <w:rPr>
                <w:rFonts w:eastAsia="Times New Roman" w:cs="Times New Roman"/>
              </w:rPr>
            </w:pPr>
            <w:r w:rsidRPr="00216965">
              <w:rPr>
                <w:rFonts w:eastAsia="Times New Roman" w:cs="Times New Roman"/>
                <w:sz w:val="18"/>
                <w:szCs w:val="18"/>
              </w:rPr>
              <w:t>8.1</w:t>
            </w:r>
          </w:p>
        </w:tc>
        <w:tc>
          <w:tcPr>
            <w:tcW w:w="688" w:type="dxa"/>
          </w:tcPr>
          <w:p w14:paraId="35CF0D7A" w14:textId="77777777" w:rsidR="00632101" w:rsidRPr="00216965" w:rsidRDefault="00632101" w:rsidP="00A0457B">
            <w:pPr>
              <w:rPr>
                <w:rFonts w:eastAsia="Times New Roman" w:cs="Times New Roman"/>
              </w:rPr>
            </w:pPr>
          </w:p>
        </w:tc>
        <w:tc>
          <w:tcPr>
            <w:tcW w:w="806" w:type="dxa"/>
          </w:tcPr>
          <w:p w14:paraId="6344DD2E" w14:textId="77777777" w:rsidR="00632101" w:rsidRPr="00216965" w:rsidRDefault="00632101" w:rsidP="00A0457B">
            <w:pPr>
              <w:rPr>
                <w:rFonts w:eastAsia="Times New Roman" w:cs="Times New Roman"/>
              </w:rPr>
            </w:pPr>
            <w:r w:rsidRPr="00216965">
              <w:rPr>
                <w:rFonts w:eastAsia="Times New Roman" w:cs="Times New Roman"/>
                <w:sz w:val="18"/>
                <w:szCs w:val="18"/>
              </w:rPr>
              <w:t>19.40</w:t>
            </w:r>
          </w:p>
        </w:tc>
        <w:tc>
          <w:tcPr>
            <w:tcW w:w="1560" w:type="dxa"/>
          </w:tcPr>
          <w:p w14:paraId="63E62213" w14:textId="75DF9730"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55B93BAF" w14:textId="77777777" w:rsidTr="008A33DA">
        <w:tc>
          <w:tcPr>
            <w:tcW w:w="1066" w:type="dxa"/>
          </w:tcPr>
          <w:p w14:paraId="799500DF" w14:textId="77777777" w:rsidR="00632101" w:rsidRPr="00216965" w:rsidRDefault="00632101" w:rsidP="00A0457B">
            <w:pPr>
              <w:rPr>
                <w:rFonts w:eastAsia="Times New Roman" w:cs="Times New Roman"/>
              </w:rPr>
            </w:pPr>
            <w:r w:rsidRPr="00216965">
              <w:rPr>
                <w:rFonts w:eastAsia="Times New Roman" w:cs="Times New Roman"/>
                <w:sz w:val="18"/>
                <w:szCs w:val="18"/>
              </w:rPr>
              <w:t>Cattle manure</w:t>
            </w:r>
          </w:p>
        </w:tc>
        <w:tc>
          <w:tcPr>
            <w:tcW w:w="1296" w:type="dxa"/>
          </w:tcPr>
          <w:p w14:paraId="644F7122"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56B40496" w14:textId="77777777" w:rsidR="00632101" w:rsidRPr="00216965" w:rsidRDefault="00632101" w:rsidP="00A0457B">
            <w:pPr>
              <w:rPr>
                <w:rFonts w:eastAsia="Times New Roman" w:cs="Times New Roman"/>
              </w:rPr>
            </w:pPr>
            <w:r w:rsidRPr="00216965">
              <w:rPr>
                <w:rFonts w:eastAsia="Times New Roman" w:cs="Times New Roman"/>
                <w:sz w:val="18"/>
                <w:szCs w:val="18"/>
              </w:rPr>
              <w:t>55.5</w:t>
            </w:r>
          </w:p>
        </w:tc>
        <w:tc>
          <w:tcPr>
            <w:tcW w:w="658" w:type="dxa"/>
          </w:tcPr>
          <w:p w14:paraId="5320C329" w14:textId="77777777" w:rsidR="00632101" w:rsidRPr="00216965" w:rsidRDefault="00632101" w:rsidP="00A0457B">
            <w:pPr>
              <w:rPr>
                <w:rFonts w:eastAsia="Times New Roman" w:cs="Times New Roman"/>
              </w:rPr>
            </w:pPr>
          </w:p>
        </w:tc>
        <w:tc>
          <w:tcPr>
            <w:tcW w:w="662" w:type="dxa"/>
          </w:tcPr>
          <w:p w14:paraId="2AEBDF7A" w14:textId="77777777" w:rsidR="00632101" w:rsidRPr="00216965" w:rsidRDefault="00632101" w:rsidP="00A0457B">
            <w:pPr>
              <w:rPr>
                <w:rFonts w:eastAsia="Times New Roman" w:cs="Times New Roman"/>
              </w:rPr>
            </w:pPr>
          </w:p>
        </w:tc>
        <w:tc>
          <w:tcPr>
            <w:tcW w:w="667" w:type="dxa"/>
          </w:tcPr>
          <w:p w14:paraId="35E90E28" w14:textId="77777777" w:rsidR="00632101" w:rsidRPr="00216965" w:rsidRDefault="00632101" w:rsidP="00A0457B">
            <w:pPr>
              <w:rPr>
                <w:rFonts w:eastAsia="Times New Roman" w:cs="Times New Roman"/>
              </w:rPr>
            </w:pPr>
            <w:r w:rsidRPr="00216965">
              <w:rPr>
                <w:rFonts w:eastAsia="Times New Roman" w:cs="Times New Roman"/>
                <w:sz w:val="18"/>
                <w:szCs w:val="18"/>
              </w:rPr>
              <w:t>22.4</w:t>
            </w:r>
          </w:p>
        </w:tc>
        <w:tc>
          <w:tcPr>
            <w:tcW w:w="654" w:type="dxa"/>
          </w:tcPr>
          <w:p w14:paraId="48D0EF45" w14:textId="77777777" w:rsidR="00632101" w:rsidRPr="00216965" w:rsidRDefault="00632101" w:rsidP="00A0457B">
            <w:pPr>
              <w:rPr>
                <w:rFonts w:eastAsia="Times New Roman" w:cs="Times New Roman"/>
              </w:rPr>
            </w:pPr>
            <w:r w:rsidRPr="00216965">
              <w:rPr>
                <w:rFonts w:eastAsia="Times New Roman" w:cs="Times New Roman"/>
                <w:sz w:val="18"/>
                <w:szCs w:val="18"/>
              </w:rPr>
              <w:t>8.9</w:t>
            </w:r>
          </w:p>
        </w:tc>
        <w:tc>
          <w:tcPr>
            <w:tcW w:w="688" w:type="dxa"/>
          </w:tcPr>
          <w:p w14:paraId="127802A2" w14:textId="77777777" w:rsidR="00632101" w:rsidRPr="00216965" w:rsidRDefault="00632101" w:rsidP="00A0457B">
            <w:pPr>
              <w:rPr>
                <w:rFonts w:eastAsia="Times New Roman" w:cs="Times New Roman"/>
              </w:rPr>
            </w:pPr>
          </w:p>
        </w:tc>
        <w:tc>
          <w:tcPr>
            <w:tcW w:w="806" w:type="dxa"/>
          </w:tcPr>
          <w:p w14:paraId="2109CF27" w14:textId="77777777" w:rsidR="00632101" w:rsidRPr="00216965" w:rsidRDefault="00632101" w:rsidP="00A0457B">
            <w:pPr>
              <w:rPr>
                <w:rFonts w:eastAsia="Times New Roman" w:cs="Times New Roman"/>
              </w:rPr>
            </w:pPr>
            <w:r w:rsidRPr="00216965">
              <w:rPr>
                <w:rFonts w:eastAsia="Times New Roman" w:cs="Times New Roman"/>
                <w:sz w:val="18"/>
                <w:szCs w:val="18"/>
              </w:rPr>
              <w:t>13.50</w:t>
            </w:r>
          </w:p>
        </w:tc>
        <w:tc>
          <w:tcPr>
            <w:tcW w:w="1560" w:type="dxa"/>
          </w:tcPr>
          <w:p w14:paraId="105CDDE4" w14:textId="39F69A8E"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10A03BD1" w14:textId="77777777" w:rsidTr="008A33DA">
        <w:tc>
          <w:tcPr>
            <w:tcW w:w="1066" w:type="dxa"/>
          </w:tcPr>
          <w:p w14:paraId="3E3389D5"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Pig manure</w:t>
            </w:r>
          </w:p>
        </w:tc>
        <w:tc>
          <w:tcPr>
            <w:tcW w:w="1296" w:type="dxa"/>
          </w:tcPr>
          <w:p w14:paraId="5A3B8160" w14:textId="77777777" w:rsidR="00632101" w:rsidRPr="00216965" w:rsidRDefault="00632101" w:rsidP="00A0457B">
            <w:pPr>
              <w:rPr>
                <w:rFonts w:eastAsia="Times New Roman" w:cs="Times New Roman"/>
              </w:rPr>
            </w:pPr>
            <w:r w:rsidRPr="00216965">
              <w:rPr>
                <w:rFonts w:eastAsia="Times New Roman" w:cs="Times New Roman"/>
                <w:sz w:val="18"/>
                <w:szCs w:val="18"/>
              </w:rPr>
              <w:t>450 ᵒC</w:t>
            </w:r>
          </w:p>
        </w:tc>
        <w:tc>
          <w:tcPr>
            <w:tcW w:w="732" w:type="dxa"/>
          </w:tcPr>
          <w:p w14:paraId="37DF2747" w14:textId="77777777" w:rsidR="00632101" w:rsidRPr="00216965" w:rsidRDefault="00632101" w:rsidP="00A0457B">
            <w:pPr>
              <w:rPr>
                <w:rFonts w:eastAsia="Times New Roman" w:cs="Times New Roman"/>
              </w:rPr>
            </w:pPr>
            <w:r w:rsidRPr="00216965">
              <w:rPr>
                <w:rFonts w:eastAsia="Times New Roman" w:cs="Times New Roman"/>
                <w:sz w:val="18"/>
                <w:szCs w:val="18"/>
              </w:rPr>
              <w:t>41.2</w:t>
            </w:r>
          </w:p>
        </w:tc>
        <w:tc>
          <w:tcPr>
            <w:tcW w:w="658" w:type="dxa"/>
          </w:tcPr>
          <w:p w14:paraId="06F29BC0" w14:textId="77777777" w:rsidR="00632101" w:rsidRPr="00216965" w:rsidRDefault="00632101" w:rsidP="00A0457B">
            <w:pPr>
              <w:rPr>
                <w:rFonts w:eastAsia="Times New Roman" w:cs="Times New Roman"/>
              </w:rPr>
            </w:pPr>
          </w:p>
        </w:tc>
        <w:tc>
          <w:tcPr>
            <w:tcW w:w="662" w:type="dxa"/>
          </w:tcPr>
          <w:p w14:paraId="244DB6C5" w14:textId="77777777" w:rsidR="00632101" w:rsidRPr="00216965" w:rsidRDefault="00632101" w:rsidP="00A0457B">
            <w:pPr>
              <w:rPr>
                <w:rFonts w:eastAsia="Times New Roman" w:cs="Times New Roman"/>
              </w:rPr>
            </w:pPr>
          </w:p>
        </w:tc>
        <w:tc>
          <w:tcPr>
            <w:tcW w:w="667" w:type="dxa"/>
          </w:tcPr>
          <w:p w14:paraId="546968E0" w14:textId="77777777" w:rsidR="00632101" w:rsidRPr="00216965" w:rsidRDefault="00632101" w:rsidP="00A0457B">
            <w:pPr>
              <w:rPr>
                <w:rFonts w:eastAsia="Times New Roman" w:cs="Times New Roman"/>
              </w:rPr>
            </w:pPr>
            <w:r w:rsidRPr="00216965">
              <w:rPr>
                <w:rFonts w:eastAsia="Times New Roman" w:cs="Times New Roman"/>
                <w:sz w:val="18"/>
                <w:szCs w:val="18"/>
              </w:rPr>
              <w:t>42.4</w:t>
            </w:r>
          </w:p>
        </w:tc>
        <w:tc>
          <w:tcPr>
            <w:tcW w:w="654" w:type="dxa"/>
          </w:tcPr>
          <w:p w14:paraId="6AE933E3" w14:textId="77777777" w:rsidR="00632101" w:rsidRPr="00216965" w:rsidRDefault="00632101" w:rsidP="00A0457B">
            <w:pPr>
              <w:rPr>
                <w:rFonts w:eastAsia="Times New Roman" w:cs="Times New Roman"/>
              </w:rPr>
            </w:pPr>
            <w:r w:rsidRPr="00216965">
              <w:rPr>
                <w:rFonts w:eastAsia="Times New Roman" w:cs="Times New Roman"/>
                <w:sz w:val="18"/>
                <w:szCs w:val="18"/>
              </w:rPr>
              <w:t>8.9</w:t>
            </w:r>
          </w:p>
        </w:tc>
        <w:tc>
          <w:tcPr>
            <w:tcW w:w="688" w:type="dxa"/>
          </w:tcPr>
          <w:p w14:paraId="0F78757E" w14:textId="77777777" w:rsidR="00632101" w:rsidRPr="00216965" w:rsidRDefault="00632101" w:rsidP="00A0457B">
            <w:pPr>
              <w:rPr>
                <w:rFonts w:eastAsia="Times New Roman" w:cs="Times New Roman"/>
              </w:rPr>
            </w:pPr>
          </w:p>
        </w:tc>
        <w:tc>
          <w:tcPr>
            <w:tcW w:w="806" w:type="dxa"/>
          </w:tcPr>
          <w:p w14:paraId="1B401727" w14:textId="77777777" w:rsidR="00632101" w:rsidRPr="00216965" w:rsidRDefault="00632101" w:rsidP="00A0457B">
            <w:pPr>
              <w:rPr>
                <w:rFonts w:eastAsia="Times New Roman" w:cs="Times New Roman"/>
              </w:rPr>
            </w:pPr>
            <w:r w:rsidRPr="00216965">
              <w:rPr>
                <w:rFonts w:eastAsia="Times New Roman" w:cs="Times New Roman"/>
                <w:sz w:val="18"/>
                <w:szCs w:val="18"/>
              </w:rPr>
              <w:t>13.40</w:t>
            </w:r>
          </w:p>
        </w:tc>
        <w:tc>
          <w:tcPr>
            <w:tcW w:w="1560" w:type="dxa"/>
          </w:tcPr>
          <w:p w14:paraId="04C4E560" w14:textId="07A59EDD"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{"citationItems":[{"id":"ITEM-1","itemData":{"DOI":"10.1016/j.biortech.2015.08.129","ISBN":"0960-8524","ISSN":"18732976","PMID":"26364228","abstract":"The physicochemical properties of biochars produced from soybeans (SBB), corn stalks (CSB), rice stalks (RSB), poultry manure (PMB), cattle manure (CMB), and pig manure (PgMB) and their adsorption characteristics of atrazine were investigated. The adsorption capacity increased with the increase of temperature and initial atrazine concentration. More atrazine was removed from basic solutions than acidic solutions, due to the effects of adsorption and hydrolysis. The Freundlich isotherm adsorption parameters indicated that the adsorption capacity decreased in the order SBB &gt; RSB &gt; CMB &gt; CSB &gt; PMB &gt; PgMB, which is associated to the pore volume of biochars. The total pore volume and biochar pH were concluded to play important roles in determining the adsorption capacity, and they may have contributed to physical adsorption mechanisms dominating the overall adsorption process (the low activation energy for all of the biochars). Modified Freundlich and intraparticle diffusion models were used to describe the kinetics of the adsorption process.","author":[{"dropping-particle":"","family":"Liu","given":"Na","non-dropping-particle":"","parse-names":false,"suffix":""},{"dropping-particle":"","family":"Charrua","given":"Alberto Bento","non-dropping-particle":"","parse-names":false,"suffix":""},{"dropping-particle":"","family":"Weng","given":"Chih Huang","non-dropping-particle":"","parse-names":false,"suffix":""},{"dropping-particle":"","family":"Yuan","given":"Xiaoling","non-dropping-particle":"","parse-names":false,"suffix":""},{"dropping-particle":"","family":"Ding","given":"Feng","non-dropping-particle":"","parse-names":false,"suffix":""}],"container-title":"Bioresource Technology","id":"ITEM-1","issued":{"date-parts":[["2015"]]},"page":"55-62","publisher":"Elsevier Ltd","title":"Characterization of biochars derived from agriculture wastes and their adsorptive removal of atrazine from aqueous solution: A comparative study","type":"article-journal","volume":"198"},"uris":["http://www.mendeley.com/documents/?uuid=b0f2ca34-a163-46bf-bfad-c9c01a62c411"]}],"mendeley":{"formattedCitation":"(Liu et al., 2015)","manualFormatting":"Liu et al. (2015)","plainTextFormattedCitation":"(Liu et al., 2015)","previouslyFormattedCitation":"(Liu et al., 2015)"},"properties":{"noteIndex":0},"schema":"https://github.com/citation-style-language/schema/raw/master/csl-citation.json"}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Liu et al. (2015)</w:t>
            </w:r>
            <w:r w:rsidRPr="00216965">
              <w:rPr>
                <w:rFonts w:eastAsia="Times New Roman" w:cs="Times New Roman"/>
                <w:sz w:val="18"/>
                <w:szCs w:val="18"/>
              </w:rPr>
              <w:fldChar w:fldCharType="end"/>
            </w:r>
          </w:p>
        </w:tc>
      </w:tr>
      <w:tr w:rsidR="00632101" w:rsidRPr="00216965" w14:paraId="714F0C79" w14:textId="77777777" w:rsidTr="008A33DA">
        <w:tc>
          <w:tcPr>
            <w:tcW w:w="1066" w:type="dxa"/>
          </w:tcPr>
          <w:p w14:paraId="6E236D48"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Cow manure</w:t>
            </w:r>
          </w:p>
        </w:tc>
        <w:tc>
          <w:tcPr>
            <w:tcW w:w="1296" w:type="dxa"/>
          </w:tcPr>
          <w:p w14:paraId="60245160"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6C52B134" w14:textId="77777777" w:rsidR="00632101" w:rsidRPr="00216965" w:rsidRDefault="00632101" w:rsidP="00A0457B">
            <w:pPr>
              <w:rPr>
                <w:rFonts w:eastAsia="Times New Roman" w:cs="Times New Roman"/>
              </w:rPr>
            </w:pPr>
            <w:r w:rsidRPr="00216965">
              <w:rPr>
                <w:rFonts w:eastAsia="Times New Roman" w:cs="Times New Roman"/>
                <w:sz w:val="18"/>
                <w:szCs w:val="18"/>
              </w:rPr>
              <w:t>43.7</w:t>
            </w:r>
          </w:p>
        </w:tc>
        <w:tc>
          <w:tcPr>
            <w:tcW w:w="658" w:type="dxa"/>
          </w:tcPr>
          <w:p w14:paraId="3B651638" w14:textId="77777777" w:rsidR="00632101" w:rsidRPr="00216965" w:rsidRDefault="00632101" w:rsidP="00A0457B">
            <w:pPr>
              <w:rPr>
                <w:rFonts w:eastAsia="Times New Roman" w:cs="Times New Roman"/>
              </w:rPr>
            </w:pPr>
            <w:r w:rsidRPr="00216965">
              <w:rPr>
                <w:rFonts w:eastAsia="Times New Roman" w:cs="Times New Roman"/>
                <w:sz w:val="18"/>
                <w:szCs w:val="18"/>
              </w:rPr>
              <w:t>57.2</w:t>
            </w:r>
          </w:p>
        </w:tc>
        <w:tc>
          <w:tcPr>
            <w:tcW w:w="662" w:type="dxa"/>
          </w:tcPr>
          <w:p w14:paraId="301245C6" w14:textId="77777777" w:rsidR="00632101" w:rsidRPr="00216965" w:rsidRDefault="00632101" w:rsidP="00A0457B">
            <w:pPr>
              <w:rPr>
                <w:rFonts w:eastAsia="Times New Roman" w:cs="Times New Roman"/>
              </w:rPr>
            </w:pPr>
            <w:r w:rsidRPr="00216965">
              <w:rPr>
                <w:rFonts w:eastAsia="Times New Roman" w:cs="Times New Roman"/>
                <w:sz w:val="18"/>
                <w:szCs w:val="18"/>
              </w:rPr>
              <w:t>17.2</w:t>
            </w:r>
          </w:p>
        </w:tc>
        <w:tc>
          <w:tcPr>
            <w:tcW w:w="667" w:type="dxa"/>
          </w:tcPr>
          <w:p w14:paraId="480B9831" w14:textId="77777777" w:rsidR="00632101" w:rsidRPr="00216965" w:rsidRDefault="00632101" w:rsidP="00A0457B">
            <w:pPr>
              <w:rPr>
                <w:rFonts w:eastAsia="Times New Roman" w:cs="Times New Roman"/>
              </w:rPr>
            </w:pPr>
            <w:r w:rsidRPr="00216965">
              <w:rPr>
                <w:rFonts w:eastAsia="Times New Roman" w:cs="Times New Roman"/>
                <w:sz w:val="18"/>
                <w:szCs w:val="18"/>
              </w:rPr>
              <w:t>67.5</w:t>
            </w:r>
          </w:p>
        </w:tc>
        <w:tc>
          <w:tcPr>
            <w:tcW w:w="654" w:type="dxa"/>
          </w:tcPr>
          <w:p w14:paraId="7FDA72C7" w14:textId="77777777" w:rsidR="00632101" w:rsidRPr="00216965" w:rsidRDefault="00632101" w:rsidP="00A0457B">
            <w:pPr>
              <w:rPr>
                <w:rFonts w:eastAsia="Times New Roman" w:cs="Times New Roman"/>
              </w:rPr>
            </w:pPr>
            <w:r w:rsidRPr="00216965">
              <w:rPr>
                <w:rFonts w:eastAsia="Times New Roman" w:cs="Times New Roman"/>
                <w:sz w:val="18"/>
                <w:szCs w:val="18"/>
              </w:rPr>
              <w:t>10.2</w:t>
            </w:r>
          </w:p>
        </w:tc>
        <w:tc>
          <w:tcPr>
            <w:tcW w:w="688" w:type="dxa"/>
          </w:tcPr>
          <w:p w14:paraId="7A723A78" w14:textId="77777777" w:rsidR="00632101" w:rsidRPr="00216965" w:rsidRDefault="00632101" w:rsidP="00A0457B">
            <w:pPr>
              <w:rPr>
                <w:rFonts w:eastAsia="Times New Roman" w:cs="Times New Roman"/>
              </w:rPr>
            </w:pPr>
            <w:r w:rsidRPr="00216965">
              <w:rPr>
                <w:rFonts w:eastAsia="Times New Roman" w:cs="Times New Roman"/>
                <w:sz w:val="18"/>
                <w:szCs w:val="18"/>
              </w:rPr>
              <w:t>149.0</w:t>
            </w:r>
          </w:p>
        </w:tc>
        <w:tc>
          <w:tcPr>
            <w:tcW w:w="806" w:type="dxa"/>
          </w:tcPr>
          <w:p w14:paraId="0B3A094E" w14:textId="77777777" w:rsidR="00632101" w:rsidRPr="00216965" w:rsidRDefault="00632101" w:rsidP="00A0457B">
            <w:pPr>
              <w:rPr>
                <w:rFonts w:eastAsia="Times New Roman" w:cs="Times New Roman"/>
              </w:rPr>
            </w:pPr>
            <w:r w:rsidRPr="00216965">
              <w:rPr>
                <w:rFonts w:eastAsia="Times New Roman" w:cs="Times New Roman"/>
                <w:sz w:val="18"/>
                <w:szCs w:val="18"/>
              </w:rPr>
              <w:t>21.90</w:t>
            </w:r>
          </w:p>
        </w:tc>
        <w:tc>
          <w:tcPr>
            <w:tcW w:w="1560" w:type="dxa"/>
          </w:tcPr>
          <w:p w14:paraId="4C83A49E" w14:textId="47619288"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06F46658" w14:textId="77777777" w:rsidTr="008A33DA">
        <w:tc>
          <w:tcPr>
            <w:tcW w:w="1066" w:type="dxa"/>
          </w:tcPr>
          <w:p w14:paraId="009E7E50"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Pig manure</w:t>
            </w:r>
          </w:p>
        </w:tc>
        <w:tc>
          <w:tcPr>
            <w:tcW w:w="1296" w:type="dxa"/>
          </w:tcPr>
          <w:p w14:paraId="5B607C62"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1F9093B9" w14:textId="77777777" w:rsidR="00632101" w:rsidRPr="00216965" w:rsidRDefault="00632101" w:rsidP="00A0457B">
            <w:pPr>
              <w:rPr>
                <w:rFonts w:eastAsia="Times New Roman" w:cs="Times New Roman"/>
              </w:rPr>
            </w:pPr>
            <w:r w:rsidRPr="00216965">
              <w:rPr>
                <w:rFonts w:eastAsia="Times New Roman" w:cs="Times New Roman"/>
                <w:sz w:val="18"/>
                <w:szCs w:val="18"/>
              </w:rPr>
              <w:t>42.7</w:t>
            </w:r>
          </w:p>
        </w:tc>
        <w:tc>
          <w:tcPr>
            <w:tcW w:w="658" w:type="dxa"/>
          </w:tcPr>
          <w:p w14:paraId="087FD02A" w14:textId="77777777" w:rsidR="00632101" w:rsidRPr="00216965" w:rsidRDefault="00632101" w:rsidP="00A0457B">
            <w:pPr>
              <w:rPr>
                <w:rFonts w:eastAsia="Times New Roman" w:cs="Times New Roman"/>
              </w:rPr>
            </w:pPr>
            <w:r w:rsidRPr="00216965">
              <w:rPr>
                <w:rFonts w:eastAsia="Times New Roman" w:cs="Times New Roman"/>
                <w:sz w:val="18"/>
                <w:szCs w:val="18"/>
              </w:rPr>
              <w:t>38.5</w:t>
            </w:r>
          </w:p>
        </w:tc>
        <w:tc>
          <w:tcPr>
            <w:tcW w:w="662" w:type="dxa"/>
          </w:tcPr>
          <w:p w14:paraId="2A619853" w14:textId="77777777" w:rsidR="00632101" w:rsidRPr="00216965" w:rsidRDefault="00632101" w:rsidP="00A0457B">
            <w:pPr>
              <w:rPr>
                <w:rFonts w:eastAsia="Times New Roman" w:cs="Times New Roman"/>
              </w:rPr>
            </w:pPr>
            <w:r w:rsidRPr="00216965">
              <w:rPr>
                <w:rFonts w:eastAsia="Times New Roman" w:cs="Times New Roman"/>
                <w:sz w:val="18"/>
                <w:szCs w:val="18"/>
              </w:rPr>
              <w:t>11.0</w:t>
            </w:r>
          </w:p>
        </w:tc>
        <w:tc>
          <w:tcPr>
            <w:tcW w:w="667" w:type="dxa"/>
          </w:tcPr>
          <w:p w14:paraId="7D1D8369" w14:textId="77777777" w:rsidR="00632101" w:rsidRPr="00216965" w:rsidRDefault="00632101" w:rsidP="00A0457B">
            <w:pPr>
              <w:rPr>
                <w:rFonts w:eastAsia="Times New Roman" w:cs="Times New Roman"/>
              </w:rPr>
            </w:pPr>
            <w:r w:rsidRPr="00216965">
              <w:rPr>
                <w:rFonts w:eastAsia="Times New Roman" w:cs="Times New Roman"/>
                <w:sz w:val="18"/>
                <w:szCs w:val="18"/>
              </w:rPr>
              <w:t>48.4</w:t>
            </w:r>
          </w:p>
        </w:tc>
        <w:tc>
          <w:tcPr>
            <w:tcW w:w="654" w:type="dxa"/>
          </w:tcPr>
          <w:p w14:paraId="70475C7C" w14:textId="77777777" w:rsidR="00632101" w:rsidRPr="00216965" w:rsidRDefault="00632101" w:rsidP="00A0457B">
            <w:pPr>
              <w:rPr>
                <w:rFonts w:eastAsia="Times New Roman" w:cs="Times New Roman"/>
              </w:rPr>
            </w:pPr>
            <w:r w:rsidRPr="00216965">
              <w:rPr>
                <w:rFonts w:eastAsia="Times New Roman" w:cs="Times New Roman"/>
                <w:sz w:val="18"/>
                <w:szCs w:val="18"/>
              </w:rPr>
              <w:t>10.5</w:t>
            </w:r>
          </w:p>
        </w:tc>
        <w:tc>
          <w:tcPr>
            <w:tcW w:w="688" w:type="dxa"/>
          </w:tcPr>
          <w:p w14:paraId="7CB3FF4C" w14:textId="77777777" w:rsidR="00632101" w:rsidRPr="00216965" w:rsidRDefault="00632101" w:rsidP="00A0457B">
            <w:pPr>
              <w:rPr>
                <w:rFonts w:eastAsia="Times New Roman" w:cs="Times New Roman"/>
              </w:rPr>
            </w:pPr>
            <w:r w:rsidRPr="00216965">
              <w:rPr>
                <w:rFonts w:eastAsia="Times New Roman" w:cs="Times New Roman"/>
                <w:sz w:val="18"/>
                <w:szCs w:val="18"/>
              </w:rPr>
              <w:t>82.8</w:t>
            </w:r>
          </w:p>
        </w:tc>
        <w:tc>
          <w:tcPr>
            <w:tcW w:w="806" w:type="dxa"/>
          </w:tcPr>
          <w:p w14:paraId="2056095D" w14:textId="77777777" w:rsidR="00632101" w:rsidRPr="00216965" w:rsidRDefault="00632101" w:rsidP="00A0457B">
            <w:pPr>
              <w:rPr>
                <w:rFonts w:eastAsia="Times New Roman" w:cs="Times New Roman"/>
              </w:rPr>
            </w:pPr>
            <w:r w:rsidRPr="00216965">
              <w:rPr>
                <w:rFonts w:eastAsia="Times New Roman" w:cs="Times New Roman"/>
                <w:sz w:val="18"/>
                <w:szCs w:val="18"/>
              </w:rPr>
              <w:t>47.40</w:t>
            </w:r>
          </w:p>
        </w:tc>
        <w:tc>
          <w:tcPr>
            <w:tcW w:w="1560" w:type="dxa"/>
          </w:tcPr>
          <w:p w14:paraId="1FB1E6EA" w14:textId="22326356"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44A1F08D" w14:textId="77777777" w:rsidTr="008A33DA">
        <w:tc>
          <w:tcPr>
            <w:tcW w:w="1066" w:type="dxa"/>
          </w:tcPr>
          <w:p w14:paraId="6906EE72"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Shrimp hull</w:t>
            </w:r>
          </w:p>
        </w:tc>
        <w:tc>
          <w:tcPr>
            <w:tcW w:w="1296" w:type="dxa"/>
          </w:tcPr>
          <w:p w14:paraId="49F67942"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0F96BDC2" w14:textId="77777777" w:rsidR="00632101" w:rsidRPr="00216965" w:rsidRDefault="00632101" w:rsidP="00A0457B">
            <w:pPr>
              <w:rPr>
                <w:rFonts w:eastAsia="Times New Roman" w:cs="Times New Roman"/>
              </w:rPr>
            </w:pPr>
            <w:r w:rsidRPr="00216965">
              <w:rPr>
                <w:rFonts w:eastAsia="Times New Roman" w:cs="Times New Roman"/>
                <w:sz w:val="18"/>
                <w:szCs w:val="18"/>
              </w:rPr>
              <w:t>52.1</w:t>
            </w:r>
          </w:p>
        </w:tc>
        <w:tc>
          <w:tcPr>
            <w:tcW w:w="658" w:type="dxa"/>
          </w:tcPr>
          <w:p w14:paraId="24FA7AB8" w14:textId="77777777" w:rsidR="00632101" w:rsidRPr="00216965" w:rsidRDefault="00632101" w:rsidP="00A0457B">
            <w:pPr>
              <w:rPr>
                <w:rFonts w:eastAsia="Times New Roman" w:cs="Times New Roman"/>
              </w:rPr>
            </w:pPr>
            <w:r w:rsidRPr="00216965">
              <w:rPr>
                <w:rFonts w:eastAsia="Times New Roman" w:cs="Times New Roman"/>
                <w:sz w:val="18"/>
                <w:szCs w:val="18"/>
              </w:rPr>
              <w:t>33.4</w:t>
            </w:r>
          </w:p>
        </w:tc>
        <w:tc>
          <w:tcPr>
            <w:tcW w:w="662" w:type="dxa"/>
          </w:tcPr>
          <w:p w14:paraId="3842A402" w14:textId="77777777" w:rsidR="00632101" w:rsidRPr="00216965" w:rsidRDefault="00632101" w:rsidP="00A0457B">
            <w:pPr>
              <w:rPr>
                <w:rFonts w:eastAsia="Times New Roman" w:cs="Times New Roman"/>
              </w:rPr>
            </w:pPr>
            <w:r w:rsidRPr="00216965">
              <w:rPr>
                <w:rFonts w:eastAsia="Times New Roman" w:cs="Times New Roman"/>
                <w:sz w:val="18"/>
                <w:szCs w:val="18"/>
              </w:rPr>
              <w:t>26.6</w:t>
            </w:r>
          </w:p>
        </w:tc>
        <w:tc>
          <w:tcPr>
            <w:tcW w:w="667" w:type="dxa"/>
          </w:tcPr>
          <w:p w14:paraId="6F9ABF49" w14:textId="77777777" w:rsidR="00632101" w:rsidRPr="00216965" w:rsidRDefault="00632101" w:rsidP="00A0457B">
            <w:pPr>
              <w:rPr>
                <w:rFonts w:eastAsia="Times New Roman" w:cs="Times New Roman"/>
              </w:rPr>
            </w:pPr>
            <w:r w:rsidRPr="00216965">
              <w:rPr>
                <w:rFonts w:eastAsia="Times New Roman" w:cs="Times New Roman"/>
                <w:sz w:val="18"/>
                <w:szCs w:val="18"/>
              </w:rPr>
              <w:t>53.8</w:t>
            </w:r>
          </w:p>
        </w:tc>
        <w:tc>
          <w:tcPr>
            <w:tcW w:w="654" w:type="dxa"/>
          </w:tcPr>
          <w:p w14:paraId="1EA93634" w14:textId="77777777" w:rsidR="00632101" w:rsidRPr="00216965" w:rsidRDefault="00632101" w:rsidP="00A0457B">
            <w:pPr>
              <w:rPr>
                <w:rFonts w:eastAsia="Times New Roman" w:cs="Times New Roman"/>
              </w:rPr>
            </w:pPr>
            <w:r w:rsidRPr="00216965">
              <w:rPr>
                <w:rFonts w:eastAsia="Times New Roman" w:cs="Times New Roman"/>
                <w:sz w:val="18"/>
                <w:szCs w:val="18"/>
              </w:rPr>
              <w:t>10.3</w:t>
            </w:r>
          </w:p>
        </w:tc>
        <w:tc>
          <w:tcPr>
            <w:tcW w:w="688" w:type="dxa"/>
          </w:tcPr>
          <w:p w14:paraId="5C9124E8" w14:textId="77777777" w:rsidR="00632101" w:rsidRPr="00216965" w:rsidRDefault="00632101" w:rsidP="00A0457B">
            <w:pPr>
              <w:rPr>
                <w:rFonts w:eastAsia="Times New Roman" w:cs="Times New Roman"/>
              </w:rPr>
            </w:pPr>
            <w:r w:rsidRPr="00216965">
              <w:rPr>
                <w:rFonts w:eastAsia="Times New Roman" w:cs="Times New Roman"/>
                <w:sz w:val="18"/>
                <w:szCs w:val="18"/>
              </w:rPr>
              <w:t>389.0</w:t>
            </w:r>
          </w:p>
        </w:tc>
        <w:tc>
          <w:tcPr>
            <w:tcW w:w="806" w:type="dxa"/>
          </w:tcPr>
          <w:p w14:paraId="4741C514" w14:textId="77777777" w:rsidR="00632101" w:rsidRPr="00216965" w:rsidRDefault="00632101" w:rsidP="00A0457B">
            <w:pPr>
              <w:rPr>
                <w:rFonts w:eastAsia="Times New Roman" w:cs="Times New Roman"/>
              </w:rPr>
            </w:pPr>
            <w:r w:rsidRPr="00216965">
              <w:rPr>
                <w:rFonts w:eastAsia="Times New Roman" w:cs="Times New Roman"/>
                <w:sz w:val="18"/>
                <w:szCs w:val="18"/>
              </w:rPr>
              <w:t>13.30</w:t>
            </w:r>
          </w:p>
        </w:tc>
        <w:tc>
          <w:tcPr>
            <w:tcW w:w="1560" w:type="dxa"/>
          </w:tcPr>
          <w:p w14:paraId="41326037" w14:textId="6A993D62"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20275B22" w14:textId="77777777" w:rsidTr="008A33DA">
        <w:tc>
          <w:tcPr>
            <w:tcW w:w="1066" w:type="dxa"/>
          </w:tcPr>
          <w:p w14:paraId="13963182"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Bone dregs</w:t>
            </w:r>
          </w:p>
        </w:tc>
        <w:tc>
          <w:tcPr>
            <w:tcW w:w="1296" w:type="dxa"/>
          </w:tcPr>
          <w:p w14:paraId="03F60B5E"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111EBF09" w14:textId="77777777" w:rsidR="00632101" w:rsidRPr="00216965" w:rsidRDefault="00632101" w:rsidP="00A0457B">
            <w:pPr>
              <w:rPr>
                <w:rFonts w:eastAsia="Times New Roman" w:cs="Times New Roman"/>
              </w:rPr>
            </w:pPr>
            <w:r w:rsidRPr="00216965">
              <w:rPr>
                <w:rFonts w:eastAsia="Times New Roman" w:cs="Times New Roman"/>
                <w:sz w:val="18"/>
                <w:szCs w:val="18"/>
              </w:rPr>
              <w:t>24.2</w:t>
            </w:r>
          </w:p>
        </w:tc>
        <w:tc>
          <w:tcPr>
            <w:tcW w:w="658" w:type="dxa"/>
          </w:tcPr>
          <w:p w14:paraId="63938459" w14:textId="77777777" w:rsidR="00632101" w:rsidRPr="00216965" w:rsidRDefault="00632101" w:rsidP="00A0457B">
            <w:pPr>
              <w:rPr>
                <w:rFonts w:eastAsia="Times New Roman" w:cs="Times New Roman"/>
              </w:rPr>
            </w:pPr>
            <w:r w:rsidRPr="00216965">
              <w:rPr>
                <w:rFonts w:eastAsia="Times New Roman" w:cs="Times New Roman"/>
                <w:sz w:val="18"/>
                <w:szCs w:val="18"/>
              </w:rPr>
              <w:t>48.7</w:t>
            </w:r>
          </w:p>
        </w:tc>
        <w:tc>
          <w:tcPr>
            <w:tcW w:w="662" w:type="dxa"/>
          </w:tcPr>
          <w:p w14:paraId="2D49407F" w14:textId="77777777" w:rsidR="00632101" w:rsidRPr="00216965" w:rsidRDefault="00632101" w:rsidP="00A0457B">
            <w:pPr>
              <w:rPr>
                <w:rFonts w:eastAsia="Times New Roman" w:cs="Times New Roman"/>
              </w:rPr>
            </w:pPr>
            <w:r w:rsidRPr="00216965">
              <w:rPr>
                <w:rFonts w:eastAsia="Times New Roman" w:cs="Times New Roman"/>
                <w:sz w:val="18"/>
                <w:szCs w:val="18"/>
              </w:rPr>
              <w:t>11.0</w:t>
            </w:r>
          </w:p>
        </w:tc>
        <w:tc>
          <w:tcPr>
            <w:tcW w:w="667" w:type="dxa"/>
          </w:tcPr>
          <w:p w14:paraId="6E3C0CC5" w14:textId="77777777" w:rsidR="00632101" w:rsidRPr="00216965" w:rsidRDefault="00632101" w:rsidP="00A0457B">
            <w:pPr>
              <w:rPr>
                <w:rFonts w:eastAsia="Times New Roman" w:cs="Times New Roman"/>
              </w:rPr>
            </w:pPr>
            <w:r w:rsidRPr="00216965">
              <w:rPr>
                <w:rFonts w:eastAsia="Times New Roman" w:cs="Times New Roman"/>
                <w:sz w:val="18"/>
                <w:szCs w:val="18"/>
              </w:rPr>
              <w:t>77.6</w:t>
            </w:r>
          </w:p>
        </w:tc>
        <w:tc>
          <w:tcPr>
            <w:tcW w:w="654" w:type="dxa"/>
          </w:tcPr>
          <w:p w14:paraId="10C2CA18" w14:textId="77777777" w:rsidR="00632101" w:rsidRPr="00216965" w:rsidRDefault="00632101" w:rsidP="00A0457B">
            <w:pPr>
              <w:rPr>
                <w:rFonts w:eastAsia="Times New Roman" w:cs="Times New Roman"/>
              </w:rPr>
            </w:pPr>
            <w:r w:rsidRPr="00216965">
              <w:rPr>
                <w:rFonts w:eastAsia="Times New Roman" w:cs="Times New Roman"/>
                <w:sz w:val="18"/>
                <w:szCs w:val="18"/>
              </w:rPr>
              <w:t>9.6</w:t>
            </w:r>
          </w:p>
        </w:tc>
        <w:tc>
          <w:tcPr>
            <w:tcW w:w="688" w:type="dxa"/>
          </w:tcPr>
          <w:p w14:paraId="1BCFBD2F" w14:textId="77777777" w:rsidR="00632101" w:rsidRPr="00216965" w:rsidRDefault="00632101" w:rsidP="00A0457B">
            <w:pPr>
              <w:rPr>
                <w:rFonts w:eastAsia="Times New Roman" w:cs="Times New Roman"/>
              </w:rPr>
            </w:pPr>
            <w:r w:rsidRPr="00216965">
              <w:rPr>
                <w:rFonts w:eastAsia="Times New Roman" w:cs="Times New Roman"/>
                <w:sz w:val="18"/>
                <w:szCs w:val="18"/>
              </w:rPr>
              <w:t>87.9</w:t>
            </w:r>
          </w:p>
        </w:tc>
        <w:tc>
          <w:tcPr>
            <w:tcW w:w="806" w:type="dxa"/>
          </w:tcPr>
          <w:p w14:paraId="0B996BF9" w14:textId="77777777" w:rsidR="00632101" w:rsidRPr="00216965" w:rsidRDefault="00632101" w:rsidP="00A0457B">
            <w:pPr>
              <w:rPr>
                <w:rFonts w:eastAsia="Times New Roman" w:cs="Times New Roman"/>
              </w:rPr>
            </w:pPr>
            <w:r w:rsidRPr="00216965">
              <w:rPr>
                <w:rFonts w:eastAsia="Times New Roman" w:cs="Times New Roman"/>
                <w:sz w:val="18"/>
                <w:szCs w:val="18"/>
              </w:rPr>
              <w:t>113.0</w:t>
            </w:r>
          </w:p>
        </w:tc>
        <w:tc>
          <w:tcPr>
            <w:tcW w:w="1560" w:type="dxa"/>
          </w:tcPr>
          <w:p w14:paraId="17CFF644" w14:textId="4913FD30"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0786378F" w14:textId="77777777" w:rsidTr="008A33DA">
        <w:tc>
          <w:tcPr>
            <w:tcW w:w="1066" w:type="dxa"/>
          </w:tcPr>
          <w:p w14:paraId="20DFE552"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Waste water sludge</w:t>
            </w:r>
          </w:p>
        </w:tc>
        <w:tc>
          <w:tcPr>
            <w:tcW w:w="1296" w:type="dxa"/>
          </w:tcPr>
          <w:p w14:paraId="486D3695"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20D3CA06" w14:textId="77777777" w:rsidR="00632101" w:rsidRPr="00216965" w:rsidRDefault="00632101" w:rsidP="00A0457B">
            <w:pPr>
              <w:rPr>
                <w:rFonts w:eastAsia="Times New Roman" w:cs="Times New Roman"/>
              </w:rPr>
            </w:pPr>
            <w:r w:rsidRPr="00216965">
              <w:rPr>
                <w:rFonts w:eastAsia="Times New Roman" w:cs="Times New Roman"/>
                <w:sz w:val="18"/>
                <w:szCs w:val="18"/>
              </w:rPr>
              <w:t>26.6</w:t>
            </w:r>
          </w:p>
        </w:tc>
        <w:tc>
          <w:tcPr>
            <w:tcW w:w="658" w:type="dxa"/>
          </w:tcPr>
          <w:p w14:paraId="77F9FE20" w14:textId="77777777" w:rsidR="00632101" w:rsidRPr="00216965" w:rsidRDefault="00632101" w:rsidP="00A0457B">
            <w:pPr>
              <w:rPr>
                <w:rFonts w:eastAsia="Times New Roman" w:cs="Times New Roman"/>
              </w:rPr>
            </w:pPr>
            <w:r w:rsidRPr="00216965">
              <w:rPr>
                <w:rFonts w:eastAsia="Times New Roman" w:cs="Times New Roman"/>
                <w:sz w:val="18"/>
                <w:szCs w:val="18"/>
              </w:rPr>
              <w:t>45.9</w:t>
            </w:r>
          </w:p>
        </w:tc>
        <w:tc>
          <w:tcPr>
            <w:tcW w:w="662" w:type="dxa"/>
          </w:tcPr>
          <w:p w14:paraId="4C97096F" w14:textId="77777777" w:rsidR="00632101" w:rsidRPr="00216965" w:rsidRDefault="00632101" w:rsidP="00A0457B">
            <w:pPr>
              <w:rPr>
                <w:rFonts w:eastAsia="Times New Roman" w:cs="Times New Roman"/>
              </w:rPr>
            </w:pPr>
            <w:r w:rsidRPr="00216965">
              <w:rPr>
                <w:rFonts w:eastAsia="Times New Roman" w:cs="Times New Roman"/>
                <w:sz w:val="18"/>
                <w:szCs w:val="18"/>
              </w:rPr>
              <w:t>15.8</w:t>
            </w:r>
          </w:p>
        </w:tc>
        <w:tc>
          <w:tcPr>
            <w:tcW w:w="667" w:type="dxa"/>
          </w:tcPr>
          <w:p w14:paraId="5951D23F" w14:textId="77777777" w:rsidR="00632101" w:rsidRPr="00216965" w:rsidRDefault="00632101" w:rsidP="00A0457B">
            <w:pPr>
              <w:rPr>
                <w:rFonts w:eastAsia="Times New Roman" w:cs="Times New Roman"/>
              </w:rPr>
            </w:pPr>
            <w:r w:rsidRPr="00216965">
              <w:rPr>
                <w:rFonts w:eastAsia="Times New Roman" w:cs="Times New Roman"/>
                <w:sz w:val="18"/>
                <w:szCs w:val="18"/>
              </w:rPr>
              <w:t>61.9</w:t>
            </w:r>
          </w:p>
        </w:tc>
        <w:tc>
          <w:tcPr>
            <w:tcW w:w="654" w:type="dxa"/>
          </w:tcPr>
          <w:p w14:paraId="32FB9C72" w14:textId="77777777" w:rsidR="00632101" w:rsidRPr="00216965" w:rsidRDefault="00632101" w:rsidP="00A0457B">
            <w:pPr>
              <w:rPr>
                <w:rFonts w:eastAsia="Times New Roman" w:cs="Times New Roman"/>
              </w:rPr>
            </w:pPr>
            <w:r w:rsidRPr="00216965">
              <w:rPr>
                <w:rFonts w:eastAsia="Times New Roman" w:cs="Times New Roman"/>
                <w:sz w:val="18"/>
                <w:szCs w:val="18"/>
              </w:rPr>
              <w:t>8.8</w:t>
            </w:r>
          </w:p>
        </w:tc>
        <w:tc>
          <w:tcPr>
            <w:tcW w:w="688" w:type="dxa"/>
          </w:tcPr>
          <w:p w14:paraId="79AD87EB" w14:textId="77777777" w:rsidR="00632101" w:rsidRPr="00216965" w:rsidRDefault="00632101" w:rsidP="00A0457B">
            <w:pPr>
              <w:rPr>
                <w:rFonts w:eastAsia="Times New Roman" w:cs="Times New Roman"/>
              </w:rPr>
            </w:pPr>
            <w:r w:rsidRPr="00216965">
              <w:rPr>
                <w:rFonts w:eastAsia="Times New Roman" w:cs="Times New Roman"/>
                <w:sz w:val="18"/>
                <w:szCs w:val="18"/>
              </w:rPr>
              <w:t>168.0</w:t>
            </w:r>
          </w:p>
        </w:tc>
        <w:tc>
          <w:tcPr>
            <w:tcW w:w="806" w:type="dxa"/>
          </w:tcPr>
          <w:p w14:paraId="11443FA8" w14:textId="77777777" w:rsidR="00632101" w:rsidRPr="00216965" w:rsidRDefault="00632101" w:rsidP="00A0457B">
            <w:pPr>
              <w:rPr>
                <w:rFonts w:eastAsia="Times New Roman" w:cs="Times New Roman"/>
              </w:rPr>
            </w:pPr>
            <w:r w:rsidRPr="00216965">
              <w:rPr>
                <w:rFonts w:eastAsia="Times New Roman" w:cs="Times New Roman"/>
                <w:sz w:val="18"/>
                <w:szCs w:val="18"/>
              </w:rPr>
              <w:t>71.60</w:t>
            </w:r>
          </w:p>
        </w:tc>
        <w:tc>
          <w:tcPr>
            <w:tcW w:w="1560" w:type="dxa"/>
          </w:tcPr>
          <w:p w14:paraId="024AB81F" w14:textId="52B450D5"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7F96A3C1" w14:textId="77777777" w:rsidTr="008A33DA">
        <w:tc>
          <w:tcPr>
            <w:tcW w:w="1066" w:type="dxa"/>
          </w:tcPr>
          <w:p w14:paraId="430E2891"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Waste paper</w:t>
            </w:r>
          </w:p>
        </w:tc>
        <w:tc>
          <w:tcPr>
            <w:tcW w:w="1296" w:type="dxa"/>
          </w:tcPr>
          <w:p w14:paraId="11371551"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09397608" w14:textId="77777777" w:rsidR="00632101" w:rsidRPr="00216965" w:rsidRDefault="00632101" w:rsidP="00A0457B">
            <w:pPr>
              <w:rPr>
                <w:rFonts w:eastAsia="Times New Roman" w:cs="Times New Roman"/>
              </w:rPr>
            </w:pPr>
            <w:r w:rsidRPr="00216965">
              <w:rPr>
                <w:rFonts w:eastAsia="Times New Roman" w:cs="Times New Roman"/>
                <w:sz w:val="18"/>
                <w:szCs w:val="18"/>
              </w:rPr>
              <w:t>56.0</w:t>
            </w:r>
          </w:p>
        </w:tc>
        <w:tc>
          <w:tcPr>
            <w:tcW w:w="658" w:type="dxa"/>
          </w:tcPr>
          <w:p w14:paraId="7C71CDD2" w14:textId="77777777" w:rsidR="00632101" w:rsidRPr="00216965" w:rsidRDefault="00632101" w:rsidP="00A0457B">
            <w:pPr>
              <w:rPr>
                <w:rFonts w:eastAsia="Times New Roman" w:cs="Times New Roman"/>
              </w:rPr>
            </w:pPr>
            <w:r w:rsidRPr="00216965">
              <w:rPr>
                <w:rFonts w:eastAsia="Times New Roman" w:cs="Times New Roman"/>
                <w:sz w:val="18"/>
                <w:szCs w:val="18"/>
              </w:rPr>
              <w:t>36.6</w:t>
            </w:r>
          </w:p>
        </w:tc>
        <w:tc>
          <w:tcPr>
            <w:tcW w:w="662" w:type="dxa"/>
          </w:tcPr>
          <w:p w14:paraId="34F1E4FB" w14:textId="77777777" w:rsidR="00632101" w:rsidRPr="00216965" w:rsidRDefault="00632101" w:rsidP="00A0457B">
            <w:pPr>
              <w:rPr>
                <w:rFonts w:eastAsia="Times New Roman" w:cs="Times New Roman"/>
              </w:rPr>
            </w:pPr>
            <w:r w:rsidRPr="00216965">
              <w:rPr>
                <w:rFonts w:eastAsia="Times New Roman" w:cs="Times New Roman"/>
                <w:sz w:val="18"/>
                <w:szCs w:val="18"/>
              </w:rPr>
              <w:t>30.0</w:t>
            </w:r>
          </w:p>
        </w:tc>
        <w:tc>
          <w:tcPr>
            <w:tcW w:w="667" w:type="dxa"/>
          </w:tcPr>
          <w:p w14:paraId="3EEA360B" w14:textId="77777777" w:rsidR="00632101" w:rsidRPr="00216965" w:rsidRDefault="00632101" w:rsidP="00A0457B">
            <w:pPr>
              <w:rPr>
                <w:rFonts w:eastAsia="Times New Roman" w:cs="Times New Roman"/>
              </w:rPr>
            </w:pPr>
            <w:r w:rsidRPr="00216965">
              <w:rPr>
                <w:rFonts w:eastAsia="Times New Roman" w:cs="Times New Roman"/>
                <w:sz w:val="18"/>
                <w:szCs w:val="18"/>
              </w:rPr>
              <w:t>53.5</w:t>
            </w:r>
          </w:p>
        </w:tc>
        <w:tc>
          <w:tcPr>
            <w:tcW w:w="654" w:type="dxa"/>
          </w:tcPr>
          <w:p w14:paraId="3A281B10" w14:textId="77777777" w:rsidR="00632101" w:rsidRPr="00216965" w:rsidRDefault="00632101" w:rsidP="00A0457B">
            <w:pPr>
              <w:rPr>
                <w:rFonts w:eastAsia="Times New Roman" w:cs="Times New Roman"/>
              </w:rPr>
            </w:pPr>
            <w:r w:rsidRPr="00216965">
              <w:rPr>
                <w:rFonts w:eastAsia="Times New Roman" w:cs="Times New Roman"/>
                <w:sz w:val="18"/>
                <w:szCs w:val="18"/>
              </w:rPr>
              <w:t>9.9</w:t>
            </w:r>
          </w:p>
        </w:tc>
        <w:tc>
          <w:tcPr>
            <w:tcW w:w="688" w:type="dxa"/>
          </w:tcPr>
          <w:p w14:paraId="2FA31133" w14:textId="77777777" w:rsidR="00632101" w:rsidRPr="00216965" w:rsidRDefault="00632101" w:rsidP="00A0457B">
            <w:pPr>
              <w:rPr>
                <w:rFonts w:eastAsia="Times New Roman" w:cs="Times New Roman"/>
              </w:rPr>
            </w:pPr>
            <w:r w:rsidRPr="00216965">
              <w:rPr>
                <w:rFonts w:eastAsia="Times New Roman" w:cs="Times New Roman"/>
                <w:sz w:val="18"/>
                <w:szCs w:val="18"/>
              </w:rPr>
              <w:t>516.0</w:t>
            </w:r>
          </w:p>
        </w:tc>
        <w:tc>
          <w:tcPr>
            <w:tcW w:w="806" w:type="dxa"/>
          </w:tcPr>
          <w:p w14:paraId="1DD7A9F2" w14:textId="77777777" w:rsidR="00632101" w:rsidRPr="00216965" w:rsidRDefault="00632101" w:rsidP="00A0457B">
            <w:pPr>
              <w:rPr>
                <w:rFonts w:eastAsia="Times New Roman" w:cs="Times New Roman"/>
              </w:rPr>
            </w:pPr>
            <w:r w:rsidRPr="00216965">
              <w:rPr>
                <w:rFonts w:eastAsia="Times New Roman" w:cs="Times New Roman"/>
                <w:sz w:val="18"/>
                <w:szCs w:val="18"/>
              </w:rPr>
              <w:t>133.0</w:t>
            </w:r>
          </w:p>
        </w:tc>
        <w:tc>
          <w:tcPr>
            <w:tcW w:w="1560" w:type="dxa"/>
          </w:tcPr>
          <w:p w14:paraId="759F6946" w14:textId="1B94600B"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380A3D03" w14:textId="77777777" w:rsidTr="008A33DA">
        <w:tc>
          <w:tcPr>
            <w:tcW w:w="1066" w:type="dxa"/>
          </w:tcPr>
          <w:p w14:paraId="511510BC"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Sawdust</w:t>
            </w:r>
          </w:p>
        </w:tc>
        <w:tc>
          <w:tcPr>
            <w:tcW w:w="1296" w:type="dxa"/>
          </w:tcPr>
          <w:p w14:paraId="302FCC3F"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34BB5F75" w14:textId="77777777" w:rsidR="00632101" w:rsidRPr="00216965" w:rsidRDefault="00632101" w:rsidP="00A0457B">
            <w:pPr>
              <w:rPr>
                <w:rFonts w:eastAsia="Times New Roman" w:cs="Times New Roman"/>
              </w:rPr>
            </w:pPr>
            <w:r w:rsidRPr="00216965">
              <w:rPr>
                <w:rFonts w:eastAsia="Times New Roman" w:cs="Times New Roman"/>
                <w:sz w:val="18"/>
                <w:szCs w:val="18"/>
              </w:rPr>
              <w:t>75.8</w:t>
            </w:r>
          </w:p>
        </w:tc>
        <w:tc>
          <w:tcPr>
            <w:tcW w:w="658" w:type="dxa"/>
          </w:tcPr>
          <w:p w14:paraId="1349EBCA" w14:textId="77777777" w:rsidR="00632101" w:rsidRPr="00216965" w:rsidRDefault="00632101" w:rsidP="00A0457B">
            <w:pPr>
              <w:rPr>
                <w:rFonts w:eastAsia="Times New Roman" w:cs="Times New Roman"/>
              </w:rPr>
            </w:pPr>
            <w:r w:rsidRPr="00216965">
              <w:rPr>
                <w:rFonts w:eastAsia="Times New Roman" w:cs="Times New Roman"/>
                <w:sz w:val="18"/>
                <w:szCs w:val="18"/>
              </w:rPr>
              <w:t>28.3</w:t>
            </w:r>
          </w:p>
        </w:tc>
        <w:tc>
          <w:tcPr>
            <w:tcW w:w="662" w:type="dxa"/>
          </w:tcPr>
          <w:p w14:paraId="15E76785" w14:textId="77777777" w:rsidR="00632101" w:rsidRPr="00216965" w:rsidRDefault="00632101" w:rsidP="00A0457B">
            <w:pPr>
              <w:rPr>
                <w:rFonts w:eastAsia="Times New Roman" w:cs="Times New Roman"/>
              </w:rPr>
            </w:pPr>
            <w:r w:rsidRPr="00216965">
              <w:rPr>
                <w:rFonts w:eastAsia="Times New Roman" w:cs="Times New Roman"/>
                <w:sz w:val="18"/>
                <w:szCs w:val="18"/>
              </w:rPr>
              <w:t>17.5</w:t>
            </w:r>
          </w:p>
        </w:tc>
        <w:tc>
          <w:tcPr>
            <w:tcW w:w="667" w:type="dxa"/>
          </w:tcPr>
          <w:p w14:paraId="697B2990" w14:textId="77777777" w:rsidR="00632101" w:rsidRPr="00216965" w:rsidRDefault="00632101" w:rsidP="00A0457B">
            <w:pPr>
              <w:rPr>
                <w:rFonts w:eastAsia="Times New Roman" w:cs="Times New Roman"/>
              </w:rPr>
            </w:pPr>
            <w:r w:rsidRPr="00216965">
              <w:rPr>
                <w:rFonts w:eastAsia="Times New Roman" w:cs="Times New Roman"/>
                <w:sz w:val="18"/>
                <w:szCs w:val="18"/>
              </w:rPr>
              <w:t>9.9</w:t>
            </w:r>
          </w:p>
        </w:tc>
        <w:tc>
          <w:tcPr>
            <w:tcW w:w="654" w:type="dxa"/>
          </w:tcPr>
          <w:p w14:paraId="34F667C2" w14:textId="77777777" w:rsidR="00632101" w:rsidRPr="00216965" w:rsidRDefault="00632101" w:rsidP="00A0457B">
            <w:pPr>
              <w:rPr>
                <w:rFonts w:eastAsia="Times New Roman" w:cs="Times New Roman"/>
              </w:rPr>
            </w:pPr>
            <w:r w:rsidRPr="00216965">
              <w:rPr>
                <w:rFonts w:eastAsia="Times New Roman" w:cs="Times New Roman"/>
                <w:sz w:val="18"/>
                <w:szCs w:val="18"/>
              </w:rPr>
              <w:t>10.5</w:t>
            </w:r>
          </w:p>
        </w:tc>
        <w:tc>
          <w:tcPr>
            <w:tcW w:w="688" w:type="dxa"/>
          </w:tcPr>
          <w:p w14:paraId="6BF74D46" w14:textId="77777777" w:rsidR="00632101" w:rsidRPr="00216965" w:rsidRDefault="00632101" w:rsidP="00A0457B">
            <w:pPr>
              <w:rPr>
                <w:rFonts w:eastAsia="Times New Roman" w:cs="Times New Roman"/>
              </w:rPr>
            </w:pPr>
            <w:r w:rsidRPr="00216965">
              <w:rPr>
                <w:rFonts w:eastAsia="Times New Roman" w:cs="Times New Roman"/>
                <w:sz w:val="18"/>
                <w:szCs w:val="18"/>
              </w:rPr>
              <w:t>41.7</w:t>
            </w:r>
          </w:p>
        </w:tc>
        <w:tc>
          <w:tcPr>
            <w:tcW w:w="806" w:type="dxa"/>
          </w:tcPr>
          <w:p w14:paraId="095C616E" w14:textId="77777777" w:rsidR="00632101" w:rsidRPr="00216965" w:rsidRDefault="00632101" w:rsidP="00A0457B">
            <w:pPr>
              <w:rPr>
                <w:rFonts w:eastAsia="Times New Roman" w:cs="Times New Roman"/>
              </w:rPr>
            </w:pPr>
            <w:r w:rsidRPr="00216965">
              <w:rPr>
                <w:rFonts w:eastAsia="Times New Roman" w:cs="Times New Roman"/>
                <w:sz w:val="18"/>
                <w:szCs w:val="18"/>
              </w:rPr>
              <w:t>203.0</w:t>
            </w:r>
          </w:p>
        </w:tc>
        <w:tc>
          <w:tcPr>
            <w:tcW w:w="1560" w:type="dxa"/>
          </w:tcPr>
          <w:p w14:paraId="38127B20" w14:textId="2C0BD7ED"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237E458A" w14:textId="77777777" w:rsidTr="008A33DA">
        <w:tc>
          <w:tcPr>
            <w:tcW w:w="1066" w:type="dxa"/>
          </w:tcPr>
          <w:p w14:paraId="7BD37361"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Grass</w:t>
            </w:r>
          </w:p>
        </w:tc>
        <w:tc>
          <w:tcPr>
            <w:tcW w:w="1296" w:type="dxa"/>
          </w:tcPr>
          <w:p w14:paraId="79FE4187"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2A24CA76" w14:textId="77777777" w:rsidR="00632101" w:rsidRPr="00216965" w:rsidRDefault="00632101" w:rsidP="00A0457B">
            <w:pPr>
              <w:rPr>
                <w:rFonts w:eastAsia="Times New Roman" w:cs="Times New Roman"/>
              </w:rPr>
            </w:pPr>
            <w:r w:rsidRPr="00216965">
              <w:rPr>
                <w:rFonts w:eastAsia="Times New Roman" w:cs="Times New Roman"/>
                <w:sz w:val="18"/>
                <w:szCs w:val="18"/>
              </w:rPr>
              <w:t>62.1</w:t>
            </w:r>
          </w:p>
        </w:tc>
        <w:tc>
          <w:tcPr>
            <w:tcW w:w="658" w:type="dxa"/>
          </w:tcPr>
          <w:p w14:paraId="6077D26E" w14:textId="77777777" w:rsidR="00632101" w:rsidRPr="00216965" w:rsidRDefault="00632101" w:rsidP="00A0457B">
            <w:pPr>
              <w:rPr>
                <w:rFonts w:eastAsia="Times New Roman" w:cs="Times New Roman"/>
              </w:rPr>
            </w:pPr>
            <w:r w:rsidRPr="00216965">
              <w:rPr>
                <w:rFonts w:eastAsia="Times New Roman" w:cs="Times New Roman"/>
                <w:sz w:val="18"/>
                <w:szCs w:val="18"/>
              </w:rPr>
              <w:t>27.8</w:t>
            </w:r>
          </w:p>
        </w:tc>
        <w:tc>
          <w:tcPr>
            <w:tcW w:w="662" w:type="dxa"/>
          </w:tcPr>
          <w:p w14:paraId="6FD09D53" w14:textId="77777777" w:rsidR="00632101" w:rsidRPr="00216965" w:rsidRDefault="00632101" w:rsidP="00A0457B">
            <w:pPr>
              <w:rPr>
                <w:rFonts w:eastAsia="Times New Roman" w:cs="Times New Roman"/>
              </w:rPr>
            </w:pPr>
            <w:r w:rsidRPr="00216965">
              <w:rPr>
                <w:rFonts w:eastAsia="Times New Roman" w:cs="Times New Roman"/>
                <w:sz w:val="18"/>
                <w:szCs w:val="18"/>
              </w:rPr>
              <w:t>18.9</w:t>
            </w:r>
          </w:p>
        </w:tc>
        <w:tc>
          <w:tcPr>
            <w:tcW w:w="667" w:type="dxa"/>
          </w:tcPr>
          <w:p w14:paraId="3130716A" w14:textId="77777777" w:rsidR="00632101" w:rsidRPr="00216965" w:rsidRDefault="00632101" w:rsidP="00A0457B">
            <w:pPr>
              <w:rPr>
                <w:rFonts w:eastAsia="Times New Roman" w:cs="Times New Roman"/>
              </w:rPr>
            </w:pPr>
            <w:r w:rsidRPr="00216965">
              <w:rPr>
                <w:rFonts w:eastAsia="Times New Roman" w:cs="Times New Roman"/>
                <w:sz w:val="18"/>
                <w:szCs w:val="18"/>
              </w:rPr>
              <w:t>20.8</w:t>
            </w:r>
          </w:p>
        </w:tc>
        <w:tc>
          <w:tcPr>
            <w:tcW w:w="654" w:type="dxa"/>
          </w:tcPr>
          <w:p w14:paraId="2A7BB784" w14:textId="77777777" w:rsidR="00632101" w:rsidRPr="00216965" w:rsidRDefault="00632101" w:rsidP="00A0457B">
            <w:pPr>
              <w:rPr>
                <w:rFonts w:eastAsia="Times New Roman" w:cs="Times New Roman"/>
              </w:rPr>
            </w:pPr>
            <w:r w:rsidRPr="00216965">
              <w:rPr>
                <w:rFonts w:eastAsia="Times New Roman" w:cs="Times New Roman"/>
                <w:sz w:val="18"/>
                <w:szCs w:val="18"/>
              </w:rPr>
              <w:t>10.2</w:t>
            </w:r>
          </w:p>
        </w:tc>
        <w:tc>
          <w:tcPr>
            <w:tcW w:w="688" w:type="dxa"/>
          </w:tcPr>
          <w:p w14:paraId="673C0BC8" w14:textId="77777777" w:rsidR="00632101" w:rsidRPr="00216965" w:rsidRDefault="00632101" w:rsidP="00A0457B">
            <w:pPr>
              <w:rPr>
                <w:rFonts w:eastAsia="Times New Roman" w:cs="Times New Roman"/>
              </w:rPr>
            </w:pPr>
            <w:r w:rsidRPr="00216965">
              <w:rPr>
                <w:rFonts w:eastAsia="Times New Roman" w:cs="Times New Roman"/>
                <w:sz w:val="18"/>
                <w:szCs w:val="18"/>
              </w:rPr>
              <w:t>84.0</w:t>
            </w:r>
          </w:p>
        </w:tc>
        <w:tc>
          <w:tcPr>
            <w:tcW w:w="806" w:type="dxa"/>
          </w:tcPr>
          <w:p w14:paraId="059CE6C7" w14:textId="77777777" w:rsidR="00632101" w:rsidRPr="00216965" w:rsidRDefault="00632101" w:rsidP="00A0457B">
            <w:pPr>
              <w:rPr>
                <w:rFonts w:eastAsia="Times New Roman" w:cs="Times New Roman"/>
              </w:rPr>
            </w:pPr>
            <w:r w:rsidRPr="00216965">
              <w:rPr>
                <w:rFonts w:eastAsia="Times New Roman" w:cs="Times New Roman"/>
                <w:sz w:val="18"/>
                <w:szCs w:val="18"/>
              </w:rPr>
              <w:t>3.33</w:t>
            </w:r>
          </w:p>
        </w:tc>
        <w:tc>
          <w:tcPr>
            <w:tcW w:w="1560" w:type="dxa"/>
          </w:tcPr>
          <w:p w14:paraId="6F4E2214" w14:textId="288D0AFB"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1549F0F9" w14:textId="77777777" w:rsidTr="008A33DA">
        <w:tc>
          <w:tcPr>
            <w:tcW w:w="1066" w:type="dxa"/>
          </w:tcPr>
          <w:p w14:paraId="3E3E84BE"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Wheat straw</w:t>
            </w:r>
          </w:p>
        </w:tc>
        <w:tc>
          <w:tcPr>
            <w:tcW w:w="1296" w:type="dxa"/>
          </w:tcPr>
          <w:p w14:paraId="7F773D0B"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1C6DCEE7" w14:textId="77777777" w:rsidR="00632101" w:rsidRPr="00216965" w:rsidRDefault="00632101" w:rsidP="00A0457B">
            <w:pPr>
              <w:rPr>
                <w:rFonts w:eastAsia="Times New Roman" w:cs="Times New Roman"/>
              </w:rPr>
            </w:pPr>
            <w:r w:rsidRPr="00216965">
              <w:rPr>
                <w:rFonts w:eastAsia="Times New Roman" w:cs="Times New Roman"/>
                <w:sz w:val="18"/>
                <w:szCs w:val="18"/>
              </w:rPr>
              <w:t>62.9</w:t>
            </w:r>
          </w:p>
        </w:tc>
        <w:tc>
          <w:tcPr>
            <w:tcW w:w="658" w:type="dxa"/>
          </w:tcPr>
          <w:p w14:paraId="3BA729CB" w14:textId="77777777" w:rsidR="00632101" w:rsidRPr="00216965" w:rsidRDefault="00632101" w:rsidP="00A0457B">
            <w:pPr>
              <w:rPr>
                <w:rFonts w:eastAsia="Times New Roman" w:cs="Times New Roman"/>
              </w:rPr>
            </w:pPr>
            <w:r w:rsidRPr="00216965">
              <w:rPr>
                <w:rFonts w:eastAsia="Times New Roman" w:cs="Times New Roman"/>
                <w:sz w:val="18"/>
                <w:szCs w:val="18"/>
              </w:rPr>
              <w:t>29.8</w:t>
            </w:r>
          </w:p>
        </w:tc>
        <w:tc>
          <w:tcPr>
            <w:tcW w:w="662" w:type="dxa"/>
          </w:tcPr>
          <w:p w14:paraId="16FB1B3A" w14:textId="77777777" w:rsidR="00632101" w:rsidRPr="00216965" w:rsidRDefault="00632101" w:rsidP="00A0457B">
            <w:pPr>
              <w:rPr>
                <w:rFonts w:eastAsia="Times New Roman" w:cs="Times New Roman"/>
              </w:rPr>
            </w:pPr>
            <w:r w:rsidRPr="00216965">
              <w:rPr>
                <w:rFonts w:eastAsia="Times New Roman" w:cs="Times New Roman"/>
                <w:sz w:val="18"/>
                <w:szCs w:val="18"/>
              </w:rPr>
              <w:t>17.6</w:t>
            </w:r>
          </w:p>
        </w:tc>
        <w:tc>
          <w:tcPr>
            <w:tcW w:w="667" w:type="dxa"/>
          </w:tcPr>
          <w:p w14:paraId="3A5048AD" w14:textId="77777777" w:rsidR="00632101" w:rsidRPr="00216965" w:rsidRDefault="00632101" w:rsidP="00A0457B">
            <w:pPr>
              <w:rPr>
                <w:rFonts w:eastAsia="Times New Roman" w:cs="Times New Roman"/>
              </w:rPr>
            </w:pPr>
            <w:r w:rsidRPr="00216965">
              <w:rPr>
                <w:rFonts w:eastAsia="Times New Roman" w:cs="Times New Roman"/>
                <w:sz w:val="18"/>
                <w:szCs w:val="18"/>
              </w:rPr>
              <w:t>18.0</w:t>
            </w:r>
          </w:p>
        </w:tc>
        <w:tc>
          <w:tcPr>
            <w:tcW w:w="654" w:type="dxa"/>
          </w:tcPr>
          <w:p w14:paraId="3500EF10" w14:textId="77777777" w:rsidR="00632101" w:rsidRPr="00216965" w:rsidRDefault="00632101" w:rsidP="00A0457B">
            <w:pPr>
              <w:rPr>
                <w:rFonts w:eastAsia="Times New Roman" w:cs="Times New Roman"/>
              </w:rPr>
            </w:pPr>
            <w:r w:rsidRPr="00216965">
              <w:rPr>
                <w:rFonts w:eastAsia="Times New Roman" w:cs="Times New Roman"/>
                <w:sz w:val="18"/>
                <w:szCs w:val="18"/>
              </w:rPr>
              <w:t>10.2</w:t>
            </w:r>
          </w:p>
        </w:tc>
        <w:tc>
          <w:tcPr>
            <w:tcW w:w="688" w:type="dxa"/>
          </w:tcPr>
          <w:p w14:paraId="7FE006F6" w14:textId="77777777" w:rsidR="00632101" w:rsidRPr="00216965" w:rsidRDefault="00632101" w:rsidP="00A0457B">
            <w:pPr>
              <w:rPr>
                <w:rFonts w:eastAsia="Times New Roman" w:cs="Times New Roman"/>
              </w:rPr>
            </w:pPr>
            <w:r w:rsidRPr="00216965">
              <w:rPr>
                <w:rFonts w:eastAsia="Times New Roman" w:cs="Times New Roman"/>
                <w:sz w:val="18"/>
                <w:szCs w:val="18"/>
              </w:rPr>
              <w:t>95.5</w:t>
            </w:r>
          </w:p>
        </w:tc>
        <w:tc>
          <w:tcPr>
            <w:tcW w:w="806" w:type="dxa"/>
          </w:tcPr>
          <w:p w14:paraId="5077F684" w14:textId="77777777" w:rsidR="00632101" w:rsidRPr="00216965" w:rsidRDefault="00632101" w:rsidP="00A0457B">
            <w:pPr>
              <w:rPr>
                <w:rFonts w:eastAsia="Times New Roman" w:cs="Times New Roman"/>
              </w:rPr>
            </w:pPr>
            <w:r w:rsidRPr="00216965">
              <w:rPr>
                <w:rFonts w:eastAsia="Times New Roman" w:cs="Times New Roman"/>
                <w:sz w:val="18"/>
                <w:szCs w:val="18"/>
              </w:rPr>
              <w:t>33.20</w:t>
            </w:r>
          </w:p>
        </w:tc>
        <w:tc>
          <w:tcPr>
            <w:tcW w:w="1560" w:type="dxa"/>
          </w:tcPr>
          <w:p w14:paraId="2538F634" w14:textId="1D4A7213"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601BE12F" w14:textId="77777777" w:rsidTr="008A33DA">
        <w:tc>
          <w:tcPr>
            <w:tcW w:w="1066" w:type="dxa"/>
          </w:tcPr>
          <w:p w14:paraId="50AE5041"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Peanut Shell</w:t>
            </w:r>
          </w:p>
        </w:tc>
        <w:tc>
          <w:tcPr>
            <w:tcW w:w="1296" w:type="dxa"/>
          </w:tcPr>
          <w:p w14:paraId="4A49B89C"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093C2133" w14:textId="77777777" w:rsidR="00632101" w:rsidRPr="00216965" w:rsidRDefault="00632101" w:rsidP="00A0457B">
            <w:pPr>
              <w:rPr>
                <w:rFonts w:eastAsia="Times New Roman" w:cs="Times New Roman"/>
              </w:rPr>
            </w:pPr>
            <w:r w:rsidRPr="00216965">
              <w:rPr>
                <w:rFonts w:eastAsia="Times New Roman" w:cs="Times New Roman"/>
                <w:sz w:val="18"/>
                <w:szCs w:val="18"/>
              </w:rPr>
              <w:t>73.7</w:t>
            </w:r>
          </w:p>
        </w:tc>
        <w:tc>
          <w:tcPr>
            <w:tcW w:w="658" w:type="dxa"/>
          </w:tcPr>
          <w:p w14:paraId="62D263E9" w14:textId="77777777" w:rsidR="00632101" w:rsidRPr="00216965" w:rsidRDefault="00632101" w:rsidP="00A0457B">
            <w:pPr>
              <w:rPr>
                <w:rFonts w:eastAsia="Times New Roman" w:cs="Times New Roman"/>
              </w:rPr>
            </w:pPr>
            <w:r w:rsidRPr="00216965">
              <w:rPr>
                <w:rFonts w:eastAsia="Times New Roman" w:cs="Times New Roman"/>
                <w:sz w:val="18"/>
                <w:szCs w:val="18"/>
              </w:rPr>
              <w:t>32.0</w:t>
            </w:r>
          </w:p>
        </w:tc>
        <w:tc>
          <w:tcPr>
            <w:tcW w:w="662" w:type="dxa"/>
          </w:tcPr>
          <w:p w14:paraId="3C4FDF4D" w14:textId="77777777" w:rsidR="00632101" w:rsidRPr="00216965" w:rsidRDefault="00632101" w:rsidP="00A0457B">
            <w:pPr>
              <w:rPr>
                <w:rFonts w:eastAsia="Times New Roman" w:cs="Times New Roman"/>
              </w:rPr>
            </w:pPr>
            <w:r w:rsidRPr="00216965">
              <w:rPr>
                <w:rFonts w:eastAsia="Times New Roman" w:cs="Times New Roman"/>
                <w:sz w:val="18"/>
                <w:szCs w:val="18"/>
              </w:rPr>
              <w:t>16.0</w:t>
            </w:r>
          </w:p>
        </w:tc>
        <w:tc>
          <w:tcPr>
            <w:tcW w:w="667" w:type="dxa"/>
          </w:tcPr>
          <w:p w14:paraId="5F3657E6" w14:textId="77777777" w:rsidR="00632101" w:rsidRPr="00216965" w:rsidRDefault="00632101" w:rsidP="00A0457B">
            <w:pPr>
              <w:rPr>
                <w:rFonts w:eastAsia="Times New Roman" w:cs="Times New Roman"/>
              </w:rPr>
            </w:pPr>
            <w:r w:rsidRPr="00216965">
              <w:rPr>
                <w:rFonts w:eastAsia="Times New Roman" w:cs="Times New Roman"/>
                <w:sz w:val="18"/>
                <w:szCs w:val="18"/>
              </w:rPr>
              <w:t>10.6</w:t>
            </w:r>
          </w:p>
        </w:tc>
        <w:tc>
          <w:tcPr>
            <w:tcW w:w="654" w:type="dxa"/>
          </w:tcPr>
          <w:p w14:paraId="42D704F8" w14:textId="77777777" w:rsidR="00632101" w:rsidRPr="00216965" w:rsidRDefault="00632101" w:rsidP="00A0457B">
            <w:pPr>
              <w:rPr>
                <w:rFonts w:eastAsia="Times New Roman" w:cs="Times New Roman"/>
              </w:rPr>
            </w:pPr>
            <w:r w:rsidRPr="00216965">
              <w:rPr>
                <w:rFonts w:eastAsia="Times New Roman" w:cs="Times New Roman"/>
                <w:sz w:val="18"/>
                <w:szCs w:val="18"/>
              </w:rPr>
              <w:t>10.5</w:t>
            </w:r>
          </w:p>
        </w:tc>
        <w:tc>
          <w:tcPr>
            <w:tcW w:w="688" w:type="dxa"/>
          </w:tcPr>
          <w:p w14:paraId="4DE685F2" w14:textId="77777777" w:rsidR="00632101" w:rsidRPr="00216965" w:rsidRDefault="00632101" w:rsidP="00A0457B">
            <w:pPr>
              <w:rPr>
                <w:rFonts w:eastAsia="Times New Roman" w:cs="Times New Roman"/>
              </w:rPr>
            </w:pPr>
            <w:r w:rsidRPr="00216965">
              <w:rPr>
                <w:rFonts w:eastAsia="Times New Roman" w:cs="Times New Roman"/>
                <w:sz w:val="18"/>
                <w:szCs w:val="18"/>
              </w:rPr>
              <w:t>44.5</w:t>
            </w:r>
          </w:p>
        </w:tc>
        <w:tc>
          <w:tcPr>
            <w:tcW w:w="806" w:type="dxa"/>
          </w:tcPr>
          <w:p w14:paraId="1FAD6550" w14:textId="77777777" w:rsidR="00632101" w:rsidRPr="00216965" w:rsidRDefault="00632101" w:rsidP="00A0457B">
            <w:pPr>
              <w:rPr>
                <w:rFonts w:eastAsia="Times New Roman" w:cs="Times New Roman"/>
              </w:rPr>
            </w:pPr>
            <w:r w:rsidRPr="00216965">
              <w:rPr>
                <w:rFonts w:eastAsia="Times New Roman" w:cs="Times New Roman"/>
                <w:sz w:val="18"/>
                <w:szCs w:val="18"/>
              </w:rPr>
              <w:t>43.50</w:t>
            </w:r>
          </w:p>
        </w:tc>
        <w:tc>
          <w:tcPr>
            <w:tcW w:w="1560" w:type="dxa"/>
          </w:tcPr>
          <w:p w14:paraId="5A148414" w14:textId="640A6DB8"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5E6D7018" w14:textId="77777777" w:rsidTr="008A33DA">
        <w:tc>
          <w:tcPr>
            <w:tcW w:w="1066" w:type="dxa"/>
          </w:tcPr>
          <w:p w14:paraId="289AB3D3"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Chlorella</w:t>
            </w:r>
          </w:p>
        </w:tc>
        <w:tc>
          <w:tcPr>
            <w:tcW w:w="1296" w:type="dxa"/>
          </w:tcPr>
          <w:p w14:paraId="51F160C5" w14:textId="77777777" w:rsidR="00632101" w:rsidRPr="00216965" w:rsidRDefault="00632101" w:rsidP="00A0457B">
            <w:pPr>
              <w:rPr>
                <w:rFonts w:eastAsia="Times New Roman" w:cs="Times New Roman"/>
              </w:rPr>
            </w:pPr>
            <w:r w:rsidRPr="00216965">
              <w:rPr>
                <w:rFonts w:eastAsia="Times New Roman" w:cs="Times New Roman"/>
                <w:sz w:val="18"/>
                <w:szCs w:val="18"/>
              </w:rPr>
              <w:t>500ᵒC</w:t>
            </w:r>
          </w:p>
        </w:tc>
        <w:tc>
          <w:tcPr>
            <w:tcW w:w="732" w:type="dxa"/>
          </w:tcPr>
          <w:p w14:paraId="341A4B78" w14:textId="77777777" w:rsidR="00632101" w:rsidRPr="00216965" w:rsidRDefault="00632101" w:rsidP="00A0457B">
            <w:pPr>
              <w:rPr>
                <w:rFonts w:eastAsia="Times New Roman" w:cs="Times New Roman"/>
              </w:rPr>
            </w:pPr>
            <w:r w:rsidRPr="00216965">
              <w:rPr>
                <w:rFonts w:eastAsia="Times New Roman" w:cs="Times New Roman"/>
                <w:sz w:val="18"/>
                <w:szCs w:val="18"/>
              </w:rPr>
              <w:t>39.3</w:t>
            </w:r>
          </w:p>
        </w:tc>
        <w:tc>
          <w:tcPr>
            <w:tcW w:w="658" w:type="dxa"/>
          </w:tcPr>
          <w:p w14:paraId="6FCE15A1" w14:textId="77777777" w:rsidR="00632101" w:rsidRPr="00216965" w:rsidRDefault="00632101" w:rsidP="00A0457B">
            <w:pPr>
              <w:rPr>
                <w:rFonts w:eastAsia="Times New Roman" w:cs="Times New Roman"/>
              </w:rPr>
            </w:pPr>
            <w:r w:rsidRPr="00216965">
              <w:rPr>
                <w:rFonts w:eastAsia="Times New Roman" w:cs="Times New Roman"/>
                <w:sz w:val="18"/>
                <w:szCs w:val="18"/>
              </w:rPr>
              <w:t>40.2</w:t>
            </w:r>
          </w:p>
        </w:tc>
        <w:tc>
          <w:tcPr>
            <w:tcW w:w="662" w:type="dxa"/>
          </w:tcPr>
          <w:p w14:paraId="5020B5ED" w14:textId="77777777" w:rsidR="00632101" w:rsidRPr="00216965" w:rsidRDefault="00632101" w:rsidP="00A0457B">
            <w:pPr>
              <w:rPr>
                <w:rFonts w:eastAsia="Times New Roman" w:cs="Times New Roman"/>
              </w:rPr>
            </w:pPr>
            <w:r w:rsidRPr="00216965">
              <w:rPr>
                <w:rFonts w:eastAsia="Times New Roman" w:cs="Times New Roman"/>
                <w:sz w:val="18"/>
                <w:szCs w:val="18"/>
              </w:rPr>
              <w:t>29.3</w:t>
            </w:r>
          </w:p>
        </w:tc>
        <w:tc>
          <w:tcPr>
            <w:tcW w:w="667" w:type="dxa"/>
          </w:tcPr>
          <w:p w14:paraId="11F0296E" w14:textId="77777777" w:rsidR="00632101" w:rsidRPr="00216965" w:rsidRDefault="00632101" w:rsidP="00A0457B">
            <w:pPr>
              <w:rPr>
                <w:rFonts w:eastAsia="Times New Roman" w:cs="Times New Roman"/>
              </w:rPr>
            </w:pPr>
            <w:r w:rsidRPr="00216965">
              <w:rPr>
                <w:rFonts w:eastAsia="Times New Roman" w:cs="Times New Roman"/>
                <w:sz w:val="18"/>
                <w:szCs w:val="18"/>
              </w:rPr>
              <w:t>52.6</w:t>
            </w:r>
          </w:p>
        </w:tc>
        <w:tc>
          <w:tcPr>
            <w:tcW w:w="654" w:type="dxa"/>
          </w:tcPr>
          <w:p w14:paraId="45721CC1" w14:textId="77777777" w:rsidR="00632101" w:rsidRPr="00216965" w:rsidRDefault="00632101" w:rsidP="00A0457B">
            <w:pPr>
              <w:rPr>
                <w:rFonts w:eastAsia="Times New Roman" w:cs="Times New Roman"/>
              </w:rPr>
            </w:pPr>
            <w:r w:rsidRPr="00216965">
              <w:rPr>
                <w:rFonts w:eastAsia="Times New Roman" w:cs="Times New Roman"/>
                <w:sz w:val="18"/>
                <w:szCs w:val="18"/>
              </w:rPr>
              <w:t>10.8</w:t>
            </w:r>
          </w:p>
        </w:tc>
        <w:tc>
          <w:tcPr>
            <w:tcW w:w="688" w:type="dxa"/>
          </w:tcPr>
          <w:p w14:paraId="45C5F001" w14:textId="77777777" w:rsidR="00632101" w:rsidRPr="00216965" w:rsidRDefault="00632101" w:rsidP="00A0457B">
            <w:pPr>
              <w:rPr>
                <w:rFonts w:eastAsia="Times New Roman" w:cs="Times New Roman"/>
              </w:rPr>
            </w:pPr>
            <w:r w:rsidRPr="00216965">
              <w:rPr>
                <w:rFonts w:eastAsia="Times New Roman" w:cs="Times New Roman"/>
                <w:sz w:val="18"/>
                <w:szCs w:val="18"/>
              </w:rPr>
              <w:t>562.0</w:t>
            </w:r>
          </w:p>
        </w:tc>
        <w:tc>
          <w:tcPr>
            <w:tcW w:w="806" w:type="dxa"/>
          </w:tcPr>
          <w:p w14:paraId="559532AD" w14:textId="77777777" w:rsidR="00632101" w:rsidRPr="00216965" w:rsidRDefault="00632101" w:rsidP="00A0457B">
            <w:pPr>
              <w:rPr>
                <w:rFonts w:eastAsia="Times New Roman" w:cs="Times New Roman"/>
              </w:rPr>
            </w:pPr>
            <w:r w:rsidRPr="00216965">
              <w:rPr>
                <w:rFonts w:eastAsia="Times New Roman" w:cs="Times New Roman"/>
                <w:sz w:val="18"/>
                <w:szCs w:val="18"/>
              </w:rPr>
              <w:t>2.78</w:t>
            </w:r>
          </w:p>
        </w:tc>
        <w:tc>
          <w:tcPr>
            <w:tcW w:w="1560" w:type="dxa"/>
          </w:tcPr>
          <w:p w14:paraId="57C5E84B" w14:textId="20D6493F"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Zhao et al. (2013)</w:t>
            </w:r>
            <w:r w:rsidRPr="00216965">
              <w:rPr>
                <w:rFonts w:eastAsia="Times New Roman" w:cs="Times New Roman"/>
                <w:sz w:val="18"/>
                <w:szCs w:val="18"/>
              </w:rPr>
              <w:fldChar w:fldCharType="end"/>
            </w:r>
          </w:p>
        </w:tc>
      </w:tr>
      <w:tr w:rsidR="00632101" w:rsidRPr="00216965" w14:paraId="1D570EBB" w14:textId="77777777" w:rsidTr="008A33DA">
        <w:tc>
          <w:tcPr>
            <w:tcW w:w="1066" w:type="dxa"/>
          </w:tcPr>
          <w:p w14:paraId="2772234F"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Bamboo chip biochar</w:t>
            </w:r>
          </w:p>
        </w:tc>
        <w:tc>
          <w:tcPr>
            <w:tcW w:w="1296" w:type="dxa"/>
          </w:tcPr>
          <w:p w14:paraId="60C15853" w14:textId="77777777" w:rsidR="00632101" w:rsidRPr="00216965" w:rsidRDefault="00632101" w:rsidP="00A0457B">
            <w:pPr>
              <w:rPr>
                <w:rFonts w:eastAsia="Times New Roman" w:cs="Times New Roman"/>
              </w:rPr>
            </w:pPr>
            <w:r w:rsidRPr="00216965">
              <w:rPr>
                <w:rFonts w:eastAsia="Times New Roman" w:cs="Times New Roman"/>
                <w:sz w:val="18"/>
                <w:szCs w:val="18"/>
              </w:rPr>
              <w:t>600 ᵒC</w:t>
            </w:r>
          </w:p>
        </w:tc>
        <w:tc>
          <w:tcPr>
            <w:tcW w:w="732" w:type="dxa"/>
          </w:tcPr>
          <w:p w14:paraId="7466650E" w14:textId="77777777" w:rsidR="00632101" w:rsidRPr="00216965" w:rsidRDefault="00632101" w:rsidP="00A0457B">
            <w:pPr>
              <w:rPr>
                <w:rFonts w:eastAsia="Times New Roman" w:cs="Times New Roman"/>
              </w:rPr>
            </w:pPr>
            <w:r w:rsidRPr="00216965">
              <w:rPr>
                <w:rFonts w:eastAsia="Times New Roman" w:cs="Times New Roman"/>
                <w:sz w:val="18"/>
                <w:szCs w:val="18"/>
              </w:rPr>
              <w:t>80.5</w:t>
            </w:r>
          </w:p>
        </w:tc>
        <w:tc>
          <w:tcPr>
            <w:tcW w:w="658" w:type="dxa"/>
          </w:tcPr>
          <w:p w14:paraId="173FC26C" w14:textId="77777777" w:rsidR="00632101" w:rsidRPr="00216965" w:rsidRDefault="00632101" w:rsidP="00A0457B">
            <w:pPr>
              <w:rPr>
                <w:rFonts w:eastAsia="Times New Roman" w:cs="Times New Roman"/>
              </w:rPr>
            </w:pPr>
            <w:r w:rsidRPr="00216965">
              <w:rPr>
                <w:rFonts w:eastAsia="Times New Roman" w:cs="Times New Roman"/>
                <w:sz w:val="18"/>
                <w:szCs w:val="18"/>
              </w:rPr>
              <w:t>28.1</w:t>
            </w:r>
          </w:p>
        </w:tc>
        <w:tc>
          <w:tcPr>
            <w:tcW w:w="662" w:type="dxa"/>
          </w:tcPr>
          <w:p w14:paraId="0412784A" w14:textId="77777777" w:rsidR="00632101" w:rsidRPr="00216965" w:rsidRDefault="00632101" w:rsidP="00A0457B">
            <w:pPr>
              <w:rPr>
                <w:rFonts w:eastAsia="Times New Roman" w:cs="Times New Roman"/>
              </w:rPr>
            </w:pPr>
          </w:p>
        </w:tc>
        <w:tc>
          <w:tcPr>
            <w:tcW w:w="667" w:type="dxa"/>
          </w:tcPr>
          <w:p w14:paraId="539D5432" w14:textId="77777777" w:rsidR="00632101" w:rsidRPr="00216965" w:rsidRDefault="00632101" w:rsidP="00A0457B">
            <w:pPr>
              <w:rPr>
                <w:rFonts w:eastAsia="Times New Roman" w:cs="Times New Roman"/>
              </w:rPr>
            </w:pPr>
          </w:p>
        </w:tc>
        <w:tc>
          <w:tcPr>
            <w:tcW w:w="654" w:type="dxa"/>
          </w:tcPr>
          <w:p w14:paraId="55B3ED89" w14:textId="77777777" w:rsidR="00632101" w:rsidRPr="00216965" w:rsidRDefault="00632101" w:rsidP="00A0457B">
            <w:pPr>
              <w:rPr>
                <w:rFonts w:eastAsia="Times New Roman" w:cs="Times New Roman"/>
              </w:rPr>
            </w:pPr>
            <w:r w:rsidRPr="00216965">
              <w:rPr>
                <w:rFonts w:eastAsia="Times New Roman" w:cs="Times New Roman"/>
                <w:sz w:val="18"/>
                <w:szCs w:val="18"/>
              </w:rPr>
              <w:t>9.59</w:t>
            </w:r>
          </w:p>
        </w:tc>
        <w:tc>
          <w:tcPr>
            <w:tcW w:w="688" w:type="dxa"/>
          </w:tcPr>
          <w:p w14:paraId="72AC85C5" w14:textId="77777777" w:rsidR="00632101" w:rsidRPr="00216965" w:rsidRDefault="00632101" w:rsidP="00A0457B">
            <w:pPr>
              <w:rPr>
                <w:rFonts w:eastAsia="Times New Roman" w:cs="Times New Roman"/>
              </w:rPr>
            </w:pPr>
            <w:r w:rsidRPr="00216965">
              <w:rPr>
                <w:rFonts w:eastAsia="Times New Roman" w:cs="Times New Roman"/>
                <w:sz w:val="18"/>
                <w:szCs w:val="18"/>
              </w:rPr>
              <w:t>54.5</w:t>
            </w:r>
          </w:p>
        </w:tc>
        <w:tc>
          <w:tcPr>
            <w:tcW w:w="806" w:type="dxa"/>
          </w:tcPr>
          <w:p w14:paraId="5F94D113" w14:textId="77777777" w:rsidR="00632101" w:rsidRPr="00216965" w:rsidRDefault="00632101" w:rsidP="00A0457B">
            <w:pPr>
              <w:rPr>
                <w:rFonts w:eastAsia="Times New Roman" w:cs="Times New Roman"/>
              </w:rPr>
            </w:pPr>
            <w:r w:rsidRPr="00216965">
              <w:rPr>
                <w:rFonts w:eastAsia="Times New Roman" w:cs="Times New Roman"/>
                <w:sz w:val="18"/>
                <w:szCs w:val="18"/>
              </w:rPr>
              <w:t>446.70</w:t>
            </w:r>
          </w:p>
        </w:tc>
        <w:tc>
          <w:tcPr>
            <w:tcW w:w="1560" w:type="dxa"/>
          </w:tcPr>
          <w:p w14:paraId="6B259F24" w14:textId="7F2007C7"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{"citationItems":[{"id":"ITEM-1","itemData":{"DOI":"10.1016/j.scitotenv.2016.10.204","ISSN":"18791026","abstract":"Agri-wastes biochars viz. eucalyptus bark (EBBC), corn cob (CCBC), bamboo chips (BCBC), rice husk (RHBC) and rice straw (RSBC) and acid treated RSBC (T-RSBC), were characterized for their physico-chemical properties and sorption behaviour of atrazine and imidacloprid was studied. Kinetics study suggested that except atrazine adsorption on RSBC, which was best explained by the pseudo second order model, sorption of atrazine and imidacloprid on biochars was well explained by the modified Elovich model. Among the five normal biochars, the RSBC showed the maximum atrazine (37.5???70.7%) and imidacloprid (39.9???77.8%) sorption. The phosphoric acid treatment of RSBC further enhanced the sorption of both pesticides in T-RSBC. The Freundlich adsorption isotherms were highly nonlinear and percent adsorption decreased with increase in pesticide concentration in solution. Pesticide adsorption on biochars was affected by their aromaticity, polarity, pore diameter, pH and weak acid fraction. Thus, rice straw biochars have great potential for environmental implications and can be exploited as adsorbents for pesticide industry spewed waste water purification.","author":[{"dropping-particle":"","family":"Mandal","given":"Abhishek","non-dropping-particle":"","parse-names":false,"suffix":""},{"dropping-particle":"","family":"Singh","given":"Neera","non-dropping-particle":"","parse-names":false,"suffix":""},{"dropping-particle":"","family":"Purakayastha","given":"T. J.","non-dropping-particle":"","parse-names":false,"suffix":""}],"container-title":"Science of the Total Environment","id":"ITEM-1","issued":{"date-parts":[["2017"]]},"page":"376-385","publisher":"Elsevier B.V.","title":"Characterization of pesticide sorption behaviour of slow pyrolysis biochars as low cost adsorbent for atrazine and imidacloprid removal","type":"article-journal","volume":"577"},"uris":["http://www.mendeley.com/documents/?uuid=4760aa77-c050-4d45-9429-c04d7acbb14f"]}],"mendeley":{"formattedCitation":"(Mandal et al., 2017)","manualFormatting":"(Mandal et al. (2017)","plainTextFormattedCitation":"(Mandal et al., 2017)","previouslyFormattedCitation":"(Mandal et al., 2017)"},"properties":{"noteIndex":0},"schema":"https://github.com/citation-style-language/schema/raw/master/csl-citation.json"}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Mandal et al. (2017)</w:t>
            </w:r>
            <w:r w:rsidRPr="00216965">
              <w:rPr>
                <w:rFonts w:eastAsia="Times New Roman" w:cs="Times New Roman"/>
                <w:sz w:val="18"/>
                <w:szCs w:val="18"/>
              </w:rPr>
              <w:fldChar w:fldCharType="end"/>
            </w:r>
          </w:p>
        </w:tc>
      </w:tr>
      <w:tr w:rsidR="00632101" w:rsidRPr="00216965" w14:paraId="0FE09E95" w14:textId="77777777" w:rsidTr="008A33DA">
        <w:tc>
          <w:tcPr>
            <w:tcW w:w="1066" w:type="dxa"/>
          </w:tcPr>
          <w:p w14:paraId="2FDCF014"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Corn cob biochar</w:t>
            </w:r>
          </w:p>
        </w:tc>
        <w:tc>
          <w:tcPr>
            <w:tcW w:w="1296" w:type="dxa"/>
          </w:tcPr>
          <w:p w14:paraId="49F3086E" w14:textId="77777777" w:rsidR="00632101" w:rsidRPr="00216965" w:rsidRDefault="00632101" w:rsidP="00A0457B">
            <w:pPr>
              <w:rPr>
                <w:rFonts w:eastAsia="Times New Roman" w:cs="Times New Roman"/>
              </w:rPr>
            </w:pPr>
            <w:r w:rsidRPr="00216965">
              <w:rPr>
                <w:rFonts w:eastAsia="Times New Roman" w:cs="Times New Roman"/>
                <w:sz w:val="18"/>
                <w:szCs w:val="18"/>
              </w:rPr>
              <w:t>600 ᵒC</w:t>
            </w:r>
          </w:p>
        </w:tc>
        <w:tc>
          <w:tcPr>
            <w:tcW w:w="732" w:type="dxa"/>
          </w:tcPr>
          <w:p w14:paraId="0B9743A6" w14:textId="77777777" w:rsidR="00632101" w:rsidRPr="00216965" w:rsidRDefault="00632101" w:rsidP="00A0457B">
            <w:pPr>
              <w:rPr>
                <w:rFonts w:eastAsia="Times New Roman" w:cs="Times New Roman"/>
              </w:rPr>
            </w:pPr>
            <w:r w:rsidRPr="00216965">
              <w:rPr>
                <w:rFonts w:eastAsia="Times New Roman" w:cs="Times New Roman"/>
                <w:sz w:val="18"/>
                <w:szCs w:val="18"/>
              </w:rPr>
              <w:t>80.1</w:t>
            </w:r>
          </w:p>
        </w:tc>
        <w:tc>
          <w:tcPr>
            <w:tcW w:w="658" w:type="dxa"/>
          </w:tcPr>
          <w:p w14:paraId="450AE90F" w14:textId="77777777" w:rsidR="00632101" w:rsidRPr="00216965" w:rsidRDefault="00632101" w:rsidP="00A0457B">
            <w:pPr>
              <w:rPr>
                <w:rFonts w:eastAsia="Times New Roman" w:cs="Times New Roman"/>
              </w:rPr>
            </w:pPr>
            <w:r w:rsidRPr="00216965">
              <w:rPr>
                <w:rFonts w:eastAsia="Times New Roman" w:cs="Times New Roman"/>
                <w:sz w:val="18"/>
                <w:szCs w:val="18"/>
              </w:rPr>
              <w:t>29.7</w:t>
            </w:r>
          </w:p>
        </w:tc>
        <w:tc>
          <w:tcPr>
            <w:tcW w:w="662" w:type="dxa"/>
          </w:tcPr>
          <w:p w14:paraId="4E9BAF4D" w14:textId="77777777" w:rsidR="00632101" w:rsidRPr="00216965" w:rsidRDefault="00632101" w:rsidP="00A0457B">
            <w:pPr>
              <w:rPr>
                <w:rFonts w:eastAsia="Times New Roman" w:cs="Times New Roman"/>
              </w:rPr>
            </w:pPr>
          </w:p>
        </w:tc>
        <w:tc>
          <w:tcPr>
            <w:tcW w:w="667" w:type="dxa"/>
          </w:tcPr>
          <w:p w14:paraId="45A1086B" w14:textId="77777777" w:rsidR="00632101" w:rsidRPr="00216965" w:rsidRDefault="00632101" w:rsidP="00A0457B">
            <w:pPr>
              <w:rPr>
                <w:rFonts w:eastAsia="Times New Roman" w:cs="Times New Roman"/>
              </w:rPr>
            </w:pPr>
          </w:p>
        </w:tc>
        <w:tc>
          <w:tcPr>
            <w:tcW w:w="654" w:type="dxa"/>
          </w:tcPr>
          <w:p w14:paraId="4DCCDCD8" w14:textId="77777777" w:rsidR="00632101" w:rsidRPr="00216965" w:rsidRDefault="00632101" w:rsidP="00A0457B">
            <w:pPr>
              <w:rPr>
                <w:rFonts w:eastAsia="Times New Roman" w:cs="Times New Roman"/>
              </w:rPr>
            </w:pPr>
            <w:r w:rsidRPr="00216965">
              <w:rPr>
                <w:rFonts w:eastAsia="Times New Roman" w:cs="Times New Roman"/>
                <w:sz w:val="18"/>
                <w:szCs w:val="18"/>
              </w:rPr>
              <w:t>10.1</w:t>
            </w:r>
          </w:p>
        </w:tc>
        <w:tc>
          <w:tcPr>
            <w:tcW w:w="688" w:type="dxa"/>
          </w:tcPr>
          <w:p w14:paraId="47411A7E" w14:textId="77777777" w:rsidR="00632101" w:rsidRPr="00216965" w:rsidRDefault="00632101" w:rsidP="00A0457B">
            <w:pPr>
              <w:rPr>
                <w:rFonts w:eastAsia="Times New Roman" w:cs="Times New Roman"/>
              </w:rPr>
            </w:pPr>
            <w:r w:rsidRPr="00216965">
              <w:rPr>
                <w:rFonts w:eastAsia="Times New Roman" w:cs="Times New Roman"/>
                <w:sz w:val="18"/>
                <w:szCs w:val="18"/>
              </w:rPr>
              <w:t>55.9</w:t>
            </w:r>
          </w:p>
        </w:tc>
        <w:tc>
          <w:tcPr>
            <w:tcW w:w="806" w:type="dxa"/>
          </w:tcPr>
          <w:p w14:paraId="27A22D51" w14:textId="77777777" w:rsidR="00632101" w:rsidRPr="00216965" w:rsidRDefault="00632101" w:rsidP="00A0457B">
            <w:pPr>
              <w:rPr>
                <w:rFonts w:eastAsia="Times New Roman" w:cs="Times New Roman"/>
              </w:rPr>
            </w:pPr>
            <w:r w:rsidRPr="00216965">
              <w:rPr>
                <w:rFonts w:eastAsia="Times New Roman" w:cs="Times New Roman"/>
                <w:sz w:val="18"/>
                <w:szCs w:val="18"/>
              </w:rPr>
              <w:t>242.20</w:t>
            </w:r>
          </w:p>
        </w:tc>
        <w:tc>
          <w:tcPr>
            <w:tcW w:w="1560" w:type="dxa"/>
          </w:tcPr>
          <w:p w14:paraId="13B1323A" w14:textId="0AD76418"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{"citationItems":[{"id":"ITEM-1","itemData":{"DOI":"10.1016/j.scitotenv.2016.10.204","ISSN":"18791026","abstract":"Agri-wastes biochars viz. eucalyptus bark (EBBC), corn cob (CCBC), bamboo chips (BCBC), rice husk (RHBC) and rice straw (RSBC) and acid treated RSBC (T-RSBC), were characterized for their physico-chemical properties and sorption behaviour of atrazine and imidacloprid was studied. Kinetics study suggested that except atrazine adsorption on RSBC, which was best explained by the pseudo second order model, sorption of atrazine and imidacloprid on biochars was well explained by the modified Elovich model. Among the five normal biochars, the RSBC showed the maximum atrazine (37.5???70.7%) and imidacloprid (39.9???77.8%) sorption. The phosphoric acid treatment of RSBC further enhanced the sorption of both pesticides in T-RSBC. The Freundlich adsorption isotherms were highly nonlinear and percent adsorption decreased with increase in pesticide concentration in solution. Pesticide adsorption on biochars was affected by their aromaticity, polarity, pore diameter, pH and weak acid fraction. Thus, rice straw biochars have great potential for environmental implications and can be exploited as adsorbents for pesticide industry spewed waste water purification.","author":[{"dropping-particle":"","family":"Mandal","given":"Abhishek","non-dropping-particle":"","parse-names":false,"suffix":""},{"dropping-particle":"","family":"Singh","given":"Neera","non-dropping-particle":"","parse-names":false,"suffix":""},{"dropping-particle":"","family":"Purakayastha","given":"T. J.","non-dropping-particle":"","parse-names":false,"suffix":""}],"container-title":"Science of the Total Environment","id":"ITEM-1","issued":{"date-parts":[["2017"]]},"page":"376-385","publisher":"Elsevier B.V.","title":"Characterization of pesticide sorption behaviour of slow pyrolysis biochars as low cost adsorbent for atrazine and imidacloprid removal","type":"article-journal","volume":"577"},"uris":["http://www.mendeley.com/documents/?uuid=4760aa77-c050-4d45-9429-c04d7acbb14f"]}],"mendeley":{"formattedCitation":"(Mandal et al., 2017)","manualFormatting":"(Mandal et al. (2017)","plainTextFormattedCitation":"(Mandal et al., 2017)","previouslyFormattedCitation":"(Mandal et al., 2017)"},"properties":{"noteIndex":0},"schema":"https://github.com/citation-style-language/schema/raw/master/csl-citation.json"}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Mandal et al. (2017)</w:t>
            </w:r>
            <w:r w:rsidRPr="00216965">
              <w:rPr>
                <w:rFonts w:eastAsia="Times New Roman" w:cs="Times New Roman"/>
                <w:sz w:val="18"/>
                <w:szCs w:val="18"/>
              </w:rPr>
              <w:fldChar w:fldCharType="end"/>
            </w:r>
          </w:p>
        </w:tc>
      </w:tr>
      <w:tr w:rsidR="00632101" w:rsidRPr="00216965" w14:paraId="79CB62D9" w14:textId="77777777" w:rsidTr="008A33DA">
        <w:tc>
          <w:tcPr>
            <w:tcW w:w="1066" w:type="dxa"/>
            <w:tcBorders>
              <w:bottom w:val="single" w:sz="4" w:space="0" w:color="auto"/>
            </w:tcBorders>
          </w:tcPr>
          <w:p w14:paraId="373086DB" w14:textId="77777777" w:rsidR="00632101" w:rsidRPr="00216965" w:rsidRDefault="00632101" w:rsidP="00A0457B">
            <w:pPr>
              <w:rPr>
                <w:rFonts w:eastAsia="Times New Roman" w:cs="Times New Roman"/>
                <w:sz w:val="18"/>
                <w:szCs w:val="18"/>
              </w:rPr>
            </w:pPr>
            <w:r w:rsidRPr="00216965">
              <w:rPr>
                <w:rFonts w:eastAsia="Times New Roman" w:cs="Times New Roman"/>
                <w:sz w:val="18"/>
                <w:szCs w:val="18"/>
              </w:rPr>
              <w:t>Eucalyptus bark biochar</w:t>
            </w:r>
          </w:p>
        </w:tc>
        <w:tc>
          <w:tcPr>
            <w:tcW w:w="1296" w:type="dxa"/>
            <w:tcBorders>
              <w:bottom w:val="single" w:sz="4" w:space="0" w:color="auto"/>
            </w:tcBorders>
          </w:tcPr>
          <w:p w14:paraId="5BB25965" w14:textId="77777777" w:rsidR="00632101" w:rsidRPr="00216965" w:rsidRDefault="00632101" w:rsidP="00A0457B">
            <w:pPr>
              <w:rPr>
                <w:rFonts w:eastAsia="Times New Roman" w:cs="Times New Roman"/>
              </w:rPr>
            </w:pPr>
            <w:r w:rsidRPr="00216965">
              <w:rPr>
                <w:rFonts w:eastAsia="Times New Roman" w:cs="Times New Roman"/>
                <w:sz w:val="18"/>
                <w:szCs w:val="18"/>
              </w:rPr>
              <w:t>600 ᵒC</w:t>
            </w:r>
          </w:p>
        </w:tc>
        <w:tc>
          <w:tcPr>
            <w:tcW w:w="732" w:type="dxa"/>
            <w:tcBorders>
              <w:bottom w:val="single" w:sz="4" w:space="0" w:color="auto"/>
            </w:tcBorders>
          </w:tcPr>
          <w:p w14:paraId="641C6FBA" w14:textId="77777777" w:rsidR="00632101" w:rsidRPr="00216965" w:rsidRDefault="00632101" w:rsidP="00A0457B">
            <w:pPr>
              <w:rPr>
                <w:rFonts w:eastAsia="Times New Roman" w:cs="Times New Roman"/>
              </w:rPr>
            </w:pPr>
            <w:r w:rsidRPr="00216965">
              <w:rPr>
                <w:rFonts w:eastAsia="Times New Roman" w:cs="Times New Roman"/>
                <w:sz w:val="18"/>
                <w:szCs w:val="18"/>
              </w:rPr>
              <w:t>72.2</w:t>
            </w:r>
          </w:p>
        </w:tc>
        <w:tc>
          <w:tcPr>
            <w:tcW w:w="658" w:type="dxa"/>
            <w:tcBorders>
              <w:bottom w:val="single" w:sz="4" w:space="0" w:color="auto"/>
            </w:tcBorders>
          </w:tcPr>
          <w:p w14:paraId="31F70BF6" w14:textId="77777777" w:rsidR="00632101" w:rsidRPr="00216965" w:rsidRDefault="00632101" w:rsidP="00A0457B">
            <w:pPr>
              <w:rPr>
                <w:rFonts w:eastAsia="Times New Roman" w:cs="Times New Roman"/>
              </w:rPr>
            </w:pPr>
            <w:r w:rsidRPr="00216965">
              <w:rPr>
                <w:rFonts w:eastAsia="Times New Roman" w:cs="Times New Roman"/>
                <w:sz w:val="18"/>
                <w:szCs w:val="18"/>
              </w:rPr>
              <w:t>28.9</w:t>
            </w:r>
          </w:p>
        </w:tc>
        <w:tc>
          <w:tcPr>
            <w:tcW w:w="662" w:type="dxa"/>
            <w:tcBorders>
              <w:bottom w:val="single" w:sz="4" w:space="0" w:color="auto"/>
            </w:tcBorders>
          </w:tcPr>
          <w:p w14:paraId="6D92AA97" w14:textId="77777777" w:rsidR="00632101" w:rsidRPr="00216965" w:rsidRDefault="00632101" w:rsidP="00A0457B">
            <w:pPr>
              <w:rPr>
                <w:rFonts w:eastAsia="Times New Roman" w:cs="Times New Roman"/>
              </w:rPr>
            </w:pPr>
          </w:p>
        </w:tc>
        <w:tc>
          <w:tcPr>
            <w:tcW w:w="667" w:type="dxa"/>
            <w:tcBorders>
              <w:bottom w:val="single" w:sz="4" w:space="0" w:color="auto"/>
            </w:tcBorders>
          </w:tcPr>
          <w:p w14:paraId="2EA754F9" w14:textId="77777777" w:rsidR="00632101" w:rsidRPr="00216965" w:rsidRDefault="00632101" w:rsidP="00A0457B">
            <w:pPr>
              <w:rPr>
                <w:rFonts w:eastAsia="Times New Roman" w:cs="Times New Roman"/>
              </w:rPr>
            </w:pPr>
          </w:p>
        </w:tc>
        <w:tc>
          <w:tcPr>
            <w:tcW w:w="654" w:type="dxa"/>
            <w:tcBorders>
              <w:bottom w:val="single" w:sz="4" w:space="0" w:color="auto"/>
            </w:tcBorders>
          </w:tcPr>
          <w:p w14:paraId="6473A082" w14:textId="77777777" w:rsidR="00632101" w:rsidRPr="00216965" w:rsidRDefault="00632101" w:rsidP="00A0457B">
            <w:pPr>
              <w:rPr>
                <w:rFonts w:eastAsia="Times New Roman" w:cs="Times New Roman"/>
              </w:rPr>
            </w:pPr>
            <w:r w:rsidRPr="00216965">
              <w:rPr>
                <w:rFonts w:eastAsia="Times New Roman" w:cs="Times New Roman"/>
                <w:sz w:val="18"/>
                <w:szCs w:val="18"/>
              </w:rPr>
              <w:t>9.37</w:t>
            </w:r>
          </w:p>
        </w:tc>
        <w:tc>
          <w:tcPr>
            <w:tcW w:w="688" w:type="dxa"/>
            <w:tcBorders>
              <w:bottom w:val="single" w:sz="4" w:space="0" w:color="auto"/>
            </w:tcBorders>
          </w:tcPr>
          <w:p w14:paraId="42E18314" w14:textId="77777777" w:rsidR="00632101" w:rsidRPr="00216965" w:rsidRDefault="00632101" w:rsidP="00A0457B">
            <w:pPr>
              <w:rPr>
                <w:rFonts w:eastAsia="Times New Roman" w:cs="Times New Roman"/>
              </w:rPr>
            </w:pPr>
            <w:r w:rsidRPr="00216965">
              <w:rPr>
                <w:rFonts w:eastAsia="Times New Roman" w:cs="Times New Roman"/>
                <w:sz w:val="18"/>
                <w:szCs w:val="18"/>
              </w:rPr>
              <w:t>36.46</w:t>
            </w:r>
          </w:p>
        </w:tc>
        <w:tc>
          <w:tcPr>
            <w:tcW w:w="806" w:type="dxa"/>
            <w:tcBorders>
              <w:bottom w:val="single" w:sz="4" w:space="0" w:color="auto"/>
            </w:tcBorders>
          </w:tcPr>
          <w:p w14:paraId="606E66A9" w14:textId="77777777" w:rsidR="00632101" w:rsidRPr="00216965" w:rsidRDefault="00632101" w:rsidP="00A0457B">
            <w:pPr>
              <w:rPr>
                <w:rFonts w:eastAsia="Times New Roman" w:cs="Times New Roman"/>
              </w:rPr>
            </w:pPr>
            <w:r w:rsidRPr="00216965">
              <w:rPr>
                <w:rFonts w:eastAsia="Times New Roman" w:cs="Times New Roman"/>
                <w:sz w:val="18"/>
                <w:szCs w:val="18"/>
              </w:rPr>
              <w:t>188.20</w:t>
            </w:r>
          </w:p>
        </w:tc>
        <w:tc>
          <w:tcPr>
            <w:tcW w:w="1560" w:type="dxa"/>
            <w:tcBorders>
              <w:bottom w:val="single" w:sz="4" w:space="0" w:color="auto"/>
            </w:tcBorders>
          </w:tcPr>
          <w:p w14:paraId="06655DC8" w14:textId="04279782" w:rsidR="00632101" w:rsidRPr="00216965" w:rsidRDefault="00632101" w:rsidP="00A0457B">
            <w:pPr>
              <w:rPr>
                <w:rFonts w:eastAsia="Times New Roman" w:cs="Times New Roman"/>
                <w:sz w:val="18"/>
                <w:szCs w:val="18"/>
              </w:rPr>
            </w:pPr>
            <w:r w:rsidRPr="00216965">
              <w:rPr>
                <w:rFonts w:eastAsia="Times New Roman" w:cs="Times New Roman"/>
                <w:sz w:val="18"/>
                <w:szCs w:val="18"/>
              </w:rPr>
              <w:fldChar w:fldCharType="begin" w:fldLock="1"/>
            </w:r>
            <w:r w:rsidR="006C06AA" w:rsidRPr="00216965">
              <w:rPr>
                <w:rFonts w:eastAsia="Times New Roman" w:cs="Times New Roman"/>
                <w:sz w:val="18"/>
                <w:szCs w:val="18"/>
              </w:rPr>
              <w:instrText>ADDIN CSL_CITATION {"citationItems":[{"id":"ITEM-1","itemData":{"DOI":"10.1016/j.scitotenv.2016.10.204","ISSN":"18791026","abstract":"Agri-wastes biochars viz. eucalyptus bark (EBBC), corn cob (CCBC), bamboo chips (BCBC), rice husk (RHBC) and rice straw (RSBC) and acid treated RSBC (T-RSBC), were characterized for their physico-chemical properties and sorption behaviour of atrazine and imidacloprid was studied. Kinetics study suggested that except atrazine adsorption on RSBC, which was best explained by the pseudo second order model, sorption of atrazine and imidacloprid on biochars was well explained by the modified Elovich model. Among the five normal biochars, the RSBC showed the maximum atrazine (37.5???70.7%) and imidacloprid (39.9???77.8%) sorption. The phosphoric acid treatment of RSBC further enhanced the sorption of both pesticides in T-RSBC. The Freundlich adsorption isotherms were highly nonlinear and percent adsorption decreased with increase in pesticide concentration in solution. Pesticide adsorption on biochars was affected by their aromaticity, polarity, pore diameter, pH and weak acid fraction. Thus, rice straw biochars have great potential for environmental implications and can be exploited as adsorbents for pesticide industry spewed waste water purification.","author":[{"dropping-particle":"","family":"Mandal","given":"Abhishek","non-dropping-particle":"","parse-names":false,"suffix":""},{"dropping-particle":"","family":"Singh","given":"Neera","non-dropping-particle":"","parse-names":false,"suffix":""},{"dropping-particle":"","family":"Purakayastha","given":"T. J.","non-dropping-particle":"","parse-names":false,"suffix":""}],"container-title":"Science of the Total Environment","id":"ITEM-1","issued":{"date-parts":[["2017"]]},"page":"376-385","publisher":"Elsevier B.V.","title":"Characterization of pesticide sorption behaviour of slow pyrolysis biochars as low cost adsorbent for atrazine and imidacloprid removal","type":"article-journal","volume":"577"},"uris":["http://www.mendeley.com/documents/?uuid=4760aa77-c050-4d45-9429-c04d7acbb14f"]}],"mendeley":{"formattedCitation":"(Mandal et al., 2017)","manualFormatting":"(Mandal et al. (2017)","plainTextFormattedCitation":"(Mandal et al., 2017)","previouslyFormattedCitation":"(Mandal et al., 2017)"},"properties":{"noteIndex":0},"schema":"https://github.com/citation-style-language/schema/raw/master/csl-citation.json"}</w:instrText>
            </w:r>
            <w:r w:rsidRPr="00216965">
              <w:rPr>
                <w:rFonts w:eastAsia="Times New Roman" w:cs="Times New Roman"/>
                <w:sz w:val="18"/>
                <w:szCs w:val="18"/>
              </w:rPr>
              <w:fldChar w:fldCharType="separate"/>
            </w:r>
            <w:r w:rsidRPr="00216965">
              <w:rPr>
                <w:rFonts w:eastAsia="Times New Roman" w:cs="Times New Roman"/>
                <w:noProof/>
                <w:sz w:val="18"/>
                <w:szCs w:val="18"/>
              </w:rPr>
              <w:t>Mandal et al. (2017)</w:t>
            </w:r>
            <w:r w:rsidRPr="00216965">
              <w:rPr>
                <w:rFonts w:eastAsia="Times New Roman" w:cs="Times New Roman"/>
                <w:sz w:val="18"/>
                <w:szCs w:val="18"/>
              </w:rPr>
              <w:fldChar w:fldCharType="end"/>
            </w:r>
          </w:p>
        </w:tc>
      </w:tr>
    </w:tbl>
    <w:p w14:paraId="1422890D" w14:textId="77777777" w:rsidR="00632101" w:rsidRPr="00216965" w:rsidRDefault="00632101" w:rsidP="008A33DA">
      <w:pPr>
        <w:spacing w:after="0" w:line="240" w:lineRule="auto"/>
        <w:jc w:val="both"/>
        <w:rPr>
          <w:rFonts w:eastAsia="Times New Roman" w:cs="Times New Roman"/>
          <w:sz w:val="14"/>
          <w:szCs w:val="14"/>
          <w:vertAlign w:val="superscript"/>
        </w:rPr>
      </w:pPr>
      <w:r w:rsidRPr="00216965">
        <w:rPr>
          <w:rFonts w:eastAsia="Times New Roman" w:cs="Times New Roman"/>
          <w:sz w:val="14"/>
          <w:szCs w:val="14"/>
          <w:vertAlign w:val="superscript"/>
        </w:rPr>
        <w:t xml:space="preserve">a </w:t>
      </w:r>
      <w:r w:rsidRPr="00216965">
        <w:rPr>
          <w:rFonts w:eastAsia="Times New Roman" w:cs="Times New Roman"/>
          <w:sz w:val="14"/>
          <w:szCs w:val="14"/>
        </w:rPr>
        <w:t>Biochar production temperature</w:t>
      </w:r>
    </w:p>
    <w:p w14:paraId="0BF081FB" w14:textId="77777777" w:rsidR="00632101" w:rsidRPr="00216965" w:rsidRDefault="00632101" w:rsidP="008A33DA">
      <w:pPr>
        <w:spacing w:after="0" w:line="240" w:lineRule="auto"/>
        <w:jc w:val="both"/>
        <w:rPr>
          <w:rFonts w:eastAsia="Times New Roman" w:cs="Times New Roman"/>
          <w:sz w:val="14"/>
          <w:szCs w:val="14"/>
        </w:rPr>
      </w:pPr>
      <w:r w:rsidRPr="00216965">
        <w:rPr>
          <w:rFonts w:eastAsia="Times New Roman" w:cs="Times New Roman"/>
          <w:sz w:val="14"/>
          <w:szCs w:val="14"/>
          <w:vertAlign w:val="superscript"/>
        </w:rPr>
        <w:t>b</w:t>
      </w:r>
      <w:r w:rsidRPr="00216965">
        <w:rPr>
          <w:rFonts w:eastAsia="Times New Roman" w:cs="Times New Roman"/>
          <w:sz w:val="14"/>
          <w:szCs w:val="14"/>
        </w:rPr>
        <w:t xml:space="preserve"> TC is total carbon content</w:t>
      </w:r>
    </w:p>
    <w:p w14:paraId="24B73963" w14:textId="77777777" w:rsidR="00632101" w:rsidRPr="00216965" w:rsidRDefault="00632101" w:rsidP="008A33DA">
      <w:pPr>
        <w:spacing w:after="0" w:line="240" w:lineRule="auto"/>
        <w:jc w:val="both"/>
        <w:rPr>
          <w:rFonts w:eastAsia="Times New Roman" w:cs="Times New Roman"/>
          <w:sz w:val="14"/>
          <w:szCs w:val="14"/>
        </w:rPr>
      </w:pPr>
      <w:r w:rsidRPr="00216965">
        <w:rPr>
          <w:rFonts w:eastAsia="Times New Roman" w:cs="Times New Roman"/>
          <w:sz w:val="14"/>
          <w:szCs w:val="14"/>
          <w:vertAlign w:val="superscript"/>
        </w:rPr>
        <w:t xml:space="preserve">c </w:t>
      </w:r>
      <w:r w:rsidRPr="00216965">
        <w:rPr>
          <w:rFonts w:eastAsia="Times New Roman" w:cs="Times New Roman"/>
          <w:sz w:val="14"/>
          <w:szCs w:val="14"/>
        </w:rPr>
        <w:t>VM Volatile organic matter (%, dry basis)</w:t>
      </w:r>
    </w:p>
    <w:p w14:paraId="242159D4" w14:textId="77777777" w:rsidR="00632101" w:rsidRPr="00216965" w:rsidRDefault="00632101" w:rsidP="008A33DA">
      <w:pPr>
        <w:spacing w:after="0" w:line="240" w:lineRule="auto"/>
        <w:jc w:val="both"/>
        <w:rPr>
          <w:rFonts w:eastAsia="Times New Roman" w:cs="Times New Roman"/>
          <w:sz w:val="14"/>
          <w:szCs w:val="14"/>
        </w:rPr>
      </w:pPr>
      <w:r w:rsidRPr="00216965">
        <w:rPr>
          <w:rFonts w:eastAsia="Times New Roman" w:cs="Times New Roman"/>
          <w:sz w:val="14"/>
          <w:szCs w:val="14"/>
          <w:vertAlign w:val="superscript"/>
        </w:rPr>
        <w:t>d</w:t>
      </w:r>
      <w:r w:rsidRPr="00216965">
        <w:rPr>
          <w:rFonts w:eastAsia="Times New Roman" w:cs="Times New Roman"/>
          <w:sz w:val="14"/>
          <w:szCs w:val="14"/>
        </w:rPr>
        <w:t xml:space="preserve"> CEC is cation exchange capacity (cmol kg</w:t>
      </w:r>
      <w:r w:rsidRPr="00216965">
        <w:rPr>
          <w:rFonts w:eastAsia="Times New Roman" w:cs="Times New Roman"/>
          <w:sz w:val="14"/>
          <w:szCs w:val="14"/>
          <w:vertAlign w:val="superscript"/>
        </w:rPr>
        <w:t>-1</w:t>
      </w:r>
      <w:r w:rsidRPr="00216965">
        <w:rPr>
          <w:rFonts w:eastAsia="Times New Roman" w:cs="Times New Roman"/>
          <w:sz w:val="14"/>
          <w:szCs w:val="14"/>
        </w:rPr>
        <w:t>)</w:t>
      </w:r>
    </w:p>
    <w:p w14:paraId="2E7FE775" w14:textId="65127926" w:rsidR="00632101" w:rsidRPr="00216965" w:rsidRDefault="00632101" w:rsidP="008A33DA">
      <w:pPr>
        <w:spacing w:after="0" w:line="240" w:lineRule="auto"/>
        <w:jc w:val="both"/>
        <w:rPr>
          <w:rFonts w:eastAsia="Times New Roman" w:cs="Times New Roman"/>
          <w:sz w:val="14"/>
          <w:szCs w:val="14"/>
        </w:rPr>
      </w:pPr>
      <w:r w:rsidRPr="00216965">
        <w:rPr>
          <w:rFonts w:eastAsia="Times New Roman" w:cs="Times New Roman"/>
          <w:sz w:val="14"/>
          <w:szCs w:val="14"/>
        </w:rPr>
        <w:t>SA is BET-N</w:t>
      </w:r>
      <w:r w:rsidRPr="00216965">
        <w:rPr>
          <w:rFonts w:eastAsia="Times New Roman" w:cs="Times New Roman"/>
          <w:sz w:val="14"/>
          <w:szCs w:val="14"/>
          <w:vertAlign w:val="subscript"/>
        </w:rPr>
        <w:t>2</w:t>
      </w:r>
      <w:r w:rsidRPr="00216965">
        <w:rPr>
          <w:rFonts w:eastAsia="Times New Roman" w:cs="Times New Roman"/>
          <w:sz w:val="14"/>
          <w:szCs w:val="14"/>
        </w:rPr>
        <w:t xml:space="preserve"> surface area (m</w:t>
      </w:r>
      <w:r w:rsidRPr="00216965">
        <w:rPr>
          <w:rFonts w:eastAsia="Times New Roman" w:cs="Times New Roman"/>
          <w:sz w:val="14"/>
          <w:szCs w:val="14"/>
          <w:vertAlign w:val="superscript"/>
        </w:rPr>
        <w:t>2</w:t>
      </w:r>
      <w:r w:rsidRPr="00216965">
        <w:rPr>
          <w:rFonts w:eastAsia="Times New Roman" w:cs="Times New Roman"/>
          <w:sz w:val="14"/>
          <w:szCs w:val="14"/>
        </w:rPr>
        <w:t>g</w:t>
      </w:r>
      <w:r w:rsidRPr="00216965">
        <w:rPr>
          <w:rFonts w:eastAsia="Times New Roman" w:cs="Times New Roman"/>
          <w:sz w:val="14"/>
          <w:szCs w:val="14"/>
          <w:vertAlign w:val="superscript"/>
        </w:rPr>
        <w:t>-1</w:t>
      </w:r>
      <w:r w:rsidRPr="00216965">
        <w:rPr>
          <w:rFonts w:eastAsia="Times New Roman" w:cs="Times New Roman"/>
          <w:sz w:val="14"/>
          <w:szCs w:val="14"/>
        </w:rPr>
        <w:t>)</w:t>
      </w:r>
    </w:p>
    <w:bookmarkEnd w:id="75"/>
    <w:p w14:paraId="10BE9374" w14:textId="7A2B8B26" w:rsidR="005563EE" w:rsidRPr="00216965" w:rsidRDefault="005563EE" w:rsidP="008A33DA">
      <w:pPr>
        <w:spacing w:after="0" w:line="240" w:lineRule="auto"/>
        <w:jc w:val="both"/>
        <w:rPr>
          <w:rFonts w:eastAsia="Times New Roman" w:cs="Times New Roman"/>
          <w:sz w:val="14"/>
          <w:szCs w:val="14"/>
        </w:rPr>
      </w:pPr>
    </w:p>
    <w:p w14:paraId="7BDF2FA1" w14:textId="77777777" w:rsidR="00632101" w:rsidRPr="00216965" w:rsidRDefault="00632101" w:rsidP="008A33DA">
      <w:pPr>
        <w:pStyle w:val="Heading4"/>
      </w:pPr>
      <w:bookmarkStart w:id="76" w:name="_heading=h.lnxbz9" w:colFirst="0" w:colLast="0"/>
      <w:bookmarkEnd w:id="76"/>
      <w:r w:rsidRPr="00216965">
        <w:lastRenderedPageBreak/>
        <w:t>Effect of pyrolysis conditions on biochar properties</w:t>
      </w:r>
    </w:p>
    <w:p w14:paraId="3C333DEB" w14:textId="4A788F73" w:rsidR="00632101" w:rsidRPr="00216965" w:rsidRDefault="00632101" w:rsidP="008A33DA">
      <w:pPr>
        <w:spacing w:after="0" w:line="360" w:lineRule="auto"/>
        <w:jc w:val="both"/>
        <w:rPr>
          <w:rFonts w:eastAsia="Times New Roman" w:cs="Times New Roman"/>
          <w:szCs w:val="24"/>
        </w:rPr>
      </w:pPr>
      <w:r w:rsidRPr="00216965">
        <w:rPr>
          <w:rFonts w:eastAsia="Times New Roman" w:cs="Times New Roman"/>
          <w:szCs w:val="24"/>
        </w:rPr>
        <w:t xml:space="preserve">In addition to the influence of feedstock, biochar properties can be controlled to some extent by optimizing pyrolysis parameters such as temperature and residence time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review","type":"article-journal","volume":"99"},"uris":["http://www.mendeley.com/documents/?uuid=48218992-b65d-439f-b228-8bd55f65ddf1"]}],"mendeley":{"formattedCitation":"(Ahmad et al., 2014)","plainTextFormattedCitation":"(Ahmad et al., 2014)","previouslyFormattedCitation":"(Ahmad et al., 2014)"},"properties":{"noteIndex":0},"schema":"https://github.com/citation-style-language/schema/raw/master/csl-citation.json"}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(Ahmad et al., 2014)</w:t>
      </w:r>
      <w:r w:rsidRPr="00216965">
        <w:rPr>
          <w:rFonts w:eastAsia="Times New Roman" w:cs="Times New Roman"/>
          <w:szCs w:val="24"/>
        </w:rPr>
        <w:fldChar w:fldCharType="end"/>
      </w:r>
      <w:r w:rsidRPr="00216965">
        <w:rPr>
          <w:rFonts w:eastAsia="Times New Roman" w:cs="Times New Roman"/>
          <w:szCs w:val="24"/>
        </w:rPr>
        <w:t xml:space="preserve">. Pyrolysis temperature appears to strongly influence the cation exchange capacity (CEC) of biochar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{"citationItems":[{"id":"ITEM-1","itemData":{"DOI":"10.1016/j.jaap.2011.11.018","ISBN":"01652370","ISSN":"01652370","abstract":"Producing biochar and biofuels from poultry litter (PL) through slow pyrolysis is a farm-based, value-added approach to recycle the organic waste. Experiments were conducted to examine the effect of pyrolysis temperature on the quality PL biochar and to identify the optimal pyrolysis temperature for converting PL to agricultural-use biochar. As peak pyrolysis temperature increased incrementally from 300 to 600 ??C, biochar yield, total N content, organic carbon (OC) content, and cation exchange capacity (CEC) decreased while pH, ash content, OC stability, and BET surface area increased. The generated biochars showed yields 45.7-60.1% of feed mass, OC 325-380 g kg -1, pH 9.5-11.5, BET surface area 2.0-3.2 m 2 g -1, and CEC 21.6-36.3 cmol c kg -1. The maximal transformation of feed OC into biochar recalcitrant OC occurred at 500 ??C, yet 81.2% of the feed N was lost in volatiles at this temperature. To produce agricultural-use PL biochar, 300 ??C should be selected in pyrolysis; for carbon sequestration and other environmental applications, 500 ??C is recommended. ?? 2011 Elsevier B.V. All rights reserved.","author":[{"dropping-particle":"","family":"Song","given":"Weiping","non-dropping-particle":"","parse-names":false,"suffix":""},{"dropping-particle":"","family":"Guo","given":"Mingxin","non-dropping-particle":"","parse-names":false,"suffix":""}],"container-title":"Journal of Analytical and Applied Pyrolysis","id":"ITEM-1","issued":{"date-parts":[["2012"]]},"page":"138-145","publisher":"Elsevier B.V.","title":"Quality variations of poultry litter biochar generated at different pyrolysis temperatures","type":"article-journal","volume":"94"},"uris":["http://www.mendeley.com/documents/?uuid=101539bd-904f-4356-96c4-841636012999"]}],"mendeley":{"formattedCitation":"(Song and Guo, 2012)","plainTextFormattedCitation":"(Song and Guo, 2012)","previouslyFormattedCitation":"(Song and Guo, 2012)"},"properties":{"noteIndex":0},"schema":"https://github.com/citation-style-language/schema/raw/master/csl-citation.json"}</w:instrText>
      </w:r>
      <w:r w:rsidRPr="00216965">
        <w:rPr>
          <w:rFonts w:eastAsia="Times New Roman" w:cs="Times New Roman"/>
          <w:szCs w:val="24"/>
        </w:rPr>
        <w:fldChar w:fldCharType="separate"/>
      </w:r>
      <w:r w:rsidR="00330A4F" w:rsidRPr="00216965">
        <w:rPr>
          <w:rFonts w:eastAsia="Times New Roman" w:cs="Times New Roman"/>
          <w:noProof/>
          <w:szCs w:val="24"/>
        </w:rPr>
        <w:t>(Song and Guo, 2012)</w:t>
      </w:r>
      <w:r w:rsidRPr="00216965">
        <w:rPr>
          <w:rFonts w:eastAsia="Times New Roman" w:cs="Times New Roman"/>
          <w:szCs w:val="24"/>
        </w:rPr>
        <w:fldChar w:fldCharType="end"/>
      </w:r>
      <w:r w:rsidRPr="00216965">
        <w:rPr>
          <w:rFonts w:eastAsia="Times New Roman" w:cs="Times New Roman"/>
          <w:szCs w:val="24"/>
        </w:rPr>
        <w:t xml:space="preserve">. CEC indicates the abundance of negatively charged sites on the biochar surface that can attract and exchange cationic elements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{"citationItems":[{"id":"ITEM-1","itemData":{"DOI":"10.1016/j.clay.2006.02.009","ISBN":"0169-1317","ISSN":"01691317","abstract":"The silver-thiourea method for the determination of the cation exchange capacity (CEC) has been critically examined. The chemical instability of the exchange solution used causes silver sulphide precipitation on the walls of tubes resulting in a loss of the index cation. This produces misinterpretation and yields usually in an overestimation of the CEC. Furthermore, when expandable clay minerals are investigated excess adsorption occurs leading to unreliable CEC results dependent on solution/solid ratio and ionic strength of the exchange solution. A modified silver-thiourea method is proposed, which uses a chemically more stable exchange solution, eliminating silver sulphide precipitation and substantially lowering excess adsorption, which is abolished by additional washings. The results are comparable to the ammonium acetate method. ?? 2006 Elsevier B.V. All rights reserved.","author":[{"dropping-particle":"","family":"Dohrmann","given":"R.","non-dropping-particle":"","parse-names":false,"suffix":""}],"container-title":"Applied Clay Science","id":"ITEM-1","issue":"1-4","issued":{"date-parts":[["2006"]]},"page":"38-46","title":"Cation exchange capacity methodology II: A modified silver-thiourea method","type":"article-journal","volume":"34"},"uris":["http://www.mendeley.com/documents/?uuid=79911102-c211-4b80-9f04-047a751d18fd"]},{"id":"ITEM-2","itemData":{"DOI":"10.1007/s10653-016-9873-6","ISSN":"15732983","author":[{"dropping-particle":"","family":"Jiang","given":"Shasha","non-dropping-particle":"","parse-names":false,"suffix":""},{"dropping-particle":"","family":"Nguyen","given":"Tuan A H","non-dropping-particle":"","parse-names":false,"suffix":""},{"dropping-particle":"","family":"Rudolph","given":"Victor","non-dropping-particle":"","parse-names":false,"suffix":""},{"dropping-particle":"","family":"Yang","given":"Hong","non-dropping-particle":"","parse-names":false,"suffix":""},{"dropping-particle":"","family":"Zhang","given":"Dongke","non-dropping-particle":"","parse-names":false,"suffix":""},{"dropping-particle":"","family":"Ok","given":"Yong Sik","non-dropping-particle":"","parse-names":false,"suffix":""},{"dropping-particle":"","family":"Huang","given":"Longbin","non-dropping-particle":"","parse-names":false,"suffix":""}],"container-title":"Environmental Geochemistry and Health","id":"ITEM-2","issued":{"date-parts":[["2017"]]},"page":"403-415","publisher":"Springer Netherlands","title":"Characterization of hard- and softwood biochars pyrolyzed at high temperature","type":"article-journal","volume":"39"},"uris":["http://www.mendeley.com/documents/?uuid=88cb6f94-5835-415f-bc83-bee9828a938c"]}],"mendeley":{"formattedCitation":"(Dohrmann, 2006; Jiang et al., 2017)","plainTextFormattedCitation":"(Dohrmann, 2006; Jiang et al., 2017)","previouslyFormattedCitation":"(Dohrmann, 2006; Jiang et al., 2017)"},"properties":{"noteIndex":0},"schema":"https://github.com/citation-style-language/schema/raw/master/csl-citation.json"}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(Dohrmann, 2006; Jiang et al., 2017)</w:t>
      </w:r>
      <w:r w:rsidRPr="00216965">
        <w:rPr>
          <w:rFonts w:eastAsia="Times New Roman" w:cs="Times New Roman"/>
          <w:szCs w:val="24"/>
        </w:rPr>
        <w:fldChar w:fldCharType="end"/>
      </w:r>
      <w:r w:rsidRPr="00216965">
        <w:rPr>
          <w:rFonts w:eastAsia="Times New Roman" w:cs="Times New Roman"/>
          <w:szCs w:val="24"/>
        </w:rPr>
        <w:t xml:space="preserve">. This property is important for pollutant adsorption as it is determines key adsorption mechanisms including electrostatic and non-electrostatic interactions,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biochars","type":"article-journal","volume":"162"},"uris":["http://www.mendeley.com/documents/?uuid=fb799e3b-320c-45b9-af26-4ace74302f75"]},{"id":"ITEM-2","itemData":{"DOI":"10.1016/j.jhazmat.2013.04.015","ISBN":"0304-3894","ISSN":"03043894","PMID":"23669784","abstract":"The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Materials","id":"ITEM-2","issued":{"date-parts":[["2013"]]},"page":"1-9","title":"Heterogeneity of biochar properties as a function of feedstock sources and production temperatures","type":"article-journal","volume":"256-257"},"uris":["http://www.mendeley.com/documents/?uuid=c07cfa46-e517-44ec-8ae0-4ee24c7a6a97"]}],"mendeley":{"formattedCitation":"(Janus et al., 2015; Zhao et al., 2013)","plainTextFormattedCitation":"(Janus et al., 2015; Zhao et al., 2013)","previouslyFormattedCitation":"(Janus et al., 2015; Zhao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(Janus et al., 2015; Zhao et al., 2013)</w:t>
      </w:r>
      <w:r w:rsidRPr="00216965">
        <w:rPr>
          <w:rFonts w:eastAsia="Times New Roman" w:cs="Times New Roman"/>
          <w:szCs w:val="24"/>
        </w:rPr>
        <w:fldChar w:fldCharType="end"/>
      </w:r>
      <w:r w:rsidRPr="00216965">
        <w:rPr>
          <w:rFonts w:eastAsia="Times New Roman" w:cs="Times New Roman"/>
          <w:szCs w:val="24"/>
        </w:rPr>
        <w:t xml:space="preserve">, described in the following sections. </w:t>
      </w:r>
      <w:r w:rsidRPr="00216965">
        <w:rPr>
          <w:rFonts w:eastAsia="Times New Roman" w:cs="Times New Roman"/>
          <w:szCs w:val="24"/>
        </w:rPr>
        <w:fldChar w:fldCharType="begin"/>
      </w:r>
      <w:r w:rsidRPr="00216965">
        <w:rPr>
          <w:rFonts w:eastAsia="Times New Roman" w:cs="Times New Roman"/>
          <w:szCs w:val="24"/>
        </w:rPr>
        <w:instrText xml:space="preserve"> REF _Ref82819168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4</w:t>
      </w:r>
      <w:r w:rsidRPr="00216965">
        <w:rPr>
          <w:rFonts w:eastAsia="Times New Roman" w:cs="Times New Roman"/>
          <w:szCs w:val="24"/>
        </w:rPr>
        <w:fldChar w:fldCharType="end"/>
      </w:r>
      <w:r w:rsidRPr="00216965">
        <w:rPr>
          <w:rFonts w:eastAsia="Times New Roman" w:cs="Times New Roman"/>
          <w:szCs w:val="24"/>
        </w:rPr>
        <w:t xml:space="preserve"> illustrates the effect of pyrolysis temperature on CEC and pH of two biochars.</w:t>
      </w:r>
    </w:p>
    <w:p w14:paraId="14DB3D5C" w14:textId="77777777" w:rsidR="00632101" w:rsidRPr="00216965" w:rsidRDefault="00632101" w:rsidP="008A33DA">
      <w:pPr>
        <w:spacing w:after="0" w:line="360" w:lineRule="auto"/>
        <w:jc w:val="both"/>
        <w:rPr>
          <w:rFonts w:eastAsia="Times New Roman" w:cs="Times New Roman"/>
          <w:szCs w:val="24"/>
        </w:rPr>
      </w:pPr>
    </w:p>
    <w:tbl>
      <w:tblPr>
        <w:tblStyle w:val="TableGrid"/>
        <w:tblW w:w="8542"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213"/>
        <w:gridCol w:w="4329"/>
      </w:tblGrid>
      <w:tr w:rsidR="00632101" w:rsidRPr="00216965" w14:paraId="10F6B72D" w14:textId="77777777" w:rsidTr="008A33DA">
        <w:trPr>
          <w:trHeight w:val="2937"/>
        </w:trPr>
        <w:tc>
          <w:tcPr>
            <w:tcW w:w="4213" w:type="dxa"/>
          </w:tcPr>
          <w:p w14:paraId="39CDB5DC" w14:textId="77777777" w:rsidR="00632101" w:rsidRPr="00216965" w:rsidRDefault="00632101" w:rsidP="00A0457B">
            <w:pPr>
              <w:jc w:val="both"/>
              <w:rPr>
                <w:rFonts w:cs="TimesNewRoman"/>
              </w:rPr>
            </w:pPr>
            <w:r w:rsidRPr="00216965">
              <w:rPr>
                <w:noProof/>
              </w:rPr>
              <w:drawing>
                <wp:inline distT="0" distB="0" distL="0" distR="0" wp14:anchorId="2C786E7A" wp14:editId="55879A37">
                  <wp:extent cx="2676525" cy="2400300"/>
                  <wp:effectExtent l="0" t="0" r="0" b="0"/>
                  <wp:docPr id="1"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329" w:type="dxa"/>
          </w:tcPr>
          <w:p w14:paraId="23C67EAF" w14:textId="77777777" w:rsidR="00632101" w:rsidRPr="00216965" w:rsidRDefault="00632101" w:rsidP="00A0457B">
            <w:pPr>
              <w:jc w:val="both"/>
              <w:rPr>
                <w:rFonts w:cs="TimesNewRoman"/>
              </w:rPr>
            </w:pPr>
            <w:r w:rsidRPr="00216965">
              <w:rPr>
                <w:noProof/>
              </w:rPr>
              <w:drawing>
                <wp:inline distT="0" distB="0" distL="0" distR="0" wp14:anchorId="78BFDF3F" wp14:editId="142F2108">
                  <wp:extent cx="2752725" cy="24003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63DDE448" w14:textId="77777777" w:rsidR="00632101" w:rsidRPr="00216965" w:rsidRDefault="00632101" w:rsidP="008A33DA">
      <w:pPr>
        <w:pStyle w:val="Caption"/>
        <w:rPr>
          <w:b/>
          <w:bCs w:val="0"/>
        </w:rPr>
      </w:pPr>
      <w:bookmarkStart w:id="77" w:name="_Toc482956018"/>
    </w:p>
    <w:p w14:paraId="528B7B11" w14:textId="14835C52" w:rsidR="00632101" w:rsidRPr="00216965" w:rsidRDefault="00632101" w:rsidP="008A33DA">
      <w:pPr>
        <w:pStyle w:val="Caption"/>
        <w:jc w:val="both"/>
        <w:rPr>
          <w:b/>
          <w:bCs w:val="0"/>
        </w:rPr>
      </w:pPr>
      <w:bookmarkStart w:id="78" w:name="_Ref82819168"/>
      <w:bookmarkStart w:id="79" w:name="_Toc86439347"/>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4</w:t>
      </w:r>
      <w:r w:rsidR="00BF3EBE" w:rsidRPr="00216965">
        <w:rPr>
          <w:b/>
          <w:bCs w:val="0"/>
        </w:rPr>
        <w:fldChar w:fldCharType="end"/>
      </w:r>
      <w:bookmarkEnd w:id="78"/>
      <w:r w:rsidRPr="00216965">
        <w:rPr>
          <w:b/>
          <w:bCs w:val="0"/>
        </w:rPr>
        <w:t xml:space="preserve"> </w:t>
      </w:r>
      <w:r w:rsidRPr="00216965">
        <w:rPr>
          <w:rFonts w:cs="TimesNewRoman"/>
          <w:b/>
          <w:bCs w:val="0"/>
        </w:rPr>
        <w:t xml:space="preserve">Variation of cation exchange capacity (CEC) and pH of pig manure biochar and wheat straw biochar produced at temperatures from 200 to 650⁰C. </w:t>
      </w:r>
      <w:r w:rsidRPr="00216965">
        <w:rPr>
          <w:rFonts w:cs="TimesNewRoman"/>
        </w:rPr>
        <w:t xml:space="preserve">Graphic elaborated with data reported by </w:t>
      </w:r>
      <w:r w:rsidRPr="00216965">
        <w:fldChar w:fldCharType="begin" w:fldLock="1"/>
      </w:r>
      <w:r w:rsidR="006C06AA" w:rsidRPr="00216965">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Pr="00216965">
        <w:fldChar w:fldCharType="separate"/>
      </w:r>
      <w:r w:rsidRPr="00216965">
        <w:rPr>
          <w:noProof/>
        </w:rPr>
        <w:t xml:space="preserve">Zhao </w:t>
      </w:r>
      <w:r w:rsidR="00637536" w:rsidRPr="00216965">
        <w:rPr>
          <w:noProof/>
        </w:rPr>
        <w:t xml:space="preserve">et al. </w:t>
      </w:r>
      <w:r w:rsidRPr="00216965">
        <w:rPr>
          <w:noProof/>
        </w:rPr>
        <w:t>(2013)</w:t>
      </w:r>
      <w:r w:rsidRPr="00216965">
        <w:fldChar w:fldCharType="end"/>
      </w:r>
      <w:r w:rsidRPr="00216965">
        <w:t>.</w:t>
      </w:r>
      <w:bookmarkEnd w:id="77"/>
      <w:bookmarkEnd w:id="79"/>
    </w:p>
    <w:p w14:paraId="43306C86" w14:textId="3E1C96E5" w:rsidR="00FD5FFA" w:rsidRPr="00216965" w:rsidRDefault="00632101" w:rsidP="008A33DA">
      <w:pPr>
        <w:spacing w:before="240" w:line="360" w:lineRule="auto"/>
        <w:jc w:val="both"/>
        <w:rPr>
          <w:rFonts w:eastAsia="Times New Roman" w:cs="Times New Roman"/>
          <w:szCs w:val="24"/>
        </w:rPr>
      </w:pPr>
      <w:r w:rsidRPr="00216965">
        <w:rPr>
          <w:rFonts w:eastAsia="Times New Roman" w:cs="Times New Roman"/>
          <w:szCs w:val="24"/>
        </w:rPr>
        <w:t xml:space="preserve">Biochar is generally alkaline due to the presence of ash </w:t>
      </w:r>
      <w:r w:rsidR="00C55F96" w:rsidRPr="00216965">
        <w:rPr>
          <w:rFonts w:eastAsia="Times New Roman" w:cs="Times New Roman"/>
          <w:szCs w:val="24"/>
        </w:rPr>
        <w:t xml:space="preserve">containing </w:t>
      </w:r>
      <w:r w:rsidRPr="00216965">
        <w:rPr>
          <w:rFonts w:eastAsia="Times New Roman" w:cs="Times New Roman"/>
          <w:szCs w:val="24"/>
        </w:rPr>
        <w:t>carbonates of exchangeable base cations (Ca</w:t>
      </w:r>
      <w:r w:rsidRPr="00216965">
        <w:rPr>
          <w:rFonts w:eastAsia="Times New Roman" w:cs="Times New Roman"/>
          <w:szCs w:val="24"/>
          <w:vertAlign w:val="superscript"/>
        </w:rPr>
        <w:t>2+</w:t>
      </w:r>
      <w:r w:rsidRPr="00216965">
        <w:rPr>
          <w:rFonts w:eastAsia="Times New Roman" w:cs="Times New Roman"/>
          <w:szCs w:val="24"/>
        </w:rPr>
        <w:t>, Mg</w:t>
      </w:r>
      <w:r w:rsidRPr="00216965">
        <w:rPr>
          <w:rFonts w:eastAsia="Times New Roman" w:cs="Times New Roman"/>
          <w:szCs w:val="24"/>
          <w:vertAlign w:val="superscript"/>
        </w:rPr>
        <w:t>2+</w:t>
      </w:r>
      <w:r w:rsidRPr="00216965">
        <w:rPr>
          <w:rFonts w:eastAsia="Times New Roman" w:cs="Times New Roman"/>
          <w:szCs w:val="24"/>
        </w:rPr>
        <w:t>, Na</w:t>
      </w:r>
      <w:r w:rsidRPr="00216965">
        <w:rPr>
          <w:rFonts w:eastAsia="Times New Roman" w:cs="Times New Roman"/>
          <w:szCs w:val="24"/>
          <w:vertAlign w:val="superscript"/>
        </w:rPr>
        <w:t>+</w:t>
      </w:r>
      <w:r w:rsidRPr="00216965">
        <w:rPr>
          <w:rFonts w:eastAsia="Times New Roman" w:cs="Times New Roman"/>
          <w:szCs w:val="24"/>
        </w:rPr>
        <w:t>, K</w:t>
      </w:r>
      <w:r w:rsidRPr="00216965">
        <w:rPr>
          <w:rFonts w:eastAsia="Times New Roman" w:cs="Times New Roman"/>
          <w:szCs w:val="24"/>
          <w:vertAlign w:val="superscript"/>
        </w:rPr>
        <w:t>+</w:t>
      </w:r>
      <w:r w:rsidRPr="00216965">
        <w:rPr>
          <w:rFonts w:eastAsia="Times New Roman" w:cs="Times New Roman"/>
          <w:szCs w:val="24"/>
        </w:rPr>
        <w:t xml:space="preserv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2021.125378","author":[{"dropping-particle":"","family":"He","given":"Mingjing","non-dropping-particle":"","parse-names":false,"suffix":""},{"dropping-particle":"","family":"Xiong","given":"Xinni","non-dropping-particle":"","parse-names":false,"suffix":""},{"dropping-particle":"","family":"Wang","given":"Lei","non-dropping-particle":"","parse-names":false,"suffix":""},{"dropping-particle":"","family":"Hou","given":"Deyi","non-dropping-particle":"","parse-names":false,"suffix":""},{"dropping-particle":"","family":"Bolan","given":"Nanthi S","non-dropping-particle":"","parse-names":false,"suffix":""},{"dropping-particle":"","family":"Sik","given":"Yong","non-dropping-particle":"","parse-names":false,"suffix":""}],"container-title":"Journal of Hazardous Materials","id":"ITEM-1","issued":{"date-parts":[["2021"]]},"page":"125378","title":"A critical review on performance indicators for evaluating soil biota and soil health of biochar-amended soils","type":"article-journal","volume":"414"},"uris":["http://www.mendeley.com/documents/?uuid=3ae01258-c56c-4afd-9216-def44a8b101f"]}],"mendeley":{"formattedCitation":"(He et al., 2021)","plainTextFormattedCitation":"(He et al., 2021)","previouslyFormattedCitation":"(He et al., 2021)"},"properties":{"noteIndex":0},"schema":"https://github.com/citation-style-language/schema/raw/master/csl-citation.json"}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(He et al., 2021)</w:t>
      </w:r>
      <w:r w:rsidRPr="00216965">
        <w:rPr>
          <w:rFonts w:eastAsia="Times New Roman" w:cs="Times New Roman"/>
          <w:szCs w:val="24"/>
        </w:rPr>
        <w:fldChar w:fldCharType="end"/>
      </w:r>
      <w:r w:rsidRPr="00216965">
        <w:rPr>
          <w:rFonts w:eastAsia="Times New Roman" w:cs="Times New Roman"/>
          <w:szCs w:val="24"/>
        </w:rPr>
        <w:t xml:space="preserve">. In addition, higher temperatures tend to increase biochar pH </w:t>
      </w:r>
      <w:r w:rsidRPr="00216965">
        <w:rPr>
          <w:rFonts w:eastAsia="Times New Roman" w:cs="Times New Roman"/>
          <w:szCs w:val="24"/>
        </w:rPr>
        <w:fldChar w:fldCharType="begin" w:fldLock="1"/>
      </w:r>
      <w:r w:rsidR="00B61794" w:rsidRPr="00216965">
        <w:rPr>
          <w:rFonts w:eastAsia="Times New Roman" w:cs="Times New Roman"/>
          <w:szCs w:val="24"/>
        </w:rPr>
        <w:instrText>ADDIN CSL_CITATION {"citationItems":[{"id":"ITEM-1","itemData":{"DOI":"10.1016/j.jhazmat.2009.06.124","ISBN":"0304-3894","ISSN":"03043894","PMID":"19656626","abstract":"We investigated the pore-water content and speciation of copper (Cu), zinc (Zn), cadmium (Cd) and lead (Pb) in a range of uncontaminated and long-term contaminated soils in order to establish their potential bioaccessibility to soil biota, plants and humans. Among the samples, soil pH (0.01 M CaCl\n                        2) ranged from 4.9 to 8.2. The total metal content of the uncontaminated soils ranged from 3.8 to 93.8 mg Cu kg\n                        -1, 10.3 to 95 mg kg\n                        -1 Zn, 0.1 to 1.8 mg Cd kg\n                        -1 and 5.2 to 183 mg kg\n                        -1 Pb, while metal content in the contaminated soils ranged from 104 to 6841 mg Cu kg\n                        -1, 312 to 39,000 mg kg\n                        -1 Zn, 6 to 302 mg Cd kg\n                        -1 and 609 to 12,000 mg kg\n                        -1 Pb. Our analysis of pore-water found the Cu concentrations to be much higher in contaminated soils than in uncontaminated soils, with the distribution coefficients (K\n                        d) correlating significantly with the log of dissolved organic carbon concentrations. Despite the high total metal content of the contaminated soil, Zn, Cd and Pb were not generally found at elevated levels in the pore-water with the exception of a single contaminated soil. A long period of ageing and soil weathering may have led to a substantial reduction in heavy metal concentrations in the pore-water of contaminated soils. On the other hand, Pb bioaccessibility was found to be comparatively high in Pb contaminated soils, where it tended to exceed the total Pb values by more than 80%. We conclude that, despite the extensive ageing of some contaminated soils, the bioaccessibility of Pb remains relatively high. ?? 2009 Elsevier B.V. All rights reserved.","author":[{"dropping-particle":"","family":"Lamb","given":"Dane T.","non-dropping-particle":"","parse-names":false,"suffix":""},{"dropping-particle":"","family":"Ming","given":"Hui","non-dropping-particle":"","parse-names":false,"suffix":""},{"dropping-particle":"","family":"Megharaj","given":"Mallavarapu","non-dropping-particle":"","parse-names":false,"suffix":""},{"dropping-particle":"","family":"Naidu","given":"Ravi","non-dropping-particle":"","parse-names":false,"suffix":""}],"container-title":"Journal of Hazardous Materials","id":"ITEM-1","issue":"1-3","issued":{"date-parts":[["2009"]]},"page":"1150-1158","title":"Heavy metal (Cu, Zn, Cd and Pb) partitioning and bioaccessibility in uncontaminated and long-term contaminated soils","type":"article-journal","volume":"171"},"uris":["http://www.mendeley.com/documents/?uuid=71e76f5c-c9ea-48f3-8a7e-02fff8bcad5b"]},{"id":"ITEM-2","itemData":{"DOI":"10.1016/j.biortech.2018.04.032","ISSN":"18732976","abstract":"The objective of this study was to investigate the adsorption behavior and the relative distribution of Cd2+ sorption mechanisms on biochars by different feedstock. Bamboo biochars (BBCs), corn straw biochars (CBCs) and pig manure biochars (PBCs) were prepared at 300–700 °C. Adsorption results showed PBCs have the best adsorption capacity for Cd2+, the extra adsorption capacity of PBCs mainly attributed to the precipitation or cation exchange, which played an important role in the removal of Cd2+ by PBCs. The contribution of involved Cd2+ removal mechanism varied with feedstock due to the different components and oxygen-containing functional groups. Cd2+-π interaction was the predominant mechanism for Cd2+ removal on biochars and the contribution proportion significantly decreased from 82.17% to 61.83% as the ash content increased from 9.40% to 58.08%. Results from this study may suggest that the application of PBC is a feasible strategy for removing metal contaminants from aqueous solutions.","author":[{"dropping-particle":"","family":"Wang","given":"Rong Zhong","non-dropping-particle":"","parse-names":false,"suffix":""},{"dropping-particle":"","family":"Huang","given":"Dan Lian","non-dropping-particle":"","parse-names":false,"suffix":""},{"dropping-particle":"","family":"Liu","given":"Yun Guo","non-dropping-particle":"","parse-names":false,"suffix":""},{"dropping-particle":"","family":"Zhang","given":"Chen","non-dropping-particle":"","parse-names":false,"suffix":""},{"dropping-particle":"","family":"Lai","given":"Cui","non-dropping-particle":"","parse-names":false,"suffix":""},{"dropping-particle":"","family":"Zeng","given":"Guang Ming","non-dropping-particle":"","parse-names":false,"suffix":""},{"dropping-particle":"","family":"Cheng","given":"Min","non-dropping-particle":"","parse-names":false,"suffix":""},{"dropping-particle":"","family":"Gong","given":"Xiao Min","non-dropping-particle":"","parse-names":false,"suffix":""},{"dropping-particle":"","family":"Wan","given":"Jia","non-dropping-particle":"","parse-names":false,"suffix":""},{"dropping-particle":"","family":"Luo","given":"Hao","non-dropping-particle":"","parse-names":false,"suffix":""}],"container-title":"Bioresource Technology","id":"ITEM-2","issued":{"date-parts":[["2018","8","1"]]},"page":"265-271","publisher":"Elsevier Ltd","title":"Investigating the adsorption behavior and the relative distribution of Cd2+ sorption mechanisms on biochars by different feedstock","type":"article-journal","volume":"261"},"uris":["http://www.mendeley.com/documents/?uuid=bd25b037-c3fa-3f4e-9a92-81a6d95d1c0b"]}],"mendeley":{"formattedCitation":"(Lamb et al., 2009; R. Z. Wang et al., 2018)","plainTextFormattedCitation":"(Lamb et al., 2009; R. Z. Wang et al., 2018)","previouslyFormattedCitation":"(Lamb et al., 2009; R. Z. Wang et al., 2018)"},"properties":{"noteIndex":0},"schema":"https://github.com/citation-style-language/schema/raw/master/csl-citation.json"}</w:instrText>
      </w:r>
      <w:r w:rsidRPr="00216965">
        <w:rPr>
          <w:rFonts w:eastAsia="Times New Roman" w:cs="Times New Roman"/>
          <w:szCs w:val="24"/>
        </w:rPr>
        <w:fldChar w:fldCharType="separate"/>
      </w:r>
      <w:r w:rsidR="00B61794" w:rsidRPr="00216965">
        <w:rPr>
          <w:rFonts w:eastAsia="Times New Roman" w:cs="Times New Roman"/>
          <w:noProof/>
          <w:szCs w:val="24"/>
        </w:rPr>
        <w:t>(Lamb et al., 2009; R. Z. Wang et al., 2018)</w:t>
      </w:r>
      <w:r w:rsidRPr="00216965">
        <w:rPr>
          <w:rFonts w:eastAsia="Times New Roman" w:cs="Times New Roman"/>
          <w:szCs w:val="24"/>
        </w:rPr>
        <w:fldChar w:fldCharType="end"/>
      </w:r>
      <w:r w:rsidRPr="00216965">
        <w:rPr>
          <w:rFonts w:eastAsia="Times New Roman" w:cs="Times New Roman"/>
          <w:szCs w:val="24"/>
        </w:rPr>
        <w:t xml:space="preserve">. This is due to the separation of alkali salts from the organic matrix at higher temperatures, which increases the concentration of these salts in the ash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biochars","type":"article-journal","volume":"162"},"uris":["http://www.mendeley.com/documents/?uuid=fb799e3b-320c-45b9-af26-4ace74302f75"]},{"id":"ITEM-2","itemData":{"DOI":"10.1016/j.biortech.2016.04.091","ISBN":"0960-8524","ISSN":"18732976","PMID":"27136609","abstract":"Sewage sludge (50% mineral), manure (29%) and wood (&lt;1%) were pyrolyzed at 200, 350 and 500 ??C with the aim to study the characteristics and sorption potential of materials undergoing pyrolysis across a wide range of mineral contents. A commercial plant-derived biochar (41% mineral) was also considered. The materials were extensively characterized and tested for their sorption towards the model sorbates benzene, naphthalene and pyrene. Plant-derived materials, regardless of their mineral content, developed micropores causing size exclusion of pyrene. Changes in properties and sorption behavior upon pyrolysis were generally consistent for the manure and wood series. A single regression equation developed on our data (including the sorbate hydrophobicity and sorbent polarity) provided excellent prediction of previously reported changes in sorption upon pyrolysis across a wide range of mineral content (up to 500 ??C). The sewage sludge series, however, followed a particular behavior, possibly due to very high mineral content (up to 67%).","author":[{"dropping-particle":"","family":"Kah","given":"Melanie","non-dropping-particle":"","parse-names":false,"suffix":""},{"dropping-particle":"","family":"Sun","given":"Huichao","non-dropping-particle":"","parse-names":false,"suffix":""},{"dropping-particle":"","family":"Sigmund","given":"Gabriel","non-dropping-particle":"","parse-names":false,"suffix":""},{"dropping-particle":"","family":"Hüffer","given":"Thorsten","non-dropping-particle":"","parse-names":false,"suffix":""},{"dropping-particle":"","family":"Hofmann","given":"Thilo","non-dropping-particle":"","parse-names":false,"suffix":""}],"container-title":"Bioresource Technology","id":"ITEM-2","issued":{"date-parts":[["2016"]]},"page":"225-233","publisher":"Elsevier Ltd","title":"Pyrolysis of waste materials: Characterization and prediction of sorption potential across a wide range of mineral contents and pyrolysis temperatures","type":"article-journal","volume":"214"},"uris":["http://www.mendeley.com/documents/?uuid=72b2c5e6-1885-4a35-b5df-2337173ee041"]},{"id":"ITEM-3","itemData":{"DOI":"Novak,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Science","id":"ITEM-3","issued":{"date-parts":[["2009"]]},"page":"195-206","title":"Characterization of designer biochar produced at different temperatures and their effects on a loamy sand","type":"article-journal","volume":"3"},"uris":["http://www.mendeley.com/documents/?uuid=3c7aa499-9e43-4da0-9234-dbfde814e0c3"]}],"mendeley":{"formattedCitation":"(Janus et al., 2015; Kah et al., 2016; Novak et al., 2009)","plainTextFormattedCitation":"(Janus et al., 2015; Kah et al., 2016; Novak et al., 2009)","previouslyFormattedCitation":"(Janus et al., 2015; Kah et al., 2016; Novak et al., 2009)"},"properties":{"noteIndex":0},"schema":"https://github.com/citation-style-language/schema/raw/master/csl-citation.json"}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(Janus et al., 2015; Kah et al., 2016; Novak et al., 2009)</w:t>
      </w:r>
      <w:r w:rsidRPr="00216965">
        <w:rPr>
          <w:rFonts w:eastAsia="Times New Roman" w:cs="Times New Roman"/>
          <w:szCs w:val="24"/>
        </w:rPr>
        <w:fldChar w:fldCharType="end"/>
      </w:r>
      <w:r w:rsidRPr="00216965">
        <w:rPr>
          <w:rFonts w:eastAsia="Times New Roman" w:cs="Times New Roman"/>
          <w:szCs w:val="24"/>
        </w:rPr>
        <w:t>.</w:t>
      </w:r>
      <w:r w:rsidRPr="00216965">
        <w:t xml:space="preserve"> </w:t>
      </w:r>
      <w:r w:rsidRPr="00216965">
        <w:rPr>
          <w:rFonts w:eastAsia="Times New Roman" w:cs="Times New Roman"/>
          <w:szCs w:val="24"/>
        </w:rPr>
        <w:t xml:space="preserve">Concerning the surface area (SA), it has been observed that an increase in SA occurs at higher pyrolysis temperature, following the release of volatile material and the formation of channel structures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biochars","type":"article-journal","volume":"162"},"uris":["http://www.mendeley.com/documents/?uuid=fb799e3b-320c-45b9-af26-4ace74302f75"]}],"mendeley":{"formattedCitation":"(Janus et al., 2015)","plainTextFormattedCitation":"(Janus et al., 2015)","previouslyFormattedCitation":"(Janus et al., 2015)"},"properties":{"noteIndex":0},"schema":"https://github.com/citation-style-language/schema/raw/master/csl-citation.json"}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(Janus et al., 2015)</w:t>
      </w:r>
      <w:r w:rsidRPr="00216965">
        <w:rPr>
          <w:rFonts w:eastAsia="Times New Roman" w:cs="Times New Roman"/>
          <w:szCs w:val="24"/>
        </w:rPr>
        <w:fldChar w:fldCharType="end"/>
      </w:r>
      <w:r w:rsidRPr="00216965">
        <w:rPr>
          <w:rFonts w:eastAsia="Times New Roman" w:cs="Times New Roman"/>
          <w:szCs w:val="24"/>
        </w:rPr>
        <w:t xml:space="preserve">. </w:t>
      </w:r>
    </w:p>
    <w:p w14:paraId="4BFD1E01" w14:textId="0E2414FC" w:rsidR="00632101" w:rsidRPr="00216965" w:rsidRDefault="00632101" w:rsidP="008A33DA">
      <w:pPr>
        <w:spacing w:before="240" w:line="360" w:lineRule="auto"/>
        <w:jc w:val="both"/>
        <w:rPr>
          <w:rFonts w:eastAsia="Times New Roman" w:cs="Times New Roman"/>
          <w:szCs w:val="24"/>
        </w:rPr>
      </w:pPr>
      <w:r w:rsidRPr="00216965">
        <w:rPr>
          <w:rFonts w:eastAsia="Times New Roman" w:cs="Times New Roman"/>
          <w:szCs w:val="24"/>
        </w:rPr>
        <w:lastRenderedPageBreak/>
        <w:t xml:space="preserve">Increasing temperature is related to an increase in pore formation and cracking in the basal-structural sheets of biochar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Science","id":"ITEM-1","issued":{"date-parts":[["2009"]]},"page":"195-206","title":"Characterization of designer biochar produced at different temperatures and their effects on a loamy sand","type":"article-journal","volume":"3"},"uris":["http://www.mendeley.com/documents/?uuid=3c7aa499-9e43-4da0-9234-dbfde814e0c3"]}],"mendeley":{"formattedCitation":"(Novak et al., 2009)","plainTextFormattedCitation":"(Novak et al., 2009)","previouslyFormattedCitation":"(Novak et al., 2009)"},"properties":{"noteIndex":0},"schema":"https://github.com/citation-style-language/schema/raw/master/csl-citation.json"}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(Novak et al., 2009)</w:t>
      </w:r>
      <w:r w:rsidRPr="00216965">
        <w:rPr>
          <w:rFonts w:eastAsia="Times New Roman" w:cs="Times New Roman"/>
          <w:szCs w:val="24"/>
        </w:rPr>
        <w:fldChar w:fldCharType="end"/>
      </w:r>
      <w:r w:rsidRPr="00216965">
        <w:rPr>
          <w:rFonts w:eastAsia="Times New Roman" w:cs="Times New Roman"/>
          <w:szCs w:val="24"/>
        </w:rPr>
        <w:t xml:space="preserve">, which contributes to a greater surface area. </w:t>
      </w:r>
      <w:r w:rsidRPr="00216965">
        <w:rPr>
          <w:rFonts w:eastAsia="Times New Roman" w:cs="Times New Roman"/>
          <w:szCs w:val="24"/>
        </w:rPr>
        <w:fldChar w:fldCharType="begin"/>
      </w:r>
      <w:r w:rsidRPr="00216965">
        <w:rPr>
          <w:rFonts w:eastAsia="Times New Roman" w:cs="Times New Roman"/>
          <w:szCs w:val="24"/>
        </w:rPr>
        <w:instrText xml:space="preserve"> REF _Ref482901141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5</w:t>
      </w:r>
      <w:r w:rsidRPr="00216965">
        <w:rPr>
          <w:rFonts w:eastAsia="Times New Roman" w:cs="Times New Roman"/>
          <w:szCs w:val="24"/>
        </w:rPr>
        <w:fldChar w:fldCharType="end"/>
      </w:r>
      <w:r w:rsidRPr="00216965">
        <w:rPr>
          <w:rFonts w:eastAsia="Times New Roman" w:cs="Times New Roman"/>
          <w:szCs w:val="24"/>
        </w:rPr>
        <w:t xml:space="preserve"> illustrates the effect of pyrolysis on surface area and ash content of two biochars.</w:t>
      </w:r>
    </w:p>
    <w:p w14:paraId="4874FC9B" w14:textId="77777777" w:rsidR="00632101" w:rsidRPr="00216965" w:rsidRDefault="00632101" w:rsidP="008A33DA">
      <w:pPr>
        <w:spacing w:before="240" w:line="360" w:lineRule="auto"/>
        <w:jc w:val="both"/>
        <w:rPr>
          <w:rFonts w:eastAsia="Times New Roman" w:cs="Times New Roman"/>
          <w:szCs w:val="24"/>
        </w:rPr>
      </w:pPr>
    </w:p>
    <w:tbl>
      <w:tblPr>
        <w:tblStyle w:val="TableGrid"/>
        <w:tblW w:w="9295"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80"/>
        <w:gridCol w:w="4715"/>
      </w:tblGrid>
      <w:tr w:rsidR="00632101" w:rsidRPr="00216965" w14:paraId="1B4C073F" w14:textId="77777777" w:rsidTr="008A33DA">
        <w:tc>
          <w:tcPr>
            <w:tcW w:w="4580" w:type="dxa"/>
          </w:tcPr>
          <w:p w14:paraId="4B0BA3E5" w14:textId="77777777" w:rsidR="00632101" w:rsidRPr="00216965" w:rsidRDefault="00632101" w:rsidP="00A0457B">
            <w:pPr>
              <w:jc w:val="both"/>
              <w:rPr>
                <w:rFonts w:cs="TimesNewRoman"/>
                <w:sz w:val="16"/>
                <w:szCs w:val="16"/>
              </w:rPr>
            </w:pPr>
            <w:r w:rsidRPr="00216965">
              <w:rPr>
                <w:noProof/>
              </w:rPr>
              <w:drawing>
                <wp:inline distT="0" distB="0" distL="0" distR="0" wp14:anchorId="1D63523F" wp14:editId="138B6A4C">
                  <wp:extent cx="2819400" cy="2105025"/>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4715" w:type="dxa"/>
          </w:tcPr>
          <w:p w14:paraId="189B5D03" w14:textId="77777777" w:rsidR="00632101" w:rsidRPr="00216965" w:rsidRDefault="00632101" w:rsidP="00A0457B">
            <w:pPr>
              <w:jc w:val="both"/>
              <w:rPr>
                <w:rFonts w:cs="TimesNewRoman"/>
              </w:rPr>
            </w:pPr>
            <w:r w:rsidRPr="00216965">
              <w:rPr>
                <w:noProof/>
              </w:rPr>
              <w:drawing>
                <wp:inline distT="0" distB="0" distL="0" distR="0" wp14:anchorId="52C097E7" wp14:editId="3EEECA1D">
                  <wp:extent cx="2905125" cy="2009775"/>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4EBEB67B" w14:textId="53C1C76C" w:rsidR="00632101" w:rsidRPr="00216965" w:rsidRDefault="00632101" w:rsidP="008A33DA">
      <w:pPr>
        <w:pStyle w:val="Caption"/>
        <w:keepNext/>
        <w:jc w:val="both"/>
        <w:rPr>
          <w:b/>
          <w:bCs w:val="0"/>
        </w:rPr>
      </w:pPr>
      <w:bookmarkStart w:id="80" w:name="_Ref482901141"/>
      <w:bookmarkStart w:id="81" w:name="_Toc482956019"/>
      <w:bookmarkStart w:id="82" w:name="_Toc86439348"/>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5</w:t>
      </w:r>
      <w:r w:rsidR="00BF3EBE" w:rsidRPr="00216965">
        <w:rPr>
          <w:b/>
          <w:bCs w:val="0"/>
        </w:rPr>
        <w:fldChar w:fldCharType="end"/>
      </w:r>
      <w:bookmarkEnd w:id="80"/>
      <w:r w:rsidRPr="00216965">
        <w:rPr>
          <w:b/>
          <w:bCs w:val="0"/>
        </w:rPr>
        <w:t xml:space="preserve">. </w:t>
      </w:r>
      <w:r w:rsidRPr="00216965">
        <w:rPr>
          <w:rFonts w:cs="TimesNewRoman"/>
          <w:b/>
          <w:bCs w:val="0"/>
        </w:rPr>
        <w:t>Variation of surface area (left) and ash content (right) for pig manure and wheat straw biochar produced at temperatures from 200 to 650⁰C. From the data show in</w:t>
      </w:r>
      <w:r w:rsidR="00B61794" w:rsidRPr="00216965">
        <w:rPr>
          <w:rFonts w:cs="TimesNewRoman"/>
          <w:b/>
          <w:bCs w:val="0"/>
        </w:rPr>
        <w:t xml:space="preserve"> </w:t>
      </w:r>
      <w:r w:rsidR="00B61794" w:rsidRPr="00216965">
        <w:rPr>
          <w:b/>
          <w:bCs w:val="0"/>
        </w:rPr>
        <w:fldChar w:fldCharType="begin" w:fldLock="1"/>
      </w:r>
      <w:r w:rsidR="00B61794" w:rsidRPr="00216965">
        <w:rPr>
          <w:b/>
          <w:bCs w:val="0"/>
        </w:rPr>
        <w:instrText>ADDIN CSL_CITATION {"citationItems":[{"id":"ITEM-1","itemData":{"DOI":"10.1016/j.jhazmat.2013.04.015","ISBN":"0304-3894","ISSN":"03043894","PMID":"23669784","abstract":"The aim of this study was to quantify the influence of the two main categories of factors determining the yield and properties of biochar, i.e., feedstock properties and production conditions, here represented by the highest treatment temperature (HTT). To achieve this, a wide range of production temperatures (200-650°C) and an extensive set of diverse feedstock (n=12) were used to calculate the sensitivity. The quantitative evaluation was based on statistical analysis of coefficients of variation, and thus derived indices representing the extent of influence of the two factors, i.e., a feedstock-depended heterogeneity (HF) and a temperature-depended heterogeneity (HT). The results showed that both feedstock properties and production conditions are important for determining the yield and properties of biochar, but their respective influence changes with the property or set of properties of interest. The biochar parameters most affected by feedstock properties were e.g., total organic carbon, fixed carbon, and mineral elements of biochar. On the other hand, biochar surface area and pH was mainly influenced by highest treatment temperature. Biochar recalcitrance was mainly determined by production temperature, while the potential total C sequestration (product of recalcitrance and pyrolysis carbon yield) depended more on feedstock. Overall, the work sheds some light on the relative importance of different biochar production process parameters on the final biochar product, which is an important step towards \"designed\" biochar. © 2013.","author":[{"dropping-particle":"","family":"Zhao","given":"Ling","non-dropping-particle":"","parse-names":false,"suffix":""},{"dropping-particle":"","family":"Cao","given":"Xinde","non-dropping-particle":"","parse-names":false,"suffix":""},{"dropping-particle":"","family":"Mašek","given":"Ondřej","non-dropping-particle":"","parse-names":false,"suffix":""},{"dropping-particle":"","family":"Zimmerman","given":"Andrew","non-dropping-particle":"","parse-names":false,"suffix":""}],"container-title":"Journal of Hazardous Materials","id":"ITEM-1","issued":{"date-parts":[["2013"]]},"page":"1-9","title":"Heterogeneity of biochar properties as a function of feedstock sources and production temperatures","type":"article-journal","volume":"256-257"},"uris":["http://www.mendeley.com/documents/?uuid=c07cfa46-e517-44ec-8ae0-4ee24c7a6a97"]}],"mendeley":{"formattedCitation":"(Zhao et al., 2013)","manualFormatting":"Zhao et al. (2013)","plainTextFormattedCitation":"(Zhao et al., 2013)","previouslyFormattedCitation":"(Zhao et al., 2013)"},"properties":{"noteIndex":0},"schema":"https://github.com/citation-style-language/schema/raw/master/csl-citation.json"}</w:instrText>
      </w:r>
      <w:r w:rsidR="00B61794" w:rsidRPr="00216965">
        <w:rPr>
          <w:b/>
          <w:bCs w:val="0"/>
        </w:rPr>
        <w:fldChar w:fldCharType="separate"/>
      </w:r>
      <w:r w:rsidR="00B61794" w:rsidRPr="00216965">
        <w:rPr>
          <w:b/>
          <w:bCs w:val="0"/>
          <w:noProof/>
        </w:rPr>
        <w:t>Zhao et al. (2013)</w:t>
      </w:r>
      <w:r w:rsidR="00B61794" w:rsidRPr="00216965">
        <w:rPr>
          <w:b/>
          <w:bCs w:val="0"/>
        </w:rPr>
        <w:fldChar w:fldCharType="end"/>
      </w:r>
      <w:r w:rsidRPr="00216965">
        <w:rPr>
          <w:b/>
          <w:bCs w:val="0"/>
        </w:rPr>
        <w:t>.</w:t>
      </w:r>
      <w:bookmarkEnd w:id="81"/>
      <w:bookmarkEnd w:id="82"/>
    </w:p>
    <w:p w14:paraId="056B682D" w14:textId="717E9F6B" w:rsidR="00632101" w:rsidRPr="00216965" w:rsidRDefault="00632101" w:rsidP="008A33DA">
      <w:pPr>
        <w:spacing w:after="120" w:line="360" w:lineRule="auto"/>
        <w:jc w:val="both"/>
        <w:rPr>
          <w:rFonts w:eastAsia="Times New Roman" w:cs="Times New Roman"/>
          <w:szCs w:val="24"/>
        </w:rPr>
      </w:pPr>
      <w:r w:rsidRPr="00216965">
        <w:rPr>
          <w:rFonts w:eastAsia="Times New Roman" w:cs="Times New Roman"/>
          <w:szCs w:val="24"/>
        </w:rPr>
        <w:t xml:space="preserve">Moreover, increased temperatures and resident time are accompanied by a decrease of H and O content (mostly aliphatic-volatile material), resulting in lower O:C and H:C ratios. This trend suggests that high pyrolysis temperatures produce biochars which are more aromatic (less hydrophilic) and with a higher </w:t>
      </w:r>
      <w:r w:rsidRPr="00216965">
        <w:rPr>
          <w:rFonts w:eastAsia="Times New Roman" w:cs="Times New Roman"/>
          <w:i/>
          <w:iCs/>
          <w:szCs w:val="24"/>
        </w:rPr>
        <w:t>%</w:t>
      </w:r>
      <w:r w:rsidR="00053A5A" w:rsidRPr="00216965">
        <w:rPr>
          <w:rFonts w:eastAsia="Times New Roman" w:cs="Times New Roman"/>
          <w:szCs w:val="24"/>
        </w:rPr>
        <w:t xml:space="preserve"> </w:t>
      </w:r>
      <w:r w:rsidRPr="00216965">
        <w:rPr>
          <w:rFonts w:eastAsia="Times New Roman" w:cs="Times New Roman"/>
          <w:szCs w:val="24"/>
        </w:rPr>
        <w:t xml:space="preserve">C. This is due to dehydration and decarboxylation reactions that occur during high temperature pyrolysis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biochars","type":"article-journal","volume":"162"},"uris":["http://www.mendeley.com/documents/?uuid=fb799e3b-320c-45b9-af26-4ace74302f75"]},{"id":"ITEM-2","itemData":{"DOI":"10.1016/j.biortech.2016.04.091","ISBN":"0960-8524","ISSN":"18732976","PMID":"27136609","abstract":"Sewage sludge (50% mineral), manure (29%) and wood (&lt;1%) were pyrolyzed at 200, 350 and 500 ??C with the aim to study the characteristics and sorption potential of materials undergoing pyrolysis across a wide range of mineral contents. A commercial plant-derived biochar (41% mineral) was also considered. The materials were extensively characterized and tested for their sorption towards the model sorbates benzene, naphthalene and pyrene. Plant-derived materials, regardless of their mineral content, developed micropores causing size exclusion of pyrene. Changes in properties and sorption behavior upon pyrolysis were generally consistent for the manure and wood series. A single regression equation developed on our data (including the sorbate hydrophobicity and sorbent polarity) provided excellent prediction of previously reported changes in sorption upon pyrolysis across a wide range of mineral content (up to 500 ??C). The sewage sludge series, however, followed a particular behavior, possibly due to very high mineral content (up to 67%).","author":[{"dropping-particle":"","family":"Kah","given":"Melanie","non-dropping-particle":"","parse-names":false,"suffix":""},{"dropping-particle":"","family":"Sun","given":"Huichao","non-dropping-particle":"","parse-names":false,"suffix":""},{"dropping-particle":"","family":"Sigmund","given":"Gabriel","non-dropping-particle":"","parse-names":false,"suffix":""},{"dropping-particle":"","family":"Hüffer","given":"Thorsten","non-dropping-particle":"","parse-names":false,"suffix":""},{"dropping-particle":"","family":"Hofmann","given":"Thilo","non-dropping-particle":"","parse-names":false,"suffix":""}],"container-title":"Bioresource Technology","id":"ITEM-2","issued":{"date-parts":[["2016"]]},"page":"225-233","publisher":"Elsevier Ltd","title":"Pyrolysis of waste materials: Characterization and prediction of sorption potential across a wide range of mineral contents and pyrolysis temperatures","type":"article-journal","volume":"214"},"uris":["http://www.mendeley.com/documents/?uuid=72b2c5e6-1885-4a35-b5df-2337173ee041"]},{"id":"ITEM-3","itemData":{"DOI":"Novak,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Science","id":"ITEM-3","issued":{"date-parts":[["2009"]]},"page":"195-206","title":"Characterization of designer biochar produced at different temperatures and their effects on a loamy sand","type":"article-journal","volume":"3"},"uris":["http://www.mendeley.com/documents/?uuid=3c7aa499-9e43-4da0-9234-dbfde814e0c3"]},{"id":"ITEM-4","itemData":{"DOI":"10.1016/j.still.2015.07.011","ISSN":"01671987","abstract":"Biochar (BC) is a recalcitrant soil amendment that is being used for long-term carbon sequestration while also enhancing soil fertility. In an effort to better understand the interaction of soil type and biochar type, Mollisol (Minnesota) and Ultisol (Georgia) were incubated with biochars prepared from C3 (rice hull and wheat straw) and C4 (maize stover and switch grass) crop residues at 400°C and 600°C and the stability of biochar was studied by CO2 evolution measurements for 60 days. The C3 and C4 biochars were applied to the Ultisol and Mollisol samples which had a long term history of cropping with C4 and C3 crops, respectively. Overall the total and fixed C content of biochar increased, while the N content decreased with increase in pyrolysis temperature from 400°C to 600°C, thus increasing the C:N of the biochar. The volatile matter component of biochar decreased significantly at the higher pyrolysis temperature. In the Mollisol, the wheat straw biochar prepared (WSBC) at 600°C was more stable than the rice hull biochar (RHBC). However, in the Ultisol, RHBC was more stable than the WSBC. Corn stover biochar (CSBC) prepared at 600°C showed greater stability in both the Mollisol and Ultisol. The WSBC and CSBC prepared at 600°C which showed negative priming of native soil organic matter (SOM) had greater potential for long term carbon sequestration in soil. The δ13C signatures of the CO2 evolved on the 2nd day matched δ13C signatures of biochar confirming the contribution of biochar. On days 9 and 20 the δ13C signatures matched that of control soil indicating very little or no contribution of biochar to CO2 evolution. In spite of significant changes in pH and EC of soil biochar mixtures, these parameters had no effect on C mineralization. Nonlinear regression model confirms that the decomposition rate constant was higher in the 400°C biochar than in the 600°C biochar. Corn biochar prepared at 600°C could be useful for enhancing carbon storage in both the Mollisol and Ultisol. Soil organic matter level might have controlled the direction and magnitude of priming effect.","author":[{"dropping-particle":"","family":"Purakayastha","given":"T. J.","non-dropping-particle":"","parse-names":false,"suffix":""},{"dropping-particle":"","family":"Das","given":"K. C.","non-dropping-particle":"","parse-names":false,"suffix":""},{"dropping-particle":"","family":"Gaskin","given":"Julia","non-dropping-particle":"","parse-names":false,"suffix":""},{"dropping-particle":"","family":"Harris","given":"Keith","non-dropping-particle":"","parse-names":false,"suffix":""},{"dropping-particle":"","family":"Smith","given":"J. L.","non-dropping-particle":"","parse-names":false,"suffix":""},{"dropping-particle":"","family":"Kumari","given":"Savita","non-dropping-particle":"","parse-names":false,"suffix":""}],"container-title":"Soil and Tillage Research","id":"ITEM-4","issued":{"date-parts":[["2016"]]},"page":"107-115","publisher":"Elsevier B.V.","title":"Effect of pyrolysis temperatures on stability and priming effects of C3 and C4 biochars applied to two different soils","type":"article-journal","volume":"155"},"uris":["http://www.mendeley.com/documents/?uuid=176fc7ad-89f6-4504-b193-136d268d3bd3"]}],"mendeley":{"formattedCitation":"(Janus et al., 2015; Kah et al., 2016; Novak et al., 2009; Purakayastha et al., 2016)","plainTextFormattedCitation":"(Janus et al., 2015; Kah et al., 2016; Novak et al., 2009; Purakayastha et al., 2016)","previouslyFormattedCitation":"(Janus et al., 2015; Kah et al., 2016; Novak et al., 2009; Purakayastha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(Janus et al., 2015; Kah et al., 2016; Novak et al., 2009; Purakayastha et al., 2016)</w:t>
      </w:r>
      <w:r w:rsidRPr="00216965">
        <w:rPr>
          <w:rFonts w:eastAsia="Times New Roman" w:cs="Times New Roman"/>
          <w:szCs w:val="24"/>
        </w:rPr>
        <w:fldChar w:fldCharType="end"/>
      </w:r>
      <w:r w:rsidRPr="00216965">
        <w:rPr>
          <w:rFonts w:eastAsia="Times New Roman" w:cs="Times New Roman"/>
          <w:szCs w:val="24"/>
        </w:rPr>
        <w:t xml:space="preserve">. In contrast, biochars produced at lower pyrolysis temperatures are more polar, with higher O:C and O+N:C ratios according to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{"citationItems":[{"id":"ITEM-1","itemData":{"DOI":"Novak, J., Lima, I., Xing, B., Gaskin, J., Steiner, C., Das, K., … Schomberg, H. Characterization of Designer Biochar Produced at Different Temperatures and Their Effects on a Loamy Sand. , 3 Annals of Environmental Science (2009).","ISBN":"1939-2621","ISSN":"1939-2621","abstract":"Biochar additions to degraded soils have the potential to improve crop yield and soil quality. We hypo-thesize that the biochar production process can be tailored to form designer biochars that have specific chemical characteristics matched to selective chemical and/or physical issues of a degraded soil. We produced biochars from peanut hulls, pecan shells, poultry litter, and switchgrass at temperatures ranging from 250 to 700ºC. Biochars were characterized by %: (843)669-5203, Fax: (843)669-6970. mass recovery and by their physical and chemical distinctiveness. These were mixed at 2% w/w with a Norfolk loamy sand (fine-loamy, kaolinitic, thermic Typic Kandiudults) and were laboratory incubated to examine changes in the Norfolk's soil properties. Higher pyrolysis temperatures resulted in lower biochar mass recovery, greater surface areas, elevated pHs, higher ash contents, and minimal total surface charge. Removal of volatile compounds at the higher pyrolysis temperatures also caused biochars to have higher percentages of carbon (C) but much lower hydrogen (H) and oxygen (O) contents. 13 C NMR spectral analyses confirmed that aliphatic structure losses occurred at the higher pyrolysis temperatures, causing the remaining structures to be composed mostly of poly-condensed aromatic moieties. Biochars produced at higher pyrolysis temperatures increased soil pH values, while biochar made from poultry litter feedstock grossly increased Mehlich-1 extractable phosphorus (P) and sodium (Na) concentrations. Water-holding capacity varied after biochar incorp-oration. Biochars produced from different feedstocks and under different pyrolysis conditions influenced soil physical and chemical properties in different ways; consequently, biochars may be designed to selectively improve soil chemical and physical prop-erties by altering feedstocks and pyrolysis conditions.","author":[{"dropping-particle":"","family":"Novak","given":"Jeffrey M","non-dropping-particle":"","parse-names":false,"suffix":""},{"dropping-particle":"","family":"Lima","given":"Isabel","non-dropping-particle":"","parse-names":false,"suffix":""},{"dropping-particle":"","family":"Xing","given":"Baoshan","non-dropping-particle":"","parse-names":false,"suffix":""},{"dropping-particle":"","family":"Gaskin","given":"Julia W","non-dropping-particle":"","parse-names":false,"suffix":""},{"dropping-particle":"","family":"Steiner","given":"Christoph","non-dropping-particle":"","parse-names":false,"suffix":""},{"dropping-particle":"","family":"Das","given":"K C","non-dropping-particle":"","parse-names":false,"suffix":""},{"dropping-particle":"","family":"Ahmedna","given":"Mohamed","non-dropping-particle":"","parse-names":false,"suffix":""},{"dropping-particle":"","family":"Rehrah","given":"Djaafar","non-dropping-particle":"","parse-names":false,"suffix":""},{"dropping-particle":"","family":"Watts","given":"Donald W","non-dropping-particle":"","parse-names":false,"suffix":""},{"dropping-particle":"","family":"Busscher","given":"Warren J","non-dropping-particle":"","parse-names":false,"suffix":""},{"dropping-particle":"","family":"Schomberg","given":"Harry","non-dropping-particle":"","parse-names":false,"suffix":""}],"container-title":"Annals of Environmental Science","id":"ITEM-1","issued":{"date-parts":[["2009"]]},"page":"195-206","title":"Characterization of designer biochar produced at different temperatures and their effects on a loamy sand","type":"article-journal","volume":"3"},"uris":["http://www.mendeley.com/documents/?uuid=3c7aa499-9e43-4da0-9234-dbfde814e0c3"]}],"mendeley":{"formattedCitation":"(Novak et al., 2009)","manualFormatting":"Novak et al. (2009)","plainTextFormattedCitation":"(Novak et al., 2009)","previouslyFormattedCitation":"(Novak et al., 2009)"},"properties":{"noteIndex":0},"schema":"https://github.com/citation-style-language/schema/raw/master/csl-citation.json"}</w:instrText>
      </w:r>
      <w:r w:rsidRPr="00216965">
        <w:rPr>
          <w:rFonts w:eastAsia="Times New Roman" w:cs="Times New Roman"/>
          <w:szCs w:val="24"/>
        </w:rPr>
        <w:fldChar w:fldCharType="separate"/>
      </w:r>
      <w:r w:rsidR="00D16EE1" w:rsidRPr="00216965">
        <w:rPr>
          <w:rFonts w:eastAsia="Times New Roman" w:cs="Times New Roman"/>
          <w:noProof/>
          <w:szCs w:val="24"/>
        </w:rPr>
        <w:t>Novak et al.</w:t>
      </w:r>
      <w:r w:rsidR="00053A5A" w:rsidRPr="00216965">
        <w:rPr>
          <w:rFonts w:eastAsia="Times New Roman" w:cs="Times New Roman"/>
          <w:noProof/>
          <w:szCs w:val="24"/>
        </w:rPr>
        <w:t xml:space="preserve"> (</w:t>
      </w:r>
      <w:r w:rsidR="00D16EE1" w:rsidRPr="00216965">
        <w:rPr>
          <w:rFonts w:eastAsia="Times New Roman" w:cs="Times New Roman"/>
          <w:noProof/>
          <w:szCs w:val="24"/>
        </w:rPr>
        <w:t>2009)</w:t>
      </w:r>
      <w:r w:rsidRPr="00216965">
        <w:rPr>
          <w:rFonts w:eastAsia="Times New Roman" w:cs="Times New Roman"/>
          <w:szCs w:val="24"/>
        </w:rPr>
        <w:fldChar w:fldCharType="end"/>
      </w:r>
      <w:r w:rsidRPr="00216965">
        <w:rPr>
          <w:rFonts w:eastAsia="Times New Roman" w:cs="Times New Roman"/>
          <w:szCs w:val="24"/>
        </w:rPr>
        <w:t>. The analysis of these molar ratios and elemental composition is very important because it indicates the ability of biochar to adsorb specific pollutants.</w:t>
      </w:r>
      <w:r w:rsidRPr="00216965">
        <w:t xml:space="preserve"> </w:t>
      </w:r>
    </w:p>
    <w:p w14:paraId="04883183" w14:textId="10AE3D8C" w:rsidR="00632101" w:rsidRPr="00216965" w:rsidRDefault="00632101" w:rsidP="008A33DA">
      <w:pPr>
        <w:spacing w:line="360" w:lineRule="auto"/>
        <w:jc w:val="both"/>
        <w:rPr>
          <w:rFonts w:eastAsia="Times New Roman" w:cs="Times New Roman"/>
          <w:szCs w:val="24"/>
        </w:rPr>
      </w:pPr>
      <w:bookmarkStart w:id="83" w:name="_heading=h.35nkun2" w:colFirst="0" w:colLast="0"/>
      <w:bookmarkEnd w:id="83"/>
      <w:r w:rsidRPr="00216965">
        <w:rPr>
          <w:rFonts w:eastAsia="Times New Roman" w:cs="Times New Roman"/>
          <w:szCs w:val="24"/>
        </w:rPr>
        <w:t xml:space="preserve">Biochar itself may contain toxic compounds, the amount being determined by the pyrolysis temperature and the source material. The results of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author":[{"dropping-particle":"","family":"Khasifah","given":"Muhamad","non-dropping-particle":"","parse-names":false,"suffix":""}],"id":"ITEM-1","issue":"January","issued":{"date-parts":[["2016"]]},"number-of-pages":"10-16","publisher":"Lancaster University","title":"The impact of biochar on soil functioning in two contrasting climates","type":"thesis"},"uris":["http://www.mendeley.com/documents/?uuid=b2a8d7e6-4b44-494d-803a-85146d08cd7f"]}],"mendeley":{"formattedCitation":"(Khasifah, 2016)","manualFormatting":"Khasifah (2016)","plainTextFormattedCitation":"(Khasifah, 2016)","previouslyFormattedCitation":"(Khasifah, 2016)"},"properties":{"noteIndex":0},"schema":"https://github.com/citation-style-language/schema/raw/master/csl-citation.json"}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Khasifah (2016)</w:t>
      </w:r>
      <w:r w:rsidRPr="00216965">
        <w:rPr>
          <w:rFonts w:eastAsia="Times New Roman" w:cs="Times New Roman"/>
          <w:szCs w:val="24"/>
        </w:rPr>
        <w:fldChar w:fldCharType="end"/>
      </w:r>
      <w:r w:rsidRPr="00216965">
        <w:rPr>
          <w:rFonts w:eastAsia="Times New Roman" w:cs="Times New Roman"/>
          <w:szCs w:val="24"/>
        </w:rPr>
        <w:t xml:space="preserve"> demonstrate that potentially toxic aromatic compounds are formed during incomplete combustion. In this regard,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10.1021/es302125k","author":[{"dropping-particle":"","family":"Keiluweit","given":"Marco","non-dropping-particle":"","parse-names":false,"suffix":""},{"dropping-particle":"","family":"Kleber","given":"Markus","non-dropping-particle":"","parse-names":false,"suffix":""},{"dropping-particle":"","family":"Sparrow","given":"Margaret A","non-dropping-particle":"","parse-names":false,"suffix":""},{"dropping-particle":"","family":"Simoneit","given":"Bernd R T","non-dropping-particle":"","parse-names":false,"suffix":""},{"dropping-particle":"","family":"Prahl","given":"Fredrick G","non-dropping-particle":"","parse-names":false,"suffix":""}],"container-title":"Environmental Science &amp; Technology","id":"ITEM-1","issued":{"date-parts":[["2012"]]},"page":"9333-9341","title":"Solvent-extractable polycyclic aromatic hydrocarbons in biochar: Influence of pyrolysis temperature and feedstock","type":"article-journal","volume":"46"},"uris":["http://www.mendeley.com/documents/?uuid=502edea9-2281-48c7-aaa3-96d80e12e7b1"]}],"mendeley":{"formattedCitation":"(Keiluweit et al., 2012)","manualFormatting":"Keiluweit et al. (2012)","plainTextFormattedCitation":"(Keiluweit et al., 2012)","previouslyFormattedCitation":"(Keiluweit et al., 2012)"},"properties":{"noteIndex":0},"schema":"https://github.com/citation-style-language/schema/raw/master/csl-citation.json"}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Keiluweit </w:t>
      </w:r>
      <w:r w:rsidR="009B2252" w:rsidRPr="00216965">
        <w:rPr>
          <w:rFonts w:eastAsia="Times New Roman" w:cs="Times New Roman"/>
          <w:iCs/>
          <w:noProof/>
          <w:szCs w:val="24"/>
        </w:rPr>
        <w:t>et al</w:t>
      </w:r>
      <w:r w:rsidRPr="00216965">
        <w:rPr>
          <w:rFonts w:eastAsia="Times New Roman" w:cs="Times New Roman"/>
          <w:noProof/>
          <w:szCs w:val="24"/>
        </w:rPr>
        <w:t>. (2012)</w:t>
      </w:r>
      <w:r w:rsidRPr="00216965">
        <w:rPr>
          <w:rFonts w:eastAsia="Times New Roman" w:cs="Times New Roman"/>
          <w:szCs w:val="24"/>
        </w:rPr>
        <w:fldChar w:fldCharType="end"/>
      </w:r>
      <w:r w:rsidRPr="00216965">
        <w:rPr>
          <w:rFonts w:eastAsia="Times New Roman" w:cs="Times New Roman"/>
          <w:szCs w:val="24"/>
        </w:rPr>
        <w:t xml:space="preserve"> states that pyrolysis temperatures between 400 and 500 ᵒC, which are the commonly used to produce biochar in industry, could result in significant concentrations of PAHs in biochar.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{"citationItems":[{"id":"ITEM-1","itemData":{"DOI":"10.1016/j.jhazmat.2016.06.013","ISSN":"18733336","abstract":"Analyses were carried out for biochars produced at three temperatures of pyrolysis (400, 600 and 800????C) from solid residue from biogas production (RBP). Separated and non-separated RBP from biogas plants employing different biogas production conditions were pyrolyzed. The contents of heavy metals and polycyclic aromatic hydrocarbons (PAHs) (16 PAH US EPA) were analyzed in biochars. The analyses showed that with an increased pyrolysis temperature, there was an increase in the contents of PAHs and of certain heavy metals (Cr, Cu, Cd, Pb and Mn). In the ecotoxicological tests, it was noted that the effect depended on the temperature of pyrolysis and on the feedstock from which the biochar was produced. The least harmful effect on the test organisms was from biochar produced by separated RBP in a biogas plant operating in mesophilic conditions. The most negative effect on the test organisms was characteristic of biochar produced from non-separated mesophilic RBP. This study shows that the main factors determining the level of toxicity of biochars produced from RBP towards various living organisms are both the method of feedstock production and the temperature at which the process of pyrolysis is conducted.","author":[{"dropping-particle":"","family":"Stefaniuk","given":"Magdalena","non-dropping-particle":"","parse-names":false,"suffix":""},{"dropping-particle":"","family":"Oleszczuk","given":"Patryk","non-dropping-particle":"","parse-names":false,"suffix":""},{"dropping-particle":"","family":"Bartminski","given":"Piotr","non-dropping-particle":"","parse-names":false,"suffix":""}],"container-title":"Journal of Hazardous Materials","id":"ITEM-1","issued":{"date-parts":[["2016"]]},"page":"417-424","title":"Chemical and ecotoxicological evaluation of biochar produced from residues of biogas production","type":"article-journal","volume":"318"},"uris":["http://www.mendeley.com/documents/?uuid=40cf4aba-b837-4b8f-a48d-083a14a4d7ba"]}],"mendeley":{"formattedCitation":"(Stefaniuk et al., 2016)","manualFormatting":"Stefaniuk et al. (2016)","plainTextFormattedCitation":"(Stefaniuk et al., 2016)","previouslyFormattedCitation":"(Stefaniuk et al., 2016)"},"properties":{"noteIndex":0},"schema":"https://github.com/citation-style-language/schema/raw/master/csl-citation.json"}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Stefaniuk </w:t>
      </w:r>
      <w:r w:rsidR="009B2252" w:rsidRPr="00216965">
        <w:rPr>
          <w:rFonts w:eastAsia="Times New Roman" w:cs="Times New Roman"/>
          <w:iCs/>
          <w:noProof/>
          <w:szCs w:val="24"/>
        </w:rPr>
        <w:t>et al</w:t>
      </w:r>
      <w:r w:rsidRPr="00216965">
        <w:rPr>
          <w:rFonts w:eastAsia="Times New Roman" w:cs="Times New Roman"/>
          <w:noProof/>
          <w:szCs w:val="24"/>
        </w:rPr>
        <w:t>. (2016)</w:t>
      </w:r>
      <w:r w:rsidRPr="00216965">
        <w:rPr>
          <w:rFonts w:eastAsia="Times New Roman" w:cs="Times New Roman"/>
          <w:szCs w:val="24"/>
        </w:rPr>
        <w:fldChar w:fldCharType="end"/>
      </w:r>
      <w:r w:rsidRPr="00216965">
        <w:rPr>
          <w:rFonts w:eastAsia="Times New Roman" w:cs="Times New Roman"/>
          <w:szCs w:val="24"/>
        </w:rPr>
        <w:t xml:space="preserve"> reported an increase in the content of PAHs and certain heavy metals (Cr, Cu, Cd, Pb and </w:t>
      </w:r>
      <w:r w:rsidRPr="00216965">
        <w:rPr>
          <w:rFonts w:eastAsia="Times New Roman" w:cs="Times New Roman"/>
          <w:szCs w:val="24"/>
        </w:rPr>
        <w:lastRenderedPageBreak/>
        <w:t xml:space="preserve">Mn) in biochar produced at higher temperatures, that was related to mass losses during pyrolysis which resulted in the concentration of these compounds in biochar. </w:t>
      </w:r>
      <w:r w:rsidRPr="00216965">
        <w:rPr>
          <w:rFonts w:eastAsia="Times New Roman" w:cs="Times New Roman"/>
          <w:szCs w:val="24"/>
        </w:rPr>
        <w:fldChar w:fldCharType="begin" w:fldLock="1"/>
      </w:r>
      <w:r w:rsidR="00F56BD7" w:rsidRPr="00216965">
        <w:rPr>
          <w:rFonts w:eastAsia="Times New Roman" w:cs="Times New Roman"/>
          <w:szCs w:val="24"/>
        </w:rPr>
        <w:instrText>ADDIN CSL_CITATION {"citationItems":[{"id":"ITEM-1","itemData":{"DOI":"10.1016/j.chemosphere.2015.03.072","ISBN":"0045-6535","ISSN":"18791298","PMID":"25958252","abstract":"In this work, the potential benefits, economics, and challenges of applying biochar in water treatment operations to remove organic and microbial contaminants was reviewed. Minimizing the use of relatively more expensive traditional sorbents in water treatment is a motivating aspect of biochar production, e.g., $246/ton non-activated biochar to $1500/ton activated carbon. Biochar can remove organic contaminants in water, such as some pesticides (0.02-23mgg&lt;sup&gt;-1&lt;/sup&gt;), pharmaceutical and personal care products (0.001-59mgg&lt;sup&gt;-1&lt;/sup&gt;), dyes (2-104mgg&lt;sup&gt;-1&lt;/sup&gt;), humic acid (60mgg&lt;sup&gt;-1&lt;/sup&gt;), perfluorooctane sulfonate (164mgg&lt;sup&gt;-1&lt;/sup&gt;), and N-nitrosomodimethylamine (3mgg&lt;sup&gt;-1&lt;/sup&gt;). Including adsorption/filtration applications, biochar can potentially be used to inactivate Escherichia coli via disinfection, and transform 95% of 2-chlorobiphenyl via advanced oxidation processes. However, more sorption data using biochar especially at demonstration-scale, for treating potable and reuse water in adsorption/filtration applications will help establish the potential of biochars to serve as surrogates for activated carbons.","author":[{"dropping-particle":"","family":"Inyang","given":"Mandu","non-dropping-particle":"","parse-names":false,"suffix":""},{"dropping-particle":"","family":"Dickenson","given":"Eric","non-dropping-particle":"","parse-names":false,"suffix":""}],"container-title":"Chemosphere","id":"ITEM-1","issued":{"date-parts":[["2015"]]},"page":"232-240","publisher":"Elsevier Ltd","title":"The potential role of biochar in the removal of organic and microbial contaminants from potable and reuse water: A review","type":"article-journal","volume":"134"},"uris":["http://www.mendeley.com/documents/?uuid=edd10196-6bd5-4f54-b94f-c338d0b490da"]}],"mendeley":{"formattedCitation":"(Inyang and Dickenson, 2015)","manualFormatting":"Inyang and Dickenson (2015)","plainTextFormattedCitation":"(Inyang and Dickenson, 2015)","previouslyFormattedCitation":"(Inyang and Dickenson,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Inyang and Dickenson (2015)</w:t>
      </w:r>
      <w:r w:rsidRPr="00216965">
        <w:rPr>
          <w:rFonts w:eastAsia="Times New Roman" w:cs="Times New Roman"/>
          <w:szCs w:val="24"/>
        </w:rPr>
        <w:fldChar w:fldCharType="end"/>
      </w:r>
      <w:r w:rsidRPr="00216965">
        <w:rPr>
          <w:rFonts w:eastAsia="Times New Roman" w:cs="Times New Roman"/>
          <w:szCs w:val="24"/>
        </w:rPr>
        <w:t xml:space="preserve"> mention that toxic compounds, such as dioxins and furans, may be formed during slow pyrolysis process (350–550 °C, with residence times &lt; 1 h). The fact that biochar may contain toxic compounds derived from the parent material or produced during pyrolysis, indicates the need for careful characterization of biochar prior to use, to avoid the release of such compounds into the environment.</w:t>
      </w:r>
    </w:p>
    <w:p w14:paraId="77E013AD" w14:textId="77777777" w:rsidR="00632101" w:rsidRPr="00216965" w:rsidRDefault="00632101" w:rsidP="008A33DA">
      <w:pPr>
        <w:pStyle w:val="Heading3"/>
        <w:rPr>
          <w:rFonts w:eastAsia="Times New Roman"/>
        </w:rPr>
      </w:pPr>
      <w:bookmarkStart w:id="84" w:name="_heading=h.1ksv4uv" w:colFirst="0" w:colLast="0"/>
      <w:bookmarkStart w:id="85" w:name="_Toc86504637"/>
      <w:bookmarkEnd w:id="84"/>
      <w:r w:rsidRPr="00216965">
        <w:rPr>
          <w:rFonts w:eastAsia="Times New Roman"/>
        </w:rPr>
        <w:t>Immobilization of soil heavy metals by biochar</w:t>
      </w:r>
      <w:bookmarkEnd w:id="85"/>
    </w:p>
    <w:p w14:paraId="4415A4C2" w14:textId="1945B1BC" w:rsidR="00FD5FFA" w:rsidRPr="00216965" w:rsidRDefault="00632101" w:rsidP="008A33DA">
      <w:pPr>
        <w:spacing w:line="360" w:lineRule="auto"/>
        <w:jc w:val="both"/>
        <w:rPr>
          <w:rFonts w:eastAsia="Times New Roman" w:cs="Times New Roman"/>
          <w:szCs w:val="24"/>
        </w:rPr>
      </w:pPr>
      <w:bookmarkStart w:id="86" w:name="_heading=h.44sinio" w:colFirst="0" w:colLast="0"/>
      <w:bookmarkEnd w:id="86"/>
      <w:r w:rsidRPr="00216965">
        <w:rPr>
          <w:rFonts w:eastAsia="Times New Roman" w:cs="Times New Roman"/>
          <w:szCs w:val="24"/>
        </w:rPr>
        <w:t>Biochar has been evaluated as an adsorbent for heavy metals and metalloids with potential application for soil remediation.</w:t>
      </w:r>
      <w:r w:rsidRPr="00216965">
        <w:t xml:space="preserve"> </w:t>
      </w:r>
      <w:r w:rsidR="005850BF" w:rsidRPr="00216965">
        <w:fldChar w:fldCharType="begin"/>
      </w:r>
      <w:r w:rsidR="005850BF" w:rsidRPr="00216965">
        <w:instrText xml:space="preserve"> REF _Ref86494757 \h </w:instrText>
      </w:r>
      <w:r w:rsidR="00216965" w:rsidRPr="00216965">
        <w:instrText xml:space="preserve"> \* MERGEFORMAT </w:instrText>
      </w:r>
      <w:r w:rsidR="005850BF" w:rsidRPr="00216965">
        <w:fldChar w:fldCharType="separate"/>
      </w:r>
      <w:r w:rsidR="006E23EA" w:rsidRPr="00216965">
        <w:rPr>
          <w:b/>
        </w:rPr>
        <w:t xml:space="preserve">Table </w:t>
      </w:r>
      <w:r w:rsidR="006E23EA" w:rsidRPr="00216965">
        <w:rPr>
          <w:b/>
          <w:bCs/>
          <w:noProof/>
        </w:rPr>
        <w:t>2</w:t>
      </w:r>
      <w:r w:rsidR="006E23EA" w:rsidRPr="00216965">
        <w:rPr>
          <w:b/>
        </w:rPr>
        <w:noBreakHyphen/>
      </w:r>
      <w:r w:rsidR="006E23EA" w:rsidRPr="00216965">
        <w:rPr>
          <w:b/>
          <w:bCs/>
          <w:noProof/>
        </w:rPr>
        <w:t>6</w:t>
      </w:r>
      <w:r w:rsidR="005850BF" w:rsidRPr="00216965">
        <w:fldChar w:fldCharType="end"/>
      </w:r>
      <w:r w:rsidRPr="00216965">
        <w:t xml:space="preserve"> </w:t>
      </w:r>
      <w:r w:rsidRPr="00216965">
        <w:rPr>
          <w:rFonts w:eastAsia="Times New Roman" w:cs="Times New Roman"/>
          <w:szCs w:val="24"/>
        </w:rPr>
        <w:t xml:space="preserve">summarises studies in which biochar was used as a soil amendment for the immobilization of heavy metals. Biochar can immobilize bioavailable heavy metals in soils by different physico-chemical mechanisms, preventing them from interacting with living organisms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2011a)","plainTextFormattedCitation":"(Park et al., 2011a)","previouslyFormattedCitation":"(Park et al., 2011a)"},"properties":{"noteIndex":0},"schema":"https://github.com/citation-style-language/schema/raw/master/csl-citation.json"}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(Park et al., 2011a)</w:t>
      </w:r>
      <w:r w:rsidRPr="00216965">
        <w:rPr>
          <w:rFonts w:eastAsia="Times New Roman" w:cs="Times New Roman"/>
          <w:szCs w:val="24"/>
        </w:rPr>
        <w:fldChar w:fldCharType="end"/>
      </w:r>
      <w:r w:rsidRPr="00216965">
        <w:rPr>
          <w:rFonts w:eastAsia="Times New Roman" w:cs="Times New Roman"/>
          <w:szCs w:val="24"/>
        </w:rPr>
        <w:t xml:space="preserve">. After biochar application a redistribution of heavy metals stored among different fractions in soils has been observed; in general a decrease in the bioavailable fraction and an increase in the more stable fractions has been reported. </w:t>
      </w:r>
    </w:p>
    <w:p w14:paraId="6A5FD0AD" w14:textId="2C298BDE"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For example, sugar cane biochar applied to metal-contaminated (Cd, Pb and Zn) mining soils produced a slight decrease of Zn in mobile and exchangeable fractions, while there was no reduction in Cd and Pb mobility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{"citationItems":[{"id":"ITEM-1","itemData":{"DOI":"10.1016/j.still.2016.01.008","abstract":"A B S T R A C T Contaminated mining soils might pose risk to the environment due to leaching of heavy metals into ground water, especially under acid conditions. Biochar might be an option for remediation of contaminated mining soils. The aim of this study was to evaluate the effect of soil acidification and biochar (BC) application on Cd, Pb and Zn mobility and chemical fractionation in two mining soils (A and B). Fifteen leaching columns per soil were packed, applying the following treatments: soil + 3% BC; acidified soil; acidified soil + 3% BC and control soil + CaCO 3 . The control treatment was constituted by the original polluted soil (soil A or soil B). BC was produced by slow pyrolysis at 700 C from sugarcane straw. Ten leaching events were performed and Cd, Pb, Zn and pH were determined for each leaching. A sequential extraction procedure was performed after leaching was finished. The following fractions were evaluated: mobile, exchangeable, bound to Mn oxide, bound to OM, bound to Fe oxide and residual. In the polluted control soil metal mobility was very low. In acidified soils metal mobility increased drastically and BC application reduced the Cd (57–73%), Pb (45–55%) and Zn (46%) concentrations in the leachate. With the sequential extraction it was observed that Cd was mostly bound to the mobile fraction (15–35%) and exchangeable fraction (7–38%), Pb was mainly bound to the Mn oxide fraction (32–70%) and OM (31– 43%) and Zn was principally bound to the residual fraction (31–68%). Cadmium presented the highest mobility index (33–53%) and Pb the lowest (1–3%), which is related to the fractions they are bound in the soil. Field studies would be necessary to confirm the effectiveness of BC application on heavy metals' retention, prior to large scale application.","author":[{"dropping-particle":"","family":"Puga","given":"Aline Peregrina","non-dropping-particle":"","parse-names":false,"suffix":""},{"dropping-particle":"","family":"Azevedo","given":"Leonidas Carrijo","non-dropping-particle":"","parse-names":false,"suffix":""},{"dropping-particle":"","family":"Abreu","given":"Cleide","non-dropping-particle":"De","parse-names":false,"suffix":""},{"dropping-particle":"","family":"Coscione","given":"Aline Reneé","non-dropping-particle":"","parse-names":false,"suffix":""},{"dropping-particle":"","family":"Paz-Ferreiro","given":"Jorge","non-dropping-particle":"","parse-names":false,"suffix":""}],"container-title":"Soil and Tillage Research","id":"ITEM-1","issued":{"date-parts":[["2016"]]},"page":"25–33","title":"Leaching and fractionation of heavy metals in mining soils amended with biochar","type":"article-journal","volume":"164"},"uris":["http://www.mendeley.com/documents/?uuid=962920f6-8753-326f-8746-670111beb354"]}],"mendeley":{"formattedCitation":"(Puga et al., 2016)","plainTextFormattedCitation":"(Puga et al., 2016)","previouslyFormattedCitation":"(Puga et al., 2016)"},"properties":{"noteIndex":0},"schema":"https://github.com/citation-style-language/schema/raw/master/csl-citation.json"}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(Puga et al., 2016)</w:t>
      </w:r>
      <w:r w:rsidRPr="00216965">
        <w:rPr>
          <w:rFonts w:eastAsia="Times New Roman" w:cs="Times New Roman"/>
          <w:szCs w:val="24"/>
        </w:rPr>
        <w:fldChar w:fldCharType="end"/>
      </w:r>
      <w:r w:rsidRPr="00216965">
        <w:rPr>
          <w:rFonts w:eastAsia="Times New Roman" w:cs="Times New Roman"/>
          <w:szCs w:val="24"/>
        </w:rPr>
        <w:t xml:space="preserv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2011a)","manualFormatting":"Park et al. (2011)","plainTextFormattedCitation":"(Park et al., 2011a)","previouslyFormattedCitation":"(Park et al., 2011a)"},"properties":{"noteIndex":0},"schema":"https://github.com/citation-style-language/schema/raw/master/csl-citation.json"}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Park </w:t>
      </w:r>
      <w:r w:rsidR="009B2252" w:rsidRPr="00216965">
        <w:rPr>
          <w:rFonts w:eastAsia="Times New Roman" w:cs="Times New Roman"/>
          <w:iCs/>
          <w:noProof/>
          <w:szCs w:val="24"/>
        </w:rPr>
        <w:t>et al</w:t>
      </w:r>
      <w:r w:rsidRPr="00216965">
        <w:rPr>
          <w:rFonts w:eastAsia="Times New Roman" w:cs="Times New Roman"/>
          <w:noProof/>
          <w:szCs w:val="24"/>
        </w:rPr>
        <w:t>. (2011)</w:t>
      </w:r>
      <w:r w:rsidRPr="00216965">
        <w:rPr>
          <w:rFonts w:eastAsia="Times New Roman" w:cs="Times New Roman"/>
          <w:szCs w:val="24"/>
        </w:rPr>
        <w:fldChar w:fldCharType="end"/>
      </w:r>
      <w:r w:rsidRPr="00216965">
        <w:rPr>
          <w:rFonts w:eastAsia="Times New Roman" w:cs="Times New Roman"/>
          <w:szCs w:val="24"/>
        </w:rPr>
        <w:t xml:space="preserve"> evaluated chicken manure and green waste-derived biochars for the immobilization of Cd, Cu and Pb in naturally contaminated and artificially spiked soils. They reported a reduction in the easily exchangeable and carbonate bound fractions and an increase in organic bound and residual fraction. Similar results were obtained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soil","type":"article-journal","volume":"39"},"uris":["http://www.mendeley.com/documents/?uuid=11a55112-223f-38f1-b45d-89e3281424c5"]}],"mendeley":{"formattedCitation":"(Bandara et al., 2017)","manualFormatting":"Bandara et al. (2017)","plainTextFormattedCitation":"(Bandara et al., 2017)","previouslyFormattedCitation":"(Bandara et al., 2017)"},"properties":{"noteIndex":0},"schema":"https://github.com/citation-style-language/schema/raw/master/csl-citation.json"}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Bandara </w:t>
      </w:r>
      <w:r w:rsidR="009B2252" w:rsidRPr="00216965">
        <w:rPr>
          <w:rFonts w:eastAsia="Times New Roman" w:cs="Times New Roman"/>
          <w:iCs/>
          <w:noProof/>
          <w:szCs w:val="24"/>
        </w:rPr>
        <w:t>et al</w:t>
      </w:r>
      <w:r w:rsidRPr="00216965">
        <w:rPr>
          <w:rFonts w:eastAsia="Times New Roman" w:cs="Times New Roman"/>
          <w:noProof/>
          <w:szCs w:val="24"/>
        </w:rPr>
        <w:t>. (2017)</w:t>
      </w:r>
      <w:r w:rsidRPr="00216965">
        <w:rPr>
          <w:rFonts w:eastAsia="Times New Roman" w:cs="Times New Roman"/>
          <w:szCs w:val="24"/>
        </w:rPr>
        <w:fldChar w:fldCharType="end"/>
      </w:r>
      <w:r w:rsidRPr="00216965">
        <w:rPr>
          <w:rFonts w:eastAsia="Times New Roman" w:cs="Times New Roman"/>
          <w:szCs w:val="24"/>
        </w:rPr>
        <w:t>, who studied the effect of woody biomass on metal-rich serpentine soils. In this study a sequential chemical extraction of heavy metals revealed that the exchangeable and carbonate bound fraction of Ni, Mn and Cr were significantly decreased after the addition of biochar, while an increase in the organic-bound fraction occurred. These results confirm the potential of biochar to  reduce the potentially toxic fractions of heavy metals in soils, although each biochar may have a different performance depending on its unique properties.</w:t>
      </w:r>
    </w:p>
    <w:p w14:paraId="78D56E5C" w14:textId="77777777" w:rsidR="00632101" w:rsidRPr="00216965" w:rsidRDefault="00632101" w:rsidP="008A33DA">
      <w:pPr>
        <w:spacing w:line="360" w:lineRule="auto"/>
        <w:jc w:val="both"/>
        <w:rPr>
          <w:rFonts w:eastAsia="Times New Roman" w:cs="Times New Roman"/>
          <w:szCs w:val="24"/>
        </w:rPr>
      </w:pPr>
    </w:p>
    <w:p w14:paraId="2EF7C6BE" w14:textId="361156FE" w:rsidR="00632101" w:rsidRPr="00216965" w:rsidRDefault="00632101" w:rsidP="008A33DA">
      <w:pPr>
        <w:spacing w:line="360" w:lineRule="auto"/>
        <w:jc w:val="both"/>
        <w:rPr>
          <w:rFonts w:eastAsia="Times New Roman" w:cs="Times New Roman"/>
          <w:szCs w:val="24"/>
        </w:rPr>
      </w:pPr>
    </w:p>
    <w:p w14:paraId="235A2CDB" w14:textId="6AE124D7" w:rsidR="00632101" w:rsidRPr="00216965" w:rsidRDefault="00085AAA" w:rsidP="008A33DA">
      <w:pPr>
        <w:pStyle w:val="Caption"/>
        <w:rPr>
          <w:rFonts w:eastAsia="Times New Roman" w:cs="Times New Roman"/>
          <w:b/>
          <w:bCs w:val="0"/>
          <w:color w:val="000000"/>
          <w:szCs w:val="24"/>
        </w:rPr>
      </w:pPr>
      <w:bookmarkStart w:id="87" w:name="_Ref86494757"/>
      <w:bookmarkStart w:id="88" w:name="_Toc86440362"/>
      <w:bookmarkStart w:id="89" w:name="_Hlk86425934"/>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6</w:t>
      </w:r>
      <w:r w:rsidR="00E569FA" w:rsidRPr="00216965">
        <w:rPr>
          <w:b/>
          <w:bCs w:val="0"/>
        </w:rPr>
        <w:fldChar w:fldCharType="end"/>
      </w:r>
      <w:bookmarkEnd w:id="87"/>
      <w:r w:rsidRPr="00216965">
        <w:t xml:space="preserve"> </w:t>
      </w:r>
      <w:r w:rsidRPr="00216965">
        <w:rPr>
          <w:rFonts w:eastAsia="Times New Roman" w:cs="Times New Roman"/>
          <w:b/>
          <w:bCs w:val="0"/>
          <w:color w:val="000000"/>
          <w:szCs w:val="24"/>
        </w:rPr>
        <w:t>Overview of studies using biochar for the remediation of heavy metal-polluted soils</w:t>
      </w:r>
      <w:bookmarkEnd w:id="88"/>
      <w:r w:rsidR="00A95538" w:rsidRPr="00216965">
        <w:rPr>
          <w:rFonts w:eastAsia="Times New Roman" w:cs="Times New Roman"/>
          <w:b/>
          <w:bCs w:val="0"/>
          <w:color w:val="000000"/>
          <w:szCs w:val="24"/>
        </w:rPr>
        <w:t>.</w:t>
      </w:r>
    </w:p>
    <w:tbl>
      <w:tblPr>
        <w:tblW w:w="8684" w:type="dxa"/>
        <w:jc w:val="center"/>
        <w:tblBorders>
          <w:top w:val="single" w:sz="4" w:space="0" w:color="auto"/>
          <w:bottom w:val="single" w:sz="4" w:space="0" w:color="auto"/>
        </w:tblBorders>
        <w:tblLayout w:type="fixed"/>
        <w:tblLook w:val="0400" w:firstRow="0" w:lastRow="0" w:firstColumn="0" w:lastColumn="0" w:noHBand="0" w:noVBand="1"/>
      </w:tblPr>
      <w:tblGrid>
        <w:gridCol w:w="730"/>
        <w:gridCol w:w="741"/>
        <w:gridCol w:w="866"/>
        <w:gridCol w:w="782"/>
        <w:gridCol w:w="709"/>
        <w:gridCol w:w="2835"/>
        <w:gridCol w:w="2021"/>
      </w:tblGrid>
      <w:tr w:rsidR="00632101" w:rsidRPr="00216965" w14:paraId="76A1A045" w14:textId="77777777" w:rsidTr="008A33DA">
        <w:trPr>
          <w:jc w:val="center"/>
        </w:trPr>
        <w:tc>
          <w:tcPr>
            <w:tcW w:w="3828" w:type="dxa"/>
            <w:gridSpan w:val="5"/>
            <w:tcBorders>
              <w:top w:val="single" w:sz="4" w:space="0" w:color="auto"/>
              <w:bottom w:val="single" w:sz="4" w:space="0" w:color="auto"/>
            </w:tcBorders>
            <w:shd w:val="clear" w:color="auto" w:fill="A8D08D" w:themeFill="accent6" w:themeFillTint="99"/>
          </w:tcPr>
          <w:p w14:paraId="557790EB" w14:textId="77777777" w:rsidR="00632101" w:rsidRPr="00216965" w:rsidRDefault="00632101" w:rsidP="00A0457B">
            <w:pPr>
              <w:spacing w:after="0" w:line="240" w:lineRule="auto"/>
              <w:jc w:val="center"/>
              <w:rPr>
                <w:rFonts w:eastAsia="Times New Roman" w:cs="Times New Roman"/>
                <w:b/>
                <w:sz w:val="20"/>
                <w:szCs w:val="20"/>
              </w:rPr>
            </w:pPr>
            <w:r w:rsidRPr="00216965">
              <w:rPr>
                <w:rFonts w:eastAsia="Times New Roman" w:cs="Times New Roman"/>
                <w:b/>
                <w:sz w:val="20"/>
                <w:szCs w:val="20"/>
              </w:rPr>
              <w:t xml:space="preserve">Soil heavy metal concentrations </w:t>
            </w:r>
          </w:p>
          <w:p w14:paraId="66FF6C86" w14:textId="77777777" w:rsidR="00632101" w:rsidRPr="00216965" w:rsidRDefault="00632101" w:rsidP="00A0457B">
            <w:pPr>
              <w:spacing w:after="0" w:line="240" w:lineRule="auto"/>
              <w:jc w:val="center"/>
              <w:rPr>
                <w:rFonts w:eastAsia="Times New Roman" w:cs="Times New Roman"/>
                <w:b/>
                <w:sz w:val="20"/>
                <w:szCs w:val="20"/>
              </w:rPr>
            </w:pPr>
            <w:r w:rsidRPr="00216965">
              <w:rPr>
                <w:rFonts w:eastAsia="Times New Roman" w:cs="Times New Roman"/>
                <w:b/>
                <w:sz w:val="20"/>
                <w:szCs w:val="20"/>
              </w:rPr>
              <w:t>[mg.kg</w:t>
            </w:r>
            <w:r w:rsidRPr="00216965">
              <w:rPr>
                <w:rFonts w:eastAsia="Times New Roman" w:cs="Times New Roman"/>
                <w:b/>
                <w:sz w:val="20"/>
                <w:szCs w:val="20"/>
                <w:vertAlign w:val="superscript"/>
              </w:rPr>
              <w:t>-1</w:t>
            </w:r>
            <w:r w:rsidRPr="00216965">
              <w:rPr>
                <w:rFonts w:eastAsia="Times New Roman" w:cs="Times New Roman"/>
                <w:b/>
                <w:sz w:val="20"/>
                <w:szCs w:val="20"/>
              </w:rPr>
              <w:t>]</w:t>
            </w:r>
          </w:p>
        </w:tc>
        <w:tc>
          <w:tcPr>
            <w:tcW w:w="2835" w:type="dxa"/>
            <w:tcBorders>
              <w:top w:val="single" w:sz="4" w:space="0" w:color="auto"/>
              <w:bottom w:val="single" w:sz="4" w:space="0" w:color="auto"/>
            </w:tcBorders>
            <w:shd w:val="clear" w:color="auto" w:fill="A8D08D" w:themeFill="accent6" w:themeFillTint="99"/>
          </w:tcPr>
          <w:p w14:paraId="6FF332C2"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Biochar used</w:t>
            </w:r>
          </w:p>
        </w:tc>
        <w:tc>
          <w:tcPr>
            <w:tcW w:w="2021" w:type="dxa"/>
            <w:tcBorders>
              <w:top w:val="single" w:sz="4" w:space="0" w:color="auto"/>
              <w:bottom w:val="single" w:sz="4" w:space="0" w:color="auto"/>
            </w:tcBorders>
            <w:shd w:val="clear" w:color="auto" w:fill="A8D08D" w:themeFill="accent6" w:themeFillTint="99"/>
          </w:tcPr>
          <w:p w14:paraId="5FEF33C3"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Reference</w:t>
            </w:r>
          </w:p>
        </w:tc>
      </w:tr>
      <w:tr w:rsidR="00632101" w:rsidRPr="00216965" w14:paraId="38EDB95F" w14:textId="77777777" w:rsidTr="008A33DA">
        <w:trPr>
          <w:jc w:val="center"/>
        </w:trPr>
        <w:tc>
          <w:tcPr>
            <w:tcW w:w="730" w:type="dxa"/>
            <w:tcBorders>
              <w:top w:val="single" w:sz="4" w:space="0" w:color="auto"/>
              <w:bottom w:val="single" w:sz="4" w:space="0" w:color="auto"/>
            </w:tcBorders>
          </w:tcPr>
          <w:p w14:paraId="318E6E81"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As</w:t>
            </w:r>
          </w:p>
        </w:tc>
        <w:tc>
          <w:tcPr>
            <w:tcW w:w="741" w:type="dxa"/>
            <w:tcBorders>
              <w:top w:val="single" w:sz="4" w:space="0" w:color="auto"/>
              <w:bottom w:val="single" w:sz="4" w:space="0" w:color="auto"/>
            </w:tcBorders>
          </w:tcPr>
          <w:p w14:paraId="40321305"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Cd</w:t>
            </w:r>
          </w:p>
        </w:tc>
        <w:tc>
          <w:tcPr>
            <w:tcW w:w="866" w:type="dxa"/>
            <w:tcBorders>
              <w:top w:val="single" w:sz="4" w:space="0" w:color="auto"/>
              <w:bottom w:val="single" w:sz="4" w:space="0" w:color="auto"/>
            </w:tcBorders>
          </w:tcPr>
          <w:p w14:paraId="5C107D95"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Cu</w:t>
            </w:r>
          </w:p>
        </w:tc>
        <w:tc>
          <w:tcPr>
            <w:tcW w:w="782" w:type="dxa"/>
            <w:tcBorders>
              <w:top w:val="single" w:sz="4" w:space="0" w:color="auto"/>
              <w:bottom w:val="single" w:sz="4" w:space="0" w:color="auto"/>
            </w:tcBorders>
          </w:tcPr>
          <w:p w14:paraId="7FAEA400"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Pb</w:t>
            </w:r>
          </w:p>
        </w:tc>
        <w:tc>
          <w:tcPr>
            <w:tcW w:w="709" w:type="dxa"/>
            <w:tcBorders>
              <w:top w:val="single" w:sz="4" w:space="0" w:color="auto"/>
              <w:bottom w:val="single" w:sz="4" w:space="0" w:color="auto"/>
            </w:tcBorders>
          </w:tcPr>
          <w:p w14:paraId="69D6A343"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b/>
                <w:sz w:val="20"/>
                <w:szCs w:val="20"/>
              </w:rPr>
              <w:t>Zn</w:t>
            </w:r>
          </w:p>
        </w:tc>
        <w:tc>
          <w:tcPr>
            <w:tcW w:w="2835" w:type="dxa"/>
            <w:tcBorders>
              <w:top w:val="single" w:sz="4" w:space="0" w:color="auto"/>
            </w:tcBorders>
          </w:tcPr>
          <w:p w14:paraId="6A422691" w14:textId="77777777" w:rsidR="00632101" w:rsidRPr="00216965" w:rsidRDefault="00632101" w:rsidP="00A0457B">
            <w:pPr>
              <w:spacing w:after="0" w:line="240" w:lineRule="auto"/>
              <w:rPr>
                <w:rFonts w:eastAsia="Times New Roman" w:cs="Times New Roman"/>
                <w:b/>
                <w:sz w:val="20"/>
                <w:szCs w:val="20"/>
              </w:rPr>
            </w:pPr>
          </w:p>
        </w:tc>
        <w:tc>
          <w:tcPr>
            <w:tcW w:w="2021" w:type="dxa"/>
            <w:tcBorders>
              <w:top w:val="single" w:sz="4" w:space="0" w:color="auto"/>
            </w:tcBorders>
          </w:tcPr>
          <w:p w14:paraId="06CE71BB" w14:textId="77777777" w:rsidR="00632101" w:rsidRPr="00216965" w:rsidRDefault="00632101" w:rsidP="00A0457B">
            <w:pPr>
              <w:spacing w:after="0" w:line="240" w:lineRule="auto"/>
              <w:rPr>
                <w:rFonts w:eastAsia="Times New Roman" w:cs="Times New Roman"/>
                <w:b/>
                <w:sz w:val="20"/>
                <w:szCs w:val="20"/>
              </w:rPr>
            </w:pPr>
          </w:p>
        </w:tc>
      </w:tr>
      <w:tr w:rsidR="00632101" w:rsidRPr="00216965" w14:paraId="00A643D8" w14:textId="77777777" w:rsidTr="008A33DA">
        <w:trPr>
          <w:jc w:val="center"/>
        </w:trPr>
        <w:tc>
          <w:tcPr>
            <w:tcW w:w="730" w:type="dxa"/>
            <w:tcBorders>
              <w:top w:val="single" w:sz="4" w:space="0" w:color="auto"/>
              <w:bottom w:val="single" w:sz="4" w:space="0" w:color="auto"/>
            </w:tcBorders>
          </w:tcPr>
          <w:p w14:paraId="12ED5252"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t>96</w:t>
            </w:r>
          </w:p>
        </w:tc>
        <w:tc>
          <w:tcPr>
            <w:tcW w:w="741" w:type="dxa"/>
            <w:tcBorders>
              <w:top w:val="single" w:sz="4" w:space="0" w:color="auto"/>
              <w:bottom w:val="single" w:sz="4" w:space="0" w:color="auto"/>
            </w:tcBorders>
          </w:tcPr>
          <w:p w14:paraId="357BE157"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119</w:t>
            </w:r>
            <w:r w:rsidRPr="00216965">
              <w:rPr>
                <w:rFonts w:eastAsia="Times New Roman" w:cs="Times New Roman"/>
                <w:sz w:val="20"/>
                <w:szCs w:val="20"/>
                <w:vertAlign w:val="superscript"/>
              </w:rPr>
              <w:t xml:space="preserve"> </w:t>
            </w:r>
          </w:p>
        </w:tc>
        <w:tc>
          <w:tcPr>
            <w:tcW w:w="866" w:type="dxa"/>
            <w:tcBorders>
              <w:top w:val="single" w:sz="4" w:space="0" w:color="auto"/>
              <w:bottom w:val="single" w:sz="4" w:space="0" w:color="auto"/>
            </w:tcBorders>
          </w:tcPr>
          <w:p w14:paraId="6C80A05E"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t>58</w:t>
            </w:r>
            <w:r w:rsidRPr="00216965">
              <w:rPr>
                <w:rFonts w:eastAsia="Times New Roman" w:cs="Times New Roman"/>
                <w:sz w:val="20"/>
                <w:szCs w:val="20"/>
                <w:vertAlign w:val="superscript"/>
              </w:rPr>
              <w:t xml:space="preserve"> </w:t>
            </w:r>
          </w:p>
        </w:tc>
        <w:tc>
          <w:tcPr>
            <w:tcW w:w="782" w:type="dxa"/>
            <w:tcBorders>
              <w:top w:val="single" w:sz="4" w:space="0" w:color="auto"/>
              <w:bottom w:val="single" w:sz="4" w:space="0" w:color="auto"/>
            </w:tcBorders>
          </w:tcPr>
          <w:p w14:paraId="1D95273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157</w:t>
            </w:r>
            <w:r w:rsidRPr="00216965">
              <w:rPr>
                <w:rFonts w:eastAsia="Times New Roman" w:cs="Times New Roman"/>
                <w:sz w:val="20"/>
                <w:szCs w:val="20"/>
                <w:vertAlign w:val="superscript"/>
              </w:rPr>
              <w:t xml:space="preserve"> </w:t>
            </w:r>
          </w:p>
        </w:tc>
        <w:tc>
          <w:tcPr>
            <w:tcW w:w="709" w:type="dxa"/>
            <w:tcBorders>
              <w:top w:val="single" w:sz="4" w:space="0" w:color="auto"/>
              <w:bottom w:val="single" w:sz="4" w:space="0" w:color="auto"/>
            </w:tcBorders>
          </w:tcPr>
          <w:p w14:paraId="7E0E4690"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249</w:t>
            </w:r>
            <w:r w:rsidRPr="00216965">
              <w:rPr>
                <w:rFonts w:eastAsia="Times New Roman" w:cs="Times New Roman"/>
                <w:sz w:val="20"/>
                <w:szCs w:val="20"/>
                <w:vertAlign w:val="superscript"/>
              </w:rPr>
              <w:t xml:space="preserve"> </w:t>
            </w:r>
          </w:p>
        </w:tc>
        <w:tc>
          <w:tcPr>
            <w:tcW w:w="2835" w:type="dxa"/>
          </w:tcPr>
          <w:p w14:paraId="04B5FD80"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 xml:space="preserve">Hardwood-derived biochar </w:t>
            </w:r>
          </w:p>
        </w:tc>
        <w:tc>
          <w:tcPr>
            <w:tcW w:w="2021" w:type="dxa"/>
          </w:tcPr>
          <w:p w14:paraId="54CABC4A" w14:textId="01A4A704" w:rsidR="00632101" w:rsidRPr="00216965" w:rsidRDefault="00632101" w:rsidP="00A0457B">
            <w:pPr>
              <w:spacing w:after="0" w:line="240" w:lineRule="auto"/>
              <w:rPr>
                <w:rFonts w:eastAsia="Times New Roman" w:cs="Times New Roman"/>
                <w:b/>
                <w:sz w:val="20"/>
                <w:szCs w:val="20"/>
                <w:lang w:val="nl-NL"/>
              </w:rPr>
            </w:pPr>
            <w:r w:rsidRPr="00216965">
              <w:rPr>
                <w:rFonts w:eastAsia="Times New Roman" w:cs="Times New Roman"/>
                <w:sz w:val="20"/>
                <w:szCs w:val="20"/>
              </w:rPr>
              <w:fldChar w:fldCharType="begin" w:fldLock="1"/>
            </w:r>
            <w:r w:rsidR="006C06AA" w:rsidRPr="00216965">
              <w:rPr>
                <w:rFonts w:eastAsia="Times New Roman" w:cs="Times New Roman"/>
                <w:sz w:val="20"/>
                <w:szCs w:val="20"/>
                <w:lang w:val="nl-NL"/>
              </w:rPr>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soil","type":"article-journal","volume":"158"},"uris":["http://www.mendeley.com/documents/?uuid=82b97d1e-c40c-4f11-95c0-fbd3c838b5a9"]}],"mendeley":{"formattedCitation":"(Beesley et al., 2010)","manualFormatting":"Beesley et al. (2010)","plainTextFormattedCitation":"(Beesley et al., 2010)","previouslyFormattedCitation":"(Beesley et al., 2010)"},"properties":{"noteIndex":0},"schema":"https://github.com/citation-style-language/schema/raw/master/csl-citation.json"}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lang w:val="nl-NL"/>
              </w:rPr>
              <w:t>Beesley et al. (2010)</w:t>
            </w:r>
            <w:r w:rsidRPr="00216965">
              <w:rPr>
                <w:rFonts w:eastAsia="Times New Roman" w:cs="Times New Roman"/>
                <w:sz w:val="20"/>
                <w:szCs w:val="20"/>
              </w:rPr>
              <w:fldChar w:fldCharType="end"/>
            </w:r>
          </w:p>
        </w:tc>
      </w:tr>
      <w:tr w:rsidR="00632101" w:rsidRPr="00216965" w14:paraId="5E8AD5E1" w14:textId="77777777" w:rsidTr="008A33DA">
        <w:trPr>
          <w:jc w:val="center"/>
        </w:trPr>
        <w:tc>
          <w:tcPr>
            <w:tcW w:w="730" w:type="dxa"/>
            <w:tcBorders>
              <w:top w:val="single" w:sz="4" w:space="0" w:color="auto"/>
              <w:bottom w:val="single" w:sz="4" w:space="0" w:color="auto"/>
            </w:tcBorders>
          </w:tcPr>
          <w:p w14:paraId="05856A99" w14:textId="77777777" w:rsidR="00632101" w:rsidRPr="00216965" w:rsidRDefault="00632101" w:rsidP="00A0457B">
            <w:pPr>
              <w:spacing w:after="0" w:line="240" w:lineRule="auto"/>
              <w:rPr>
                <w:rFonts w:eastAsia="Times New Roman" w:cs="Times New Roman"/>
                <w:b/>
                <w:sz w:val="20"/>
                <w:szCs w:val="20"/>
                <w:lang w:val="nl-NL"/>
              </w:rPr>
            </w:pPr>
          </w:p>
        </w:tc>
        <w:tc>
          <w:tcPr>
            <w:tcW w:w="741" w:type="dxa"/>
            <w:tcBorders>
              <w:top w:val="single" w:sz="4" w:space="0" w:color="auto"/>
              <w:bottom w:val="single" w:sz="4" w:space="0" w:color="auto"/>
            </w:tcBorders>
          </w:tcPr>
          <w:p w14:paraId="6A571ABD"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5</w:t>
            </w:r>
          </w:p>
          <w:p w14:paraId="2AA9C1FA"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0.74</w:t>
            </w:r>
          </w:p>
          <w:p w14:paraId="4D834AF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7.2</w:t>
            </w:r>
          </w:p>
        </w:tc>
        <w:tc>
          <w:tcPr>
            <w:tcW w:w="866" w:type="dxa"/>
            <w:tcBorders>
              <w:top w:val="single" w:sz="4" w:space="0" w:color="auto"/>
              <w:bottom w:val="single" w:sz="4" w:space="0" w:color="auto"/>
            </w:tcBorders>
          </w:tcPr>
          <w:p w14:paraId="40DFD9F2"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160</w:t>
            </w:r>
          </w:p>
          <w:p w14:paraId="66B8E830"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18050</w:t>
            </w:r>
          </w:p>
          <w:p w14:paraId="5EB05A05"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81</w:t>
            </w:r>
          </w:p>
        </w:tc>
        <w:tc>
          <w:tcPr>
            <w:tcW w:w="782" w:type="dxa"/>
            <w:tcBorders>
              <w:top w:val="single" w:sz="4" w:space="0" w:color="auto"/>
              <w:bottom w:val="single" w:sz="4" w:space="0" w:color="auto"/>
            </w:tcBorders>
          </w:tcPr>
          <w:p w14:paraId="2E7A50D4"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1000</w:t>
            </w:r>
          </w:p>
          <w:p w14:paraId="257B94C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161</w:t>
            </w:r>
          </w:p>
          <w:p w14:paraId="1107863D"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346</w:t>
            </w:r>
          </w:p>
        </w:tc>
        <w:tc>
          <w:tcPr>
            <w:tcW w:w="709" w:type="dxa"/>
            <w:tcBorders>
              <w:top w:val="single" w:sz="4" w:space="0" w:color="auto"/>
              <w:bottom w:val="single" w:sz="4" w:space="0" w:color="auto"/>
            </w:tcBorders>
          </w:tcPr>
          <w:p w14:paraId="68B593DF" w14:textId="77777777" w:rsidR="00632101" w:rsidRPr="00216965" w:rsidRDefault="00632101" w:rsidP="00A0457B">
            <w:pPr>
              <w:spacing w:after="0" w:line="240" w:lineRule="auto"/>
              <w:rPr>
                <w:rFonts w:eastAsia="Times New Roman" w:cs="Times New Roman"/>
                <w:b/>
                <w:sz w:val="20"/>
                <w:szCs w:val="20"/>
              </w:rPr>
            </w:pPr>
          </w:p>
        </w:tc>
        <w:tc>
          <w:tcPr>
            <w:tcW w:w="2835" w:type="dxa"/>
          </w:tcPr>
          <w:p w14:paraId="18F6B751"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Chicken manure and  green</w:t>
            </w:r>
          </w:p>
          <w:p w14:paraId="4BE36814"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 xml:space="preserve">waste biochar </w:t>
            </w:r>
          </w:p>
        </w:tc>
        <w:tc>
          <w:tcPr>
            <w:tcW w:w="2021" w:type="dxa"/>
          </w:tcPr>
          <w:p w14:paraId="6E1CB64F" w14:textId="476CF950" w:rsidR="00632101" w:rsidRPr="00216965" w:rsidRDefault="00632101" w:rsidP="00A0457B">
            <w:pPr>
              <w:spacing w:after="0" w:line="240" w:lineRule="auto"/>
              <w:rPr>
                <w:rFonts w:eastAsia="Times New Roman" w:cs="Times New Roman"/>
                <w:b/>
                <w:sz w:val="20"/>
                <w:szCs w:val="20"/>
                <w:lang w:val="fr-FR"/>
              </w:rPr>
            </w:pPr>
            <w:r w:rsidRPr="00216965">
              <w:rPr>
                <w:rFonts w:eastAsia="Times New Roman" w:cs="Times New Roman"/>
                <w:sz w:val="20"/>
                <w:szCs w:val="20"/>
              </w:rPr>
              <w:fldChar w:fldCharType="begin" w:fldLock="1"/>
            </w:r>
            <w:r w:rsidR="006C06AA" w:rsidRPr="00216965">
              <w:rPr>
                <w:rFonts w:eastAsia="Times New Roman" w:cs="Times New Roman"/>
                <w:sz w:val="20"/>
                <w:szCs w:val="20"/>
                <w:lang w:val="fr-FR"/>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2011a)","manualFormatting":"Park et al. (2011)","plainTextFormattedCitation":"(Park et al., 2011a)","previouslyFormattedCitation":"(Park et al., 2011a)"},"properties":{"noteIndex":0},"schema":"https://github.com/citation-style-language/schema/raw/master/csl-citation.json"}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lang w:val="fr-FR"/>
              </w:rPr>
              <w:t>Park et al. (2011)</w:t>
            </w:r>
            <w:r w:rsidRPr="00216965">
              <w:rPr>
                <w:rFonts w:eastAsia="Times New Roman" w:cs="Times New Roman"/>
                <w:sz w:val="20"/>
                <w:szCs w:val="20"/>
              </w:rPr>
              <w:fldChar w:fldCharType="end"/>
            </w:r>
          </w:p>
        </w:tc>
      </w:tr>
      <w:tr w:rsidR="00632101" w:rsidRPr="00216965" w14:paraId="2434BE53" w14:textId="77777777" w:rsidTr="008A33DA">
        <w:trPr>
          <w:jc w:val="center"/>
        </w:trPr>
        <w:tc>
          <w:tcPr>
            <w:tcW w:w="730" w:type="dxa"/>
            <w:tcBorders>
              <w:top w:val="single" w:sz="4" w:space="0" w:color="auto"/>
              <w:bottom w:val="single" w:sz="4" w:space="0" w:color="auto"/>
            </w:tcBorders>
          </w:tcPr>
          <w:p w14:paraId="0F3C0935" w14:textId="77777777" w:rsidR="00632101" w:rsidRPr="00216965" w:rsidRDefault="00632101" w:rsidP="00A0457B">
            <w:pPr>
              <w:spacing w:after="0" w:line="240" w:lineRule="auto"/>
              <w:rPr>
                <w:rFonts w:eastAsia="Times New Roman" w:cs="Times New Roman"/>
                <w:b/>
                <w:sz w:val="20"/>
                <w:szCs w:val="20"/>
                <w:lang w:val="fr-FR"/>
              </w:rPr>
            </w:pPr>
          </w:p>
        </w:tc>
        <w:tc>
          <w:tcPr>
            <w:tcW w:w="741" w:type="dxa"/>
            <w:tcBorders>
              <w:top w:val="single" w:sz="4" w:space="0" w:color="auto"/>
              <w:bottom w:val="single" w:sz="4" w:space="0" w:color="auto"/>
            </w:tcBorders>
          </w:tcPr>
          <w:p w14:paraId="0D3A0262" w14:textId="77777777" w:rsidR="00632101" w:rsidRPr="00216965" w:rsidRDefault="00632101" w:rsidP="00A0457B">
            <w:pPr>
              <w:spacing w:after="0" w:line="240" w:lineRule="auto"/>
              <w:rPr>
                <w:rFonts w:eastAsia="Times New Roman" w:cs="Times New Roman"/>
                <w:sz w:val="20"/>
                <w:szCs w:val="20"/>
                <w:lang w:val="fr-FR"/>
              </w:rPr>
            </w:pPr>
          </w:p>
        </w:tc>
        <w:tc>
          <w:tcPr>
            <w:tcW w:w="866" w:type="dxa"/>
            <w:tcBorders>
              <w:top w:val="single" w:sz="4" w:space="0" w:color="auto"/>
              <w:bottom w:val="single" w:sz="4" w:space="0" w:color="auto"/>
            </w:tcBorders>
          </w:tcPr>
          <w:p w14:paraId="057A3210"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t>600</w:t>
            </w:r>
          </w:p>
        </w:tc>
        <w:tc>
          <w:tcPr>
            <w:tcW w:w="782" w:type="dxa"/>
            <w:tcBorders>
              <w:top w:val="single" w:sz="4" w:space="0" w:color="auto"/>
              <w:bottom w:val="single" w:sz="4" w:space="0" w:color="auto"/>
            </w:tcBorders>
          </w:tcPr>
          <w:p w14:paraId="3BDF35BA"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t>21000</w:t>
            </w:r>
          </w:p>
        </w:tc>
        <w:tc>
          <w:tcPr>
            <w:tcW w:w="709" w:type="dxa"/>
            <w:tcBorders>
              <w:top w:val="single" w:sz="4" w:space="0" w:color="auto"/>
              <w:bottom w:val="single" w:sz="4" w:space="0" w:color="auto"/>
            </w:tcBorders>
          </w:tcPr>
          <w:p w14:paraId="7D1CF6F6" w14:textId="77777777" w:rsidR="00632101" w:rsidRPr="00216965" w:rsidRDefault="00632101" w:rsidP="00A0457B">
            <w:pPr>
              <w:spacing w:after="0" w:line="240" w:lineRule="auto"/>
              <w:rPr>
                <w:rFonts w:eastAsia="Times New Roman" w:cs="Times New Roman"/>
                <w:b/>
                <w:sz w:val="20"/>
                <w:szCs w:val="20"/>
              </w:rPr>
            </w:pPr>
          </w:p>
        </w:tc>
        <w:tc>
          <w:tcPr>
            <w:tcW w:w="2835" w:type="dxa"/>
          </w:tcPr>
          <w:p w14:paraId="5B3B25C4"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British Oak, Ash, Sycamore and Birch biochars</w:t>
            </w:r>
          </w:p>
        </w:tc>
        <w:tc>
          <w:tcPr>
            <w:tcW w:w="2021" w:type="dxa"/>
          </w:tcPr>
          <w:p w14:paraId="0724A759" w14:textId="6729BCA8"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ryegrass","type":"article-journal","volume":"191"},"uris":["http://www.mendeley.com/documents/?uuid=2e021c3e-c811-4cdf-b456-4f53f6ef7853"]}],"mendeley":{"formattedCitation":"(Karami et al., 2011)","manualFormatting":"Karami et al. (2011)","plainTextFormattedCitation":"(Karami et al., 2011)","previouslyFormattedCitation":"(Karami et al., 2011)"},"properties":{"noteIndex":0},"schema":"https://github.com/citation-style-language/schema/raw/master/csl-citation.json"}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Karami et al. (2011)</w:t>
            </w:r>
            <w:r w:rsidRPr="00216965">
              <w:rPr>
                <w:rFonts w:eastAsia="Times New Roman" w:cs="Times New Roman"/>
                <w:sz w:val="20"/>
                <w:szCs w:val="20"/>
              </w:rPr>
              <w:fldChar w:fldCharType="end"/>
            </w:r>
          </w:p>
        </w:tc>
      </w:tr>
      <w:tr w:rsidR="00632101" w:rsidRPr="00216965" w14:paraId="2ECC2302" w14:textId="77777777" w:rsidTr="008A33DA">
        <w:trPr>
          <w:jc w:val="center"/>
        </w:trPr>
        <w:tc>
          <w:tcPr>
            <w:tcW w:w="730" w:type="dxa"/>
            <w:tcBorders>
              <w:top w:val="single" w:sz="4" w:space="0" w:color="auto"/>
              <w:bottom w:val="single" w:sz="4" w:space="0" w:color="auto"/>
            </w:tcBorders>
          </w:tcPr>
          <w:p w14:paraId="16764A7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26.1</w:t>
            </w:r>
          </w:p>
        </w:tc>
        <w:tc>
          <w:tcPr>
            <w:tcW w:w="741" w:type="dxa"/>
            <w:tcBorders>
              <w:top w:val="single" w:sz="4" w:space="0" w:color="auto"/>
              <w:bottom w:val="single" w:sz="4" w:space="0" w:color="auto"/>
            </w:tcBorders>
          </w:tcPr>
          <w:p w14:paraId="5312DE84"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10.7</w:t>
            </w:r>
          </w:p>
        </w:tc>
        <w:tc>
          <w:tcPr>
            <w:tcW w:w="866" w:type="dxa"/>
            <w:tcBorders>
              <w:top w:val="single" w:sz="4" w:space="0" w:color="auto"/>
              <w:bottom w:val="single" w:sz="4" w:space="0" w:color="auto"/>
            </w:tcBorders>
          </w:tcPr>
          <w:p w14:paraId="15EF4566"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83.8</w:t>
            </w:r>
          </w:p>
        </w:tc>
        <w:tc>
          <w:tcPr>
            <w:tcW w:w="782" w:type="dxa"/>
            <w:tcBorders>
              <w:top w:val="single" w:sz="4" w:space="0" w:color="auto"/>
              <w:bottom w:val="single" w:sz="4" w:space="0" w:color="auto"/>
            </w:tcBorders>
          </w:tcPr>
          <w:p w14:paraId="17460C8F"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244</w:t>
            </w:r>
          </w:p>
        </w:tc>
        <w:tc>
          <w:tcPr>
            <w:tcW w:w="709" w:type="dxa"/>
            <w:tcBorders>
              <w:top w:val="single" w:sz="4" w:space="0" w:color="auto"/>
              <w:bottom w:val="single" w:sz="4" w:space="0" w:color="auto"/>
            </w:tcBorders>
          </w:tcPr>
          <w:p w14:paraId="755C8DC2"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182</w:t>
            </w:r>
          </w:p>
        </w:tc>
        <w:tc>
          <w:tcPr>
            <w:tcW w:w="2835" w:type="dxa"/>
          </w:tcPr>
          <w:p w14:paraId="7AB7341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Hardwood-derived biochar</w:t>
            </w:r>
          </w:p>
        </w:tc>
        <w:tc>
          <w:tcPr>
            <w:tcW w:w="2021" w:type="dxa"/>
          </w:tcPr>
          <w:p w14:paraId="6155AC9E" w14:textId="3230329D" w:rsidR="00632101" w:rsidRPr="00216965" w:rsidRDefault="00632101" w:rsidP="00A0457B">
            <w:pPr>
              <w:spacing w:after="0" w:line="240" w:lineRule="auto"/>
              <w:rPr>
                <w:rFonts w:eastAsia="Times New Roman" w:cs="Times New Roman"/>
                <w:b/>
                <w:sz w:val="20"/>
                <w:szCs w:val="20"/>
                <w:lang w:val="fr-FR"/>
              </w:rPr>
            </w:pPr>
            <w:r w:rsidRPr="00216965">
              <w:rPr>
                <w:rFonts w:eastAsia="Times New Roman" w:cs="Times New Roman"/>
                <w:sz w:val="20"/>
                <w:szCs w:val="20"/>
              </w:rPr>
              <w:fldChar w:fldCharType="begin" w:fldLock="1"/>
            </w:r>
            <w:r w:rsidR="006C06AA" w:rsidRPr="00216965">
              <w:rPr>
                <w:rFonts w:eastAsia="Times New Roman" w:cs="Times New Roman"/>
                <w:sz w:val="20"/>
                <w:szCs w:val="20"/>
                <w:lang w:val="fr-FR"/>
              </w:rPr>
              <w:instrText>ADDIN CSL_CITATION {"citationItems":[{"id":"ITEM-1","itemData":{"DOI":"10.1016/j.envpol.2010.09.037","ISBN":"0269-7491","ISSN":"02697491","PMID":"21035930","abstract":"Polycyclic aromatic hydrocarbons (PAHs) and potentially toxic elements (PTEs) were monitored over 56 days in calcareous contaminated-soil amended with either or both biochar and Eisenia fetida. Biochar reduced total (449 to 306 mg kg-1) and bioavailable (cyclodextrin extractable) (276 to 182 mg kg-1) PAHs, PAH concentrations in E. fetida (up to 45%) but also earthworm weight. Earthworms increased PAH bioavailability by &gt;40%. Combined treatment results were similar to the biochar-only treatment. Earthworms increased water soluble Co (3.4 to 29.2 mg kg-1), Cu (60.0 to 120.1 mg kg-1) and Ni (31.7 to 83.0 mg kg-1) but not As, Cd, Pb or Zn; biochar reduced water soluble Cu (60 to 37 mg kg-1). Combined treatment results were similar to the biochar-only treatment but gave a greater reduction in As and Cd mobility. Biochar has contaminated land remediation potential, but its long-term impact on contaminants and soil biota needs to be assessed. ?? 2010 Elsevier Ltd. All rights reserved.","author":[{"dropping-particle":"","family":"Gomez-Eyles","given":"Jose L.","non-dropping-particle":"","parse-names":false,"suffix":""},{"dropping-particle":"","family":"Sizmur","given":"Tom","non-dropping-particle":"","parse-names":false,"suffix":""},{"dropping-particle":"","family":"Collins","given":"Chris D.","non-dropping-particle":"","parse-names":false,"suffix":""},{"dropping-particle":"","family":"Hodson","given":"Mark E.","non-dropping-particle":"","parse-names":false,"suffix":""}],"container-title":"Environmental Pollution","id":"ITEM-1","issue":"2","issued":{"date-parts":[["2011"]]},"page":"616-622","publisher":"Elsevier Ltd","title":"Effects of biochar and the earthworm Eisenia fetida on the bioavailability of polycyclic aromatic hydrocarbons and potentially toxic elements","type":"article-journal","volume":"159"},"uris":["http://www.mendeley.com/documents/?uuid=9e455bec-72bb-494b-a708-392b3b6ea092"]}],"mendeley":{"formattedCitation":"(Gomez-Eyles et al., 2011)","manualFormatting":"Gomez-Eyles et al. (2011)","plainTextFormattedCitation":"(Gomez-Eyles et al., 2011)","previouslyFormattedCitation":"(Gomez-Eyles et al., 2011)"},"properties":{"noteIndex":0},"schema":"https://github.com/citation-style-language/schema/raw/master/csl-citation.json"}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lang w:val="fr-FR"/>
              </w:rPr>
              <w:t>Gomez-Eyles et al. (2011)</w:t>
            </w:r>
            <w:r w:rsidRPr="00216965">
              <w:rPr>
                <w:rFonts w:eastAsia="Times New Roman" w:cs="Times New Roman"/>
                <w:sz w:val="20"/>
                <w:szCs w:val="20"/>
              </w:rPr>
              <w:fldChar w:fldCharType="end"/>
            </w:r>
          </w:p>
        </w:tc>
      </w:tr>
      <w:tr w:rsidR="00632101" w:rsidRPr="00216965" w14:paraId="3411CB09" w14:textId="77777777" w:rsidTr="008A33DA">
        <w:trPr>
          <w:jc w:val="center"/>
        </w:trPr>
        <w:tc>
          <w:tcPr>
            <w:tcW w:w="730" w:type="dxa"/>
            <w:tcBorders>
              <w:top w:val="single" w:sz="4" w:space="0" w:color="auto"/>
              <w:bottom w:val="single" w:sz="4" w:space="0" w:color="auto"/>
            </w:tcBorders>
          </w:tcPr>
          <w:p w14:paraId="6867D5FF" w14:textId="77777777" w:rsidR="00632101" w:rsidRPr="00216965" w:rsidRDefault="00632101" w:rsidP="00A0457B">
            <w:pPr>
              <w:spacing w:after="0" w:line="240" w:lineRule="auto"/>
              <w:rPr>
                <w:rFonts w:eastAsia="Times New Roman" w:cs="Times New Roman"/>
                <w:sz w:val="20"/>
                <w:szCs w:val="20"/>
                <w:lang w:val="fr-FR"/>
              </w:rPr>
            </w:pPr>
          </w:p>
        </w:tc>
        <w:tc>
          <w:tcPr>
            <w:tcW w:w="741" w:type="dxa"/>
            <w:tcBorders>
              <w:top w:val="single" w:sz="4" w:space="0" w:color="auto"/>
              <w:bottom w:val="single" w:sz="4" w:space="0" w:color="auto"/>
            </w:tcBorders>
          </w:tcPr>
          <w:p w14:paraId="7289826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10</w:t>
            </w:r>
          </w:p>
          <w:p w14:paraId="205CC9C4"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50</w:t>
            </w:r>
          </w:p>
        </w:tc>
        <w:tc>
          <w:tcPr>
            <w:tcW w:w="866" w:type="dxa"/>
            <w:tcBorders>
              <w:top w:val="single" w:sz="4" w:space="0" w:color="auto"/>
              <w:bottom w:val="single" w:sz="4" w:space="0" w:color="auto"/>
            </w:tcBorders>
          </w:tcPr>
          <w:p w14:paraId="22B532F4" w14:textId="77777777" w:rsidR="00632101" w:rsidRPr="00216965" w:rsidRDefault="00632101" w:rsidP="00A0457B">
            <w:pPr>
              <w:spacing w:after="0" w:line="240" w:lineRule="auto"/>
              <w:rPr>
                <w:rFonts w:eastAsia="Times New Roman" w:cs="Times New Roman"/>
                <w:sz w:val="20"/>
                <w:szCs w:val="20"/>
              </w:rPr>
            </w:pPr>
          </w:p>
        </w:tc>
        <w:tc>
          <w:tcPr>
            <w:tcW w:w="782" w:type="dxa"/>
            <w:tcBorders>
              <w:top w:val="single" w:sz="4" w:space="0" w:color="auto"/>
              <w:bottom w:val="single" w:sz="4" w:space="0" w:color="auto"/>
            </w:tcBorders>
          </w:tcPr>
          <w:p w14:paraId="1C7090D0" w14:textId="77777777" w:rsidR="00632101" w:rsidRPr="00216965" w:rsidRDefault="00632101" w:rsidP="00A0457B">
            <w:pPr>
              <w:spacing w:after="0" w:line="240" w:lineRule="auto"/>
              <w:rPr>
                <w:rFonts w:eastAsia="Times New Roman" w:cs="Times New Roman"/>
                <w:sz w:val="20"/>
                <w:szCs w:val="20"/>
              </w:rPr>
            </w:pPr>
          </w:p>
        </w:tc>
        <w:tc>
          <w:tcPr>
            <w:tcW w:w="709" w:type="dxa"/>
            <w:tcBorders>
              <w:top w:val="single" w:sz="4" w:space="0" w:color="auto"/>
              <w:bottom w:val="single" w:sz="4" w:space="0" w:color="auto"/>
            </w:tcBorders>
          </w:tcPr>
          <w:p w14:paraId="25702AB2" w14:textId="77777777" w:rsidR="00632101" w:rsidRPr="00216965" w:rsidRDefault="00632101" w:rsidP="00A0457B">
            <w:pPr>
              <w:spacing w:after="0" w:line="240" w:lineRule="auto"/>
              <w:rPr>
                <w:rFonts w:eastAsia="Times New Roman" w:cs="Times New Roman"/>
                <w:sz w:val="20"/>
                <w:szCs w:val="20"/>
              </w:rPr>
            </w:pPr>
          </w:p>
        </w:tc>
        <w:tc>
          <w:tcPr>
            <w:tcW w:w="2835" w:type="dxa"/>
          </w:tcPr>
          <w:p w14:paraId="5B22ABCE"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Oil mallee or wheat chaff biochars</w:t>
            </w:r>
          </w:p>
        </w:tc>
        <w:tc>
          <w:tcPr>
            <w:tcW w:w="2021" w:type="dxa"/>
          </w:tcPr>
          <w:p w14:paraId="5C25E011" w14:textId="61BBFA6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{"citationItems":[{"id":"ITEM-1","itemData":{"DOI":"10.1007/s11368-012-0571-4","ISBN":"1439-0108 1614-7480","ISSN":"14390108","abstract":"An addition of biochar mixed into the substrate of constructed wetlands may alleviate toxicity of metals such as cadmium (Cd) to emergent wetland plants, leading to a better performance in terms of pollutant removal from wastewater. The objective of this study was to investigate the impact of biochars on soil Cd immobilization and phytoavailability, growth of plants, and Cd concentration, accumulation, and translocation in plant tissues in Cd-contaminated soils under waterlogged conditions. A glasshouse experiment was conducted to investigate the effect of biochars derived from different organic sources (pyrolysis of oil mallee plants or wheat chaff at 550 A degrees C) with varied application amounts (0, 0.5, and 5 % w/w) on mitigating Cd (0, 10, and 50 mg kg(-1)) toxicity to Juncus subsecundus under waterlogged soil condition. Soil pH and CaCl2/EDTA-extractable soil Cd were determined before and after plant growth. Plant shoot number and height were monitored during the experiment. The total root length and dry weight of aboveground and belowground tissues were recorded. The concentration of Cd in plant tissues was determined. After 3 weeks of soil incubation, pH increased and CaCl2-extractable Cd decreased significantly with biochar additions. After 9 weeks of plant growth, biochar additions significantly increased soil pH and electrical conductivity and reduced CaCl2-extractable Cd. EDTA-extractable soil Cd significantly decreased with biochar additions (except for oil mallee biochar at the low application rate) in the high-Cd treatment, but not in the low-Cd treatment. Growth and biomass significantly decreased with Cd additions, and biochar additions did not significantly improve plant growth regardless of biochar type or application rate. The concentration, accumulation, and translocation of Cd in plants were significantly influenced by the interaction of Cd and biochar treatments. The addition of biochars reduced Cd accumulation, but less so Cd translocation in plants, at least in the low-Cd-contaminated soils. Biochars immobilized soil Cd, but did not improve growth of the emergent wetland plant species at the early growth stage, probably due to the interaction between biochars and waterlogged environment. Further study is needed to elucidate the underlying mechanisms.","author":[{"dropping-particle":"","family":"Zhang","given":"Zhenhua","non-dropping-particle":"","parse-names":false,"suffix":""},{"dropping-particle":"","family":"Solaiman","given":"Zakaria M.","non-dropping-particle":"","parse-names":false,"suffix":""},{"dropping-particle":"","family":"Meney","given":"Kathy","non-dropping-particle":"","parse-names":false,"suffix":""},{"dropping-particle":"V.","family":"Murphy","given":"Daniel","non-dropping-particle":"","parse-names":false,"suffix":""},{"dropping-particle":"","family":"Rengel","given":"Zed","non-dropping-particle":"","parse-names":false,"suffix":""}],"container-title":"Journal of Soils and Sediments","id":"ITEM-1","issue":"1","issued":{"date-parts":[["2013"]]},"page":"140-151","title":"Biochars immobilize soil cadmium, but do not improve growth of emergent wetland species Juncus subsecundus in cadmium-contaminated soil","type":"article-journal","volume":"13"},"uris":["http://www.mendeley.com/documents/?uuid=eccab6ec-c639-4948-a905-557443574af7"]}],"mendeley":{"formattedCitation":"(Zhang et al., 2013)","manualFormatting":"Zhang et al. (2013)","plainTextFormattedCitation":"(Zhang et al., 2013)","previouslyFormattedCitation":"(Zhang et al., 2013)"},"properties":{"noteIndex":0},"schema":"https://github.com/citation-style-language/schema/raw/master/csl-citation.json"}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Zhang et al. (2013)</w:t>
            </w:r>
            <w:r w:rsidRPr="00216965">
              <w:rPr>
                <w:rFonts w:eastAsia="Times New Roman" w:cs="Times New Roman"/>
                <w:sz w:val="20"/>
                <w:szCs w:val="20"/>
              </w:rPr>
              <w:fldChar w:fldCharType="end"/>
            </w:r>
          </w:p>
        </w:tc>
      </w:tr>
      <w:tr w:rsidR="00632101" w:rsidRPr="00216965" w14:paraId="42E7F1E4" w14:textId="77777777" w:rsidTr="008A33DA">
        <w:trPr>
          <w:jc w:val="center"/>
        </w:trPr>
        <w:tc>
          <w:tcPr>
            <w:tcW w:w="730" w:type="dxa"/>
            <w:tcBorders>
              <w:top w:val="single" w:sz="4" w:space="0" w:color="auto"/>
              <w:bottom w:val="single" w:sz="4" w:space="0" w:color="auto"/>
            </w:tcBorders>
          </w:tcPr>
          <w:p w14:paraId="29A6F076" w14:textId="77777777" w:rsidR="00632101" w:rsidRPr="00216965" w:rsidRDefault="00632101" w:rsidP="00A0457B">
            <w:pPr>
              <w:spacing w:after="0" w:line="240" w:lineRule="auto"/>
              <w:rPr>
                <w:rFonts w:eastAsia="Times New Roman" w:cs="Times New Roman"/>
                <w:b/>
                <w:sz w:val="20"/>
                <w:szCs w:val="20"/>
              </w:rPr>
            </w:pPr>
          </w:p>
        </w:tc>
        <w:tc>
          <w:tcPr>
            <w:tcW w:w="741" w:type="dxa"/>
            <w:tcBorders>
              <w:top w:val="single" w:sz="4" w:space="0" w:color="auto"/>
              <w:bottom w:val="single" w:sz="4" w:space="0" w:color="auto"/>
            </w:tcBorders>
          </w:tcPr>
          <w:p w14:paraId="0463B0B1"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9.6</w:t>
            </w:r>
          </w:p>
          <w:p w14:paraId="7F7E374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6.8</w:t>
            </w:r>
          </w:p>
          <w:p w14:paraId="281AF1B0"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9</w:t>
            </w:r>
          </w:p>
          <w:p w14:paraId="2CB6B997"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9.9</w:t>
            </w:r>
          </w:p>
        </w:tc>
        <w:tc>
          <w:tcPr>
            <w:tcW w:w="866" w:type="dxa"/>
            <w:tcBorders>
              <w:top w:val="single" w:sz="4" w:space="0" w:color="auto"/>
              <w:bottom w:val="single" w:sz="4" w:space="0" w:color="auto"/>
            </w:tcBorders>
          </w:tcPr>
          <w:p w14:paraId="78FAA8B9"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387</w:t>
            </w:r>
          </w:p>
          <w:p w14:paraId="4327BD5D"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220</w:t>
            </w:r>
          </w:p>
          <w:p w14:paraId="669871DF"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293</w:t>
            </w:r>
          </w:p>
          <w:p w14:paraId="0155771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357</w:t>
            </w:r>
          </w:p>
        </w:tc>
        <w:tc>
          <w:tcPr>
            <w:tcW w:w="782" w:type="dxa"/>
            <w:tcBorders>
              <w:top w:val="single" w:sz="4" w:space="0" w:color="auto"/>
              <w:bottom w:val="single" w:sz="4" w:space="0" w:color="auto"/>
            </w:tcBorders>
          </w:tcPr>
          <w:p w14:paraId="46C6899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449</w:t>
            </w:r>
          </w:p>
          <w:p w14:paraId="499956B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153</w:t>
            </w:r>
          </w:p>
          <w:p w14:paraId="1A9FE519"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198</w:t>
            </w:r>
          </w:p>
          <w:p w14:paraId="0324C24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220</w:t>
            </w:r>
          </w:p>
        </w:tc>
        <w:tc>
          <w:tcPr>
            <w:tcW w:w="709" w:type="dxa"/>
            <w:tcBorders>
              <w:top w:val="single" w:sz="4" w:space="0" w:color="auto"/>
              <w:bottom w:val="single" w:sz="4" w:space="0" w:color="auto"/>
            </w:tcBorders>
          </w:tcPr>
          <w:p w14:paraId="343E0199"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780</w:t>
            </w:r>
          </w:p>
          <w:p w14:paraId="49D0225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368</w:t>
            </w:r>
          </w:p>
          <w:p w14:paraId="50C1AF8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553</w:t>
            </w:r>
          </w:p>
          <w:p w14:paraId="3177C50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697</w:t>
            </w:r>
          </w:p>
        </w:tc>
        <w:tc>
          <w:tcPr>
            <w:tcW w:w="2835" w:type="dxa"/>
          </w:tcPr>
          <w:p w14:paraId="5ACE8877" w14:textId="77777777"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t>Giant miscanthus biochar</w:t>
            </w:r>
          </w:p>
        </w:tc>
        <w:tc>
          <w:tcPr>
            <w:tcW w:w="2021" w:type="dxa"/>
          </w:tcPr>
          <w:p w14:paraId="40561ECA" w14:textId="31566336"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{"citationItems":[{"id":"ITEM-1","itemData":{"DOI":"10.2134/jeq2014.02.0084","ISSN":"0047-2425","PMID":"25602205","abstract":"The leaching of trace metals from anthropogenically contaminated sites poses the risk of groundwater pollution. Biochar has recently been proposed as a soil additive to reduce trace-metal concentrations in the soil solution and to increase water retention, thus reducing drainage. However, field studies on the effects of biochar addition on trace-metal leaching are scarce. Therefore, we added 0, 1, 2.5, and 5 g 100 g of biochar derived from giant miscanthus ( x J.M. Greef &amp; Deuter ex Hodk. &amp; Renvoize) to soil contaminated by former wastewater irrigation and examined water retention and cumulative leaching of Zn, Cd, Cu, and Pb in a 2-yr field study. Cumulative trace-metal leaching was determined by self-integrating accumulators (SIAs) based on ion-exchange resins and compared with data calculated from mean concentrations in the soil solution collected with tension lysimeter plates and groundwater recharge rate. The highest rate of biochar addition increased water retention and thus reduced the amount of drainage water. Mean cumulative Zn and Cd fluxes decreased due to both reduced concentrations in the soil solution and reduced drainage. Although Cu and Pb concentrations in the soil solution increased with biochar addition, the reduced drainage resulted in similar fluxes in the biochar and the control treatment. The cumulative Zn, Cd, and Cu fluxes determined with SIAs were in the same range as the calculated values, while SIA-based Pb fluxes were much higher than those calculated. Since the suction plates excluded colloids, the high SIA-based Pb fluxes indicate colloidal transport and reveal the importance to elucidate the colloidal pathway for risk assessment.","author":[{"dropping-particle":"","family":"Schweiker","given":"Carolin","non-dropping-particle":"","parse-names":false,"suffix":""},{"dropping-particle":"","family":"Wagner","given":"Anne","non-dropping-particle":"","parse-names":false,"suffix":""},{"dropping-particle":"","family":"Peters","given":"Andre","non-dropping-particle":"","parse-names":false,"suffix":""},{"dropping-particle":"","family":"Bischoff","given":"Wolf-Anno","non-dropping-particle":"","parse-names":false,"suffix":""},{"dropping-particle":"","family":"Kaupenjohann","given":"Martin","non-dropping-particle":"","parse-names":false,"suffix":""}],"container-title":"Journal of Environment Quality","id":"ITEM-1","issue":"6","issued":{"date-parts":[["2014"]]},"page":"1886-1893","title":"Biochar reduces zinc and cadmium but not copper and lead leaching on a former sewage field","type":"article-journal","volume":"43"},"uris":["http://www.mendeley.com/documents/?uuid=66f0fb43-05de-4c1b-b1bd-0fd4d9346fad"]}],"mendeley":{"formattedCitation":"(Schweiker et al., 2014)","manualFormatting":"Schweiker et al. (2014)","plainTextFormattedCitation":"(Schweiker et al., 2014)","previouslyFormattedCitation":"(Schweiker et al., 2014)"},"properties":{"noteIndex":0},"schema":"https://github.com/citation-style-language/schema/raw/master/csl-citation.json"}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Schweiker et al. (2014)</w:t>
            </w:r>
            <w:r w:rsidRPr="00216965">
              <w:rPr>
                <w:rFonts w:eastAsia="Times New Roman" w:cs="Times New Roman"/>
                <w:sz w:val="20"/>
                <w:szCs w:val="20"/>
              </w:rPr>
              <w:fldChar w:fldCharType="end"/>
            </w:r>
          </w:p>
        </w:tc>
      </w:tr>
      <w:tr w:rsidR="00632101" w:rsidRPr="00216965" w14:paraId="708F8D6E" w14:textId="77777777" w:rsidTr="008A33DA">
        <w:trPr>
          <w:jc w:val="center"/>
        </w:trPr>
        <w:tc>
          <w:tcPr>
            <w:tcW w:w="730" w:type="dxa"/>
            <w:tcBorders>
              <w:top w:val="single" w:sz="4" w:space="0" w:color="auto"/>
              <w:bottom w:val="nil"/>
            </w:tcBorders>
          </w:tcPr>
          <w:p w14:paraId="57378EBE" w14:textId="77777777" w:rsidR="00632101" w:rsidRPr="00216965" w:rsidRDefault="00632101" w:rsidP="00A0457B">
            <w:pPr>
              <w:spacing w:after="0" w:line="240" w:lineRule="auto"/>
              <w:rPr>
                <w:rFonts w:eastAsia="Times New Roman" w:cs="Times New Roman"/>
                <w:b/>
                <w:sz w:val="20"/>
                <w:szCs w:val="20"/>
              </w:rPr>
            </w:pPr>
          </w:p>
        </w:tc>
        <w:tc>
          <w:tcPr>
            <w:tcW w:w="741" w:type="dxa"/>
            <w:tcBorders>
              <w:top w:val="single" w:sz="4" w:space="0" w:color="auto"/>
              <w:bottom w:val="nil"/>
            </w:tcBorders>
          </w:tcPr>
          <w:p w14:paraId="096C03D7"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8.4</w:t>
            </w:r>
          </w:p>
        </w:tc>
        <w:tc>
          <w:tcPr>
            <w:tcW w:w="866" w:type="dxa"/>
            <w:tcBorders>
              <w:top w:val="single" w:sz="4" w:space="0" w:color="auto"/>
              <w:bottom w:val="nil"/>
            </w:tcBorders>
          </w:tcPr>
          <w:p w14:paraId="0FDC0967" w14:textId="77777777" w:rsidR="00632101" w:rsidRPr="00216965" w:rsidRDefault="00632101" w:rsidP="00A0457B">
            <w:pPr>
              <w:spacing w:after="0" w:line="240" w:lineRule="auto"/>
              <w:rPr>
                <w:rFonts w:eastAsia="Times New Roman" w:cs="Times New Roman"/>
                <w:sz w:val="20"/>
                <w:szCs w:val="20"/>
              </w:rPr>
            </w:pPr>
          </w:p>
        </w:tc>
        <w:tc>
          <w:tcPr>
            <w:tcW w:w="782" w:type="dxa"/>
            <w:tcBorders>
              <w:top w:val="single" w:sz="4" w:space="0" w:color="auto"/>
              <w:bottom w:val="nil"/>
            </w:tcBorders>
          </w:tcPr>
          <w:p w14:paraId="07617409"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2300</w:t>
            </w:r>
          </w:p>
        </w:tc>
        <w:tc>
          <w:tcPr>
            <w:tcW w:w="709" w:type="dxa"/>
            <w:tcBorders>
              <w:top w:val="single" w:sz="4" w:space="0" w:color="auto"/>
              <w:bottom w:val="nil"/>
            </w:tcBorders>
          </w:tcPr>
          <w:p w14:paraId="40AD38EA"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698</w:t>
            </w:r>
          </w:p>
        </w:tc>
        <w:tc>
          <w:tcPr>
            <w:tcW w:w="2835" w:type="dxa"/>
          </w:tcPr>
          <w:p w14:paraId="506D32F6"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Sugarcane straw biochar</w:t>
            </w:r>
          </w:p>
        </w:tc>
        <w:bookmarkStart w:id="90" w:name="_Hlk82945106"/>
        <w:tc>
          <w:tcPr>
            <w:tcW w:w="2021" w:type="dxa"/>
          </w:tcPr>
          <w:p w14:paraId="0848EBED" w14:textId="00D5D5D2"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Puga et al. (2015)</w:t>
            </w:r>
            <w:r w:rsidRPr="00216965">
              <w:rPr>
                <w:rFonts w:eastAsia="Times New Roman" w:cs="Times New Roman"/>
                <w:sz w:val="20"/>
                <w:szCs w:val="20"/>
              </w:rPr>
              <w:fldChar w:fldCharType="end"/>
            </w:r>
            <w:bookmarkEnd w:id="90"/>
          </w:p>
        </w:tc>
      </w:tr>
      <w:tr w:rsidR="00632101" w:rsidRPr="00216965" w14:paraId="6939FB89" w14:textId="77777777" w:rsidTr="008A33DA">
        <w:trPr>
          <w:jc w:val="center"/>
        </w:trPr>
        <w:tc>
          <w:tcPr>
            <w:tcW w:w="730" w:type="dxa"/>
            <w:tcBorders>
              <w:top w:val="nil"/>
              <w:bottom w:val="single" w:sz="4" w:space="0" w:color="auto"/>
            </w:tcBorders>
          </w:tcPr>
          <w:p w14:paraId="4E31A6DA" w14:textId="77777777" w:rsidR="00632101" w:rsidRPr="00216965" w:rsidRDefault="00632101" w:rsidP="00A0457B">
            <w:pPr>
              <w:spacing w:after="0" w:line="240" w:lineRule="auto"/>
              <w:rPr>
                <w:rFonts w:eastAsia="Times New Roman" w:cs="Times New Roman"/>
                <w:sz w:val="20"/>
                <w:szCs w:val="20"/>
              </w:rPr>
            </w:pPr>
          </w:p>
        </w:tc>
        <w:tc>
          <w:tcPr>
            <w:tcW w:w="741" w:type="dxa"/>
            <w:tcBorders>
              <w:top w:val="nil"/>
              <w:bottom w:val="single" w:sz="4" w:space="0" w:color="auto"/>
            </w:tcBorders>
          </w:tcPr>
          <w:p w14:paraId="61DAD6A1"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1.6</w:t>
            </w:r>
          </w:p>
        </w:tc>
        <w:tc>
          <w:tcPr>
            <w:tcW w:w="866" w:type="dxa"/>
            <w:tcBorders>
              <w:top w:val="nil"/>
              <w:bottom w:val="single" w:sz="4" w:space="0" w:color="auto"/>
            </w:tcBorders>
          </w:tcPr>
          <w:p w14:paraId="2368CBBC"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10.15</w:t>
            </w:r>
          </w:p>
        </w:tc>
        <w:tc>
          <w:tcPr>
            <w:tcW w:w="782" w:type="dxa"/>
            <w:tcBorders>
              <w:top w:val="nil"/>
              <w:bottom w:val="single" w:sz="4" w:space="0" w:color="auto"/>
            </w:tcBorders>
          </w:tcPr>
          <w:p w14:paraId="065CBEB2"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376</w:t>
            </w:r>
          </w:p>
        </w:tc>
        <w:tc>
          <w:tcPr>
            <w:tcW w:w="709" w:type="dxa"/>
            <w:tcBorders>
              <w:top w:val="nil"/>
              <w:bottom w:val="single" w:sz="4" w:space="0" w:color="auto"/>
            </w:tcBorders>
          </w:tcPr>
          <w:p w14:paraId="2F0C6C8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150</w:t>
            </w:r>
          </w:p>
        </w:tc>
        <w:tc>
          <w:tcPr>
            <w:tcW w:w="2835" w:type="dxa"/>
          </w:tcPr>
          <w:p w14:paraId="0AAB99C3"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Garden waste, bamboo and Paulownia biochars</w:t>
            </w:r>
          </w:p>
        </w:tc>
        <w:bookmarkStart w:id="91" w:name="_Hlk82945241"/>
        <w:tc>
          <w:tcPr>
            <w:tcW w:w="2021" w:type="dxa"/>
          </w:tcPr>
          <w:p w14:paraId="74367BD8" w14:textId="6003DFAC" w:rsidR="00632101" w:rsidRPr="00216965" w:rsidRDefault="00632101" w:rsidP="00A0457B">
            <w:pPr>
              <w:spacing w:after="0" w:line="240" w:lineRule="auto"/>
              <w:rPr>
                <w:rFonts w:eastAsia="Times New Roman" w:cs="Times New Roman"/>
                <w:b/>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{"citationItems":[{"id":"ITEM-1","itemData":{"DOI":"10.1007/s12517-020-05376-w","ISSN":"18667538","abstract":"Metal-contaminated soils are considered a global concern due to their adverse effects on ecosystem vitality. This study was conducted to assess the efficiency of garden waste biochar (GB), as a modern remediation tool of soils contaminated with heavy metals (HMs), compared with the other Paulownia biochar (PB) and bamboo biochar (BB), on the growth of Brassica juncea (L.). The experiments and analyses were carried out at the Institute of Agricultural Resources and Environment, Guangdong Academy of Agricultural Sciences (Guangzhou, China), during the year 2018. The studied contaminated soil sample was amended with 0, 2%, 4%, and 6% (w/w) of PB, BB, GB400, and GB600 biochar. The experiment was designed in a completely randomized block design with 3 replications for each treatment. Garden waste biochar significantly duplicated the soil organic matter and EC 1.43−2.21 and 1.33−1.51 times, respectively, enhanced soil pH, and improved plant growth. It was more efficient to improve soil properties than PB and BB. DTPA-extractable metals showed the highest reduction at 6% of GB400, which was 29.56, 46.04, and 59.98% for Pb, Cd, and Cu, respectively, while it was 48.29% for Zn at GB600 over the control. Moreover, GB treatments increased the nitrogen (N) and phosphorus (P) contents of the plant shoots. Besides, HM contents of soil and plant tissues were significantly reduced after biochar applications and the highest reduction was recorded using 6% of GB. The results obviously pointed out that the metal transfer coefficient (TC) of shoots was decreased compared with the control after biochar applications, and GB showed the optimum response in this regard. The huge amounts of garden waste, after transforming them to biochar (GB) which has been considered more effective in safe crop production, can be used to reduce the availability of toxic metals in the soil and keep them under safe limits, especially with large-scale vegetable crops in China. It will clean the environment and improve resource sustainability. Therefore, GB is recommended to be used in soil HM remediation on a large scale in polluted areas.","author":[{"dropping-particle":"","family":"Awad","given":"Mahrous","non-dropping-particle":"","parse-names":false,"suffix":""},{"dropping-particle":"","family":"Moustafa-Farag","given":"Mohamed","non-dropping-particle":"","parse-names":false,"suffix":""},{"dropping-particle":"","family":"Wei","given":"Lan","non-dropping-particle":"","parse-names":false,"suffix":""},{"dropping-particle":"","family":"Huang","given":"Qing","non-dropping-particle":"","parse-names":false,"suffix":""},{"dropping-particle":"","family":"Liu","given":"Zhongzhen","non-dropping-particle":"","parse-names":false,"suffix":""}],"container-title":"Arabian Journal of Geosciences","id":"ITEM-1","issue":"12","issued":{"date-parts":[["2020","6","1"]]},"page":"1-12","publisher":"Springer","title":"Effect of garden waste biochar on the bioavailability of heavy metals and growth of Brassica juncea (L.) in a multi-contaminated soil","type":"article-journal","volume":"13"},"uris":["http://www.mendeley.com/documents/?uuid=5557bcf8-d2c7-32cb-b69b-d99d85eb099a"]}],"mendeley":{"formattedCitation":"(Awad et al., 2020)","manualFormatting":"Awad et al. (2020)","plainTextFormattedCitation":"(Awad et al., 2020)","previouslyFormattedCitation":"(Awad et al., 2020)"},"properties":{"noteIndex":0},"schema":"https://github.com/citation-style-language/schema/raw/master/csl-citation.json"}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Awad et al. (2020)</w:t>
            </w:r>
            <w:r w:rsidRPr="00216965">
              <w:rPr>
                <w:rFonts w:eastAsia="Times New Roman" w:cs="Times New Roman"/>
                <w:sz w:val="20"/>
                <w:szCs w:val="20"/>
              </w:rPr>
              <w:fldChar w:fldCharType="end"/>
            </w:r>
            <w:bookmarkEnd w:id="91"/>
          </w:p>
        </w:tc>
      </w:tr>
      <w:tr w:rsidR="00632101" w:rsidRPr="00216965" w14:paraId="6F20EF71" w14:textId="77777777" w:rsidTr="008A33DA">
        <w:trPr>
          <w:jc w:val="center"/>
        </w:trPr>
        <w:tc>
          <w:tcPr>
            <w:tcW w:w="730" w:type="dxa"/>
            <w:tcBorders>
              <w:top w:val="single" w:sz="4" w:space="0" w:color="auto"/>
              <w:bottom w:val="single" w:sz="4" w:space="0" w:color="auto"/>
            </w:tcBorders>
          </w:tcPr>
          <w:p w14:paraId="7073B086" w14:textId="77777777" w:rsidR="00632101" w:rsidRPr="00216965" w:rsidRDefault="00632101" w:rsidP="00A0457B">
            <w:pPr>
              <w:spacing w:after="0" w:line="240" w:lineRule="auto"/>
              <w:rPr>
                <w:rFonts w:eastAsia="Times New Roman" w:cs="Times New Roman"/>
                <w:sz w:val="20"/>
                <w:szCs w:val="20"/>
              </w:rPr>
            </w:pPr>
          </w:p>
        </w:tc>
        <w:tc>
          <w:tcPr>
            <w:tcW w:w="741" w:type="dxa"/>
            <w:tcBorders>
              <w:top w:val="single" w:sz="4" w:space="0" w:color="auto"/>
              <w:bottom w:val="single" w:sz="4" w:space="0" w:color="auto"/>
            </w:tcBorders>
          </w:tcPr>
          <w:p w14:paraId="21480B41"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13.99</w:t>
            </w:r>
          </w:p>
        </w:tc>
        <w:tc>
          <w:tcPr>
            <w:tcW w:w="866" w:type="dxa"/>
            <w:tcBorders>
              <w:top w:val="single" w:sz="4" w:space="0" w:color="auto"/>
              <w:bottom w:val="single" w:sz="4" w:space="0" w:color="auto"/>
            </w:tcBorders>
          </w:tcPr>
          <w:p w14:paraId="63E478C7" w14:textId="77777777" w:rsidR="00632101" w:rsidRPr="00216965" w:rsidRDefault="00632101" w:rsidP="00A0457B">
            <w:pPr>
              <w:spacing w:after="0" w:line="240" w:lineRule="auto"/>
              <w:rPr>
                <w:rFonts w:eastAsia="Times New Roman" w:cs="Times New Roman"/>
                <w:sz w:val="20"/>
                <w:szCs w:val="20"/>
              </w:rPr>
            </w:pPr>
          </w:p>
        </w:tc>
        <w:tc>
          <w:tcPr>
            <w:tcW w:w="782" w:type="dxa"/>
            <w:tcBorders>
              <w:top w:val="single" w:sz="4" w:space="0" w:color="auto"/>
              <w:bottom w:val="single" w:sz="4" w:space="0" w:color="auto"/>
            </w:tcBorders>
          </w:tcPr>
          <w:p w14:paraId="4EFA6506" w14:textId="77777777" w:rsidR="00632101" w:rsidRPr="00216965" w:rsidRDefault="00632101" w:rsidP="00A0457B">
            <w:pPr>
              <w:spacing w:after="0" w:line="240" w:lineRule="auto"/>
              <w:rPr>
                <w:rFonts w:eastAsia="Times New Roman" w:cs="Times New Roman"/>
                <w:sz w:val="20"/>
                <w:szCs w:val="20"/>
              </w:rPr>
            </w:pPr>
          </w:p>
        </w:tc>
        <w:tc>
          <w:tcPr>
            <w:tcW w:w="709" w:type="dxa"/>
            <w:tcBorders>
              <w:top w:val="single" w:sz="4" w:space="0" w:color="auto"/>
              <w:bottom w:val="single" w:sz="4" w:space="0" w:color="auto"/>
            </w:tcBorders>
          </w:tcPr>
          <w:p w14:paraId="7702853F" w14:textId="77777777" w:rsidR="00632101" w:rsidRPr="00216965" w:rsidRDefault="00632101" w:rsidP="00A0457B">
            <w:pPr>
              <w:spacing w:after="0" w:line="240" w:lineRule="auto"/>
              <w:rPr>
                <w:rFonts w:eastAsia="Times New Roman" w:cs="Times New Roman"/>
                <w:sz w:val="20"/>
                <w:szCs w:val="20"/>
              </w:rPr>
            </w:pPr>
          </w:p>
        </w:tc>
        <w:tc>
          <w:tcPr>
            <w:tcW w:w="2835" w:type="dxa"/>
          </w:tcPr>
          <w:p w14:paraId="36BEBB92"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Poultry-litter and sugar-gum-wood biochars</w:t>
            </w:r>
          </w:p>
        </w:tc>
        <w:tc>
          <w:tcPr>
            <w:tcW w:w="2021" w:type="dxa"/>
          </w:tcPr>
          <w:p w14:paraId="4E2EA947" w14:textId="2F1E6A38"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soils","type":"article-journal","volume":"420"},"uris":["http://www.mendeley.com/documents/?uuid=b0bef5de-6b79-303c-b578-f0d24a093e00"]}],"mendeley":{"formattedCitation":"(Bandara et al., 2021)","manualFormatting":"Bandara et al. (2021)","plainTextFormattedCitation":"(Bandara et al., 2021)","previouslyFormattedCitation":"(Bandara et al., 2021)"},"properties":{"noteIndex":0},"schema":"https://github.com/citation-style-language/schema/raw/master/csl-citation.json"}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Bandara et al. (2021)</w:t>
            </w:r>
            <w:r w:rsidRPr="00216965">
              <w:rPr>
                <w:rFonts w:eastAsia="Times New Roman" w:cs="Times New Roman"/>
                <w:sz w:val="20"/>
                <w:szCs w:val="20"/>
              </w:rPr>
              <w:fldChar w:fldCharType="end"/>
            </w:r>
          </w:p>
        </w:tc>
      </w:tr>
      <w:tr w:rsidR="00632101" w:rsidRPr="00216965" w14:paraId="3A691BC3" w14:textId="77777777" w:rsidTr="008A33DA">
        <w:trPr>
          <w:jc w:val="center"/>
        </w:trPr>
        <w:tc>
          <w:tcPr>
            <w:tcW w:w="730" w:type="dxa"/>
            <w:tcBorders>
              <w:top w:val="single" w:sz="4" w:space="0" w:color="auto"/>
              <w:bottom w:val="single" w:sz="4" w:space="0" w:color="auto"/>
            </w:tcBorders>
          </w:tcPr>
          <w:p w14:paraId="5D8EBC68"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52</w:t>
            </w:r>
          </w:p>
        </w:tc>
        <w:tc>
          <w:tcPr>
            <w:tcW w:w="741" w:type="dxa"/>
            <w:tcBorders>
              <w:top w:val="single" w:sz="4" w:space="0" w:color="auto"/>
              <w:bottom w:val="single" w:sz="4" w:space="0" w:color="auto"/>
            </w:tcBorders>
          </w:tcPr>
          <w:p w14:paraId="47DED373" w14:textId="77777777" w:rsidR="00632101" w:rsidRPr="00216965" w:rsidRDefault="00632101" w:rsidP="00A0457B">
            <w:pPr>
              <w:spacing w:after="0" w:line="240" w:lineRule="auto"/>
              <w:rPr>
                <w:rFonts w:eastAsia="Times New Roman" w:cs="Times New Roman"/>
                <w:sz w:val="20"/>
                <w:szCs w:val="20"/>
              </w:rPr>
            </w:pPr>
          </w:p>
        </w:tc>
        <w:tc>
          <w:tcPr>
            <w:tcW w:w="866" w:type="dxa"/>
            <w:tcBorders>
              <w:top w:val="single" w:sz="4" w:space="0" w:color="auto"/>
              <w:bottom w:val="single" w:sz="4" w:space="0" w:color="auto"/>
            </w:tcBorders>
          </w:tcPr>
          <w:p w14:paraId="4A62AB4F" w14:textId="77777777" w:rsidR="00632101" w:rsidRPr="00216965" w:rsidRDefault="00632101" w:rsidP="00A0457B">
            <w:pPr>
              <w:spacing w:after="0" w:line="240" w:lineRule="auto"/>
              <w:rPr>
                <w:rFonts w:eastAsia="Times New Roman" w:cs="Times New Roman"/>
                <w:sz w:val="20"/>
                <w:szCs w:val="20"/>
              </w:rPr>
            </w:pPr>
          </w:p>
        </w:tc>
        <w:tc>
          <w:tcPr>
            <w:tcW w:w="782" w:type="dxa"/>
            <w:tcBorders>
              <w:top w:val="single" w:sz="4" w:space="0" w:color="auto"/>
              <w:bottom w:val="single" w:sz="4" w:space="0" w:color="auto"/>
            </w:tcBorders>
          </w:tcPr>
          <w:p w14:paraId="4652C8F2"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1259</w:t>
            </w:r>
          </w:p>
        </w:tc>
        <w:tc>
          <w:tcPr>
            <w:tcW w:w="709" w:type="dxa"/>
            <w:tcBorders>
              <w:top w:val="single" w:sz="4" w:space="0" w:color="auto"/>
              <w:bottom w:val="single" w:sz="4" w:space="0" w:color="auto"/>
            </w:tcBorders>
          </w:tcPr>
          <w:p w14:paraId="70F3BE2F" w14:textId="77777777" w:rsidR="00632101" w:rsidRPr="00216965" w:rsidRDefault="00632101" w:rsidP="00A0457B">
            <w:pPr>
              <w:spacing w:after="0" w:line="240" w:lineRule="auto"/>
              <w:rPr>
                <w:rFonts w:eastAsia="Times New Roman" w:cs="Times New Roman"/>
                <w:sz w:val="20"/>
                <w:szCs w:val="20"/>
              </w:rPr>
            </w:pPr>
          </w:p>
        </w:tc>
        <w:tc>
          <w:tcPr>
            <w:tcW w:w="2835" w:type="dxa"/>
          </w:tcPr>
          <w:p w14:paraId="51D3FBD9"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Vegetable waste and pine cone biochars</w:t>
            </w:r>
          </w:p>
        </w:tc>
        <w:tc>
          <w:tcPr>
            <w:tcW w:w="2021" w:type="dxa"/>
          </w:tcPr>
          <w:p w14:paraId="4C718787" w14:textId="5A16658B"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Sik","non-dropping-particle":"","parse-names":false,"suffix":""}],"container-title":"Chemosphere","id":"ITEM-1","issued":{"date-parts":[["2017","5","1"]]},"page":"593-603","publisher":"Elsevier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soils","type":"article-journal","volume":"174"},"uris":["http://www.mendeley.com/documents/?uuid=912ea230-9583-333a-a4f5-f79899ad2594"]}],"mendeley":{"formattedCitation":"(Igalavithana et al., 2017)","manualFormatting":"Igalavithana et al. (2017)","plainTextFormattedCitation":"(Igalavithana et al., 2017)","previouslyFormattedCitation":"(Igalavithana et al., 2017)"},"properties":{"noteIndex":0},"schema":"https://github.com/citation-style-language/schema/raw/master/csl-citation.json"}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Igalavithana et al. (2017)</w:t>
            </w:r>
            <w:r w:rsidRPr="00216965">
              <w:rPr>
                <w:rFonts w:eastAsia="Times New Roman" w:cs="Times New Roman"/>
                <w:sz w:val="20"/>
                <w:szCs w:val="20"/>
              </w:rPr>
              <w:fldChar w:fldCharType="end"/>
            </w:r>
          </w:p>
        </w:tc>
      </w:tr>
      <w:tr w:rsidR="00632101" w:rsidRPr="00216965" w14:paraId="2577B6DE" w14:textId="77777777" w:rsidTr="008A33DA">
        <w:trPr>
          <w:jc w:val="center"/>
        </w:trPr>
        <w:tc>
          <w:tcPr>
            <w:tcW w:w="730" w:type="dxa"/>
            <w:tcBorders>
              <w:top w:val="single" w:sz="4" w:space="0" w:color="auto"/>
              <w:bottom w:val="single" w:sz="4" w:space="0" w:color="auto"/>
            </w:tcBorders>
          </w:tcPr>
          <w:p w14:paraId="6D5AD9E2" w14:textId="77777777" w:rsidR="00632101" w:rsidRPr="00216965" w:rsidRDefault="00632101" w:rsidP="00A0457B">
            <w:pPr>
              <w:spacing w:after="0" w:line="240" w:lineRule="auto"/>
              <w:rPr>
                <w:rFonts w:eastAsia="Times New Roman" w:cs="Times New Roman"/>
                <w:sz w:val="20"/>
                <w:szCs w:val="20"/>
              </w:rPr>
            </w:pPr>
          </w:p>
        </w:tc>
        <w:tc>
          <w:tcPr>
            <w:tcW w:w="741" w:type="dxa"/>
            <w:tcBorders>
              <w:top w:val="single" w:sz="4" w:space="0" w:color="auto"/>
              <w:bottom w:val="single" w:sz="4" w:space="0" w:color="auto"/>
            </w:tcBorders>
          </w:tcPr>
          <w:p w14:paraId="5165AF55"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1.6</w:t>
            </w:r>
          </w:p>
        </w:tc>
        <w:tc>
          <w:tcPr>
            <w:tcW w:w="866" w:type="dxa"/>
            <w:tcBorders>
              <w:top w:val="single" w:sz="4" w:space="0" w:color="auto"/>
              <w:bottom w:val="single" w:sz="4" w:space="0" w:color="auto"/>
            </w:tcBorders>
          </w:tcPr>
          <w:p w14:paraId="45043003" w14:textId="77777777" w:rsidR="00632101" w:rsidRPr="00216965" w:rsidRDefault="00632101" w:rsidP="00A0457B">
            <w:pPr>
              <w:spacing w:after="0" w:line="240" w:lineRule="auto"/>
              <w:rPr>
                <w:rFonts w:eastAsia="Times New Roman" w:cs="Times New Roman"/>
                <w:sz w:val="20"/>
                <w:szCs w:val="20"/>
              </w:rPr>
            </w:pPr>
          </w:p>
        </w:tc>
        <w:tc>
          <w:tcPr>
            <w:tcW w:w="782" w:type="dxa"/>
            <w:tcBorders>
              <w:top w:val="single" w:sz="4" w:space="0" w:color="auto"/>
              <w:bottom w:val="single" w:sz="4" w:space="0" w:color="auto"/>
            </w:tcBorders>
          </w:tcPr>
          <w:p w14:paraId="4CB2BEA7"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252</w:t>
            </w:r>
          </w:p>
        </w:tc>
        <w:tc>
          <w:tcPr>
            <w:tcW w:w="709" w:type="dxa"/>
            <w:tcBorders>
              <w:top w:val="single" w:sz="4" w:space="0" w:color="auto"/>
              <w:bottom w:val="single" w:sz="4" w:space="0" w:color="auto"/>
            </w:tcBorders>
          </w:tcPr>
          <w:p w14:paraId="0048E52A" w14:textId="77777777" w:rsidR="00632101" w:rsidRPr="00216965" w:rsidRDefault="00632101" w:rsidP="00A0457B">
            <w:pPr>
              <w:spacing w:after="0" w:line="240" w:lineRule="auto"/>
              <w:rPr>
                <w:rFonts w:eastAsia="Times New Roman" w:cs="Times New Roman"/>
                <w:sz w:val="20"/>
                <w:szCs w:val="20"/>
              </w:rPr>
            </w:pPr>
          </w:p>
        </w:tc>
        <w:tc>
          <w:tcPr>
            <w:tcW w:w="2835" w:type="dxa"/>
          </w:tcPr>
          <w:p w14:paraId="078C1D3B" w14:textId="77777777"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t>Suaeda glauca and pig manure biochars</w:t>
            </w:r>
          </w:p>
        </w:tc>
        <w:tc>
          <w:tcPr>
            <w:tcW w:w="2021" w:type="dxa"/>
          </w:tcPr>
          <w:p w14:paraId="254A10EA" w14:textId="0B3DB068" w:rsidR="00632101" w:rsidRPr="00216965" w:rsidRDefault="00632101" w:rsidP="00A0457B">
            <w:pPr>
              <w:spacing w:after="0" w:line="240" w:lineRule="auto"/>
              <w:rPr>
                <w:rFonts w:eastAsia="Times New Roman" w:cs="Times New Roman"/>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{"citationItems":[{"id":"ITEM-1","itemData":{"DOI":"10.1007/s00128-020-02886-x","abstract":"Biochar was for the first time produced from Suaeda glauca. The immobilization of Pb and Cd by this biochar and pig manure biochar was examined in two types of soils by diethylene triamine pentaacetic acid (DTPA) extraction. Addition of biochars decreased DTPA extractable Pb and Cd in Fluvo-aquic soil with reduction rates being 11.3%-48.4% and 0.74%-64.9% compared with the control treatment. The pig manure biochar favored the immobilization of Pb and S. glauca biochar favored the immobilization of Cd. Biochars can effectively immobilize heavy metals in Fluvo-aquic soil. However, the addition of biochars increased extractable Pb and Cd in red soil, with pig manure biochars showing greater rates. This is ascribed to that the competition effects of ions released from biochar enhanced the moving of heavy metals from iron and manganese oxides bound form to organic matter bound form, and hence enhanced the mobility and bioavailability of heavy metals.","author":[{"dropping-particle":"","family":"Liu","given":"Yarui","non-dropping-particle":"","parse-names":false,"suffix":""},{"dropping-particle":"","family":"Wang","given":"Fei","non-dropping-particle":"","parse-names":false,"suffix":""},{"dropping-particle":"","family":"Yin","given":"Zheyun","non-dropping-particle":"","parse-names":false,"suffix":""},{"dropping-particle":"","family":"Jia","given":"Weili","non-dropping-particle":"","parse-names":false,"suffix":""},{"dropping-particle":"","family":"Xiao","given":"Hongyang","non-dropping-particle":"","parse-names":false,"suffix":""},{"dropping-particle":"","family":"Lin","given":"Qimei","non-dropping-particle":"","parse-names":false,"suffix":""},{"dropping-particle":"","family":"Feng","given":"Yujie","non-dropping-particle":"","parse-names":false,"suffix":""}],"container-title":"Bulletin of Environmental Contamination and Toxicology","id":"ITEM-1","issued":{"date-parts":[["2020"]]},"page":"146-154","title":"Immobilization of lead and cadmium in soil using biochars derived from pig manure and Suaeda glauca","type":"article-journal","volume":"105"},"uris":["http://www.mendeley.com/documents/?uuid=17493131-7313-37e9-a3e3-85d3f875f1ba"]}],"mendeley":{"formattedCitation":"(Y. Liu et al., 2020)","manualFormatting":"Liu et al. (2020)","plainTextFormattedCitation":"(Y. Liu et al., 2020)","previouslyFormattedCitation":"(Y. Liu et al., 2020)"},"properties":{"noteIndex":0},"schema":"https://github.com/citation-style-language/schema/raw/master/csl-citation.json"}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Liu et al. (2020)</w:t>
            </w:r>
            <w:r w:rsidRPr="00216965">
              <w:rPr>
                <w:rFonts w:eastAsia="Times New Roman" w:cs="Times New Roman"/>
                <w:sz w:val="20"/>
                <w:szCs w:val="20"/>
              </w:rPr>
              <w:fldChar w:fldCharType="end"/>
            </w:r>
          </w:p>
        </w:tc>
      </w:tr>
      <w:bookmarkEnd w:id="89"/>
    </w:tbl>
    <w:p w14:paraId="7CAF3361" w14:textId="77777777" w:rsidR="00632101" w:rsidRPr="00216965" w:rsidRDefault="00632101" w:rsidP="008A33DA"/>
    <w:p w14:paraId="685318CB" w14:textId="77777777" w:rsidR="00632101" w:rsidRPr="00216965" w:rsidRDefault="00632101" w:rsidP="008A33DA">
      <w:pPr>
        <w:pStyle w:val="Heading3"/>
        <w:rPr>
          <w:rFonts w:eastAsia="Times New Roman"/>
        </w:rPr>
      </w:pPr>
      <w:bookmarkStart w:id="92" w:name="_Toc86504638"/>
      <w:r w:rsidRPr="00216965">
        <w:rPr>
          <w:rFonts w:eastAsia="Times New Roman"/>
        </w:rPr>
        <w:t>Mechanisms responsible for the immobilization of heavy metals by biochar</w:t>
      </w:r>
      <w:bookmarkEnd w:id="92"/>
    </w:p>
    <w:p w14:paraId="56EB126A" w14:textId="21C036E4"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available information suggests that the immobilisation of heavy metals onto biochar occurs mainly at surface level. This immobilizing capacity is achieved by different physical and chemical mechanisms </w:t>
      </w:r>
      <w:r w:rsidRPr="00216965">
        <w:rPr>
          <w:rFonts w:eastAsia="Times New Roman" w:cs="Times New Roman"/>
          <w:szCs w:val="24"/>
        </w:rPr>
        <w:fldChar w:fldCharType="begin" w:fldLock="1"/>
      </w:r>
      <w:r w:rsidR="00B61794" w:rsidRPr="00216965">
        <w:rPr>
          <w:rFonts w:eastAsia="Times New Roman" w:cs="Times New Roman"/>
          <w:szCs w:val="24"/>
        </w:rPr>
        <w:instrText>ADDIN CSL_CITATION {"citationItems":[{"id":"ITEM-1","itemData":{"DOI":"10.3846/16486897.2016.1254089","ISSN":"1648-6897","abstract":"https://doi.org/10.3846/16486897.2016.1254089","author":[{"dropping-particle":"","family":"Hilber","given":"Isabel","non-dropping-particle":"","parse-names":false,"suffix":""},{"dropping-particle":"","family":"Bastos","given":"Ana Catarina","non-dropping-particle":"","parse-names":false,"suffix":""},{"dropping-particle":"","family":"Loureiro","given":"Susana","non-dropping-particle":"","parse-names":false,"suffix":""},{"dropping-particle":"","family":"Soja","given":"Gerhard","non-dropping-particle":"","parse-names":false,"suffix":""},{"dropping-particle":"","family":"Marsz","given":"Aleksandra","non-dropping-particle":"","parse-names":false,"suffix":""},{"dropping-particle":"","family":"Cornelissen","given":"Gerard","non-dropping-particle":"","parse-names":false,"suffix":""},{"dropping-particle":"","family":"Bucheli","given":"Thomas D.","non-dropping-particle":"","parse-names":false,"suffix":""}],"container-title":"Journal of Environmental Engineering and Landscape Management","id":"ITEM-1","issue":"2","issued":{"date-parts":[["2017"]]},"page":"86-104","title":"The different faces of biochar: contamination risk versus remediation tool","type":"article-journal","volume":"25"},"uris":["http://www.mendeley.com/documents/?uuid=78a2261f-2fea-4d01-b4e4-8f12838bbbbc"]},{"id":"ITEM-2","itemData":{"DOI":"10.1016/j.biortech.2018.04.032","ISSN":"18732976","abstract":"The objective of this study was to investigate the adsorption behavior and the relative distribution of Cd2+ sorption mechanisms on biochars by different feedstock. Bamboo biochars (BBCs), corn straw biochars (CBCs) and pig manure biochars (PBCs) were prepared at 300–700 °C. Adsorption results showed PBCs have the best adsorption capacity for Cd2+, the extra adsorption capacity of PBCs mainly attributed to the precipitation or cation exchange, which played an important role in the removal of Cd2+ by PBCs. The contribution of involved Cd2+ removal mechanism varied with feedstock due to the different components and oxygen-containing functional groups. Cd2+-π interaction was the predominant mechanism for Cd2+ removal on biochars and the contribution proportion significantly decreased from 82.17% to 61.83% as the ash content increased from 9.40% to 58.08%. Results from this study may suggest that the application of PBC is a feasible strategy for removing metal contaminants from aqueous solutions.","author":[{"dropping-particle":"","family":"Wang","given":"Rong Zhong","non-dropping-particle":"","parse-names":false,"suffix":""},{"dropping-particle":"","family":"Huang","given":"Dan Lian","non-dropping-particle":"","parse-names":false,"suffix":""},{"dropping-particle":"","family":"Liu","given":"Yun Guo","non-dropping-particle":"","parse-names":false,"suffix":""},{"dropping-particle":"","family":"Zhang","given":"Chen","non-dropping-particle":"","parse-names":false,"suffix":""},{"dropping-particle":"","family":"Lai","given":"Cui","non-dropping-particle":"","parse-names":false,"suffix":""},{"dropping-particle":"","family":"Zeng","given":"Guang Ming","non-dropping-particle":"","parse-names":false,"suffix":""},{"dropping-particle":"","family":"Cheng","given":"Min","non-dropping-particle":"","parse-names":false,"suffix":""},{"dropping-particle":"","family":"Gong","given":"Xiao Min","non-dropping-particle":"","parse-names":false,"suffix":""},{"dropping-particle":"","family":"Wan","given":"Jia","non-dropping-particle":"","parse-names":false,"suffix":""},{"dropping-particle":"","family":"Luo","given":"Hao","non-dropping-particle":"","parse-names":false,"suffix":""}],"container-title":"Bioresource Technology","id":"ITEM-2","issued":{"date-parts":[["2018","8","1"]]},"page":"265-271","publisher":"Elsevier Ltd","title":"Investigating the adsorption behavior and the relative distribution of Cd2+ sorption mechanisms on biochars by different feedstock","type":"article-journal","volume":"261"},"uris":["http://www.mendeley.com/documents/?uuid=bd25b037-c3fa-3f4e-9a92-81a6d95d1c0b"]},{"id":"ITEM-3","itemData":{"DOI":"10.1007/s11356-015-4233-0","abstract":"Biochar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w:instrText>
      </w:r>
      <w:r w:rsidR="00B61794" w:rsidRPr="00216965">
        <w:rPr>
          <w:rFonts w:eastAsia="Times New Roman" w:cs="Times New Roman"/>
          <w:szCs w:val="24"/>
          <w:lang w:val="nl-NL"/>
        </w:rPr>
        <w:instrText>:""},{"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Research","id":"ITEM-3","issued":{"date-parts":[["2016"]]},"page":"974-984","title":"Effect of biochar on the extractability of heavy metals (Cd, Cu, Pb, and Zn) and enzyme activity in soil","type":"article-journal","volume":"23"},"uris":["http://www.mendeley.com/documents/?uuid=2cc320c9-b009-37a7-80a9-9edc49123e98"]}],"mendeley":{"formattedCitation":"(Hilber et al., 2017; R. Z. Wang et al., 2018; X. Yang et al., 2016)","plainTextFormattedCitation":"(Hilber et al., 2017; R. Z. Wang et al., 2018; X. Yang et al., 2016)","previouslyFormattedCitation":"(Hilber et al., 2017; R. Z. Wang et al., 2018; X. Yang et al., 2016)"},"properties":{"noteIndex":0},"schema":"https://github.com/citation-style-language/schema/raw/master/csl-citation.json"}</w:instrText>
      </w:r>
      <w:r w:rsidRPr="00216965">
        <w:rPr>
          <w:rFonts w:eastAsia="Times New Roman" w:cs="Times New Roman"/>
          <w:szCs w:val="24"/>
        </w:rPr>
        <w:fldChar w:fldCharType="separate"/>
      </w:r>
      <w:r w:rsidR="00B61794" w:rsidRPr="00216965">
        <w:rPr>
          <w:rFonts w:eastAsia="Times New Roman" w:cs="Times New Roman"/>
          <w:noProof/>
          <w:szCs w:val="24"/>
          <w:lang w:val="nl-NL"/>
        </w:rPr>
        <w:t>(Hilber et al., 2017; R. Z. Wang et al., 2018; X. Yang et al., 2016)</w:t>
      </w:r>
      <w:r w:rsidRPr="00216965">
        <w:rPr>
          <w:rFonts w:eastAsia="Times New Roman" w:cs="Times New Roman"/>
          <w:szCs w:val="24"/>
        </w:rPr>
        <w:fldChar w:fldCharType="end"/>
      </w:r>
      <w:r w:rsidRPr="00216965">
        <w:rPr>
          <w:rFonts w:eastAsia="Times New Roman" w:cs="Times New Roman"/>
          <w:szCs w:val="24"/>
          <w:lang w:val="nl-NL"/>
        </w:rPr>
        <w:t xml:space="preserve">. </w:t>
      </w:r>
      <w:r w:rsidRPr="00216965">
        <w:rPr>
          <w:rFonts w:eastAsia="Times New Roman" w:cs="Times New Roman"/>
          <w:szCs w:val="24"/>
        </w:rPr>
        <w:t xml:space="preserve">The functional groups on the surface of biochar combined with its high surface area are believed to control the process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{"citationItems":[{"id":"ITEM-1","itemData":{"DOI":"10.5194/se-5-65-2014","ISBN":"00439339","ISSN":"18699510","abstract":"Abstract Anthropogenic activities are resulting in an increase on the use and extraction of heavy metals . Heavy metals cannot be degraded and hence accumulate in the environment having the potential to contaminate the food chain. This pollution threatens soil quality, ... \\n","author":[{"dropping-particle":"","family":"Paz-Ferreiro","given":"J.","non-dropping-particle":"","parse-names":false,"suffix":""},{"dropping-particle":"","family":"Lu","given":"H.","non-dropping-particle":"","parse-names":false,"suffix":""},{"dropping-particle":"","family":"Fu","given":"S.","non-dropping-particle":"","parse-names":false,"suffix":""},{"dropping-particle":"","family":"Méndez","given":"A.","non-dropping-particle":"","parse-names":false,"suffix":""},{"dropping-particle":"","family":"Gascó","given":"G.","non-dropping-particle":"","parse-names":false,"suffix":""}],"container-title":"Solid Earth","id":"ITEM-1","issue":"1","issued":{"date-parts":[["2014"]]},"page":"65-75","title":"Use of phytoremediation and biochar to remediate heavy metal polluted soils: A review","type":"article-journal","volume":"5"},"uris":["http://www.mendeley.com/documents/?uuid=ec72afca-9995-4d22-b356-cc7f8d8c7d01"]},{"id":"ITEM-2","itemData":{"DOI":"10.1016/j.jenvman.2015.05.036","ISSN":"10958630","PMID":"26048395","abstract":"Heavy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Management","id":"ITEM-2","issued":{"date-parts":[["2015"]]},"page":"86-93","publisher":"Elsevier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cadmium","type":"article-journal","volume":"159"},"uris":["http://www.mendeley.com/documents/?uuid=d81a5f4f-09c2-480c-8ac8-2c21cb1ed496"]}],"mendeley":{"formattedCitation":"(Paz-Ferreiro et al., 2014; Puga et al., 2015a)","plainTextFormattedCitation":"(Paz-Ferreiro et al., 2014; Puga et al., 2015a)","previouslyFormattedCitation":"(Paz-Ferreiro et al., 2014; Puga et al., 2015a)"},"properties":{"noteIndex":0},"schema":"https://github.com/citation-style-language/schema/raw/master/csl-citation.json"}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(Paz-Ferreiro et al., 2014; Puga et al., 2015a)</w:t>
      </w:r>
      <w:r w:rsidRPr="00216965">
        <w:rPr>
          <w:rFonts w:eastAsia="Times New Roman" w:cs="Times New Roman"/>
          <w:szCs w:val="24"/>
        </w:rPr>
        <w:fldChar w:fldCharType="end"/>
      </w:r>
      <w:r w:rsidRPr="00216965">
        <w:rPr>
          <w:rFonts w:eastAsia="Times New Roman" w:cs="Times New Roman"/>
          <w:szCs w:val="24"/>
        </w:rPr>
        <w:t xml:space="preserve">. The main mechanisms associated with sorption of heavy metals on biochar are physical entrapment, precipitation and adsorption processes such as electrostatic interactions, ion exchange and complexation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review","type":"article-journal","volume":"99"},"uris":["http://www.mendeley.com/documents/?uuid=48218992-b65d-439f-b228-8bd55f65ddf1"]},{"id":"ITEM-2","itemData":{"DOI":"10.1016/j.biortech.2015.08.006","ISBN":"9031220280","ISSN":"18732976","PMID":"25653388","abstract":"The goal of the presented work was the evaluation and comparison of two biochars (produced from Sida hermaphrodita - BCSH/laboratory produced and from wheatstraw - BCS/commercial available) to adsorb heavy metal ions (Cd(II), Cu(II) and Zn(II)) from water. Kinetics of the sorption as well as sorption isotherms, the influence of solution pH and interfering ions were investigated. Different physico-chemical properties of biochars had the great influence on adsorption capacity. The greater adsorption efficiency was observed for BCSH than for BCS in the case of all investigated metals. The adsorption efficiency of BCSH was correlated with higher content of carbon and oxygen, what is equal with higher content of polar-groups on the BCSH surface e.g., -COOH. Furthermore, the molar ratio of O/C as well as polarity index (which was higher for BCSH) was also important parameters.","author":[{"dropping-particle":"","family":"Bogusz","given":"Aleksandra","non-dropping-particle":"","parse-names":false,"suffix":""},{"dropping-particle":"","family":"Oleszczuk","given":"Patryk","non-dropping-particle":"","parse-names":false,"suffix":""},{"dropping-particle":"","family":"Dobrowolski","given":"Ryszard","non-dropping-particle":"","parse-names":false,"suffix":""}],"container-title":"Bioresource Technology","id":"ITEM-2","issued":{"date-parts":[["2015"]]},"page":"540-549","publisher":"Elsevier Ltd","title":"Application of laboratory prepared and commercially available biochars to adsorption of cadmium, copper and zinc ions from water","type":"article-journal","volume":"196"},"uris":["http://www.mendeley.com/documents/?uuid=eec8e1ee-3e87-442a-8ba0-d11cdd6a3c20"]},{"id":"ITEM-3","itemData":{"DOI":"10.1016/S1002-0160(15)30059-X","ISBN":"1002-0160","ISSN":"10020160","abstract":"In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-3","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temperature","type":"article-journal","volume":"25"},"uris":["http://www.mendeley.com/documents/?uuid=e746724b-1349-4890-a03c-bff1806ccad8"]}],"mendeley":{"formattedCitation":"(Ahmad et al., 2014; Bogusz et al., 2015; Jiang et al., 2015)","plainTextFormattedCitation":"(Ahmad et al., 2014; Bogusz et al., 2015; Jiang et al., 2015)","previouslyFormattedCitation":"(Ahmad et al., 2014; Bogusz et al., 2015; Jiang et al., 2015)"},"properties":{"noteIndex":0},"schema":"https://github.com/citation-style-language/schema/raw/master/csl-citation.json"}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(Ahmad et al., 2014; Bogusz et al., 2015; Jiang et al., 2015)</w:t>
      </w:r>
      <w:r w:rsidRPr="00216965">
        <w:rPr>
          <w:rFonts w:eastAsia="Times New Roman" w:cs="Times New Roman"/>
          <w:szCs w:val="24"/>
        </w:rPr>
        <w:fldChar w:fldCharType="end"/>
      </w:r>
      <w:r w:rsidRPr="00216965">
        <w:rPr>
          <w:rFonts w:eastAsia="Times New Roman" w:cs="Times New Roman"/>
          <w:szCs w:val="24"/>
        </w:rPr>
        <w:t xml:space="preserve">. These immobilization mechanisms are illustrated in </w:t>
      </w:r>
      <w:r w:rsidRPr="00216965">
        <w:rPr>
          <w:rFonts w:eastAsia="Times New Roman" w:cs="Times New Roman"/>
          <w:szCs w:val="24"/>
        </w:rPr>
        <w:fldChar w:fldCharType="begin"/>
      </w:r>
      <w:r w:rsidRPr="00216965">
        <w:rPr>
          <w:rFonts w:eastAsia="Times New Roman" w:cs="Times New Roman"/>
          <w:szCs w:val="24"/>
        </w:rPr>
        <w:instrText xml:space="preserve"> REF _Ref82818061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6</w:t>
      </w:r>
      <w:r w:rsidRPr="00216965">
        <w:rPr>
          <w:rFonts w:eastAsia="Times New Roman" w:cs="Times New Roman"/>
          <w:szCs w:val="24"/>
        </w:rPr>
        <w:fldChar w:fldCharType="end"/>
      </w:r>
      <w:r w:rsidRPr="00216965">
        <w:rPr>
          <w:rFonts w:eastAsia="Times New Roman" w:cs="Times New Roman"/>
          <w:szCs w:val="24"/>
        </w:rPr>
        <w:t xml:space="preserve"> and are described in detail below.</w:t>
      </w:r>
    </w:p>
    <w:p w14:paraId="132E5137" w14:textId="57E102CD"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Sorption studies in the aqueous phase have reported electrostatic attraction as one of the main mechanisms for heavy metal immobilisation by biochar. Similar processes occur in soil (pore water), although the presence of interfering ions may cause a competition for sorption sites, which has not been fully studied to date. The application of biochar to soil </w:t>
      </w:r>
      <w:r w:rsidRPr="00216965">
        <w:rPr>
          <w:rFonts w:eastAsia="Times New Roman" w:cs="Times New Roman"/>
          <w:szCs w:val="24"/>
        </w:rPr>
        <w:lastRenderedPageBreak/>
        <w:t xml:space="preserve">increases the negative charge (CEC increases)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Bioengineering","id":"ITEM-1","issue":"6","issued":{"date-parts":[["2013"]]},"page":"653-659","publisher":"Elsevier Ltd","title":"Characteristics of biochar and its application in remediation of contaminated soil","type":"article-journal","volume":"116"},"uris":["http://www.mendeley.com/documents/?uuid=f1de9e6e-b7e1-4802-a8e9-d2fd999dd84c"]}],"mendeley":{"formattedCitation":"(Tang et al., 2013)","plainTextFormattedCitation":"(Tang et al., 2013)","previouslyFormattedCitation":"(Tang et al., 2013)"},"properties":{"noteIndex":0},"schema":"https://github.com/citation-style-language/schema/raw/master/csl-citation.json"}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(Tang et al., 2013)</w:t>
      </w:r>
      <w:r w:rsidRPr="00216965">
        <w:rPr>
          <w:rFonts w:eastAsia="Times New Roman" w:cs="Times New Roman"/>
          <w:szCs w:val="24"/>
        </w:rPr>
        <w:fldChar w:fldCharType="end"/>
      </w:r>
      <w:r w:rsidRPr="00216965">
        <w:rPr>
          <w:rFonts w:eastAsia="Times New Roman" w:cs="Times New Roman"/>
          <w:szCs w:val="24"/>
        </w:rPr>
        <w:t xml:space="preserve">. Therefore, it is expected that electrostatic attraction between positively charged metals and negatively charged functional groups of biochar occur in these circumstances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review","type":"article-journal","volume":"99"},"uris":["http://www.mendeley.com/documents/?uuid=48218992-b65d-439f-b228-8bd55f65ddf1"]}],"mendeley":{"formattedCitation":"(Ahmad et al., 2014)","plainTextFormattedCitation":"(Ahmad et al., 2014)","previouslyFormattedCitation":"(Ahmad et al., 2014)"},"properties":{"noteIndex":0},"schema":"https://github.com/citation-style-language/schema/raw/master/csl-citation.json"}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(Ahmad et al., 2014)</w:t>
      </w:r>
      <w:r w:rsidRPr="00216965">
        <w:rPr>
          <w:rFonts w:eastAsia="Times New Roman" w:cs="Times New Roman"/>
          <w:szCs w:val="24"/>
        </w:rPr>
        <w:fldChar w:fldCharType="end"/>
      </w:r>
      <w:r w:rsidRPr="00216965">
        <w:rPr>
          <w:rFonts w:eastAsia="Times New Roman" w:cs="Times New Roman"/>
          <w:szCs w:val="24"/>
        </w:rPr>
        <w:t xml:space="preserve">. </w:t>
      </w:r>
    </w:p>
    <w:p w14:paraId="72EE6340" w14:textId="77777777" w:rsidR="00632101" w:rsidRPr="00216965" w:rsidRDefault="00632101" w:rsidP="008A33DA">
      <w:pPr>
        <w:spacing w:line="360" w:lineRule="auto"/>
        <w:jc w:val="center"/>
        <w:rPr>
          <w:rFonts w:eastAsia="Times New Roman" w:cs="Times New Roman"/>
          <w:color w:val="000000"/>
          <w:szCs w:val="24"/>
        </w:rPr>
      </w:pPr>
      <w:r w:rsidRPr="00216965">
        <w:rPr>
          <w:rFonts w:eastAsia="Times New Roman" w:cs="Times New Roman"/>
          <w:noProof/>
          <w:szCs w:val="24"/>
        </w:rPr>
        <w:drawing>
          <wp:inline distT="0" distB="0" distL="0" distR="0" wp14:anchorId="577BFCE4" wp14:editId="4AA199A9">
            <wp:extent cx="5236679" cy="3187107"/>
            <wp:effectExtent l="0" t="0" r="0" b="0"/>
            <wp:docPr id="82" name="image6.png" descr="Char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82" name="image6.png" descr="Chart&#10;&#10;Description automatically generated with low confidence"/>
                    <pic:cNvPicPr preferRelativeResize="0"/>
                  </pic:nvPicPr>
                  <pic:blipFill>
                    <a:blip r:embed="rId22"/>
                    <a:srcRect l="1575" r="1527"/>
                    <a:stretch>
                      <a:fillRect/>
                    </a:stretch>
                  </pic:blipFill>
                  <pic:spPr>
                    <a:xfrm>
                      <a:off x="0" y="0"/>
                      <a:ext cx="5236679" cy="3187107"/>
                    </a:xfrm>
                    <a:prstGeom prst="rect">
                      <a:avLst/>
                    </a:prstGeom>
                    <a:ln/>
                  </pic:spPr>
                </pic:pic>
              </a:graphicData>
            </a:graphic>
          </wp:inline>
        </w:drawing>
      </w:r>
    </w:p>
    <w:p w14:paraId="3E6277E6" w14:textId="5A4F300F" w:rsidR="00632101" w:rsidRPr="00216965" w:rsidRDefault="00632101" w:rsidP="008A33DA">
      <w:pPr>
        <w:pStyle w:val="Caption"/>
        <w:rPr>
          <w:rFonts w:eastAsia="Times New Roman" w:cs="Times New Roman"/>
          <w:b/>
          <w:bCs w:val="0"/>
          <w:color w:val="000000"/>
          <w:szCs w:val="24"/>
        </w:rPr>
      </w:pPr>
      <w:bookmarkStart w:id="93" w:name="_heading=h.z337ya" w:colFirst="0" w:colLast="0"/>
      <w:bookmarkStart w:id="94" w:name="_Ref82818061"/>
      <w:bookmarkStart w:id="95" w:name="_Toc86439349"/>
      <w:bookmarkEnd w:id="93"/>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6</w:t>
      </w:r>
      <w:r w:rsidR="00BF3EBE" w:rsidRPr="00216965">
        <w:rPr>
          <w:b/>
          <w:bCs w:val="0"/>
        </w:rPr>
        <w:fldChar w:fldCharType="end"/>
      </w:r>
      <w:bookmarkEnd w:id="94"/>
      <w:r w:rsidRPr="00216965">
        <w:rPr>
          <w:b/>
          <w:bCs w:val="0"/>
        </w:rPr>
        <w:t xml:space="preserve"> </w:t>
      </w:r>
      <w:r w:rsidRPr="00216965">
        <w:rPr>
          <w:rFonts w:eastAsia="Times New Roman" w:cs="Times New Roman"/>
          <w:b/>
          <w:bCs w:val="0"/>
          <w:color w:val="000000"/>
          <w:szCs w:val="24"/>
        </w:rPr>
        <w:t>Proposed mechanisms of biochar interaction with heavy metals</w:t>
      </w:r>
      <w:bookmarkEnd w:id="95"/>
      <w:r w:rsidR="00A95538" w:rsidRPr="00216965">
        <w:rPr>
          <w:rFonts w:eastAsia="Times New Roman" w:cs="Times New Roman"/>
          <w:b/>
          <w:bCs w:val="0"/>
          <w:color w:val="000000"/>
          <w:szCs w:val="24"/>
        </w:rPr>
        <w:t>.</w:t>
      </w:r>
    </w:p>
    <w:p w14:paraId="66ADD43A" w14:textId="42C28E27"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However, depending on the soil pH the functional groups of biochar can also be protonated, having a positive charge in which case the attraction of negatively charged ions can occur, as reported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{"citationItems":[{"id":"ITEM-1","itemData":{"DOI":"10.1016/j.biortech.2014.10.104","ISBN":"0960-8524","ISSN":"18732976","PMID":"25459847","abstract":"There is a need for the development of low-cost adsorbents to removal arsenic (As) from aqueous solutions. In this work, a magnetic biochar was synthesized by pyrolyzing a mixture of naturally-occurring hematite mineral and pinewood biomass. The resulting biochar composite was characterized with X-ray diffraction (XRD), X-ray photoelectron spectroscopy (XPS), scanning electron microscopy (SEM) and energy-dispersive X-ray analysis (EDS). In comparison to the unmodified biochar, the hematite modified biochar not only had stronger magnetic property but also showed much greater ability to remove As from aqueous solution, likely because the ??-Fe2O3 particles on the carbon surface served as sorption sites through electrostatic interactions. Because the magnetized biochar can be easily isolated and removed with external magnets, it can be used in various As contaminant removal applications.","author":[{"dropping-particle":"","family":"Wang","given":"Shengsen","non-dropping-particle":"","parse-names":false,"suffix":""},{"dropping-particle":"","family":"Gao","given":"Bin","non-dropping-particle":"","parse-names":false,"suffix":""},{"dropping-particle":"","family":"Zimmerman","given":"Andrew R.","non-dropping-particle":"","parse-names":false,"suffix":""},{"dropping-particle":"","family":"Li","given":"Yuncong","non-dropping-particle":"","parse-names":false,"suffix":""},{"dropping-particle":"","family":"Ma","given":"Lena","non-dropping-particle":"","parse-names":false,"suffix":""},{"dropping-particle":"","family":"Harris","given":"Willie G.","non-dropping-particle":"","parse-names":false,"suffix":""},{"dropping-particle":"","family":"Migliaccio","given":"Kati W.","non-dropping-particle":"","parse-names":false,"suffix":""}],"container-title":"Bioresource Technology","id":"ITEM-1","issued":{"date-parts":[["2015"]]},"page":"391-395","publisher":"Elsevier Ltd","title":"Removal of arsenic by magnetic biochar prepared from pinewood and natural hematite","type":"article-journal","volume":"175"},"uris":["http://www.mendeley.com/documents/?uuid=25aed134-c1c3-4445-a162-741329b2e97f"]}],"mendeley":{"formattedCitation":"(S. Wang et al., 2015)","manualFormatting":"Wang et al. (2015)","plainTextFormattedCitation":"(S. Wang et al., 2015)","previouslyFormattedCitation":"(S. Wang et al.,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Wang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for the adsorption of  </w:t>
      </w:r>
      <m:oMath>
        <m:r>
          <w:rPr>
            <w:rFonts w:ascii="Cambria Math" w:eastAsia="Cambria Math" w:hAnsi="Cambria Math" w:cs="Cambria Math"/>
            <w:szCs w:val="24"/>
          </w:rPr>
          <m:t>HAs</m:t>
        </m:r>
        <m:sSubSup>
          <m:sSubSupPr>
            <m:ctrlPr>
              <w:rPr>
                <w:rFonts w:ascii="Cambria Math" w:eastAsia="Cambria Math" w:hAnsi="Cambria Math" w:cs="Cambria Math"/>
                <w:szCs w:val="24"/>
              </w:rPr>
            </m:ctrlPr>
          </m:sSubSupPr>
          <m:e>
            <m:r>
              <w:rPr>
                <w:rFonts w:ascii="Cambria Math" w:eastAsia="Cambria Math" w:hAnsi="Cambria Math" w:cs="Cambria Math"/>
                <w:szCs w:val="24"/>
              </w:rPr>
              <m:t>O</m:t>
            </m:r>
          </m:e>
          <m:sub>
            <m:r>
              <w:rPr>
                <w:rFonts w:ascii="Cambria Math" w:eastAsia="Cambria Math" w:hAnsi="Cambria Math" w:cs="Cambria Math"/>
                <w:szCs w:val="24"/>
              </w:rPr>
              <m:t>4</m:t>
            </m:r>
          </m:sub>
          <m:sup>
            <m:r>
              <w:rPr>
                <w:rFonts w:ascii="Cambria Math" w:eastAsia="Cambria Math" w:hAnsi="Cambria Math" w:cs="Cambria Math"/>
                <w:szCs w:val="24"/>
              </w:rPr>
              <m:t>-2</m:t>
            </m:r>
          </m:sup>
        </m:sSubSup>
      </m:oMath>
      <w:r w:rsidRPr="00216965">
        <w:rPr>
          <w:rFonts w:eastAsia="Times New Roman" w:cs="Times New Roman"/>
          <w:szCs w:val="24"/>
        </w:rPr>
        <w:t xml:space="preserve">. Similarly,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{"citationItems":[{"id":"ITEM-1","itemData":{"DOI":"10.1016/j.chemosphere.2016.08.036","ISSN":"18791298","abstract":"Bismuth impregnated biochar were synthesized to deal with wastewater pollution. Nitrogen adsorption-desorption isotherms, scanning electron microscopy (SEM), Fourier transform infrared spectroscopy (FTIR), X-ray diffraction (XRD) and X-ray photoelectron spectroscopy (XPS) were used to determine the characteristics of adsorbents and explore the main adsorption mechanism. Results showed that bismuth particle was carried successfully within the biochar matrix, making contributions to creating micropore and boost specific surface area. The loaded bismuth, served as the adsorption site, rather than the specific surface area played an important role in arsenic and phosphorus adsorption. Batch adsorption experiments demonstrated a fit Langmuir model for arsenic (As) and phosphorus (P) and a suitable Freundlich model for chromium (Cr). Thermodynamic parameters depicted the endothermic nature and the spontaneous process for phosphate and arsenic adsorption. Besides, this contaminant-loaded carbon adsorbent was further applied for the removal of methylene blue from aqueous solution.","author":[{"dropping-particle":"","family":"Zhu","given":"Ningyuan","non-dropping-particle":"","parse-names":false,"suffix":""},{"dropping-particle":"","family":"Yan","given":"Tingmei","non-dropping-particle":"","parse-names":false,"suffix":""},{"dropping-particle":"","family":"Qiao","given":"Jun","non-dropping-particle":"","parse-names":false,"suffix":""},{"dropping-particle":"","family":"Cao","given":"Honglei","non-dropping-particle":"","parse-names":false,"suffix":""}],"container-title":"Chemosphere","id":"ITEM-1","issued":{"date-parts":[["2016"]]},"page":"32-40","publisher":"Elsevier Ltd","title":"Adsorption of arsenic, phosphorus and chromium by bismuth impregnated biochar: Adsorption mechanism and depleted adsorbent utilization","type":"article-journal","volume":"164"},"uris":["http://www.mendeley.com/documents/?uuid=e01464c0-3a63-4109-86e6-9b3497ac7ae7"]}],"mendeley":{"formattedCitation":"(Zhu et al., 2016)","manualFormatting":"Zhu et al. (2016)","plainTextFormattedCitation":"(Zhu et al., 2016)","previouslyFormattedCitation":"(Zhu et al., 2016)"},"properties":{"noteIndex":0},"schema":"https://github.com/citation-style-language/schema/raw/master/csl-citation.json"}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Zhu </w:t>
      </w:r>
      <w:r w:rsidR="009B2252" w:rsidRPr="00216965">
        <w:rPr>
          <w:rFonts w:eastAsia="Times New Roman" w:cs="Times New Roman"/>
          <w:iCs/>
          <w:noProof/>
          <w:szCs w:val="24"/>
        </w:rPr>
        <w:t>et al</w:t>
      </w:r>
      <w:r w:rsidRPr="00216965">
        <w:rPr>
          <w:rFonts w:eastAsia="Times New Roman" w:cs="Times New Roman"/>
          <w:noProof/>
          <w:szCs w:val="24"/>
        </w:rPr>
        <w:t>. (2016)</w:t>
      </w:r>
      <w:r w:rsidRPr="00216965">
        <w:rPr>
          <w:rFonts w:eastAsia="Times New Roman" w:cs="Times New Roman"/>
          <w:szCs w:val="24"/>
        </w:rPr>
        <w:fldChar w:fldCharType="end"/>
      </w:r>
      <w:r w:rsidRPr="00216965">
        <w:rPr>
          <w:rFonts w:eastAsia="Times New Roman" w:cs="Times New Roman"/>
          <w:szCs w:val="24"/>
        </w:rPr>
        <w:t xml:space="preserve"> studied the adsorption of chromium on bismute impregnated biochar, noting that the maximum adsorption capacity of Cr (VI) occurred at pH 3. This indicated that HCrO</w:t>
      </w:r>
      <w:r w:rsidRPr="00216965">
        <w:rPr>
          <w:rFonts w:eastAsia="Times New Roman" w:cs="Times New Roman"/>
          <w:szCs w:val="24"/>
          <w:vertAlign w:val="superscript"/>
        </w:rPr>
        <w:t>4-</w:t>
      </w:r>
      <w:r w:rsidRPr="00216965">
        <w:rPr>
          <w:rFonts w:eastAsia="Times New Roman" w:cs="Times New Roman"/>
          <w:szCs w:val="24"/>
        </w:rPr>
        <w:t xml:space="preserve"> was adsorbed over the protonated surface of biochar. Similarly, electrostatic attraction was suggested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-1","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temperature","type":"article-journal","volume":"25"},"uris":["http://www.mendeley.com/documents/?uuid=e746724b-1349-4890-a03c-bff1806ccad8"]}],"mendeley":{"formattedCitation":"(Jiang et al., 2015)","manualFormatting":"Jiang et al. (2015)","plainTextFormattedCitation":"(Jiang et al., 2015)","previouslyFormattedCitation":"(Jiang et al., 2015)"},"properties":{"noteIndex":0},"schema":"https://github.com/citation-style-language/schema/raw/master/csl-citation.json"}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Jiang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to drive Cu(II) adsorption onto low temperature (200 to 400 ⁰C) biochars, which contain more acid functional groups (negatively charged). Cu(II) adsorption was reported to decrease in biochars produced at higher temperatures (&gt; 600 ⁰C) where other mechanisms, such as non-electrostatic interaction (mainly complexation and precipitation) were suggested to be more important. </w:t>
      </w:r>
    </w:p>
    <w:p w14:paraId="629E90E3" w14:textId="47E057A6"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These results from aqueous experiments concur with the study of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{"citationItems":[{"id":"ITEM-1","itemData":{"DOI":"10.1021/jf104206c","abstract":"While a large-scale soil amendment of biochars continues to receive interest for enhancing crop yields and to remediate contaminated sites, systematic study is lacking in how biochar properties translate into purported functions such as heavy metal sequestration. In this study, cottonseed hulls were pyrolyzed at five temperatures (200, 350, 500, 650, and 800 °C) and characterized for the yield, moisture, ash, volatile matter, and fixed carbon contents, elemental composition (CHNSO), BET surface area, pH, pH pzc , and by ATR-FTIR. The characterization results were compared with the literature values for additional source materials: grass, wood, pine needle, and broiler litter-derived biochars with and without post-treatments. At respective pyrolysis temperatures, cottonseed hull chars had ash content in between grass and wood chars, and significantly lower BET surface area in comparison to other plant source materials considered. The N:C ratio reached a maximum between 300 and 400 °C for all biomass sources considered, while the following trend in N:C ratio was maintained at each pyrolysis temperature: wood , cottonseed hull ≈ grass ≈ pine needle , broiler litter. To examine how biochar properties translate into its function as a heavy metal (Ni II , Cu II , Pb II , and Cd II) sorbent, a soil amendment study was conducted for acidic sandy loam Norfolk soil previously shown to have low heavy metal retention capacity. The results suggest that the properties attributable to the surface functional groups of biochars (volatile matter and oxygen contents and pH pzc) control the heavy metal sequestration ability in Norfolk soil, and biochar selection for soil amendment must be made case-by-case based on the biochar characteristics, soil property, and the target function.","author":[{"dropping-particle":"","family":"Uchimiya","given":"Minori","non-dropping-particle":"","parse-names":false,"suffix":""},{"dropping-particle":"","family":"Wartelle","given":"Lynda H","non-dropping-particle":"","parse-names":false,"suffix":""},{"dropping-particle":"","family":"Klasson","given":"K Thomas","non-dropping-particle":"","parse-names":false,"suffix":""},{"dropping-particle":"","family":"Fortier","given":"Chanel A","non-dropping-particle":"","parse-names":false,"suffix":""},{"dropping-particle":"","family":"Lima","given":"Isabel M","non-dropping-particle":"","parse-names":false,"suffix":""}],"container-title":"Journal of Agricultural and Food Chemistry","id":"ITEM-1","issued":{"date-parts":[["2011"]]},"page":"2501-2510","title":"Influence of pyrolysis temperature on biochar property and function as a heavy metal sorbent in soil","type":"article-journal","volume":"59"},"uris":["http://www.mendeley.com/documents/?uuid=505f2a1e-0306-3c7b-9d91-7ea9792fd635"]}],"mendeley":{"formattedCitation":"(Uchimiya et al., 2011)","manualFormatting":"Uchimiya et al. (2011)","plainTextFormattedCitation":"(Uchimiya et al., 2011)","previouslyFormattedCitation":"(Uchimiya et al., 2011)"},"properties":{"noteIndex":0},"schema":"https://github.com/citation-style-language/schema/raw/master/csl-citation.json"}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Uchimiya </w:t>
      </w:r>
      <w:r w:rsidR="009B2252" w:rsidRPr="00216965">
        <w:rPr>
          <w:rFonts w:eastAsia="Times New Roman" w:cs="Times New Roman"/>
          <w:iCs/>
          <w:noProof/>
          <w:szCs w:val="24"/>
        </w:rPr>
        <w:t>et al</w:t>
      </w:r>
      <w:r w:rsidRPr="00216965">
        <w:rPr>
          <w:rFonts w:eastAsia="Times New Roman" w:cs="Times New Roman"/>
          <w:noProof/>
          <w:szCs w:val="24"/>
        </w:rPr>
        <w:t>. (2011)</w:t>
      </w:r>
      <w:r w:rsidRPr="00216965">
        <w:rPr>
          <w:rFonts w:eastAsia="Times New Roman" w:cs="Times New Roman"/>
          <w:szCs w:val="24"/>
        </w:rPr>
        <w:fldChar w:fldCharType="end"/>
      </w:r>
      <w:r w:rsidRPr="00216965">
        <w:rPr>
          <w:rFonts w:eastAsia="Times New Roman" w:cs="Times New Roman"/>
          <w:szCs w:val="24"/>
        </w:rPr>
        <w:t xml:space="preserve">, where cottonseed hull biochars (CH) produced at different temperatures were tested on a heavy metal-contaminated (Pb, Cd, Cu and Ni) soil.  It was demonstrated that electrostatic interactions between cationic metal species and negatively charged surfaces were significantly greater for the soil amended with biochar CH350 (produced at 350⁰C), </w:t>
      </w:r>
      <w:r w:rsidRPr="00216965">
        <w:rPr>
          <w:rFonts w:eastAsia="Times New Roman" w:cs="Times New Roman"/>
          <w:szCs w:val="24"/>
        </w:rPr>
        <w:lastRenderedPageBreak/>
        <w:t xml:space="preserve">followed by CH500, CH650, and CH800 (produced at temperatures of 500, 600 and 800⁰C, respectively). It was concluded that the surface functional groups of biochars (mainly determined by pH together with volatile matter and oxygen contents) controlled the retention of heavy metals by biochar in the studied soil. Other studies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-1","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temperature","type":"article-journal","volume":"25"},"uris":["http://www.mendeley.com/documents/?uuid=e746724b-1349-4890-a03c-bff1806ccad8"]},{"id":"ITEM-2","itemData":{"DOI":"10.1021/jf104206c","abstract":"While a large-scale soil amendment of biochars continues to receive interest for enhancing crop yields and to remediate contaminated sites, systematic study is lacking in how biochar properties translate into purported functions such as heavy metal sequestration. In this study, cottonseed hulls were pyrolyzed at five temperatures (200, 350, 500, 650, and 800 °C) and characterized for the yield, moisture, ash, volatile matter, and fixed carbon contents, elemental composition (CHNSO), BET surface area, pH, pH pzc , and by ATR-FTIR. The characterization results were compared with the literature values for additional source materials: grass, wood, pine needle, and broiler litter-derived biochars with and without post-treatments. At respective pyrolysis temperatures, cottonseed hull chars had ash content in between grass and wood chars, and significantly lower BET surface area in comparison to other plant source materials considered. The N:C ratio reached a maximum between 300 and 400 °C for all biomass sources considered, while the following trend in N:C ratio was maintained at each pyrolysis temperature: wood , cottonseed hull ≈ grass ≈ pine needle , broiler litter. To examine how biochar properties translate into its function as a heavy metal (Ni II , Cu II , Pb II , and Cd II) sorbent, a soil amendment study was conducted for acidic sandy loam Norfolk soil previously shown to have low heavy metal retention capacity. The results suggest that the properties attributable to the surface functional groups of biochars (volatile matter and oxygen contents and pH pzc) control the heavy metal sequestration ability in Norfolk soil, and biochar selection for soil amendment must be made case-by-case based on the biochar characteristics, soil property, and the target function.","author":[{"dropping-particle":"","family":"Uchimiya","given":"Minori","non-dropping-particle":"","parse-names":false,"suffix":""},{"dropping-particle":"","family":"Wartelle","given":"Lynda H","non-dropping-particle":"","parse-names":false,"suffix":""},{"dropping-particle":"","family":"Klasson","given":"K Thomas","non-dropping-particle":"","parse-names":false,"suffix":""},{"dropping-particle":"","family":"Fortier","given":"Chanel A","non-dropping-particle":"","parse-names":false,"suffix":""},{"dropping-particle":"","family":"Lima","given":"Isabel M","non-dropping-particle":"","parse-names":false,"suffix":""}],"container-title":"Journal of Agricultural and Food Chemistry","id":"ITEM-2","issued":{"date-parts":[["2011"]]},"page":"2501-2510","title":"Influence of pyrolysis temperature on biochar property and function as a heavy metal sorbent in soil","type":"article-journal","volume":"59"},"uris":["http://www.mendeley.com/documents/?uuid=505f2a1e-0306-3c7b-9d91-7ea9792fd635"]}],"mendeley":{"formattedCitation":"(Jiang et al., 2015; Uchimiya et al., 2011)","plainTextFormattedCitation":"(Jiang et al., 2015; Uchimiya et al., 2011)","previouslyFormattedCitation":"(Jiang et al., 2015; Uchimiya et al., 2011)"},"properties":{"noteIndex":0},"schema":"https://github.com/citation-style-language/schema/raw/master/csl-citation.json"}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(Jiang et al., 2015; Uchimiya et al., 2011)</w:t>
      </w:r>
      <w:r w:rsidRPr="00216965">
        <w:rPr>
          <w:rFonts w:eastAsia="Times New Roman" w:cs="Times New Roman"/>
          <w:szCs w:val="24"/>
        </w:rPr>
        <w:fldChar w:fldCharType="end"/>
      </w:r>
      <w:r w:rsidRPr="00216965">
        <w:rPr>
          <w:rFonts w:eastAsia="Times New Roman" w:cs="Times New Roman"/>
          <w:szCs w:val="24"/>
        </w:rPr>
        <w:t xml:space="preserve"> also suggest that such electrostatic interaction between anionic and cationic metals is particularly important for biochars produced at low-mid pyrolysis temperatures, due to the high amount of functional groups present on the biochar.  </w:t>
      </w:r>
    </w:p>
    <w:p w14:paraId="7829489A" w14:textId="75A7A0ED"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Heavy metals may also be immobilized by precipitation after biochar application, which is strongly influenced by pH changes caused by biochar addition and its alkaline nature. An increased soil pH may lead to decreased mobilization of heavy metals and precipitation as metal oxides. The presence of soluble phosphates (</w:t>
      </w:r>
      <m:oMath>
        <m:r>
          <w:rPr>
            <w:rFonts w:ascii="Cambria Math" w:eastAsia="Cambria Math" w:hAnsi="Cambria Math" w:cs="Cambria Math"/>
            <w:szCs w:val="24"/>
          </w:rPr>
          <m:t>P</m:t>
        </m:r>
        <m:sSubSup>
          <m:sSubSupPr>
            <m:ctrlPr>
              <w:rPr>
                <w:rFonts w:ascii="Cambria Math" w:eastAsia="Cambria Math" w:hAnsi="Cambria Math" w:cs="Cambria Math"/>
                <w:szCs w:val="24"/>
              </w:rPr>
            </m:ctrlPr>
          </m:sSubSupPr>
          <m:e>
            <m:r>
              <w:rPr>
                <w:rFonts w:ascii="Cambria Math" w:eastAsia="Cambria Math" w:hAnsi="Cambria Math" w:cs="Cambria Math"/>
                <w:szCs w:val="24"/>
              </w:rPr>
              <m:t>O</m:t>
            </m:r>
          </m:e>
          <m:sub>
            <m:r>
              <w:rPr>
                <w:rFonts w:ascii="Cambria Math" w:eastAsia="Cambria Math" w:hAnsi="Cambria Math" w:cs="Cambria Math"/>
                <w:szCs w:val="24"/>
              </w:rPr>
              <m:t>4</m:t>
            </m:r>
          </m:sub>
          <m:sup>
            <m:r>
              <w:rPr>
                <w:rFonts w:ascii="Cambria Math" w:eastAsia="Cambria Math" w:hAnsi="Cambria Math" w:cs="Cambria Math"/>
                <w:szCs w:val="24"/>
              </w:rPr>
              <m:t>3-</m:t>
            </m:r>
          </m:sup>
        </m:sSubSup>
        <m:r>
          <w:rPr>
            <w:rFonts w:ascii="Cambria Math" w:eastAsia="Cambria Math" w:hAnsi="Cambria Math" w:cs="Cambria Math"/>
            <w:szCs w:val="24"/>
          </w:rPr>
          <m:t>)</m:t>
        </m:r>
      </m:oMath>
      <w:r w:rsidRPr="00216965">
        <w:rPr>
          <w:rFonts w:eastAsia="Times New Roman" w:cs="Times New Roman"/>
          <w:szCs w:val="24"/>
        </w:rPr>
        <w:t xml:space="preserve"> and carbonates</w:t>
      </w:r>
      <m:oMath>
        <m:r>
          <w:rPr>
            <w:rFonts w:ascii="Cambria Math" w:eastAsia="Cambria Math" w:hAnsi="Cambria Math" w:cs="Cambria Math"/>
            <w:szCs w:val="24"/>
          </w:rPr>
          <m:t>(C</m:t>
        </m:r>
        <m:sSubSup>
          <m:sSubSupPr>
            <m:ctrlPr>
              <w:rPr>
                <w:rFonts w:ascii="Cambria Math" w:eastAsia="Cambria Math" w:hAnsi="Cambria Math" w:cs="Cambria Math"/>
                <w:szCs w:val="24"/>
              </w:rPr>
            </m:ctrlPr>
          </m:sSubSupPr>
          <m:e>
            <m:r>
              <w:rPr>
                <w:rFonts w:ascii="Cambria Math" w:eastAsia="Cambria Math" w:hAnsi="Cambria Math" w:cs="Cambria Math"/>
                <w:szCs w:val="24"/>
              </w:rPr>
              <m:t>O</m:t>
            </m:r>
          </m:e>
          <m:sub>
            <m:r>
              <w:rPr>
                <w:rFonts w:ascii="Cambria Math" w:eastAsia="Cambria Math" w:hAnsi="Cambria Math" w:cs="Cambria Math"/>
                <w:szCs w:val="24"/>
              </w:rPr>
              <m:t>3</m:t>
            </m:r>
          </m:sub>
          <m:sup>
            <m:r>
              <w:rPr>
                <w:rFonts w:ascii="Cambria Math" w:eastAsia="Cambria Math" w:hAnsi="Cambria Math" w:cs="Cambria Math"/>
                <w:szCs w:val="24"/>
              </w:rPr>
              <m:t>2-</m:t>
            </m:r>
          </m:sup>
        </m:sSubSup>
        <m:r>
          <w:rPr>
            <w:rFonts w:ascii="Cambria Math" w:eastAsia="Cambria Math" w:hAnsi="Cambria Math" w:cs="Cambria Math"/>
            <w:szCs w:val="24"/>
          </w:rPr>
          <m:t xml:space="preserve">) </m:t>
        </m:r>
      </m:oMath>
      <w:r w:rsidRPr="00216965">
        <w:rPr>
          <w:rFonts w:eastAsia="Times New Roman" w:cs="Times New Roman"/>
          <w:szCs w:val="24"/>
        </w:rPr>
        <w:t xml:space="preserve">on the biochar surface can support the formation of metal precipitates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-1","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id":"ITEM-2","itemData":{"DOI":"10.1007/s11356-012-0873-5","ISBN":"1135601208735","ISSN":"09441344","PMID":"22477163","abstract":"PURPOSE: Biochar derived from waste biomass is now gaining much attention for its function as a biosorbent for environmental remediation. The objective of this study was to determine the effectiveness of biochar as a sorbent in removing Cd, Cu, and Zn from aqueous solutions.\\n\\nMETHODS: Biochar was produced from dairy manure (DM) at two temperatures: 200 °C and 350 °C, referred to as DM200 and DM350, respectively. The obtained biochars were then equilibrated with 0-5 mM Cu, Zn or Cd in 0.01 M NaNO(3) solution for 10 h. The changes in solution metal concentrations after sorption were evaluated for sorption capacity using isotherm modeling and chemical speciation Visual MINTEQ modeling, while the solid was collected for species characterization using infrared spectroscopy and X-ray elemental dot mapping techniques.\\n\\nRESULTS: The isotherms of Cu, Zn, and Cd sorption by DM200 were better fitted to Langmuir model, whereas Freundlich model well described the sorption of the three metals by DM350. The DM350 were more effective in sorbing all three metals than DM200 with both biochars had the highest affinity for Cu, followed by Zn and Cd. The maximum sorption capacities of Cu, Zn, and Cd by DM200 were 48.4, 31.6, and 31.9 mg g(-1), respectively, and those of Cu, Zn, and Cd by DM350 were 54.4, 32.8, and 51.4 mg g(-1), respectively. Sorption of the metals by the biochar was mainly attributed to their precipitation with PO(4)(3-) or CO(3)(2-) originating in biochar, with less to the surface complexation through -OH groups or delocalized π electrons. At the initial metal concentration of 5 mM, 80-100 % of Cu, Zn, and Cd retention by DM200 resulted from the precipitation, with less than 20 % from surface adsorption through phenonic -OH complexation. Among the precipitation, 20-30 % of the precipitation occurred as metal phosphate and 70-80 % as metal carbonate. For DM350, 75-100 % of Cu, Zn, and Cd retention were due to the precipitation, with less than 25 % to surface adsorption through complexation of heavy metal by phenonic -OH site or delocalized π electrons. Among the precipitation, only less than 10 % of the precipitation was present as metal phosphate and more than 90 % as metal carbonate.\\n\\nCONCLUSIONS: Results indicated that dairy manure waste can be converted into value-added biochar as a sorbent for sorption of heavy metals, and the mineral components originated in the biochar play an important role in the biochar's high sorption capacity.","author":[{"dropping-particle":"","family":"Xu","given":"Xiaoyun","non-dropping-particle":"","parse-names":false,"suffix":""},{"dropping-particle":"","family":"Cao","given":"Xinde","non-dropping-particle":"","parse-names":false,"suffix":""},{"dropping-particle":"","family":"Zhao","given":"Ling","non-dropping-particle":"","parse-names":false,"suffix":""},{"dropping-particle":"","family":"Wang","given":"Hailong","non-dropping-particle":"","parse-names":false,"suffix":""},{"dropping-particle":"","family":"Yu","given":"Hongran","non-dropping-particle":"","parse-names":false,"suffix":""},{"dropping-particle":"","family":"Gao","given":"Bin","non-dropping-particle":"","parse-names":false,"suffix":""}],"container-title":"Environmental Science and Pollution Research","id":"ITEM-2","issue":"1","issued":{"date-parts":[["2013"]]},"page":"358-368","title":"Removal of Cu, Zn, and Cd from aqueous solutions by the dairy manure-derived biochar","type":"article-journal","volume":"20"},"uris":["http://www.mendeley.com/documents/?uuid=0c3f0b49-7112-445e-9233-2501ca907b14"]}],"mendeley":{"formattedCitation":"(Jiang et al., 2015; Xu et al., 2013)","plainTextFormattedCitation":"(Jiang et al., 2015; Xu et al., 2013)","previouslyFormattedCitation":"(Jiang et al., 2015; Xu et al., 2013)"},"properties":{"noteIndex":0},"schema":"https://github.com/citation-style-language/schema/raw/master/csl-citation.json"}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(Jiang et al., 2015; Xu et al., 2013)</w:t>
      </w:r>
      <w:r w:rsidRPr="00216965">
        <w:rPr>
          <w:rFonts w:eastAsia="Times New Roman" w:cs="Times New Roman"/>
          <w:szCs w:val="24"/>
        </w:rPr>
        <w:fldChar w:fldCharType="end"/>
      </w:r>
      <w:r w:rsidRPr="00216965">
        <w:rPr>
          <w:rFonts w:eastAsia="Times New Roman" w:cs="Times New Roman"/>
          <w:szCs w:val="24"/>
        </w:rPr>
        <w:t xml:space="preserve">. Furthermore, the formation of complexes between functional groups on the biochar surface and inorganic compounds has been reported as an alternative adsorption mechanism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Bioengineering","id":"ITEM-1","issue":"6","issued":{"date-parts":[["2013"]]},"page":"653-659","publisher":"Elsevier Ltd","title":"Characteristics of biochar and its application in remediation of contaminated soil","type":"article-journal","volume":"116"},"uris":["http://www.mendeley.com/documents/?uuid=f1de9e6e-b7e1-4802-a8e9-d2fd999dd84c"]}],"mendeley":{"formattedCitation":"(Tang et al., 2013)","manualFormatting":"Tang et al. (2013)","plainTextFormattedCitation":"(Tang et al., 2013)","previouslyFormattedCitation":"(Tang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Tang et al. (2013)</w:t>
      </w:r>
      <w:r w:rsidRPr="00216965">
        <w:rPr>
          <w:rFonts w:eastAsia="Times New Roman" w:cs="Times New Roman"/>
          <w:szCs w:val="24"/>
        </w:rPr>
        <w:fldChar w:fldCharType="end"/>
      </w:r>
      <w:r w:rsidRPr="00216965">
        <w:rPr>
          <w:rFonts w:eastAsia="Times New Roman" w:cs="Times New Roman"/>
          <w:szCs w:val="24"/>
        </w:rPr>
        <w:t xml:space="preserve">. For example,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{"citationItems":[{"id":"ITEM-1","itemData":{"DOI":"10.1007/s11356-012-0873-5","ISBN":"1135601208735","ISSN":"09441344","PMID":"22477163","abstract":"PURPOSE: Biochar derived from waste biomass is now gaining much attention for its function as a biosorbent for environmental remediation. The objective of this study was to determine the effectiveness of biochar as a sorbent in removing Cd, Cu, and Zn from aqueous solutions.\\n\\nMETHODS: Biochar was produced from dairy manure (DM) at two temperatures: 200 °C and 350 °C, referred to as DM200 and DM350, respectively. The obtained biochars were then equilibrated with 0-5 mM Cu, Zn or Cd in 0.01 M NaNO(3) solution for 10 h. The changes in solution metal concentrations after sorption were evaluated for sorption capacity using isotherm modeling and chemical speciation Visual MINTEQ modeling, while the solid was collected for species characterization using infrared spectroscopy and X-ray elemental dot mapping techniques.\\n\\nRESULTS: The isotherms of Cu, Zn, and Cd sorption by DM200 were better fitted to Langmuir model, whereas Freundlich model well described the sorption of the three metals by DM350. The DM350 were more effective in sorbing all three metals than DM200 with both biochars had the highest affinity for Cu, followed by Zn and Cd. The maximum sorption capacities of Cu, Zn, and Cd by DM200 were 48.4, 31.6, and 31.9 mg g(-1), respectively, and those of Cu, Zn, and Cd by DM350 were 54.4, 32.8, and 51.4 mg g(-1), respectively. Sorption of the metals by the biochar was mainly attributed to their precipitation with PO(4)(3-) or CO(3)(2-) originating in biochar, with less to the surface complexation through -OH groups or delocalized π electrons. At the initial metal concentration of 5 mM, 80-100 % of Cu, Zn, and Cd retention by DM200 resulted from the precipitation, with less than 20 % from surface adsorption through phenonic -OH complexation. Among the precipitation, 20-30 % of the precipitation occurred as metal phosphate and 70-80 % as metal carbonate. For DM350, 75-100 % of Cu, Zn, and Cd retention were due to the precipitation, with less than 25 % to surface adsorption through complexation of heavy metal by phenonic -OH site or delocalized π electrons. Among the precipitation, only less than 10 % of the precipitation was present as metal phosphate and more than 90 % as metal carbonate.\\n\\nCONCLUSIONS: Results indicated that dairy manure waste can be converted into value-added biochar as a sorbent for sorption of heavy metals, and the mineral components originated in the biochar play an important role in the biochar's high sorption capacity.","author":[{"dropping-particle":"","family":"Xu","given":"Xiaoyun","non-dropping-particle":"","parse-names":false,"suffix":""},{"dropping-particle":"","family":"Cao","given":"Xinde","non-dropping-particle":"","parse-names":false,"suffix":""},{"dropping-particle":"","family":"Zhao","given":"Ling","non-dropping-particle":"","parse-names":false,"suffix":""},{"dropping-particle":"","family":"Wang","given":"Hailong","non-dropping-particle":"","parse-names":false,"suffix":""},{"dropping-particle":"","family":"Yu","given":"Hongran","non-dropping-particle":"","parse-names":false,"suffix":""},{"dropping-particle":"","family":"Gao","given":"Bin","non-dropping-particle":"","parse-names":false,"suffix":""}],"container-title":"Environmental Science and Pollution Research","id":"ITEM-1","issue":"1","issued":{"date-parts":[["2013"]]},"page":"358-368","title":"Removal of Cu, Zn, and Cd from aqueous solutions by the dairy manure-derived biochar","type":"article-journal","volume":"20"},"uris":["http://www.mendeley.com/documents/?uuid=0c3f0b49-7112-445e-9233-2501ca907b14"]}],"mendeley":{"formattedCitation":"(Xu et al., 2013)","manualFormatting":"Xu et al. (2013)","plainTextFormattedCitation":"(Xu et al., 2013)","previouslyFormattedCitation":"(Xu et al., 2013)"},"properties":{"noteIndex":0},"schema":"https://github.com/citation-style-language/schema/raw/master/csl-citation.json"}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Xu </w:t>
      </w:r>
      <w:r w:rsidR="009B2252" w:rsidRPr="00216965">
        <w:rPr>
          <w:rFonts w:eastAsia="Times New Roman" w:cs="Times New Roman"/>
          <w:iCs/>
          <w:noProof/>
          <w:szCs w:val="24"/>
        </w:rPr>
        <w:t>et al</w:t>
      </w:r>
      <w:r w:rsidRPr="00216965">
        <w:rPr>
          <w:rFonts w:eastAsia="Times New Roman" w:cs="Times New Roman"/>
          <w:noProof/>
          <w:szCs w:val="24"/>
        </w:rPr>
        <w:t>. (2013)</w:t>
      </w:r>
      <w:r w:rsidRPr="00216965">
        <w:rPr>
          <w:rFonts w:eastAsia="Times New Roman" w:cs="Times New Roman"/>
          <w:szCs w:val="24"/>
        </w:rPr>
        <w:fldChar w:fldCharType="end"/>
      </w:r>
      <w:r w:rsidRPr="00216965">
        <w:rPr>
          <w:rFonts w:eastAsia="Times New Roman" w:cs="Times New Roman"/>
          <w:szCs w:val="24"/>
        </w:rPr>
        <w:t xml:space="preserve"> reported a surface adsorption process via complexation of Cu and Zn with ionized phenolic groups. Similarly, other authors report the immobilization of different metals, such as Cu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-1","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temperature","type":"article-journal","volume":"25"},"uris":["http://www.mendeley.com/documents/?uuid=e746724b-1349-4890-a03c-bff1806ccad8"]}],"mendeley":{"formattedCitation":"(Jiang et al., 2015)","plainTextFormattedCitation":"(Jiang et al., 2015)","previouslyFormattedCitation":"(Jiang et al., 2015)"},"properties":{"noteIndex":0},"schema":"https://github.com/citation-style-language/schema/raw/master/csl-citation.json"}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(Jiang et al., 2015)</w:t>
      </w:r>
      <w:r w:rsidRPr="00216965">
        <w:rPr>
          <w:rFonts w:eastAsia="Times New Roman" w:cs="Times New Roman"/>
          <w:szCs w:val="24"/>
        </w:rPr>
        <w:fldChar w:fldCharType="end"/>
      </w:r>
      <w:r w:rsidRPr="00216965">
        <w:rPr>
          <w:rFonts w:eastAsia="Times New Roman" w:cs="Times New Roman"/>
          <w:szCs w:val="24"/>
        </w:rPr>
        <w:t xml:space="preserve">, Pb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ryegrass","type":"article-journal","volume":"191"},"uris":["http://www.mendeley.com/documents/?uuid=2e021c3e-c811-4cdf-b456-4f53f6ef7853"]}],"mendeley":{"formattedCitation":"(Karami et al., 2011)","plainTextFormattedCitation":"(Karami et al., 2011)","previouslyFormattedCitation":"(Karami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(Karami et al., 2011)</w:t>
      </w:r>
      <w:r w:rsidRPr="00216965">
        <w:rPr>
          <w:rFonts w:eastAsia="Times New Roman" w:cs="Times New Roman"/>
          <w:szCs w:val="24"/>
        </w:rPr>
        <w:fldChar w:fldCharType="end"/>
      </w:r>
      <w:r w:rsidRPr="00216965">
        <w:rPr>
          <w:rFonts w:eastAsia="Times New Roman" w:cs="Times New Roman"/>
          <w:szCs w:val="24"/>
        </w:rPr>
        <w:t xml:space="preserve">, Cd, Zn and Cu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{"citationItems":[{"id":"ITEM-1","itemData":{"DOI":"10.1007/s11356-012-0873-5","ISBN":"1135601208735","ISSN":"09441344","PMID":"22477163","abstract":"PURPOSE: Biochar derived from waste biomass is now gaining much attention for its function as a biosorbent for environmental remediation. The objective of this study was to determine the effectiveness of biochar as a sorbent in removing Cd, Cu, and Zn from aqueous solutions.\\n\\nMETHODS: Biochar was produced from dairy manure (DM) at two temperatures: 200 °C and 350 °C, referred to as DM200 and DM350, respectively. The obtained biochars were then equilibrated with 0-5 mM Cu, Zn or Cd in 0.01 M NaNO(3) solution for 10 h. The changes in solution metal concentrations after sorption were evaluated for sorption capacity using isotherm modeling and chemical speciation Visual MINTEQ modeling, while the solid was collected for species characterization using infrared spectroscopy and X-ray elemental dot mapping techniques.\\n\\nRESULTS: The isotherms of Cu, Zn, and Cd sorption by DM200 were better fitted to Langmuir model, whereas Freundlich model well described the sorption of the three metals by DM350. The DM350 were more effective in sorbing all three metals than DM200 with both biochars had the highest affinity for Cu, followed by Zn and Cd. The maximum sorption capacities of Cu, Zn, and Cd by DM200 were 48.4, 31.6, and 31.9 mg g(-1), respectively, and those of Cu, Zn, and Cd by DM350 were 54.4, 32.8, and 51.4 mg g(-1), respectively. Sorption of the metals by the biochar was mainly attributed to their precipitation with PO(4)(3-) or CO(3)(2-) originating in biochar, with less to the surface complexation through -OH groups or delocalized π electrons. At the initial metal concentration of 5 mM, 80-100 % of Cu, Zn, and Cd retention by DM200 resulted from the precipitation, with less than 20 % from surface adsorption through phenonic -OH complexation. Among the precipitation, 20-30 % of the precipitation occurred as metal phosphate and 70-80 % as metal carbonate. For DM350, 75-100 % of Cu, Zn, and Cd retention were due to the precipitation, with less than 25 % to surface adsorption through complexation of heavy metal by phenonic -OH site or delocalized π electrons. Among the precipitation, only less than 10 % of the precipitation was present as metal phosphate and more than 90 % as metal carbonate.\\n\\nCONCLUSIONS: Results indicated that dairy manure waste can be converted into value-added biochar as a sorbent for sorption of heavy metals, and the mineral components originated in the biochar play an important role in the biochar's high sorption capacity.","author":[{"dropping-particle":"","family":"Xu","given":"Xiaoyun","non-dropping-particle":"","parse-names":false,"suffix":""},{"dropping-particle":"","family":"Cao","given":"Xinde","non-dropping-particle":"","parse-names":false,"suffix":""},{"dropping-particle":"","family":"Zhao","given":"Ling","non-dropping-particle":"","parse-names":false,"suffix":""},{"dropping-particle":"","family":"Wang","given":"Hailong","non-dropping-particle":"","parse-names":false,"suffix":""},{"dropping-particle":"","family":"Yu","given":"Hongran","non-dropping-particle":"","parse-names":false,"suffix":""},{"dropping-particle":"","family":"Gao","given":"Bin","non-dropping-particle":"","parse-names":false,"suffix":""}],"container-title":"Environmental Science and Pollution Research","id":"ITEM-1","issue":"1","issued":{"date-parts":[["2013"]]},"page":"358-368","title":"Removal of Cu, Zn, and Cd from aqueous solutions by the dairy manure-derived biochar","type":"article-journal","volume":"20"},"uris":["http://www.mendeley.com/documents/?uuid=0c3f0b49-7112-445e-9233-2501ca907b14"]}],"mendeley":{"formattedCitation":"(Xu et al., 2013)","plainTextFormattedCitation":"(Xu et al., 2013)","previouslyFormattedCitation":"(Xu et al., 2013)"},"properties":{"noteIndex":0},"schema":"https://github.com/citation-style-language/schema/raw/master/csl-citation.json"}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(Xu et al., 2013)</w:t>
      </w:r>
      <w:r w:rsidRPr="00216965">
        <w:rPr>
          <w:rFonts w:eastAsia="Times New Roman" w:cs="Times New Roman"/>
          <w:szCs w:val="24"/>
        </w:rPr>
        <w:fldChar w:fldCharType="end"/>
      </w:r>
      <w:r w:rsidRPr="00216965">
        <w:rPr>
          <w:rFonts w:eastAsia="Times New Roman" w:cs="Times New Roman"/>
          <w:szCs w:val="24"/>
        </w:rPr>
        <w:t xml:space="preserve"> on biochar, suggesting complexation with functional groups as the driving mechanism. </w:t>
      </w:r>
    </w:p>
    <w:p w14:paraId="62D32A9D" w14:textId="4888F29E"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Biochar may also enhance metal immobilization due to the liming effect that it induces in soil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metals","type":"article-journal","volume":"348"},"uris":["http://www.mendeley.com/documents/?uuid=82171b33-8b24-44b8-8521-6ab142be0efa"]},{"id":"ITEM-2","itemData":{"DOI":"10.1007/s11356-015-4233-0","abstract":"Biochar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Research","id":"ITEM-2","issued":{"date-parts":[["2016"]]},"page":"974-984","title":"Effect of biochar on the extractability of heavy metals (Cd, Cu, Pb, and Zn) and enzyme activity in soil","type":"article-journal","volume":"23"},"uris":["http://www.mendeley.com/documents/?uuid=2cc320c9-b009-37a7-80a9-9edc49123e98"]}],"mendeley":{"formattedCitation":"(Park et al., 2011a; X. Yang et al., 2016)","plainTextFormattedCitation":"(Park et al., 2011a; X. Yang et al., 2016)","previouslyFormattedCitation":"(Park et al., 2011a; X. Yang et al., 2016)"},"properties":{"noteIndex":0},"schema":"https://github.com/citation-style-language/schema/raw/master/csl-citation.json"}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(Park et al., 2011a; X. Yang et al., 2016)</w:t>
      </w:r>
      <w:r w:rsidRPr="00216965">
        <w:rPr>
          <w:rFonts w:eastAsia="Times New Roman" w:cs="Times New Roman"/>
          <w:szCs w:val="24"/>
        </w:rPr>
        <w:fldChar w:fldCharType="end"/>
      </w:r>
      <w:r w:rsidRPr="00216965">
        <w:rPr>
          <w:rFonts w:eastAsia="Times New Roman" w:cs="Times New Roman"/>
          <w:szCs w:val="24"/>
        </w:rPr>
        <w:t xml:space="preserve">. Adding biochars, which in general have an alkaline pH (pH 7-9 or even higher depending on feedstock and pyrolysis conditions), to acidic soils may increase the soil pH, and decrease the mobility of cationic metals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soils","type":"article-journal","volume":"159"},"uris":["http://www.mendeley.com/documents/?uuid=3cf5d665-bd14-4c22-a4ff-9a77990dcd3d"]},{"id":"ITEM-2","itemData":{"DOI":"10.5194/se-5-65-2014","ISBN":"00439339","ISSN":"18699510","abstract":"Abstract Anthropogenic activities are resulting in an increase on the use and extraction of heavy metals . Heavy metals cannot be degraded and hence accumulate in the environment having the potential to contaminate the food chain. This pollution threatens soil quality, ... \\n","author":[{"dropping-particle":"","family":"Paz-Ferreiro","given":"J.","non-dropping-particle":"","parse-names":false,"suffix":""},{"dropping-particle":"","family":"Lu","given":"H.","non-dropping-particle":"","parse-names":false,"suffix":""},{"dropping-particle":"","family":"Fu","given":"S.","non-dropping-particle":"","parse-names":false,"suffix":""},{"dropping-particle":"","family":"Méndez","given":"A.","non-dropping-particle":"","parse-names":false,"suffix":""},{"dropping-particle":"","family":"Gascó","given":"G.","non-dropping-particle":"","parse-names":false,"suffix":""}],"container-title":"Solid Earth","id":"ITEM-2","issue":"1","issued":{"date-parts":[["2014"]]},"page":"65-75","title":"Use of phytoremediation and biochar to remediate heavy metal polluted soils: A review","type":"article-journal","volume":"5"},"uris":["http://www.mendeley.com/documents/?uuid=ec72afca-9995-4d22-b356-cc7f8d8c7d01"]}],"mendeley":{"formattedCitation":"(Beesley et al., 2011; Paz-Ferreiro et al., 2014)","plainTextFormattedCitation":"(Beesley et al., 2011; Paz-Ferreiro et al., 2014)","previouslyFormattedCitation":"(Beesley et al., 2011; Paz-Ferreiro et al., 2014)"},"properties":{"noteIndex":0},"schema":"https://github.com/citation-style-language/schema/raw/master/csl-citation.json"}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(Beesley et al., 2011; Paz-Ferreiro et al., 2014)</w:t>
      </w:r>
      <w:r w:rsidRPr="00216965">
        <w:rPr>
          <w:rFonts w:eastAsia="Times New Roman" w:cs="Times New Roman"/>
          <w:szCs w:val="24"/>
        </w:rPr>
        <w:fldChar w:fldCharType="end"/>
      </w:r>
      <w:r w:rsidRPr="00216965">
        <w:rPr>
          <w:rFonts w:eastAsia="Times New Roman" w:cs="Times New Roman"/>
          <w:szCs w:val="24"/>
        </w:rPr>
        <w:t xml:space="preserve">. The influence of soil pH as an immobilizing mechanism has been reported previously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{"citationItems":[{"id":"ITEM-1","itemData":{"DOI":"10.1007/s10653-017-9964-z","abstract":"The major frequent contaminants in soil are heavy metals which may be responsible for detrimental health effects. The remediation of heavy metals in contaminated soils is considered as one of the most complicated tasks. Among different tech-nologies, in situ immobilization of metals has received a great deal of attention and turned out to be a promising solution for soil remediation. In this review, remediation methods for removal of heavy metals in soil are explored with an emphasis on the in situ immobilization technique of metal(loid)s. Besides, the immobilization technique in contaminated soils is evaluated through the manipulation of the bioavail-ability of heavy metals using a range of soil amend-ment conditions. This technique is expected to efficiently alleviate the risk of groundwater contam-ination, plant uptake, and exposure to other living organisms. The efficacy of several amendments (e.g., red mud, biochar, phosphate rock) has been examined to emphasize the need for the simultaneous measure-ment of leaching and the phytoavailability of heavy metals. In addition, some amendments that are used in this technique are inexpensive and readily available in large quantities because they have been derived from bio-products or industrial by-products (e.g., biochar, red mud, and steel slag). Among different amend-ments, iron-rich compounds and biochars show high efficiency to remediate multi-metal contaminated soils. Thereupon, immobilization technique can be considered a preferable option as it is inexpensive and easily applicable to large quantities of contaminants derived from various sources.","author":[{"dropping-particle":"","family":"Derakhshan","given":"Zahra","non-dropping-particle":"","parse-names":false,"suffix":""},{"dropping-particle":"","family":"Chae","given":"Myung","non-dropping-particle":"","parse-names":false,"suffix":""},{"dropping-particle":"","family":"Ki-Hyun","given":"Kim","non-dropping-particle":"","parse-names":false,"suffix":""}],"container-title":"Environmental Geochemistry and Health","id":"ITEM-1","issued":{"date-parts":[["2017"]]},"title":"Remediation of soils contaminated with heavy metals with an emphasis on immobilization technology","type":"article-journal"},"uris":["http://www.mendeley.com/documents/?uuid=807b718e-beed-3aa5-aad4-942c59374ff5"]},{"id":"ITEM-2","itemData":{"DOI":"10.1016/j.jenvman.2016.12.041","ISSN":"10958630","abstract":"Residual soil pollution from the Aznalcóllar mine spill is still a problem in some parts of the affected area, today converted in the Guadiamar Green Corridor. Dispersed spots of polluted soils, identified by the absence of vegetation, are characterized by soil acid pH and high concentrations of As, Pb, Cu and Zn. Ex situ remediation techniques were performed with unrecovered soil samples. Landfarming, Composting and Biopiles techniques were tested in order to immobilize pollutants, to improve soil properties and to promote vegetation recovery. The effectiveness of these techniques was assessed by toxicity bioassays: Lactuca sativa L. root elongation test, Vibrio fischeri bioluminescence reduction test, soil induced respiration test, and Eisenia andrei survival and metal bioaccumulation tests. Landfarming and Composting were not effective techniques, mainly due to the poor improvement of soil properties which maintained high soluble concentrations of Zn and Cu after treatments. Biopile technique, using adjacent recovered soils in the area, was the most effective action in the reduction of soil toxicity; the improvement of soil properties and the reduction in pollutants solubility were key to improve the response of the tested organisms. Therefore, the mixture of recovered soils with polluted soils in the areas affected by residual contamination is considered a more suitable technique to reduce the residual pollution and to promote the complete soil recovery in the Guadiamar Green Corridor.","author":[{"dropping-particle":"","family":"García-Carmona","given":"M.","non-dropping-particle":"","parse-names":false,"suffix":""},{"dropping-particle":"","family":"Romero-Freire","given":"A.","non-dropping-particle":"","parse-names":false,"suffix":""},{"dropping-particle":"","family":"Sierra Aragón","given":"M.","non-dropping-particle":"","parse-names":false,"suffix":""},{"dropping-particle":"","family":"Martínez Garzón","given":"F. J.","non-dropping-particle":"","parse-names":false,"suffix":""},{"dropping-particle":"","family":"Martín Peinado","given":"F. J.","non-dropping-particle":"","parse-names":false,"suffix":""}],"container-title":"Journal of Environmental Management","id":"ITEM-2","issued":{"date-parts":[["2017"]]},"page":"228-236","title":"Evaluation of remediation techniques in soils affected by residual contamination with heavy metals and arsenic","type":"article-journal","volume":"191"},"uris":["http://www.mendeley.com/documents/?uuid=c90c3616-8104-4a40-9ff8-5673562050a0"]}],"mendeley":{"formattedCitation":"(Derakhshan et al., 2017; García-Carmona et al., 2017)","plainTextFormattedCitation":"(Derakhshan et al., 2017; García-Carmona et al., 2017)","previouslyFormattedCitation":"(Derakhshan et al., 2017; García-Carmona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(Derakhshan et al., 2017; García-Carmona et al., 2017)</w:t>
      </w:r>
      <w:r w:rsidRPr="00216965">
        <w:rPr>
          <w:rFonts w:eastAsia="Times New Roman" w:cs="Times New Roman"/>
          <w:szCs w:val="24"/>
        </w:rPr>
        <w:fldChar w:fldCharType="end"/>
      </w:r>
      <w:r w:rsidRPr="00216965">
        <w:rPr>
          <w:rFonts w:eastAsia="Times New Roman" w:cs="Times New Roman"/>
          <w:szCs w:val="24"/>
        </w:rPr>
        <w:t xml:space="preserve"> and given the alkaline character of biochar it is difficult to isolate the action of such pH changes from the other immobilizing mechanisms facilitated by biochar, as described previously. </w:t>
      </w:r>
    </w:p>
    <w:p w14:paraId="5A16ADD0" w14:textId="77777777" w:rsidR="00632101" w:rsidRPr="00216965" w:rsidRDefault="00632101" w:rsidP="008A33DA">
      <w:pPr>
        <w:pStyle w:val="Heading3"/>
        <w:rPr>
          <w:rFonts w:eastAsia="Times New Roman"/>
        </w:rPr>
      </w:pPr>
      <w:bookmarkStart w:id="96" w:name="_heading=h.3j2qqm3" w:colFirst="0" w:colLast="0"/>
      <w:bookmarkStart w:id="97" w:name="_Toc86504639"/>
      <w:bookmarkEnd w:id="96"/>
      <w:r w:rsidRPr="00216965">
        <w:rPr>
          <w:rFonts w:eastAsia="Times New Roman"/>
        </w:rPr>
        <w:t>Interaction of biochar with soil biota</w:t>
      </w:r>
      <w:bookmarkEnd w:id="97"/>
    </w:p>
    <w:p w14:paraId="3316EA2B" w14:textId="77777777" w:rsidR="00632101" w:rsidRPr="00216965" w:rsidRDefault="00632101" w:rsidP="008A33DA">
      <w:pPr>
        <w:pBdr>
          <w:top w:val="nil"/>
          <w:left w:val="nil"/>
          <w:bottom w:val="nil"/>
          <w:right w:val="nil"/>
          <w:between w:val="nil"/>
        </w:pBdr>
        <w:spacing w:line="360" w:lineRule="auto"/>
        <w:jc w:val="both"/>
        <w:rPr>
          <w:rFonts w:eastAsia="Times New Roman" w:cs="Times New Roman"/>
          <w:color w:val="000000"/>
          <w:szCs w:val="24"/>
        </w:rPr>
      </w:pPr>
      <w:r w:rsidRPr="00216965">
        <w:rPr>
          <w:rFonts w:eastAsia="Times New Roman" w:cs="Times New Roman"/>
          <w:color w:val="000000"/>
          <w:szCs w:val="24"/>
        </w:rPr>
        <w:t>Biochar may affect soil biota in different ways depending on the unique nature of biochar and soil properties. The effects on microbes and plants are explained in detail below.</w:t>
      </w:r>
    </w:p>
    <w:p w14:paraId="112232CA" w14:textId="77777777" w:rsidR="00632101" w:rsidRPr="00216965" w:rsidRDefault="00632101" w:rsidP="008A33DA">
      <w:pPr>
        <w:pStyle w:val="Heading3"/>
        <w:rPr>
          <w:rFonts w:eastAsia="Times New Roman"/>
        </w:rPr>
      </w:pPr>
      <w:bookmarkStart w:id="98" w:name="_Toc86504640"/>
      <w:r w:rsidRPr="00216965">
        <w:rPr>
          <w:rFonts w:eastAsia="Times New Roman"/>
        </w:rPr>
        <w:lastRenderedPageBreak/>
        <w:t>Microorganisms</w:t>
      </w:r>
      <w:bookmarkEnd w:id="98"/>
    </w:p>
    <w:p w14:paraId="68032794" w14:textId="66068824"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Because microbes have important roles in soil function, related to soil structure and stability, nutrient cycling, aeration, water use efficiency, disease resistance, and C storage capacity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{"citationItems":[{"id":"ITEM-1","itemData":{"DOI":"10.1016/j.soilbio.2011.04.022","ISBN":"0038-0717","ISSN":"00380717","abstract":"Soil amendment with biochar is evaluated globally as a means to improve soil fertility and to mitigate climate change. However, the effects of biochar on soil biota have received much less attention than its effects on soil chemical properties. A review of the literature reveals a significant number of early studies on biochar-type materials as soil amendments either for managing pathogens, as inoculant carriers or for manipulative experiments to sorb signaling compounds or toxins. However, no studies exist in the soil biology literature that recognize the observed large variations of biochar physico-chemical properties. This shortcoming has hampered insight into mechanisms by which biochar influences soil microorganisms, fauna and plant roots. Additional factors limiting meaningful interpretation of many datasets are the clearly demonstrated sorption properties that interfere with standard extraction procedures for soil microbial biomass or enzyme assays, and the confounding effects of varying amounts of minerals. In most studies, microbial biomass has been found to increase as a result of biochar additions, with significant changes in microbial community composition and enzyme activities that may explain biogeochemical effects of biochar on element cycles, plant pathogens, and crop growth. Yet, very little is known about the mechanisms through which biochar affects microbial abundance and community composition. The effects of biochar on soil fauna are even less understood than its effects on microorganisms, apart from several notable studies on earthworms. It is clear, however, that sorption phenomena, pH and physical properties of biochars such as pore structure, surface area and mineral matter play important roles in determining how different biochars affect soil biota. Observations on microbial dynamics lead to the conclusion of a possible improved resource use due to co-location of various resources in and around biochars. Sorption and thereby inactivation of growth-inhibiting substances likely plays a role for increased abundance of soil biota. No evidence exists so far for direct negative effects of biochars on plant roots. Occasionally observed decreases in abundance of mycorrhizal fungi are likely caused by concomitant increases in nutrient availability, reducing the need for symbionts. In the short term, the release of a variety of organic molecules from fresh biochar may in some cases be responsible for increases or decreases in abundance an…","author":[{"dropping-particle":"","family":"Lehmann","given":"Johannes","non-dropping-particle":"","parse-names":false,"suffix":""},{"dropping-particle":"","family":"Rillig","given":"Matthias C.","non-dropping-particle":"","parse-names":false,"suffix":""},{"dropping-particle":"","family":"Thies","given":"Janice","non-dropping-particle":"","parse-names":false,"suffix":""},{"dropping-particle":"","family":"Masiello","given":"Caroline A.","non-dropping-particle":"","parse-names":false,"suffix":""},{"dropping-particle":"","family":"Hockaday","given":"William C.","non-dropping-particle":"","parse-names":false,"suffix":""},{"dropping-particle":"","family":"Crowley","given":"David","non-dropping-particle":"","parse-names":false,"suffix":""}],"container-title":"Soil Biology and Biochemistry","id":"ITEM-1","issue":"9","issued":{"date-parts":[["2011"]]},"page":"1812-1836","publisher":"Elsevier Ltd","title":"Biochar effects on soil biota - A review","type":"article-journal","volume":"43"},"uris":["http://www.mendeley.com/documents/?uuid=e9ca3f98-8360-4ad5-8c89-4fe971a27f54"]}],"mendeley":{"formattedCitation":"(Lehmann et al., 2011)","plainTextFormattedCitation":"(Lehmann et al., 2011)","previouslyFormattedCitation":"(Lehmann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(Lehmann et al., 2011)</w:t>
      </w:r>
      <w:r w:rsidRPr="00216965">
        <w:rPr>
          <w:rFonts w:eastAsia="Times New Roman" w:cs="Times New Roman"/>
          <w:szCs w:val="24"/>
        </w:rPr>
        <w:fldChar w:fldCharType="end"/>
      </w:r>
      <w:r w:rsidRPr="00216965">
        <w:rPr>
          <w:rFonts w:eastAsia="Times New Roman" w:cs="Times New Roman"/>
          <w:szCs w:val="24"/>
        </w:rPr>
        <w:t xml:space="preserve">, it is vital to understand how biochar may affect soil microbial communities. Biochar application in polluted soils may affect microbial community composition, structure and abundance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Pollution","id":"ITEM-1","issued":{"date-parts":[["2017"]]},"page":"98-115","publisher":"Elsevier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review","type":"article-journal","volume":"227"},"uris":["http://www.mendeley.com/documents/?uuid=41515b99-fc1c-4f72-9ae6-b7e4c1fe0bc1"]}],"mendeley":{"formattedCitation":"(Zhu et al., 2017)","plainTextFormattedCitation":"(Zhu et al., 2017)","previouslyFormattedCitation":"(Zhu et al., 2017)"},"properties":{"noteIndex":0},"schema":"https://github.com/citation-style-language/schema/raw/master/csl-citation.json"}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(Zhu et al., 2017)</w:t>
      </w:r>
      <w:r w:rsidRPr="00216965">
        <w:rPr>
          <w:rFonts w:eastAsia="Times New Roman" w:cs="Times New Roman"/>
          <w:szCs w:val="24"/>
        </w:rPr>
        <w:fldChar w:fldCharType="end"/>
      </w:r>
      <w:r w:rsidRPr="00216965">
        <w:rPr>
          <w:rFonts w:eastAsia="Times New Roman" w:cs="Times New Roman"/>
          <w:szCs w:val="24"/>
        </w:rPr>
        <w:t xml:space="preserve">. These effects can be considered direct, in 1) providing shelter on its porous structure;  2) providing macro and micro nutrients contained in biochar ash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2015a)","plainTextFormattedCitation":"(Puga et al., 2015a)","previouslyFormattedCitation":"(Puga et al., 2015a)"},"properties":{"noteIndex":0},"schema":"https://github.com/citation-style-language/schema/raw/master/csl-citation.json"}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(Puga et al., 2015a)</w:t>
      </w:r>
      <w:r w:rsidRPr="00216965">
        <w:rPr>
          <w:rFonts w:eastAsia="Times New Roman" w:cs="Times New Roman"/>
          <w:szCs w:val="24"/>
        </w:rPr>
        <w:fldChar w:fldCharType="end"/>
      </w:r>
      <w:r w:rsidRPr="00216965">
        <w:rPr>
          <w:rFonts w:eastAsia="Times New Roman" w:cs="Times New Roman"/>
          <w:szCs w:val="24"/>
        </w:rPr>
        <w:t xml:space="preserve">; 3) modifying soil abiotic conditions such as soil pH, moisture and aeration </w:t>
      </w:r>
      <w:r w:rsidRPr="00216965">
        <w:rPr>
          <w:rFonts w:eastAsia="Times New Roman" w:cs="Times New Roman"/>
          <w:szCs w:val="24"/>
          <w:lang w:val="fr-FR"/>
        </w:rPr>
        <w:fldChar w:fldCharType="begin" w:fldLock="1"/>
      </w:r>
      <w:r w:rsidR="006C06AA" w:rsidRPr="00216965">
        <w:rPr>
          <w:rFonts w:eastAsia="Times New Roman" w:cs="Times New Roman"/>
          <w:szCs w:val="24"/>
        </w:rPr>
        <w:instrText>ADDIN CSL_CITATION {"citationItems":[{"id":"ITEM-1","itemData":{"DOI":"10.1016/S1002-0160(15)30058-8","ISSN":"10020160","abstract":"Biochars are known for their heterogeneity, especially in pore and surface structure associated with pyrolysis processes and sources of feedstocks. The surface area of biochar is likely to be an important determinant of the extent of soil microbial attachment, whereas the porous structure of biochar is expected to provide protection for soil microorganisms. Potential interactions between biochars from different sources and with different particle sizes were investigated in relation to soil microbial properties in a short-term incubation study. Three particle size (sieved) fractions (0.5-1.0, 1.0-2.0 and 2.0-4.0 mm) from three woody biochars produced from jarrah wood, jarrah and wandoo wood and Australian wattle branches, respectively, were incubated in soil at 25 ??C for 56 d. Observation by scanning electron microscopy (SEM) and characterisation of pore and surface area showed that all three woody biochars provided potential habitats for soil microorganisms due to their high porosity and surface areas. The biochars were structurally heterogeneous, varying in porosity and surface structure both within and between the biochar sources. After the 56-d incubation, hyphal colonisation was observed on biochar surfaces and in larger biochar pores. Soil clumping occurred on biochar particles, cementing and covering exposed biochar pores. This may have altered surface area and pore availability for microbial colonisation. Transient changes in soil microbial biomass, without a consistent trend, were observed among biochars during the 56-d incubation.","author":[{"dropping-particle":"","family":"Jaafar","given":"Noraini","non-dropping-particle":"","parse-names":false,"suffix":""},{"dropping-particle":"","family":"Clode","given":"Peta","non-dropping-particle":"","parse-names":false,"suffix":""},{"dropping-particle":"","family":"Abbott","given":"Lynette","non-dropping-particle":"","parse-names":false,"suffix":""}],"container-title":"Pedosphere","id":"ITEM-1","issue":"5","issued":{"date-parts":[["2015"]]},"page":"770-780","publisher":"Soil Science Society of China","title":"Soil microbial responses to biochars varying in particle size, surface and pore roperties","type":"article-journal","volume":"25"},"uris":["http://www.mendeley.com/documents/?uuid=c314547b-83a5-4892-a2ac-ceefebeb8819"]},{"id":"ITEM-2","itemData":{"DOI":"10.1016/j.jenvman.2015.07.056","ISSN":"10958630","PMID":"26265597","abstract":"Biochars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Management","id":"ITEM-2","issued":{"date-parts":[["2015"]]},"page":"275-289","title":"Elaboration, characteristics and advantages of biochars for the management of contaminated soils with a specific overview on Miscanthus biochars","type":"article-journal","volume":"162"},"uris":["http://www.mendeley.com/documents/?uuid=fb799e3b-320c-45b9-af26-4ace74302f75"]},{"id":"ITEM-3","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Pollution","id":"ITEM-3","issued":{"date-parts":[["2017"]]},"page":"98-115","publisher":"Elsevier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review","type":"article-journal","volume":"227"},"uris":["http://www.mendeley.com/documents/?uuid=41515b99-fc1c-4f72-9ae6-b7e4c1fe0bc1"]}],"mendeley":{"formattedCitation":"(Jaafar et al., 2015; Janus et al., 2015; Zhu et al., 2017)","plainTextFormattedCitation":"(Jaafar et al., 2015; Janus et al., 2015; Zhu et al., 2017)","previouslyFormattedCitation":"(Jaafar et al., 2015; Janus et al., 2015; Zhu et al., 2017)"},"properties":{"noteIndex":0},"schema":"https://github.com/citation-style-language/schema/raw/master/csl-citation.json"}</w:instrText>
      </w:r>
      <w:r w:rsidRPr="00216965">
        <w:rPr>
          <w:rFonts w:eastAsia="Times New Roman" w:cs="Times New Roman"/>
          <w:szCs w:val="24"/>
          <w:lang w:val="fr-FR"/>
        </w:rPr>
        <w:fldChar w:fldCharType="separate"/>
      </w:r>
      <w:r w:rsidR="001974AA" w:rsidRPr="00216965">
        <w:rPr>
          <w:rFonts w:eastAsia="Times New Roman" w:cs="Times New Roman"/>
          <w:noProof/>
          <w:szCs w:val="24"/>
        </w:rPr>
        <w:t>(Jaafar et al., 2015; Janus et al., 2015; Zhu et al., 2017)</w:t>
      </w:r>
      <w:r w:rsidRPr="00216965">
        <w:rPr>
          <w:rFonts w:eastAsia="Times New Roman" w:cs="Times New Roman"/>
          <w:szCs w:val="24"/>
          <w:lang w:val="fr-FR"/>
        </w:rPr>
        <w:fldChar w:fldCharType="end"/>
      </w:r>
      <w:r w:rsidRPr="00216965">
        <w:rPr>
          <w:rFonts w:eastAsia="Times New Roman" w:cs="Times New Roman"/>
          <w:szCs w:val="24"/>
        </w:rPr>
        <w:t xml:space="preserve">. Potential or indirect effects include 1) changing enzyme activities that affect soil elemental cycles related to microbes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Pollution","id":"ITEM-1","issued":{"date-parts":[["2017"]]},"page":"98-115","publisher":"Elsevier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review","type":"article-journal","volume":"227"},"uris":["http://www.mendeley.com/documents/?uuid=41515b99-fc1c-4f72-9ae6-b7e4c1fe0bc1"]}],"mendeley":{"formattedCitation":"(Zhu et al., 2017)","plainTextFormattedCitation":"(Zhu et al., 2017)","previouslyFormattedCitation":"(Zhu et al., 2017)"},"properties":{"noteIndex":0},"schema":"https://github.com/citation-style-language/schema/raw/master/csl-citation.json"}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(Zhu et al., 2017)</w:t>
      </w:r>
      <w:r w:rsidRPr="00216965">
        <w:rPr>
          <w:rFonts w:eastAsia="Times New Roman" w:cs="Times New Roman"/>
          <w:szCs w:val="24"/>
        </w:rPr>
        <w:fldChar w:fldCharType="end"/>
      </w:r>
      <w:r w:rsidRPr="00216965">
        <w:rPr>
          <w:rFonts w:eastAsia="Times New Roman" w:cs="Times New Roman"/>
          <w:szCs w:val="24"/>
        </w:rPr>
        <w:t xml:space="preserve">; 2) interference with microbial communication due to sorption of signalling molecules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{"citationItems":[{"id":"ITEM-1","itemData":{"DOI":"10.1007/s11356-014-3719-5","ISBN":"1135601437","ISSN":"16147499","PMID":"25345923","abstract":"Amending polycyclic aromatic hydrocarbon (PAH)-contaminated soils with biochar may be cheaper and environmentally friendly than other forms of organic materials. This has led to numerous studies on the use of biochar to either bind or stimulate the microbial degradation of organic compounds in soils. However, very little or no attention have been paid to the fact that biochars can give simultaneous impact on PAH fate processes, such as volatilization, sorption and biodegradation. In this review, we raised and considered the following questions: How does biochar affect microbes and microbial activities in the soil? What are the effects of adding biochar on sorption of PAHs? What are the effects of adding biochar on degradation of PAHs? What are the factors that we can manipulate in the laboratory to enhance the capability of biochars to degrade PAHs? A triphasic concept of how biochar can give simultaneous impact on PAH fate processes in soils was proposed, which involves rapid PAH sorption into biochar, subsequent desorption and modification of soil physicochemical properties by biochar, which in turn stimulates microbial degradation of the desorbed PAHs. It is anticipated that biochar can give simultaneous impact on PAH fate processes in soils.","author":[{"dropping-particle":"","family":"Anyika","given":"Chinedum","non-dropping-particle":"","parse-names":false,"suffix":""},{"dropping-particle":"","family":"Abdul Majid","given":"Zaiton","non-dropping-particle":"","parse-names":false,"suffix":""},{"dropping-particle":"","family":"Ibrahim","given":"Zahara","non-dropping-particle":"","parse-names":false,"suffix":""},{"dropping-particle":"","family":"Zakaria","given":"Mohamad Pauzi","non-dropping-particle":"","parse-names":false,"suffix":""},{"dropping-particle":"","family":"Yahya","given":"Adibah","non-dropping-particle":"","parse-names":false,"suffix":""}],"container-title":"Environmental Science and Pollution Research","id":"ITEM-1","issue":"5","issued":{"date-parts":[["2015"]]},"page":"3314-3341","title":"The impact of biochars on sorption and biodegradation of polycyclic aromatic hydrocarbons in soils—a review","type":"article-journal","volume":"22"},"uris":["http://www.mendeley.com/documents/?uuid=624dbb7f-e926-4a35-9237-44c49ac67b2b"]},{"id":"ITEM-2","itemData":{"DOI":"10.1016/j.envpol.2011.07.023","ISBN":"0269-7491","ISSN":"02697491","PMID":"21855187","abstract":"Biochars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Pollution","id":"ITEM-2","issue":"12","issued":{"date-parts":[["2011"]]},"page":"3269-3282","publisher":"Elsevier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soils","type":"article-journal","volume":"159"},"uris":["http://www.mendeley.com/documents/?uuid=3cf5d665-bd14-4c22-a4ff-9a77990dcd3d"]}],"mendeley":{"formattedCitation":"(Anyika et al., 2015; Beesley et al., 2011)","plainTextFormattedCitation":"(Anyika et al., 2015; Beesley et al., 2011)","previouslyFormattedCitation":"(Anyika et al., 2015; Beesley et al., 2011)"},"properties":{"noteIndex":0},"schema":"https://github.com/citation-style-language/schema/raw/master/csl-citation.json"}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(Anyika et al., 2015; Beesley et al., 2011)</w:t>
      </w:r>
      <w:r w:rsidRPr="00216965">
        <w:rPr>
          <w:rFonts w:eastAsia="Times New Roman" w:cs="Times New Roman"/>
          <w:szCs w:val="24"/>
        </w:rPr>
        <w:fldChar w:fldCharType="end"/>
      </w:r>
      <w:r w:rsidRPr="00216965">
        <w:rPr>
          <w:rFonts w:eastAsia="Times New Roman" w:cs="Times New Roman"/>
          <w:szCs w:val="24"/>
        </w:rPr>
        <w:t xml:space="preserve">, and 3) enhancing microbial activity by promoting the sorption of soil contaminants, reducing in this way the bioavailability of the contaminant and toxicity to microbes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{"citationItems":[{"id":"ITEM-1","itemData":{"DOI":"10.1016/S1002-0160(15)30058-8","ISSN":"10020160","abstract":"Biochars are known for their heterogeneity, especially in pore and surface structure associated with pyrolysis processes and sources of feedstocks. The surface area of biochar is likely to be an important determinant of the extent of soil microbial attachment, whereas the porous structure of biochar is expected to provide protection for soil microorganisms. Potential interactions between biochars from different sources and with different particle sizes were investigated in relation to soil microbial properties in a short-term incubation study. Three particle size (sieved) fractions (0.5-1.0, 1.0-2.0 and 2.0-4.0 mm) from three woody biochars produced from jarrah wood, jarrah and wandoo wood and Australian wattle branches, respectively, were incubated in soil at 25 ??C for 56 d. Observation by scanning electron microscopy (SEM) and characterisation of pore and surface area showed that all three woody biochars provided potential habitats for soil microorganisms due to their high porosity and surface areas. The biochars were structurally heterogeneous, varying in porosity and surface structure both within and between the biochar sources. After the 56-d incubation, hyphal colonisation was observed on biochar surfaces and in larger biochar pores. Soil clumping occurred on biochar particles, cementing and covering exposed biochar pores. This may have altered surface area and pore availability for microbial colonisation. Transient changes in soil microbial biomass, without a consistent trend, were observed among biochars during the 56-d incubation.","author":[{"dropping-particle":"","family":"Jaafar","given":"Noraini","non-dropping-particle":"","parse-names":false,"suffix":""},{"dropping-particle":"","family":"Clode","given":"Peta","non-dropping-particle":"","parse-names":false,"suffix":""},{"dropping-particle":"","family":"Abbott","given":"Lynette","non-dropping-particle":"","parse-names":false,"suffix":""}],"container-title":"Pedosphere","id":"ITEM-1","issue":"5","issued":{"date-parts":[["2015"]]},"page":"770-780","publisher":"Soil Science Society of China","title":"Soil microbial responses to biochars varying in particle size, surface and pore roperties","type":"article-journal","volume":"25"},"uris":["http://www.mendeley.com/documents/?uuid=c314547b-83a5-4892-a2ac-ceefebeb8819"]},{"id":"ITEM-2","itemData":{"DOI":"10.1016/j.scitotenv.2011.12.009","ISBN":"0048-9697","ISSN":"00489697","PMID":"22226394","abstract":"The influence of biochar derived from a hardwood tree (Quercus serrate Murray) on the dynamics of the microbial community during the composting of poultry manure (PM) and cow manure (CM) was evaluated by phospholipid fatty acid analysis (PLFAs). Changes in the PLFA patterns were related to key composting properties (C/N ratio, temperature, and bulk density) as the major drivers of the dynamics of the microbial community. At the beginning of the process, the fungal biomass was significantly greater in PM and CM than in the respective co-composted materials with biochar (PMB and CMB); this difference declined gradually during the process. In contrast, the Gram. + to Gram. - ratio was increased by the presence of biochar. After 12. weeks of composting, factor analysis based on the relative abundances of single PLFAs revealed changes in the microbial community structure which depended on the original organic wastes (CM vs PM). © 2011 Elsevier B.V.","author":[{"dropping-particle":"","family":"Jindo","given":"Keiji","non-dropping-particle":"","parse-names":false,"suffix":""},{"dropping-particle":"","family":"Sánchez-Monedero","given":"Miguel A.","non-dropping-particle":"","parse-names":false,"suffix":""},{"dropping-particle":"","family":"Hernández","given":"Teresa","non-dropping-particle":"","parse-names":false,"suffix":""},{"dropping-particle":"","family":"García","given":"Carlos","non-dropping-particle":"","parse-names":false,"suffix":""},{"dropping-particle":"","family":"Furukawa","given":"Toru","non-dropping-particle":"","parse-names":false,"suffix":""},{"dropping-particle":"","family":"Matsumoto","given":"Kazuhiro","non-dropping-particle":"","parse-names":false,"suffix":""},{"dropping-particle":"","family":"Sonoki","given":"Tomonori","non-dropping-particle":"","parse-names":false,"suffix":""},{"dropping-particle":"","family":"Bastida","given":"Felipe","non-dropping-particle":"","parse-names":false,"suffix":""}],"container-title":"Science of the Total Environment","id":"ITEM-2","issued":{"date-parts":[["2012"]]},"page":"476-481","publisher":"Elsevier B.V.","title":"Biochar influences the microbial community structure during manure composting with agricultural wastes","type":"article-journal","volume":"416"},"uris":["http://www.mendeley.com/documents/?uuid=76945f50-9294-49f3-853c-d0960a22a682"]},{"id":"ITEM-3","itemData":{"DOI":"10.1016/j.scitotenv.2018.02.156","ISSN":"18791026","abstract":"In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Environment","id":"ITEM-3","issued":{"date-parts":[["2018"]]},"page":"1287-1295","publisher":"Elsevier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additives","type":"article-journal","volume":"628-629"},"uris":["http://www.mendeley.com/documents/?uuid=9c06a75b-67d7-467b-ac54-a74c5a7bb86a"]}],"mendeley":{"formattedCitation":"(Jaafar et al., 2015; Jindo et al., 2012; Wawra et al., 2018)","plainTextFormattedCitation":"(Jaafar et al., 2015; Jindo et al., 2012; Wawra et al., 2018)","previouslyFormattedCitation":"(Jaafar et al., 2015; Jindo et al., 2012; Wawra et al., 2018)"},"properties":{"noteIndex":0},"schema":"https://github.com/citation-style-language/schema/raw/master/csl-citation.json"}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(Jaafar et al., 2015; Jindo et al., 2012; Wawra et al., 2018)</w:t>
      </w:r>
      <w:r w:rsidRPr="00216965">
        <w:rPr>
          <w:rFonts w:eastAsia="Times New Roman" w:cs="Times New Roman"/>
          <w:szCs w:val="24"/>
        </w:rPr>
        <w:fldChar w:fldCharType="end"/>
      </w:r>
      <w:r w:rsidRPr="00216965">
        <w:rPr>
          <w:rFonts w:eastAsia="Times New Roman" w:cs="Times New Roman"/>
          <w:szCs w:val="24"/>
        </w:rPr>
        <w:t xml:space="preserve">. </w:t>
      </w:r>
      <w:r w:rsidRPr="00216965">
        <w:rPr>
          <w:rFonts w:eastAsia="Times New Roman" w:cs="Times New Roman"/>
          <w:szCs w:val="24"/>
        </w:rPr>
        <w:fldChar w:fldCharType="begin"/>
      </w:r>
      <w:r w:rsidRPr="00216965">
        <w:rPr>
          <w:rFonts w:eastAsia="Times New Roman" w:cs="Times New Roman"/>
          <w:szCs w:val="24"/>
        </w:rPr>
        <w:instrText xml:space="preserve"> REF _Ref83027279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7</w:t>
      </w:r>
      <w:r w:rsidRPr="00216965">
        <w:rPr>
          <w:rFonts w:eastAsia="Times New Roman" w:cs="Times New Roman"/>
          <w:szCs w:val="24"/>
        </w:rPr>
        <w:fldChar w:fldCharType="end"/>
      </w:r>
      <w:r w:rsidRPr="00216965">
        <w:rPr>
          <w:rFonts w:eastAsia="Times New Roman" w:cs="Times New Roman"/>
          <w:szCs w:val="24"/>
        </w:rPr>
        <w:t xml:space="preserve"> illustrates the main interactions between biochar and soil microorganisms.</w:t>
      </w:r>
    </w:p>
    <w:p w14:paraId="49BF95CB" w14:textId="532B6362"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changes in community composition and structure are related to the modification of soil abiotic factors as result of biochar properties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{"citationItems":[{"id":"ITEM-1","itemData":{"DOI":"10.1016/S1002-0160(15)30058-8","ISSN":"10020160","abstract":"Biochars are known for their heterogeneity, especially in pore and surface structure associated with pyrolysis processes and sources of feedstocks. The surface area of biochar is likely to be an important determinant of the extent of soil microbial attachment, whereas the porous structure of biochar is expected to provide protection for soil microorganisms. Potential interactions between biochars from different sources and with different particle sizes were investigated in relation to soil microbial properties in a short-term incubation study. Three particle size (sieved) fractions (0.5-1.0, 1.0-2.0 and 2.0-4.0 mm) from three woody biochars produced from jarrah wood, jarrah and wandoo wood and Australian wattle branches, respectively, were incubated in soil at 25 ??C for 56 d. Observation by scanning electron microscopy (SEM) and characterisation of pore and surface area showed that all three woody biochars provided potential habitats for soil microorganisms due to their high porosity and surface areas. The biochars were structurally heterogeneous, varying in porosity and surface structure both within and between the biochar sources. After the 56-d incubation, hyphal colonisation was observed on biochar surfaces and in larger biochar pores. Soil clumping occurred on biochar particles, cementing and covering exposed biochar pores. This may have altered surface area and pore availability for microbial colonisation. Transient changes in soil microbial biomass, without a consistent trend, were observed among biochars during the 56-d incubation.","author":[{"dropping-particle":"","family":"Jaafar","given":"Noraini","non-dropping-particle":"","parse-names":false,"suffix":""},{"dropping-particle":"","family":"Clode","given":"Peta","non-dropping-particle":"","parse-names":false,"suffix":""},{"dropping-particle":"","family":"Abbott","given":"Lynette","non-dropping-particle":"","parse-names":false,"suffix":""}],"container-title":"Pedosphere","id":"ITEM-1","issue":"5","issued":{"date-parts":[["2015"]]},"page":"770-780","publisher":"Soil Science Society of China","title":"Soil microbial responses to biochars varying in particle size, surface and pore roperties","type":"article-journal","volume":"25"},"uris":["http://www.mendeley.com/documents/?uuid=c314547b-83a5-4892-a2ac-ceefebeb8819"]},{"id":"ITEM-2","itemData":{"DOI":"10.1016/j.jenvman.2015.07.056","ISSN":"10958630","PMID":"26265597","abstract":"Biochars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Management","id":"ITEM-2","issued":{"date-parts":[["2015"]]},"page":"275-289","title":"Elaboration, characteristics and advantages of biochars for the management of contaminated soils with a specific overview on Miscanthus biochars","type":"article-journal","volume":"162"},"uris":["http://www.mendeley.com/documents/?uuid=fb799e3b-320c-45b9-af26-4ace74302f75"]},{"id":"ITEM-3","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Pollution","id":"ITEM-3","issued":{"date-parts":[["2017"]]},"page":"98-115","publisher":"Elsevier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review","type":"article-journal","volume":"227"},"uris":["http://www.mendeley.com/documents/?uuid=41515b99-fc1c-4f72-9ae6-b7e4c1fe0bc1"]}],"mendeley":{"formattedCitation":"(Jaafar et al., 2015; Janus et al., 2015; Zhu et al., 2017)","plainTextFormattedCitation":"(Jaafar et al., 2015; Janus et al., 2015; Zhu et al., 2017)","previouslyFormattedCitation":"(Jaafar et al., 2015; Janus et al., 2015; Zhu et al., 2017)"},"properties":{"noteIndex":0},"schema":"https://github.com/citation-style-language/schema/raw/master/csl-citation.json"}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(Jaafar et al., 2015; Janus et al., 2015; Zhu et al., 2017)</w:t>
      </w:r>
      <w:r w:rsidRPr="00216965">
        <w:rPr>
          <w:rFonts w:eastAsia="Times New Roman" w:cs="Times New Roman"/>
          <w:szCs w:val="24"/>
        </w:rPr>
        <w:fldChar w:fldCharType="end"/>
      </w:r>
      <w:r w:rsidRPr="00216965">
        <w:rPr>
          <w:rFonts w:eastAsia="Times New Roman" w:cs="Times New Roman"/>
          <w:szCs w:val="24"/>
        </w:rPr>
        <w:t>. For example, soil pH strongly determines the viability of microbial groups and it is known that soil bacteria tend to increase in abundance with increasing pH, up to values around pH</w:t>
      </w:r>
      <w:r w:rsidR="00E45B27" w:rsidRPr="00216965">
        <w:rPr>
          <w:rFonts w:eastAsia="Times New Roman" w:cs="Times New Roman"/>
          <w:szCs w:val="24"/>
        </w:rPr>
        <w:t xml:space="preserve"> </w:t>
      </w:r>
      <w:r w:rsidRPr="00216965">
        <w:rPr>
          <w:rFonts w:eastAsia="Times New Roman" w:cs="Times New Roman"/>
          <w:szCs w:val="24"/>
        </w:rPr>
        <w:t xml:space="preserve">7, whereas fungi may show no change in abundance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{"citationItems":[{"id":"ITEM-1","itemData":{"DOI":"10.1016/j.soilbio.2011.04.022","ISBN":"0038-0717","ISSN":"00380717","abstract":"Soil amendment with biochar is evaluated globally as a means to improve soil fertility and to mitigate climate change. However, the effects of biochar on soil biota have received much less attention than its effects on soil chemical properties. A review of the literature reveals a significant number of early studies on biochar-type materials as soil amendments either for managing pathogens, as inoculant carriers or for manipulative experiments to sorb signaling compounds or toxins. However, no studies exist in the soil biology literature that recognize the observed large variations of biochar physico-chemical properties. This shortcoming has hampered insight into mechanisms by which biochar influences soil microorganisms, fauna and plant roots. Additional factors limiting meaningful interpretation of many datasets are the clearly demonstrated sorption properties that interfere with standard extraction procedures for soil microbial biomass or enzyme assays, and the confounding effects of varying amounts of minerals. In most studies, microbial biomass has been found to increase as a result of biochar additions, with significant changes in microbial community composition and enzyme activities that may explain biogeochemical effects of biochar on element cycles, plant pathogens, and crop growth. Yet, very little is known about the mechanisms through which biochar affects microbial abundance and community composition. The effects of biochar on soil fauna are even less understood than its effects on microorganisms, apart from several notable studies on earthworms. It is clear, however, that sorption phenomena, pH and physical properties of biochars such as pore structure, surface area and mineral matter play important roles in determining how different biochars affect soil biota. Observations on microbial dynamics lead to the conclusion of a possible improved resource use due to co-location of various resources in and around biochars. Sorption and thereby inactivation of growth-inhibiting substances likely plays a role for increased abundance of soil biota. No evidence exists so far for direct negative effects of biochars on plant roots. Occasionally observed decreases in abundance of mycorrhizal fungi are likely caused by concomitant increases in nutrient availability, reducing the need for symbionts. In the short term, the release of a variety of organic molecules from fresh biochar may in some cases be responsible for increases or decreases in abundance an…","author":[{"dropping-particle":"","family":"Lehmann","given":"Johannes","non-dropping-particle":"","parse-names":false,"suffix":""},{"dropping-particle":"","family":"Rillig","given":"Matthias C.","non-dropping-particle":"","parse-names":false,"suffix":""},{"dropping-particle":"","family":"Thies","given":"Janice","non-dropping-particle":"","parse-names":false,"suffix":""},{"dropping-particle":"","family":"Masiello","given":"Caroline A.","non-dropping-particle":"","parse-names":false,"suffix":""},{"dropping-particle":"","family":"Hockaday","given":"William C.","non-dropping-particle":"","parse-names":false,"suffix":""},{"dropping-particle":"","family":"Crowley","given":"David","non-dropping-particle":"","parse-names":false,"suffix":""}],"container-title":"Soil Biology and Biochemistry","id":"ITEM-1","issue":"9","issued":{"date-parts":[["2011"]]},"page":"1812-1836","publisher":"Elsevier Ltd","title":"Biochar effects on soil biota - A review","type":"article-journal","volume":"43"},"uris":["http://www.mendeley.com/documents/?uuid=e9ca3f98-8360-4ad5-8c89-4fe971a27f54"]}],"mendeley":{"formattedCitation":"(Lehmann et al., 2011)","plainTextFormattedCitation":"(Lehmann et al., 2011)","previouslyFormattedCitation":"(Lehmann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(Lehmann et al., 2011)</w:t>
      </w:r>
      <w:r w:rsidRPr="00216965">
        <w:rPr>
          <w:rFonts w:eastAsia="Times New Roman" w:cs="Times New Roman"/>
          <w:szCs w:val="24"/>
        </w:rPr>
        <w:fldChar w:fldCharType="end"/>
      </w:r>
      <w:r w:rsidRPr="00216965">
        <w:rPr>
          <w:rFonts w:eastAsia="Times New Roman" w:cs="Times New Roman"/>
          <w:szCs w:val="24"/>
        </w:rPr>
        <w:t xml:space="preserve">. In addition, increases in soil pH and CEC may increase bioavailable P and base cations in biochar amended soils, favouring the presence of mycorrhizal groups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{"citationItems":[{"id":"ITEM-1","itemData":{"DOI":"10.1007/s11104-007-9391-5","ISBN":"0032-079X","ISSN":"0032079X","PMID":"21855187","abstract":"Experiments suggest that biomass-derived black carbon (biochar) affects microbial populations and soil biogeochemistry. Both biochar and mycorrhizal associations, ubiquitous symbioses in terrestrial ecosystems, are potentially important in various ecosystem services provided by soils, contributing to sustainable plant production, ecosystem restoration, and soil carbon sequestration and hence mitigation of global climate change. As both biochar and mycorrhizal associations are subject to management, understanding and exploiting interactions between them could be advantageous. Here we focus on biochar effects on mycorrhizal associations. After reviewing the experimental evidence for such effects, we critically examine hypotheses pertaining to four mechanisms by which biochar could influence mycorrhizal abundance and/or functioning. These mechanisms are (in decreasing order of currently available evidence supporting them): (a) alteration of soil physico-chemical properties; (b) indirect effects on mycorrhizae through effects on other soil microbes; (c) plant-fungus signaling interference and detoxification of allelochemicals on biochar; and (d) provision of refugia from fungal grazers. We provide a roadmap for research aimed at testing these mechanistic hypotheses.","author":[{"dropping-particle":"","family":"Warnock","given":"Daniel D.","non-dropping-particle":"","parse-names":false,"suffix":""},{"dropping-particle":"","family":"Lehmann","given":"Johannes","non-dropping-particle":"","parse-names":false,"suffix":""},{"dropping-particle":"","family":"Kuyper","given":"Thomas W.","non-dropping-particle":"","parse-names":false,"suffix":""},{"dropping-particle":"","family":"Rillig","given":"Matthias C.","non-dropping-particle":"","parse-names":false,"suffix":""}],"container-title":"Plant and Soil","id":"ITEM-1","issue":"1-2","issued":{"date-parts":[["2007"]]},"page":"9-20","title":"Mycorrhizal responses to biochar in soil - Concepts and mechanisms","type":"article-journal","volume":"300"},"uris":["http://www.mendeley.com/documents/?uuid=385d92ca-147d-49b4-8c41-65e6db39dfc8"]}],"mendeley":{"formattedCitation":"(Warnock et al., 2007)","plainTextFormattedCitation":"(Warnock et al., 2007)","previouslyFormattedCitation":"(Warnock et al., 2007)"},"properties":{"noteIndex":0},"schema":"https://github.com/citation-style-language/schema/raw/master/csl-citation.json"}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(Warnock et al., 2007)</w:t>
      </w:r>
      <w:r w:rsidRPr="00216965">
        <w:rPr>
          <w:rFonts w:eastAsia="Times New Roman" w:cs="Times New Roman"/>
          <w:szCs w:val="24"/>
        </w:rPr>
        <w:fldChar w:fldCharType="end"/>
      </w:r>
      <w:r w:rsidRPr="00216965">
        <w:rPr>
          <w:rFonts w:eastAsia="Times New Roman" w:cs="Times New Roman"/>
          <w:szCs w:val="24"/>
        </w:rPr>
        <w:t xml:space="preserve">. </w:t>
      </w:r>
    </w:p>
    <w:p w14:paraId="5C123B72" w14:textId="35B3B1FA"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It has been suggested that the moisture-retention property of biochar may allow a continued hydration of microorganisms, decreasing mortality during dry conditions. Some minerals in biochar ash can include macro and micro nutrients which are essential for biological cycles. Therefore, biochar can represent a valuable input into the soil food web, influencing microbially-mediated nutrient transformation in soils.  </w:t>
      </w:r>
    </w:p>
    <w:p w14:paraId="427F66B8" w14:textId="77777777" w:rsidR="00632101" w:rsidRPr="00216965" w:rsidRDefault="00632101" w:rsidP="008A33DA">
      <w:pPr>
        <w:pBdr>
          <w:top w:val="nil"/>
          <w:left w:val="nil"/>
          <w:bottom w:val="nil"/>
          <w:right w:val="nil"/>
          <w:between w:val="nil"/>
        </w:pBdr>
        <w:spacing w:line="360" w:lineRule="auto"/>
        <w:jc w:val="center"/>
        <w:rPr>
          <w:rFonts w:eastAsia="Times New Roman" w:cs="Times New Roman"/>
          <w:color w:val="000000"/>
          <w:szCs w:val="24"/>
        </w:rPr>
      </w:pPr>
      <w:r w:rsidRPr="00216965">
        <w:rPr>
          <w:noProof/>
          <w:color w:val="000000"/>
        </w:rPr>
        <w:lastRenderedPageBreak/>
        <w:drawing>
          <wp:inline distT="0" distB="0" distL="0" distR="0" wp14:anchorId="3490B246" wp14:editId="2E140504">
            <wp:extent cx="5812972" cy="4005943"/>
            <wp:effectExtent l="0" t="0" r="0" b="0"/>
            <wp:docPr id="85" name="image5.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85" name="image5.png" descr="A screenshot of a video game&#10;&#10;Description automatically generated"/>
                    <pic:cNvPicPr preferRelativeResize="0"/>
                  </pic:nvPicPr>
                  <pic:blipFill>
                    <a:blip r:embed="rId23"/>
                    <a:srcRect/>
                    <a:stretch>
                      <a:fillRect/>
                    </a:stretch>
                  </pic:blipFill>
                  <pic:spPr>
                    <a:xfrm>
                      <a:off x="0" y="0"/>
                      <a:ext cx="5829388" cy="4017256"/>
                    </a:xfrm>
                    <a:prstGeom prst="rect">
                      <a:avLst/>
                    </a:prstGeom>
                    <a:ln/>
                  </pic:spPr>
                </pic:pic>
              </a:graphicData>
            </a:graphic>
          </wp:inline>
        </w:drawing>
      </w:r>
    </w:p>
    <w:p w14:paraId="2C9486AC" w14:textId="2AF39547" w:rsidR="00632101" w:rsidRPr="00216965" w:rsidRDefault="00632101" w:rsidP="008A33DA">
      <w:pPr>
        <w:pStyle w:val="Caption"/>
        <w:jc w:val="both"/>
        <w:rPr>
          <w:b/>
          <w:bCs w:val="0"/>
        </w:rPr>
      </w:pPr>
      <w:bookmarkStart w:id="99" w:name="_heading=h.1y810tw" w:colFirst="0" w:colLast="0"/>
      <w:bookmarkStart w:id="100" w:name="_Ref83027279"/>
      <w:bookmarkStart w:id="101" w:name="_Toc86439350"/>
      <w:bookmarkEnd w:id="99"/>
      <w:r w:rsidRPr="00216965">
        <w:rPr>
          <w:b/>
          <w:bCs w:val="0"/>
        </w:rPr>
        <w:t>Fig</w:t>
      </w:r>
      <w:r w:rsidR="008B181D"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7</w:t>
      </w:r>
      <w:r w:rsidR="00BF3EBE" w:rsidRPr="00216965">
        <w:rPr>
          <w:b/>
          <w:bCs w:val="0"/>
        </w:rPr>
        <w:fldChar w:fldCharType="end"/>
      </w:r>
      <w:bookmarkEnd w:id="100"/>
      <w:r w:rsidRPr="00216965">
        <w:rPr>
          <w:b/>
          <w:bCs w:val="0"/>
        </w:rPr>
        <w:t xml:space="preserve"> </w:t>
      </w:r>
      <w:r w:rsidRPr="00216965">
        <w:rPr>
          <w:rFonts w:eastAsia="Times New Roman" w:cs="Times New Roman"/>
          <w:b/>
          <w:bCs w:val="0"/>
          <w:color w:val="000000"/>
          <w:szCs w:val="24"/>
        </w:rPr>
        <w:t>Schematic illustration of interaction between biochar and soil microorganisms in heavy metal-contaminated soil</w:t>
      </w:r>
      <w:bookmarkEnd w:id="101"/>
      <w:r w:rsidR="00A95538" w:rsidRPr="00216965">
        <w:rPr>
          <w:rFonts w:eastAsia="Times New Roman" w:cs="Times New Roman"/>
          <w:b/>
          <w:bCs w:val="0"/>
          <w:color w:val="000000"/>
          <w:szCs w:val="24"/>
        </w:rPr>
        <w:t>.</w:t>
      </w:r>
    </w:p>
    <w:p w14:paraId="58FF488D" w14:textId="21D761D1" w:rsidR="00632101" w:rsidRPr="00216965" w:rsidRDefault="00632101" w:rsidP="008A33DA">
      <w:pPr>
        <w:pBdr>
          <w:top w:val="nil"/>
          <w:left w:val="nil"/>
          <w:bottom w:val="nil"/>
          <w:right w:val="nil"/>
          <w:between w:val="nil"/>
        </w:pBdr>
        <w:spacing w:line="360" w:lineRule="auto"/>
        <w:jc w:val="both"/>
        <w:rPr>
          <w:rFonts w:eastAsia="Times New Roman" w:cs="Times New Roman"/>
          <w:color w:val="000000"/>
          <w:szCs w:val="24"/>
        </w:rPr>
      </w:pPr>
      <w:r w:rsidRPr="00216965">
        <w:rPr>
          <w:rFonts w:eastAsia="Times New Roman" w:cs="Times New Roman"/>
          <w:color w:val="000000"/>
          <w:szCs w:val="24"/>
        </w:rPr>
        <w:t xml:space="preserve">In relation to changes in microbial abundance influenced by biochar, the effect may differ for groups of microorganisms. The most studied microbial group are mycorrhizal fungi, which are often positively affected by biochar addition. For example, the internal pore system of biochar particles may protect the extra radical mycelium from grazers, favouring its proliferation. Occasionally, observed decreases in abundance of mycorrhizal fungi are not completely understood, but are suggested to result from increased nutrient and water availability promoted by biochar application, thereby reducing the need for symbionts </w:t>
      </w:r>
      <w:r w:rsidRPr="00216965">
        <w:rPr>
          <w:rFonts w:eastAsia="Times New Roman" w:cs="Times New Roman"/>
          <w:color w:val="000000"/>
          <w:szCs w:val="24"/>
        </w:rPr>
        <w:fldChar w:fldCharType="begin" w:fldLock="1"/>
      </w:r>
      <w:r w:rsidR="006C06AA" w:rsidRPr="00216965">
        <w:rPr>
          <w:rFonts w:eastAsia="Times New Roman" w:cs="Times New Roman"/>
          <w:color w:val="000000"/>
          <w:szCs w:val="24"/>
        </w:rPr>
        <w:instrText>ADDIN CSL_CITATION {"citationItems":[{"id":"ITEM-1","itemData":{"DOI":"10.1016/j.soilbio.2011.04.022","ISBN":"0038-0717","ISSN":"00380717","abstract":"Soil amendment with biochar is evaluated globally as a means to improve soil fertility and to mitigate climate change. However, the effects of biochar on soil biota have received much less attention than its effects on soil chemical properties. A review of the literature reveals a significant number of early studies on biochar-type materials as soil amendments either for managing pathogens, as inoculant carriers or for manipulative experiments to sorb signaling compounds or toxins. However, no studies exist in the soil biology literature that recognize the observed large variations of biochar physico-chemical properties. This shortcoming has hampered insight into mechanisms by which biochar influences soil microorganisms, fauna and plant roots. Additional factors limiting meaningful interpretation of many datasets are the clearly demonstrated sorption properties that interfere with standard extraction procedures for soil microbial biomass or enzyme assays, and the confounding effects of varying amounts of minerals. In most studies, microbial biomass has been found to increase as a result of biochar additions, with significant changes in microbial community composition and enzyme activities that may explain biogeochemical effects of biochar on element cycles, plant pathogens, and crop growth. Yet, very little is known about the mechanisms through which biochar affects microbial abundance and community composition. The effects of biochar on soil fauna are even less understood than its effects on microorganisms, apart from several notable studies on earthworms. It is clear, however, that sorption phenomena, pH and physical properties of biochars such as pore structure, surface area and mineral matter play important roles in determining how different biochars affect soil biota. Observations on microbial dynamics lead to the conclusion of a possible improved resource use due to co-location of various resources in and around biochars. Sorption and thereby inactivation of growth-inhibiting substances likely plays a role for increased abundance of soil biota. No evidence exists so far for direct negative effects of biochars on plant roots. Occasionally observed decreases in abundance of mycorrhizal fungi are likely caused by concomitant increases in nutrient availability, reducing the need for symbionts. In the short term, the release of a variety of organic molecules from fresh biochar may in some cases be responsible for increases or decreases in abundance an…","author":[{"dropping-particle":"","family":"Lehmann","given":"Johannes","non-dropping-particle":"","parse-names":false,"suffix":""},{"dropping-particle":"","family":"Rillig","given":"Matthias C.","non-dropping-particle":"","parse-names":false,"suffix":""},{"dropping-particle":"","family":"Thies","given":"Janice","non-dropping-particle":"","parse-names":false,"suffix":""},{"dropping-particle":"","family":"Masiello","given":"Caroline A.","non-dropping-particle":"","parse-names":false,"suffix":""},{"dropping-particle":"","family":"Hockaday","given":"William C.","non-dropping-particle":"","parse-names":false,"suffix":""},{"dropping-particle":"","family":"Crowley","given":"David","non-dropping-particle":"","parse-names":false,"suffix":""}],"container-title":"Soil Biology and Biochemistry","id":"ITEM-1","issue":"9","issued":{"date-parts":[["2011"]]},"page":"1812-1836","publisher":"Elsevier Ltd","title":"Biochar effects on soil biota - A review","type":"article-journal","volume":"43"},"uris":["http://www.mendeley.com/documents/?uuid=e9ca3f98-8360-4ad5-8c89-4fe971a27f54"]}],"mendeley":{"formattedCitation":"(Lehmann et al., 2011)","plainTextFormattedCitation":"(Lehmann et al., 2011)","previouslyFormattedCitation":"(Lehmann et al., 2011)"},"properties":{"noteIndex":0},"schema":"https://github.com/citation-style-language/schema/raw/master/csl-citation.json"}</w:instrText>
      </w:r>
      <w:r w:rsidRPr="00216965">
        <w:rPr>
          <w:rFonts w:eastAsia="Times New Roman" w:cs="Times New Roman"/>
          <w:color w:val="000000"/>
          <w:szCs w:val="24"/>
        </w:rPr>
        <w:fldChar w:fldCharType="separate"/>
      </w:r>
      <w:r w:rsidR="00C83E62" w:rsidRPr="00216965">
        <w:rPr>
          <w:rFonts w:eastAsia="Times New Roman" w:cs="Times New Roman"/>
          <w:noProof/>
          <w:color w:val="000000"/>
          <w:szCs w:val="24"/>
        </w:rPr>
        <w:t>(Lehmann et al., 2011)</w:t>
      </w:r>
      <w:r w:rsidRPr="00216965">
        <w:rPr>
          <w:rFonts w:eastAsia="Times New Roman" w:cs="Times New Roman"/>
          <w:color w:val="000000"/>
          <w:szCs w:val="24"/>
        </w:rPr>
        <w:fldChar w:fldCharType="end"/>
      </w:r>
      <w:r w:rsidRPr="00216965">
        <w:rPr>
          <w:rFonts w:eastAsia="Times New Roman" w:cs="Times New Roman"/>
          <w:color w:val="000000"/>
          <w:szCs w:val="24"/>
        </w:rPr>
        <w:t xml:space="preserve">. It may also be related to the high salt or heavy metal content associated with some biochars, which can limit mycorrhizal colonization </w:t>
      </w:r>
      <w:r w:rsidRPr="00216965">
        <w:rPr>
          <w:rFonts w:eastAsia="Times New Roman" w:cs="Times New Roman"/>
          <w:color w:val="000000"/>
          <w:szCs w:val="24"/>
        </w:rPr>
        <w:fldChar w:fldCharType="begin" w:fldLock="1"/>
      </w:r>
      <w:r w:rsidR="006C06AA" w:rsidRPr="00216965">
        <w:rPr>
          <w:rFonts w:eastAsia="Times New Roman" w:cs="Times New Roman"/>
          <w:color w:val="000000"/>
          <w:szCs w:val="24"/>
        </w:rPr>
        <w:instrText>ADDIN CSL_CITATION {"citationItems":[{"id":"ITEM-1","itemData":{"DOI":"10.1007/s11104-007-9391-5","ISBN":"0032-079X","ISSN":"0032079X","PMID":"21855187","abstract":"Experiments suggest that biomass-derived black carbon (biochar) affects microbial populations and soil biogeochemistry. Both biochar and mycorrhizal associations, ubiquitous symbioses in terrestrial ecosystems, are potentially important in various ecosystem services provided by soils, contributing to sustainable plant production, ecosystem restoration, and soil carbon sequestration and hence mitigation of global climate change. As both biochar and mycorrhizal associations are subject to management, understanding and exploiting interactions between them could be advantageous. Here we focus on biochar effects on mycorrhizal associations. After reviewing the experimental evidence for such effects, we critically examine hypotheses pertaining to four mechanisms by which biochar could influence mycorrhizal abundance and/or functioning. These mechanisms are (in decreasing order of currently available evidence supporting them): (a) alteration of soil physico-chemical properties; (b) indirect effects on mycorrhizae through effects on other soil microbes; (c) plant-fungus signaling interference and detoxification of allelochemicals on biochar; and (d) provision of refugia from fungal grazers. We provide a roadmap for research aimed at testing these mechanistic hypotheses.","author":[{"dropping-particle":"","family":"Warnock","given":"Daniel D.","non-dropping-particle":"","parse-names":false,"suffix":""},{"dropping-particle":"","family":"Lehmann","given":"Johannes","non-dropping-particle":"","parse-names":false,"suffix":""},{"dropping-particle":"","family":"Kuyper","given":"Thomas W.","non-dropping-particle":"","parse-names":false,"suffix":""},{"dropping-particle":"","family":"Rillig","given":"Matthias C.","non-dropping-particle":"","parse-names":false,"suffix":""}],"container-title":"Plant and Soil","id":"ITEM-1","issue":"1-2","issued":{"date-parts":[["2007"]]},"page":"9-20","title":"Mycorrhizal responses to biochar in soil - Concepts and mechanisms","type":"article-journal","volume":"300"},"uris":["http://www.mendeley.com/documents/?uuid=385d92ca-147d-49b4-8c41-65e6db39dfc8"]}],"mendeley":{"formattedCitation":"(Warnock et al., 2007)","plainTextFormattedCitation":"(Warnock et al., 2007)","previouslyFormattedCitation":"(Warnock et al., 2007)"},"properties":{"noteIndex":0},"schema":"https://github.com/citation-style-language/schema/raw/master/csl-citation.json"}</w:instrText>
      </w:r>
      <w:r w:rsidRPr="00216965">
        <w:rPr>
          <w:rFonts w:eastAsia="Times New Roman" w:cs="Times New Roman"/>
          <w:color w:val="000000"/>
          <w:szCs w:val="24"/>
        </w:rPr>
        <w:fldChar w:fldCharType="separate"/>
      </w:r>
      <w:r w:rsidR="00C83E62" w:rsidRPr="00216965">
        <w:rPr>
          <w:rFonts w:eastAsia="Times New Roman" w:cs="Times New Roman"/>
          <w:noProof/>
          <w:color w:val="000000"/>
          <w:szCs w:val="24"/>
        </w:rPr>
        <w:t>(Warnock et al., 2007)</w:t>
      </w:r>
      <w:r w:rsidRPr="00216965">
        <w:rPr>
          <w:rFonts w:eastAsia="Times New Roman" w:cs="Times New Roman"/>
          <w:color w:val="000000"/>
          <w:szCs w:val="24"/>
        </w:rPr>
        <w:fldChar w:fldCharType="end"/>
      </w:r>
      <w:r w:rsidRPr="00216965">
        <w:rPr>
          <w:rFonts w:eastAsia="Times New Roman" w:cs="Times New Roman"/>
          <w:color w:val="000000"/>
          <w:szCs w:val="24"/>
        </w:rPr>
        <w:t xml:space="preserve">. </w:t>
      </w:r>
    </w:p>
    <w:p w14:paraId="548F41C8" w14:textId="438C477F"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The effect of biochar on microbial activity and diversity has been investigated. Biochar can enhance microbial activity due to sorption and thereby inactivation of growth-inhibiting or toxic substances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{"citationItems":[{"id":"ITEM-1","itemData":{"DOI":"10.1016/S1002-0160(15)30058-8","ISSN":"10020160","abstract":"Biochars are known for their heterogeneity, especially in pore and surface structure associated with pyrolysis processes and sources of feedstocks. The surface area of biochar is likely to be an important determinant of the extent of soil microbial attachment, whereas the porous structure of biochar is expected to provide protection for soil microorganisms. Potential interactions between biochars from different sources and with different particle sizes were investigated in relation to soil microbial properties in a short-term incubation study. Three particle size (sieved) fractions (0.5-1.0, 1.0-2.0 and 2.0-4.0 mm) from three woody biochars produced from jarrah wood, jarrah and wandoo wood and Australian wattle branches, respectively, were incubated in soil at 25 ??C for 56 d. Observation by scanning electron microscopy (SEM) and characterisation of pore and surface area showed that all three woody biochars provided potential habitats for soil microorganisms due to their high porosity and surface areas. The biochars were structurally heterogeneous, varying in porosity and surface structure both within and between the biochar sources. After the 56-d incubation, hyphal colonisation was observed on biochar surfaces and in larger biochar pores. Soil clumping occurred on biochar particles, cementing and covering exposed biochar pores. This may have altered surface area and pore availability for microbial colonisation. Transient changes in soil microbial biomass, without a consistent trend, were observed among biochars during the 56-d incubation.","author":[{"dropping-particle":"","family":"Jaafar","given":"Noraini","non-dropping-particle":"","parse-names":false,"suffix":""},{"dropping-particle":"","family":"Clode","given":"Peta","non-dropping-particle":"","parse-names":false,"suffix":""},{"dropping-particle":"","family":"Abbott","given":"Lynette","non-dropping-particle":"","parse-names":false,"suffix":""}],"container-title":"Pedosphere","id":"ITEM-1","issue":"5","issued":{"date-parts":[["2015"]]},"page":"770-780","publisher":"Soil Science Society of China","title":"Soil microbial responses to biochars varying in particle size, surface and pore roperties","type":"article-journal","volume":"25"},"uris":["http://www.mendeley.com/documents/?uuid=c314547b-83a5-4892-a2ac-ceefebeb8819"]},{"id":"ITEM-2","itemData":{"DOI":"10.1016/j.scitotenv.2011.12.009","ISBN":"0048-9697","ISSN":"00489697","PMID":"22226394","abstract":"The influence of biochar derived from a hardwood tree (Quercus serrate Murray) on the dynamics of the microbial community during the composting of poultry manure (PM) and cow manure (CM) was evaluated by phospholipid fatty acid analysis (PLFAs). Changes in the PLFA patterns were related to key composting properties (C/N ratio, temperature, and bulk density) as the major drivers of the dynamics of the microbial community. At the beginning of the process, the fungal biomass was significantly greater in PM and CM than in the respective co-composted materials with biochar (PMB and CMB); this difference declined gradually during the process. In contrast, the Gram. + to Gram. - ratio was increased by the presence of biochar. After 12. weeks of composting, factor analysis based on the relative abundances of single PLFAs revealed changes in the microbial community structure which depended on the original organic wastes (CM vs PM). © 2011 Elsevier B.V.","author":[{"dropping-particle":"","family":"Jindo","given":"Keiji","non-dropping-particle":"","parse-names":false,"suffix":""},{"dropping-particle":"","family":"Sánchez-Monedero","given":"Miguel A.","non-dropping-particle":"","parse-names":false,"suffix":""},{"dropping-particle":"","family":"Hernández","given":"Teresa","non-dropping-particle":"","parse-names":false,"suffix":""},{"dropping-particle":"","family":"García","given":"Carlos","non-dropping-particle":"","parse-names":false,"suffix":""},{"dropping-particle":"","family":"Furukawa","given":"Toru","non-dropping-particle":"","parse-names":false,"suffix":""},{"dropping-particle":"","family":"Matsumoto","given":"Kazuhiro","non-dropping-particle":"","parse-names":false,"suffix":""},{"dropping-particle":"","family":"Sonoki","given":"Tomonori","non-dropping-particle":"","parse-names":false,"suffix":""},{"dropping-particle":"","family":"Bastida","given":"Felipe","non-dropping-particle":"","parse-names":false,"suffix":""}],"container-title":"Science of the Total Environment","id":"ITEM-2","issued":{"date-parts":[["2012"]]},"page":"476-481","publisher":"Elsevier B.V.","title":"Biochar influences the microbial community structure during manure composting with agricultural wastes","type":"article-journal","volume":"416"},"uris":["http://www.mendeley.com/documents/?uuid=76945f50-9294-49f3-853c-d0960a22a682"]},{"id":"ITEM-3","itemData":{"DOI":"10.1016/j.scitotenv.2018.02.156","ISSN":"18791026","abstract":"In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Environment","id":"ITEM-3","issued":{"date-parts":[["2018"]]},"page":"1287-1295","publisher":"Elsevier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additives","type":"article-journal","volume":"628-629"},"uris":["http://www.mendeley.com/documents/?uuid=9c06a75b-67d7-467b-ac54-a74c5a7bb86a"]}],"mendeley":{"formattedCitation":"(Jaafar et al., 2015; Jindo et al., 2012; Wawra et al., 2018)","plainTextFormattedCitation":"(Jaafar et al., 2015; Jindo et al., 2012; Wawra et al., 2018)","previouslyFormattedCitation":"(Jaafar et al., 2015; Jindo et al., 2012; Wawra et al., 2018)"},"properties":{"noteIndex":0},"schema":"https://github.com/citation-style-language/schema/raw/master/csl-citation.json"}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(Jaafar et al., 2015; Jindo et al., 2012; Wawra et al., 2018)</w:t>
      </w:r>
      <w:r w:rsidRPr="00216965">
        <w:rPr>
          <w:rFonts w:eastAsia="Times New Roman" w:cs="Times New Roman"/>
          <w:szCs w:val="24"/>
        </w:rPr>
        <w:fldChar w:fldCharType="end"/>
      </w:r>
      <w:r w:rsidRPr="00216965">
        <w:rPr>
          <w:rFonts w:eastAsia="Times New Roman" w:cs="Times New Roman"/>
          <w:szCs w:val="24"/>
        </w:rPr>
        <w:t xml:space="preserve">. Generally, the biodiversity of contaminated soil is poor because the contaminants are toxic to soil communities at high concentrations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(Beesley et al., 2011)</w:t>
      </w:r>
      <w:r w:rsidRPr="00216965">
        <w:rPr>
          <w:rFonts w:eastAsia="Times New Roman" w:cs="Times New Roman"/>
          <w:szCs w:val="24"/>
        </w:rPr>
        <w:fldChar w:fldCharType="end"/>
      </w:r>
      <w:r w:rsidRPr="00216965">
        <w:rPr>
          <w:rFonts w:eastAsia="Times New Roman" w:cs="Times New Roman"/>
          <w:szCs w:val="24"/>
        </w:rPr>
        <w:t xml:space="preserve">. Therefore, binding toxic compounds can increase microbial activity and promote changes at the community </w:t>
      </w:r>
      <w:r w:rsidRPr="00216965">
        <w:rPr>
          <w:rFonts w:eastAsia="Times New Roman" w:cs="Times New Roman"/>
          <w:szCs w:val="24"/>
        </w:rPr>
        <w:lastRenderedPageBreak/>
        <w:t xml:space="preserve">level </w:t>
      </w:r>
      <w:r w:rsidRPr="00216965">
        <w:rPr>
          <w:rFonts w:eastAsia="Times New Roman" w:cs="Times New Roman"/>
          <w:szCs w:val="24"/>
        </w:rPr>
        <w:fldChar w:fldCharType="begin" w:fldLock="1"/>
      </w:r>
      <w:r w:rsidR="006C06AA" w:rsidRPr="00216965">
        <w:rPr>
          <w:rFonts w:eastAsia="Times New Roman" w:cs="Times New Roman"/>
          <w:szCs w:val="24"/>
        </w:rPr>
        <w:instrText xml:space="preserve">ADDIN CSL_CITATION {"citationItems":[{"id":"ITEM-1","itemData":{"DOI":"10.1016/j.chemosphere.2013.10.071","ISBN":"1879-1298 (Electronic) 0045-6535 (Linking)","ISSN":"00456535","PMID":"24289982","abstract":"Biochar is a stable carbon-rich by-product synthesized through pyrolysis/carbonization of plant- and animal-based biomass. An increasing interest in the beneficial application of biochar has opened up multidisciplinary areas for science and engineering. The potential biochar applications include carbon sequestration, soil fertility improvement, pollution remediation, and agricultural by-product/waste recycling. The key parameters controlling its properties include pyrolysis temperature, residence time, heat transfer rate, and feedstock type. The efficacy of biochar in contaminant management depends on its surface area, pore size distribution and ion-exchange capacity. Physical architecture and molecular composition of biochar could be critical for practical application to soil and water. Relatively high pyrolysis temperatures generally produce biochars that are effective in the sorption of organic contaminants by increasing surface area, microporosity, and hydrophobicity; whereas the biochars obtained at low temperatures are more suitable for removing inorganic/polar organic contaminants by oxygen-containing functional groups, electrostatic attraction, and precipitation. However, due to complexity of soil-water system in nature, the effectiveness of biochars on remediation of various organic/inorganic contaminants is still uncertain. In this review, a succinct overview of current biochar use as a sorbent for contaminant management in soil and water is summarized and discussed. © 2013 Elsevier Ltd.","author":[{"dropping-particle":"","family":"Ahmad","given":"Mahtab","non-dropping-particle":"","parse-names":false,"suffix":""},{"dropping-particle":"","family":"Rajapaksha","given":"Anushka Upamali","non-dropping-particle":"","parse-names":false,"suffix":""},{"dropping-particle":"","family":"Lim","given":"Jung Eun","non-dropping-particle":"","parse-names":false,"suffix":""},{"dropping-particle":"","family":"Zhang","given":"Ming","non-dropping-particle":"","parse-names":false,"suffix":""},{"dropping-particle":"","family":"Bolan","given":"Nanthi","non-dropping-particle":"","parse-names":false,"suffix":""},{"dropping-particle":"","family":"Mohan","given":"Dinesh","non-dropping-particle":"","parse-names":false,"suffix":""},{"dropping-particle":"","family":"Vithanage","given":"Meththika","non-dropping-particle":"","parse-names":false,"suffix":""},{"dropping-particle":"","family":"Lee","given":"Sang Soo","non-dropping-particle":"","parse-names":false,"suffix":""},{"dropping-particle":"","family":"Ok","given":"Yong Sik","non-dropping-particle":"","parse-names":false,"suffix":""}],"container-title":"Chemosphere","id":"ITEM-1","issued":{"date-parts":[["2014"]]},"page":"19-23","publisher":"Elsevier Ltd","title":"Biochar as a sorbent for contaminant management in soil and water: A review","type":"article-journal","volume":"99"},"uris":["http://www.mendeley.com/documents/?uuid=48218992-b65d-439f-b228-8bd55f65ddf1"]},{"id":"ITEM-2","itemData":{"DOI":"10.1007/s11356-014-3719-5","ISBN":"1135601437","ISSN":"16147499","PMID":"25345923","abstract":"Amending polycyclic aromatic hydrocarbon (PAH)-contaminated soils with biochar may be cheaper and environmentally friendly than other forms of organic materials. This has led to numerous studies on the use of biochar to either bind or stimulate the microbial degradation of organic compounds in soils. However, very little or no attention have been paid to the fact that biochars can give simultaneous impact on PAH fate processes, such as volatilization, sorption and biodegradation. In this review, we raised and considered the following questions: How does biochar affect microbes and microbial activities in the soil? What are the effects of adding biochar on sorption of PAHs? What are the effects of adding biochar on degradation of PAHs? What are the factors that we can manipulate in the laboratory to enhance the capability of biochars to degrade PAHs? A triphasic concept of how biochar can give simultaneous impact on PAH fate processes in soils was proposed, which involves rapid PAH sorption into biochar, subsequent desorption and modification of soil physicochemical properties by biochar, which in turn stimulates microbial degradation of the desorbed PAHs. It is anticipated that biochar can give simultaneous impact on PAH fate processes in soils.","author":[{"dropping-particle":"","family":"Anyika","given":"Chinedum","non-dropping-particle":"","parse-names":false,"suffix":""},{"dropping-particle":"","family":"Abdul Majid","given":"Zaiton","non-dropping-particle":"","parse-names":false,"suffix":""},{"dropping-particle":"","family":"Ibrahim","given":"Zahara","non-dropping-particle":"","parse-names":false,"suffix":""},{"dropping-particle":"","family":"Zakaria","given":"Mohamad Pauzi","non-dropping-particle":"","parse-names":false,"suffix":""},{"dropping-particle":"","family":"Yahya","given":"Adibah","non-dropping-particle":"","parse-names":false,"suffix":""}],"container-title":"Environmental Science and Pollution Research","id":"ITEM-2","issue":"5","issued":{"date-parts":[["2015"]]},"page":"3314-3341","title":"The impact of biochars on sorption and biodegradation of polycyclic aromatic hydrocarbons in soils—a review","type":"article-journal","volume":"22"},"uris":["http://www.mendeley.com/documents/?uuid=624dbb7f-e926-4a35-9237-44c49ac67b2b"]},{"id":"ITEM-3","itemData":{"DOI":"10.1007/s11104-011-0948-y","ISBN":"0032-079X","ISSN":"0032079X","abstract":"Background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w:instrText>
      </w:r>
      <w:r w:rsidR="006C06AA" w:rsidRPr="00216965">
        <w:rPr>
          <w:rFonts w:eastAsia="Times New Roman" w:cs="Times New Roman"/>
          <w:szCs w:val="24"/>
          <w:lang w:val="fr-FR"/>
        </w:rPr>
        <w:instrText>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Soil","id":"ITEM-3","issued":{"date-parts":[["2011"]]},"page":"439-451","title":"Biochar reduces the bioavailability and phytotoxicity of heavy metals","type":"article-journal","volume":"348"},"uris":["http://www.mendeley.com/documents/?uuid=82171b33-8b24-44b8-8521-6ab142be0efa"]}],"mendeley":{"formattedCitation":"(Ahmad et al., 2014; Anyika et al., 2015; Park et al., 2011a)","plainTextFormattedCitation":"(Ahmad et al., 2014; Anyika et al., 2015; Park et al., 2011a)","previouslyFormattedCitation":"(Ahmad et al., 2014; Anyika et al., 2015; Park et al., 2011a)"},"properties":{"noteIndex":0},"schema":"https://github.com/citation-style-language/schema/raw/master/csl-citation.json"}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fr-FR"/>
        </w:rPr>
        <w:t>(Ahmad et al., 2014; Anyika et al., 2015; Park et al., 2011a)</w:t>
      </w:r>
      <w:r w:rsidRPr="00216965">
        <w:rPr>
          <w:rFonts w:eastAsia="Times New Roman" w:cs="Times New Roman"/>
          <w:szCs w:val="24"/>
        </w:rPr>
        <w:fldChar w:fldCharType="end"/>
      </w:r>
      <w:r w:rsidRPr="00216965">
        <w:rPr>
          <w:rFonts w:eastAsia="Times New Roman" w:cs="Times New Roman"/>
          <w:szCs w:val="24"/>
          <w:lang w:val="fr-FR"/>
        </w:rPr>
        <w:t xml:space="preserve">. </w:t>
      </w:r>
      <w:r w:rsidRPr="00216965">
        <w:rPr>
          <w:rFonts w:eastAsia="Times New Roman" w:cs="Times New Roman"/>
          <w:szCs w:val="24"/>
        </w:rPr>
        <w:t xml:space="preserve">Such changes in community structure can occur even without a noticeable change in microbial activity or biomass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Pollution","id":"ITEM-1","issued":{"date-parts":[["2017"]]},"page":"98-115","publisher":"Elsevier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review","type":"article-journal","volume":"227"},"uris":["http://www.mendeley.com/documents/?uuid=41515b99-fc1c-4f72-9ae6-b7e4c1fe0bc1"]}],"mendeley":{"formattedCitation":"(Zhu et al., 2017)","plainTextFormattedCitation":"(Zhu et al., 2017)","previouslyFormattedCitation":"(Zhu et al., 2017)"},"properties":{"noteIndex":0},"schema":"https://github.com/citation-style-language/schema/raw/master/csl-citation.json"}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(Zhu et al., 2017)</w:t>
      </w:r>
      <w:r w:rsidRPr="00216965">
        <w:rPr>
          <w:rFonts w:eastAsia="Times New Roman" w:cs="Times New Roman"/>
          <w:szCs w:val="24"/>
        </w:rPr>
        <w:fldChar w:fldCharType="end"/>
      </w:r>
      <w:r w:rsidRPr="00216965">
        <w:rPr>
          <w:rFonts w:eastAsia="Times New Roman" w:cs="Times New Roman"/>
          <w:szCs w:val="24"/>
        </w:rPr>
        <w:t xml:space="preserve">. </w:t>
      </w:r>
    </w:p>
    <w:p w14:paraId="16DB7977" w14:textId="77777777" w:rsidR="00632101" w:rsidRPr="00216965" w:rsidRDefault="00632101" w:rsidP="008A33DA">
      <w:pPr>
        <w:pStyle w:val="Heading3"/>
        <w:rPr>
          <w:rFonts w:eastAsia="Times New Roman"/>
        </w:rPr>
      </w:pPr>
      <w:bookmarkStart w:id="102" w:name="_Ref82905088"/>
      <w:bookmarkStart w:id="103" w:name="_Toc86504641"/>
      <w:r w:rsidRPr="00216965">
        <w:rPr>
          <w:rFonts w:eastAsia="Times New Roman"/>
        </w:rPr>
        <w:t>Plants</w:t>
      </w:r>
      <w:bookmarkEnd w:id="102"/>
      <w:bookmarkEnd w:id="103"/>
    </w:p>
    <w:p w14:paraId="7CCF7B9B" w14:textId="23A1B994"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Biochar application to heavy metal-contaminated soil can protect plants from HM toxicity and improve plant performance in some cases. As illustrated in </w:t>
      </w:r>
      <w:r w:rsidRPr="00216965">
        <w:rPr>
          <w:rFonts w:eastAsia="Times New Roman" w:cs="Times New Roman"/>
          <w:szCs w:val="24"/>
        </w:rPr>
        <w:fldChar w:fldCharType="begin"/>
      </w:r>
      <w:r w:rsidRPr="00216965">
        <w:rPr>
          <w:rFonts w:eastAsia="Times New Roman" w:cs="Times New Roman"/>
          <w:szCs w:val="24"/>
        </w:rPr>
        <w:instrText xml:space="preserve"> REF _Ref82891550 \h </w:instrText>
      </w:r>
      <w:r w:rsidRPr="00216965">
        <w:rPr>
          <w:rFonts w:eastAsia="Times New Roman" w:cs="Times New Roman"/>
          <w:szCs w:val="24"/>
        </w:rPr>
      </w:r>
      <w:r w:rsidR="00216965" w:rsidRPr="00216965">
        <w:rPr>
          <w:rFonts w:eastAsia="Times New Roman" w:cs="Times New Roman"/>
          <w:szCs w:val="24"/>
        </w:rPr>
        <w:instrText xml:space="preserve"> \* MERGEFORMAT </w:instrText>
      </w:r>
      <w:r w:rsidRPr="00216965">
        <w:rPr>
          <w:rFonts w:eastAsia="Times New Roman" w:cs="Times New Roman"/>
          <w:szCs w:val="24"/>
        </w:rPr>
        <w:fldChar w:fldCharType="separate"/>
      </w:r>
      <w:r w:rsidR="006E23EA" w:rsidRPr="00216965">
        <w:rPr>
          <w:b/>
        </w:rPr>
        <w:t xml:space="preserve">Fig. </w:t>
      </w:r>
      <w:r w:rsidR="006E23EA" w:rsidRPr="00216965">
        <w:rPr>
          <w:b/>
          <w:bCs/>
          <w:noProof/>
        </w:rPr>
        <w:t>2</w:t>
      </w:r>
      <w:r w:rsidR="006E23EA" w:rsidRPr="00216965">
        <w:rPr>
          <w:b/>
        </w:rPr>
        <w:noBreakHyphen/>
      </w:r>
      <w:r w:rsidR="006E23EA" w:rsidRPr="00216965">
        <w:rPr>
          <w:b/>
          <w:bCs/>
          <w:noProof/>
        </w:rPr>
        <w:t>8</w:t>
      </w:r>
      <w:r w:rsidRPr="00216965">
        <w:rPr>
          <w:rFonts w:eastAsia="Times New Roman" w:cs="Times New Roman"/>
          <w:szCs w:val="24"/>
        </w:rPr>
        <w:fldChar w:fldCharType="end"/>
      </w:r>
      <w:r w:rsidRPr="00216965">
        <w:rPr>
          <w:rFonts w:eastAsia="Times New Roman" w:cs="Times New Roman"/>
          <w:szCs w:val="24"/>
        </w:rPr>
        <w:t xml:space="preserve">, this influence is associated with a decreased toxicity of metals (reduced bioavailability), changes in pH (liming effect), increased water holding capacity and aeration, and input of organic material and nutrients (Janus </w:t>
      </w:r>
      <w:r w:rsidR="009B2252" w:rsidRPr="00216965">
        <w:rPr>
          <w:rFonts w:eastAsia="Times New Roman" w:cs="Times New Roman"/>
          <w:iCs/>
          <w:szCs w:val="24"/>
        </w:rPr>
        <w:t>et al</w:t>
      </w:r>
      <w:r w:rsidRPr="00216965">
        <w:rPr>
          <w:rFonts w:eastAsia="Times New Roman" w:cs="Times New Roman"/>
          <w:szCs w:val="24"/>
        </w:rPr>
        <w:t xml:space="preserve">., 2015). </w:t>
      </w:r>
    </w:p>
    <w:p w14:paraId="3EC5DE0C" w14:textId="149ED9D4"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For example,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Puga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reported that addition of sugar cane biochar at 1.5, 3 and 5 % (</w:t>
      </w:r>
      <w:r w:rsidRPr="00216965">
        <w:rPr>
          <w:rFonts w:eastAsia="Times New Roman" w:cs="Times New Roman"/>
          <w:i/>
          <w:iCs/>
          <w:szCs w:val="24"/>
        </w:rPr>
        <w:t>w/w</w:t>
      </w:r>
      <w:r w:rsidRPr="00216965">
        <w:rPr>
          <w:rFonts w:eastAsia="Times New Roman" w:cs="Times New Roman"/>
          <w:szCs w:val="24"/>
        </w:rPr>
        <w:t xml:space="preserve">) to a mining soil contaminated with Zn, Pb and Cd showed a protective effect to </w:t>
      </w:r>
      <w:r w:rsidRPr="00216965">
        <w:rPr>
          <w:rFonts w:eastAsia="Times New Roman" w:cs="Times New Roman"/>
          <w:i/>
          <w:iCs/>
          <w:szCs w:val="24"/>
        </w:rPr>
        <w:t>Mucuna aterrina</w:t>
      </w:r>
      <w:r w:rsidRPr="00216965">
        <w:rPr>
          <w:rFonts w:eastAsia="Times New Roman" w:cs="Times New Roman"/>
          <w:szCs w:val="24"/>
        </w:rPr>
        <w:t xml:space="preserve"> plants which show roots more developed and colonized by mycorrhiza and leaves without toxicity symptoms. However, no effect was observed in dry biomass; the protective effect was associated to the reduction of bioavailable Cd (54%), Pb (50%) and Zn (57%) due to biochar addition.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{"citationItems":[{"id":"ITEM-1","itemData":{"DOI":"10.15376/biores.15.4.8008-8025","ISSN":"19302126","abstract":"The remediation effects of peanut shell biochar (HBC) and Mg-modified peanut shell biochar (MHBC) prepared under pyrolysis temperatures of 300 °C and 600 °C on Cd2+ polluted brown soil were investigated in a pot experiment. The results showed that the biochar treatment increased soil pH and decreased the bioavailable Cd2+ content in the soil. Compared with the control treatment (CK), the pH value increased by 0.32 to 2.5 upon treatment with 1% and 2% of HBC and MHBC. Bioavailable Cd2+ in the soil decreased by 5.64% to 21.33% with HBC. The MHBC presented better amendment effects than HBC; bioavailable Cd2+ in the soil decreased by 26.2% to 50.1% with the addition of MHBC. The addition of HBC and MHBC increased the shoot height and decreased the root length of the spinach. Moreover, they significantly decreased the accumulation of Cd2+ in the shoots and roots of the spinach. Compared to CK, the Cd2+ content in the shoots decreased by 7.0% to 46.8% upon treatment with 1% and 2% of HBC and MHBC, while the Cd2+ content in the roots decreased by 7.3% to 52.7%. The Cd2+ content in the shoots and roots was more greatly decreased with MHBC than with HBC.","author":[{"dropping-particle":"","family":"Shan","given":"Ruifeng","non-dropping-particle":"","parse-names":false,"suffix":""},{"dropping-particle":"","family":"Li","given":"Wanting","non-dropping-particle":"","parse-names":false,"suffix":""},{"dropping-particle":"","family":"Chen","given":"Ya","non-dropping-particle":"","parse-names":false,"suffix":""},{"dropping-particle":"","family":"Sun","given":"Xiaoyin","non-dropping-particle":"","parse-names":false,"suffix":""}],"container-title":"BioResources","id":"ITEM-1","issue":"4","issued":{"date-parts":[["2020"]]},"page":"8008-8025","title":"Effects of Mg-modified biochar on the bioavailability of cadmium in soil","type":"article-journal","volume":"15"},"uris":["http://www.mendeley.com/documents/?uuid=54fe049d-5735-4e78-8321-a540e9dac1c7"]}],"mendeley":{"formattedCitation":"(Shan et al., 2020)","manualFormatting":"Shan et al. (2020)","plainTextFormattedCitation":"(Shan et al., 2020)","previouslyFormattedCitation":"(Shan et al., 2020)"},"properties":{"noteIndex":0},"schema":"https://github.com/citation-style-language/schema/raw/master/csl-citation.json"}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Shan </w:t>
      </w:r>
      <w:r w:rsidR="009B2252" w:rsidRPr="00216965">
        <w:rPr>
          <w:rFonts w:eastAsia="Times New Roman" w:cs="Times New Roman"/>
          <w:iCs/>
          <w:noProof/>
          <w:szCs w:val="24"/>
        </w:rPr>
        <w:t>et al</w:t>
      </w:r>
      <w:r w:rsidRPr="00216965">
        <w:rPr>
          <w:rFonts w:eastAsia="Times New Roman" w:cs="Times New Roman"/>
          <w:noProof/>
          <w:szCs w:val="24"/>
        </w:rPr>
        <w:t>. (2020)</w:t>
      </w:r>
      <w:r w:rsidRPr="00216965">
        <w:rPr>
          <w:rFonts w:eastAsia="Times New Roman" w:cs="Times New Roman"/>
          <w:szCs w:val="24"/>
        </w:rPr>
        <w:fldChar w:fldCharType="end"/>
      </w:r>
      <w:r w:rsidRPr="00216965">
        <w:rPr>
          <w:rFonts w:eastAsia="Times New Roman" w:cs="Times New Roman"/>
          <w:szCs w:val="24"/>
        </w:rPr>
        <w:t xml:space="preserve"> reported that addition of peanut shell biochar to a Cd contaminated soil cultivated with spinach protected plants from toxicity and improved plant performance; an increase in shoot height was associated with a reduced uptake (7-52 %) and decreased Cd bioavailability (5-21 %) in relation to the controls (no biochar). Similarly,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{"citationItems":[{"id":"ITEM-1","itemData":{"DOI":"10.1007/s11356-016-7344-3","ISSN":"16147499","author":[{"dropping-particle":"","family":"Younis","given":"Uzma","non-dropping-particle":"","parse-names":false,"suffix":""},{"dropping-particle":"","family":"Malik","given":"Saeed Ahmad","non-dropping-particle":"","parse-names":false,"suffix":""},{"dropping-particle":"","family":"Rizwan","given":"Muhammad","non-dropping-particle":"","parse-names":false,"suffix":""},{"dropping-particle":"","family":"Qayyum","given":"Muhammad Farooq","non-dropping-particle":"","parse-names":false,"suffix":""},{"dropping-particle":"","family":"Ok","given":"Yong Sik","non-dropping-particle":"","parse-names":false,"suffix":""},{"dropping-particle":"","family":"Shah","given":"Muhammad Hasnain Raza","non-dropping-particle":"","parse-names":false,"suffix":""},{"dropping-particle":"","family":"Rehman","given":"Rabia Abdur","non-dropping-particle":"","parse-names":false,"suffix":""},{"dropping-particle":"","family":"Ahmad","given":"Niaz","non-dropping-particle":"","parse-names":false,"suffix":""}],"container-title":"Environmental Science and Pollution Research","id":"ITEM-1","issue":"21","issued":{"date-parts":[["2016"]]},"page":"21385-21394","publisher":"Environmental Science and Pollution Research","title":"Biochar enhances the cadmium tolerance in spinach (Spinacia oleracea) through modification of Cd uptake and physiological and biochemical attributes","type":"article-journal","volume":"23"},"uris":["http://www.mendeley.com/documents/?uuid=ebcfe694-3503-453a-bd58-c248a76fc245"]}],"mendeley":{"formattedCitation":"(Younis et al., 2016)","manualFormatting":"Younis et al. (2016)","plainTextFormattedCitation":"(Younis et al., 2016)","previouslyFormattedCitation":"(Younis et al., 2016)"},"properties":{"noteIndex":0},"schema":"https://github.com/citation-style-language/schema/raw/master/csl-citation.json"}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Younis </w:t>
      </w:r>
      <w:r w:rsidR="009B2252" w:rsidRPr="00216965">
        <w:rPr>
          <w:rFonts w:eastAsia="Times New Roman" w:cs="Times New Roman"/>
          <w:iCs/>
          <w:noProof/>
          <w:szCs w:val="24"/>
        </w:rPr>
        <w:t>et al</w:t>
      </w:r>
      <w:r w:rsidRPr="00216965">
        <w:rPr>
          <w:rFonts w:eastAsia="Times New Roman" w:cs="Times New Roman"/>
          <w:noProof/>
          <w:szCs w:val="24"/>
        </w:rPr>
        <w:t>. (2016)</w:t>
      </w:r>
      <w:r w:rsidRPr="00216965">
        <w:rPr>
          <w:rFonts w:eastAsia="Times New Roman" w:cs="Times New Roman"/>
          <w:szCs w:val="24"/>
        </w:rPr>
        <w:fldChar w:fldCharType="end"/>
      </w:r>
      <w:r w:rsidRPr="00216965">
        <w:rPr>
          <w:rFonts w:eastAsia="Times New Roman" w:cs="Times New Roman"/>
          <w:szCs w:val="24"/>
        </w:rPr>
        <w:t xml:space="preserve"> reported that under Cd stress, biochar application increased the growth, photosynthesis, and protein content of spinach seedlings. </w:t>
      </w:r>
    </w:p>
    <w:p w14:paraId="17DAAEEE" w14:textId="75CDFD7A"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However, </w:t>
      </w:r>
      <w:r w:rsidRPr="00216965">
        <w:rPr>
          <w:rFonts w:eastAsia="Times New Roman" w:cs="Times New Roman"/>
          <w:color w:val="000000"/>
          <w:szCs w:val="24"/>
        </w:rPr>
        <w:t xml:space="preserve">some studies have raised concerns regarding biochar application in soils and potential impacts on plants. Biochar can contain polycyclic aromatic hydrocarbons, chlorinated hydrocarbons and heavy metals (Cr, Cu, Cd, Pb and Mn) as trace constituents; some authors have warned about their potential release into the soil </w:t>
      </w:r>
      <w:r w:rsidRPr="00216965">
        <w:rPr>
          <w:rFonts w:eastAsia="Times New Roman" w:cs="Times New Roman"/>
          <w:color w:val="000000"/>
          <w:szCs w:val="24"/>
        </w:rPr>
        <w:fldChar w:fldCharType="begin" w:fldLock="1"/>
      </w:r>
      <w:r w:rsidR="006C06AA" w:rsidRPr="00216965">
        <w:rPr>
          <w:rFonts w:eastAsia="Times New Roman" w:cs="Times New Roman"/>
          <w:color w:val="000000"/>
          <w:szCs w:val="24"/>
        </w:rPr>
        <w:instrText>ADDIN CSL_CITATION {"citationItems":[{"id":"ITEM-1","itemData":{"DOI":"10.1016/j.rser.2014.10.074","ISBN":"1364-0321","ISSN":"13640321","abstract":"Biomass thermochemical processes result in a common byproduct char. The char is also called biochar particularly when it is used as a soil amendment for soil health improvement. Effective utilization of biochar is critical for improving economic viability and environmental sustainability of biomass thermochemical technologies. Application of biochar for both agricultural and environmental benefits has been studied and reviewed extensively. However, there are limited reviews on other biochar applications, such as for catalysis and adsorption. This paper provides an overview of recent advances in several biochar utilizations including its use as catalyst, soil amendment, fuel cell, contaminant adsorbent, gas storage and activated carbon. Discussions on biochar production methods, properties and advanced characterization techniques are also provided. Biochar is a valuable resource, however, its effective utilization require further investigation of its structure and properties, and methods to modify those.","author":[{"dropping-particle":"","family":"Qian","given":"Kezhen","non-dropping-particle":"","parse-names":false,"suffix":""},{"dropping-particle":"","family":"Kumar","given":"Ajay","non-dropping-particle":"","parse-names":false,"suffix":""},{"dropping-particle":"","family":"Zhang","given":"Hailin","non-dropping-particle":"","parse-names":false,"suffix":""},{"dropping-particle":"","family":"Bellmer","given":"Danielle","non-dropping-particle":"","parse-names":false,"suffix":""},{"dropping-particle":"","family":"Huhnke","given":"Raymond","non-dropping-particle":"","parse-names":false,"suffix":""}],"container-title":"Renewable and Sustainable Energy Reviews","id":"ITEM-1","issued":{"date-parts":[["2015"]]},"page":"1055-1064","publisher":"Elsevier","title":"Recent advances in utilization of biochar","type":"article-journal","volume":"42"},"uris":["http://www.mendeley.com/documents/?uuid=942134f1-9205-46c9-99c5-4314f444422a"]},{"id":"ITEM-2","itemData":{"DOI":"10.1016/j.biortech.2015.08.055","ISSN":"18732976","PMID":"26318926","abstract":"This study aims to evaluate the physiochemical properties, sorption characteristics, and toxicity effects of biochar (BC) produced from Miscanthus sacchariflorus via slow pyrolysis at 500°C and its steam activation product (ABC). Although BC has a much lower surface area than ABC (181 and 322m2g-1, respectively), the Cu sorption capacities of BC and ABC are not significantly different (p&gt;0.05). A two-compartment model successfully explains the sorption of BC and ABC as being dominated by fast and slow sorption processes, respectively. In addition, both BC and ABC efficiently eliminate the toxicity of Cu towards Daphnia magna. However, ABC itself induced acute toxicity to D. magna, which is possibly due to increased aromaticity upon steam activation. These findings suggest that activation of BC produced from M. sacchariflorus at a pyrolytic temperature of 500°C may not be appropriate in terms of Cu sorption and toxicity reduction.","author":[{"dropping-particle":"","family":"Shim","given":"Taeyong","non-dropping-particle":"","parse-names":false,"suffix":""},{"dropping-particle":"","family":"Yoo","given":"Jisu","non-dropping-particle":"","parse-names":false,"suffix":""},{"dropping-particle":"","family":"Ryu","given":"Changkook","non-dropping-particle":"","parse-names":false,"suffix":""},{"dropping-particle":"","family":"Park","given":"Yong Kwon","non-dropping-particle":"","parse-names":false,"suffix":""},{"dropping-particle":"","family":"Jung","given":"Jinho","non-dropping-particle":"","parse-names":false,"suffix":""}],"container-title":"Bioresource Technology","id":"ITEM-2","issued":{"date-parts":[["2015"]]},"page":"85-90","publisher":"Elsevier Ltd","title":"Effect of steam activation of biochar produced from a giant Miscanthus on copper sorption and toxicity","type":"article-journal","volume":"197"},"uris":["http://www.mendeley.com/documents/?uuid=b1bb9b70-7b57-438c-b074-40dc1ccf7dec"]}],"mendeley":{"formattedCitation":"(Qian et al., 2015; Shim et al., 2015)","plainTextFormattedCitation":"(Qian et al., 2015; Shim et al., 2015)","previouslyFormattedCitation":"(Qian et al., 2015; Shim et al., 2015)"},"properties":{"noteIndex":0},"schema":"https://github.com/citation-style-language/schema/raw/master/csl-citation.json"}</w:instrText>
      </w:r>
      <w:r w:rsidRPr="00216965">
        <w:rPr>
          <w:rFonts w:eastAsia="Times New Roman" w:cs="Times New Roman"/>
          <w:color w:val="000000"/>
          <w:szCs w:val="24"/>
        </w:rPr>
        <w:fldChar w:fldCharType="separate"/>
      </w:r>
      <w:r w:rsidR="00C83E62" w:rsidRPr="00216965">
        <w:rPr>
          <w:rFonts w:eastAsia="Times New Roman" w:cs="Times New Roman"/>
          <w:noProof/>
          <w:color w:val="000000"/>
          <w:szCs w:val="24"/>
        </w:rPr>
        <w:t>(Qian et al., 2015; Shim et al., 2015)</w:t>
      </w:r>
      <w:r w:rsidRPr="00216965">
        <w:rPr>
          <w:rFonts w:eastAsia="Times New Roman" w:cs="Times New Roman"/>
          <w:color w:val="000000"/>
          <w:szCs w:val="24"/>
        </w:rPr>
        <w:fldChar w:fldCharType="end"/>
      </w:r>
      <w:r w:rsidRPr="00216965">
        <w:rPr>
          <w:rFonts w:eastAsia="Times New Roman" w:cs="Times New Roman"/>
          <w:color w:val="000000"/>
          <w:szCs w:val="24"/>
        </w:rPr>
        <w:t>. Besides, n</w:t>
      </w:r>
      <w:r w:rsidRPr="00216965">
        <w:rPr>
          <w:rFonts w:eastAsia="Times New Roman" w:cs="Times New Roman"/>
          <w:szCs w:val="24"/>
        </w:rPr>
        <w:t xml:space="preserve">egative effects have been associated with relatively high application rates due to the high levels of soluble salts released from biochar that can inhibit germination and growth (Joseph </w:t>
      </w:r>
      <w:r w:rsidR="009B2252" w:rsidRPr="00216965">
        <w:rPr>
          <w:rFonts w:eastAsia="Times New Roman" w:cs="Times New Roman"/>
          <w:iCs/>
          <w:szCs w:val="24"/>
        </w:rPr>
        <w:t>et al</w:t>
      </w:r>
      <w:r w:rsidRPr="00216965">
        <w:rPr>
          <w:rFonts w:eastAsia="Times New Roman" w:cs="Times New Roman"/>
          <w:szCs w:val="24"/>
        </w:rPr>
        <w:t xml:space="preserve">., 2021). </w:t>
      </w:r>
    </w:p>
    <w:p w14:paraId="67E2AD0B" w14:textId="710D57FE"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lang w:val="fr-FR"/>
        </w:rPr>
        <w:t xml:space="preserve">For instance, </w:t>
      </w:r>
      <w:r w:rsidRPr="00216965">
        <w:rPr>
          <w:rFonts w:eastAsia="Times New Roman" w:cs="Times New Roman"/>
          <w:szCs w:val="24"/>
        </w:rPr>
        <w:fldChar w:fldCharType="begin" w:fldLock="1"/>
      </w:r>
      <w:r w:rsidR="006C06AA" w:rsidRPr="00216965">
        <w:rPr>
          <w:rFonts w:eastAsia="Times New Roman" w:cs="Times New Roman"/>
          <w:szCs w:val="24"/>
          <w:lang w:val="fr-FR"/>
        </w:rPr>
        <w:instrText>ADDIN CSL_CITATION {"citationItems":[{"id":"ITEM-1","itemData":{"DOI":"10.1007/S13399-020-00887-8","ISSN":"2190-6823","abstract":"Seed treatment with biomass-derived biochar has potential to overcome the moisture, nutrients, and hormonal constraint on native germination and early growth. An experiment was conducted to study the effect of different levels of biochars obtained from four divergent biomass on seed germination and seedling growth of maize and black gram. All the biochars were prepared at 500 °C and characterized for their physicochemical properties. We determined the effect of biochar type and application rate. The biochar under study enhanced the seed germination and seedling growth significantly at a reasonable application rate than higher rate which might be due to secretion of chemical substances by the respective biochar. But the pine needle biochar (PNB) did not perform satisfactorily, and it may be due to lignin-rich feedstock. Both the maize stalk biochar (MSB) and Lantana camara biochar (LCB) showed slightly inhibitory effect at higher application rate due to presence of some heavy metals. However, the black gram biochar (BGB) performed well and constantly increased seed germination as well as seedling growth, and thus has a greater potential to increase its application rate under field condition. The shoot/root ration decreased with increase in biochar application rate. Our results offer new facts for the requirement of creating environmental risk management of biochar before its field soil application.","author":[{"dropping-particle":"","family":"Das","given":"Shaon Kumar","non-dropping-particle":"","parse-names":false,"suffix":""},{"dropping-particle":"","family":"Ghosh","given":"Goutam Kumar","non-dropping-particle":"","parse-names":false,"suffix":""},{"dropping-particle":"","family":"Avasthe","given":"Ravikant","non-dropping-particle":"","parse-names":false,"suffix":""}],"container-title":"Biomass Conversion and Biorefinery 2020","id":"ITEM-1","issued":{"date-parts":[["2020","7","12"]]},"page":"1-14","publisher":"Springer","title":"Evaluating biomas-derived biochar on seed germination and early seedling growth of maize and black gram","type":"article-journal"},"uris":["http://www.mendeley.com/documents/?uuid=92b1af32-9f68-3325-86e5-39bed64e5016"]}],"mendeley":{"formattedCitation":"(Das et al., 2020)","manualFormatting":"Das et al. (2020)","plainTextFormattedCitation":"(Das et al., 2020)","previouslyFormattedCitation":"(Das et al., 2020)"},"properties":{"noteIndex":0},"schema":"https://github.com/citation-style-language/schema/raw/master/csl-citation.json"}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lang w:val="fr-FR"/>
        </w:rPr>
        <w:t xml:space="preserve">Das </w:t>
      </w:r>
      <w:r w:rsidR="009B2252" w:rsidRPr="00216965">
        <w:rPr>
          <w:rFonts w:eastAsia="Times New Roman" w:cs="Times New Roman"/>
          <w:iCs/>
          <w:noProof/>
          <w:szCs w:val="24"/>
          <w:lang w:val="fr-FR"/>
        </w:rPr>
        <w:t>et al</w:t>
      </w:r>
      <w:r w:rsidRPr="00216965">
        <w:rPr>
          <w:rFonts w:eastAsia="Times New Roman" w:cs="Times New Roman"/>
          <w:noProof/>
          <w:szCs w:val="24"/>
          <w:lang w:val="fr-FR"/>
        </w:rPr>
        <w:t xml:space="preserve">. </w:t>
      </w:r>
      <w:r w:rsidRPr="00216965">
        <w:rPr>
          <w:rFonts w:eastAsia="Times New Roman" w:cs="Times New Roman"/>
          <w:noProof/>
          <w:szCs w:val="24"/>
        </w:rPr>
        <w:t>(2020)</w:t>
      </w:r>
      <w:r w:rsidRPr="00216965">
        <w:rPr>
          <w:rFonts w:eastAsia="Times New Roman" w:cs="Times New Roman"/>
          <w:szCs w:val="24"/>
        </w:rPr>
        <w:fldChar w:fldCharType="end"/>
      </w:r>
      <w:r w:rsidRPr="00216965">
        <w:rPr>
          <w:rFonts w:eastAsia="Times New Roman" w:cs="Times New Roman"/>
          <w:szCs w:val="24"/>
        </w:rPr>
        <w:t xml:space="preserve"> reported that addition of biochars produced from maize stock and </w:t>
      </w:r>
      <w:r w:rsidRPr="00216965">
        <w:rPr>
          <w:rFonts w:eastAsia="Times New Roman" w:cs="Times New Roman"/>
          <w:i/>
          <w:iCs/>
          <w:szCs w:val="24"/>
        </w:rPr>
        <w:t>Lantana camara</w:t>
      </w:r>
      <w:r w:rsidRPr="00216965">
        <w:rPr>
          <w:rFonts w:eastAsia="Times New Roman" w:cs="Times New Roman"/>
          <w:szCs w:val="24"/>
        </w:rPr>
        <w:t xml:space="preserve"> (500 °C) at 7.5 and 10 t.ha</w:t>
      </w:r>
      <w:r w:rsidRPr="00216965">
        <w:rPr>
          <w:rFonts w:eastAsia="Times New Roman" w:cs="Times New Roman"/>
          <w:szCs w:val="24"/>
          <w:vertAlign w:val="superscript"/>
        </w:rPr>
        <w:t>-1</w:t>
      </w:r>
      <w:r w:rsidRPr="00216965">
        <w:rPr>
          <w:rFonts w:eastAsia="Times New Roman" w:cs="Times New Roman"/>
          <w:szCs w:val="24"/>
        </w:rPr>
        <w:t xml:space="preserve"> reduced seed germination and biomass of maize and black gram in relation to the 5 t.ha</w:t>
      </w:r>
      <w:r w:rsidRPr="00216965">
        <w:rPr>
          <w:rFonts w:eastAsia="Times New Roman" w:cs="Times New Roman"/>
          <w:szCs w:val="24"/>
          <w:vertAlign w:val="superscript"/>
        </w:rPr>
        <w:t>-1</w:t>
      </w:r>
      <w:r w:rsidRPr="00216965">
        <w:rPr>
          <w:rFonts w:eastAsia="Times New Roman" w:cs="Times New Roman"/>
          <w:szCs w:val="24"/>
        </w:rPr>
        <w:t xml:space="preserve"> application. The negative impact of biochars at 10 t.ha</w:t>
      </w:r>
      <w:r w:rsidRPr="00216965">
        <w:rPr>
          <w:rFonts w:eastAsia="Times New Roman" w:cs="Times New Roman"/>
          <w:szCs w:val="24"/>
          <w:vertAlign w:val="superscript"/>
        </w:rPr>
        <w:t>-1</w:t>
      </w:r>
      <w:r w:rsidRPr="00216965">
        <w:rPr>
          <w:rFonts w:eastAsia="Times New Roman" w:cs="Times New Roman"/>
          <w:szCs w:val="24"/>
        </w:rPr>
        <w:t xml:space="preserve"> was explained by the presence of trace</w:t>
      </w:r>
      <w:r w:rsidRPr="00216965">
        <w:t xml:space="preserve"> </w:t>
      </w:r>
      <w:r w:rsidRPr="00216965">
        <w:rPr>
          <w:rFonts w:eastAsia="Times New Roman" w:cs="Times New Roman"/>
          <w:szCs w:val="24"/>
        </w:rPr>
        <w:t xml:space="preserve">quantities of PAHs </w:t>
      </w:r>
      <w:r w:rsidRPr="00216965">
        <w:rPr>
          <w:rFonts w:eastAsia="Times New Roman" w:cs="Times New Roman"/>
          <w:szCs w:val="24"/>
        </w:rPr>
        <w:lastRenderedPageBreak/>
        <w:t xml:space="preserve">and hazardous metals which are phytotoxic at certain levels.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{"citationItems":[{"id":"ITEM-1","itemData":{"DOI":"10.1016/J.SCITOTENV.2016.06.129","ISSN":"0048-9697","abstract":"In this study, 19 biochars from marginal biomass, representing all major biomass groups (woody materials, grass, an aquatic plant, anthropogenic wastes) were investigated regarding their content of available potentially toxic elements (PTEs) and nutrients (determined by NH4NO3-extractions) and their effects on cress (Lepidium sativum) seedling growth. The objective was to assess the potential and actual effects of biochar with increased PTE content on plant growth in the context of use in soil amendments and growing media. It showed that the percentage of available PTEs was highest for biochars produced at the highest treatment temperature (HTT) of 750°C. On average, however, for all 19 biochars, the percentage availability of Cu, Cr, Ni and Zn (&lt;1.5% for all) was similar to the percentage availability reported in the literature for the same elements in soils at similar pH values which is a highly important finding. Most biochars exceeded German soil threshold values for NH4NO3-extractable PTEs, such as Zn (by up to 25-fold), As and Cd. Despite this, cress seedling growth tests with 5% biochar in sand did not show any correlations between inhibitory effects (observed in 5 of the 19 biochars) and the available PTE concentrations. Instead, the available K concentration and biochar pH were highly significantly, negatively correlated with seedling growth (K: p&lt;0.001, pH: p=0.004). K had the highest available concentration of all elements and the highest percentage availability (47.7±19.7% of the total K was available). Consequently, available K contributed most to the osmotic pressure and high pH which negatively affected the seedlings. Although a potential risk if some of these marginal biomass-derived biochar were applied at high concentrations, e.g. 5% (&gt;100tha−1), when applied at agriculturally realistic application rates (1–10tha−1), the resulting smaller increases in pH and available K concentration may actually be beneficial for plant growth.","author":[{"dropping-particle":"","family":"Buss","given":"Wolfram","non-dropping-particle":"","parse-names":false,"suffix":""},{"dropping-particle":"","family":"Graham","given":"Margaret C.","non-dropping-particle":"","parse-names":false,"suffix":""},{"dropping-particle":"","family":"Shepherd","given":"Jessica G.","non-dropping-particle":"","parse-names":false,"suffix":""},{"dropping-particle":"","family":"Mašek","given":"Ondřej","non-dropping-particle":"","parse-names":false,"suffix":""}],"container-title":"Science of The Total Environment","id":"ITEM-1","issued":{"date-parts":[["2016","11","1"]]},"page":"496-506","publisher":"Elsevier","title":"Risks and benefits of marginal biomass-derived biochars for plant growth","type":"article-journal","volume":"569-570"},"uris":["http://www.mendeley.com/documents/?uuid=c9f940e9-16f0-3bdc-b8ff-7723791a7c70"]}],"mendeley":{"formattedCitation":"(Buss et al., 2016)","manualFormatting":"Buss et al. (2016)","plainTextFormattedCitation":"(Buss et al., 2016)","previouslyFormattedCitation":"(Buss et al., 2016)"},"properties":{"noteIndex":0},"schema":"https://github.com/citation-style-language/schema/raw/master/csl-citation.json"}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Buss </w:t>
      </w:r>
      <w:r w:rsidR="009B2252" w:rsidRPr="00216965">
        <w:rPr>
          <w:rFonts w:eastAsia="Times New Roman" w:cs="Times New Roman"/>
          <w:iCs/>
          <w:noProof/>
          <w:szCs w:val="24"/>
        </w:rPr>
        <w:t>et al</w:t>
      </w:r>
      <w:r w:rsidRPr="00216965">
        <w:rPr>
          <w:rFonts w:eastAsia="Times New Roman" w:cs="Times New Roman"/>
          <w:noProof/>
          <w:szCs w:val="24"/>
        </w:rPr>
        <w:t>. (2016)</w:t>
      </w:r>
      <w:r w:rsidRPr="00216965">
        <w:rPr>
          <w:rFonts w:eastAsia="Times New Roman" w:cs="Times New Roman"/>
          <w:szCs w:val="24"/>
        </w:rPr>
        <w:fldChar w:fldCharType="end"/>
      </w:r>
      <w:r w:rsidRPr="00216965">
        <w:rPr>
          <w:rFonts w:eastAsia="Times New Roman" w:cs="Times New Roman"/>
          <w:szCs w:val="24"/>
        </w:rPr>
        <w:t xml:space="preserve"> observed growth inhibition on cress seedling treated with biochars at 5 % (</w:t>
      </w:r>
      <w:r w:rsidRPr="00216965">
        <w:rPr>
          <w:rFonts w:eastAsia="Times New Roman" w:cs="Times New Roman"/>
          <w:i/>
          <w:iCs/>
          <w:szCs w:val="24"/>
        </w:rPr>
        <w:t>w/w</w:t>
      </w:r>
      <w:r w:rsidRPr="00216965">
        <w:rPr>
          <w:rFonts w:eastAsia="Times New Roman" w:cs="Times New Roman"/>
          <w:szCs w:val="24"/>
        </w:rPr>
        <w:t>) - 5 biochars out of 19 studied shown this inhibitory effect. Since the level of trace elements present in the studied biochars was similar to levels commonly found in soil, it was concluded that the inhibition was due to an increase in K</w:t>
      </w:r>
      <w:r w:rsidR="00D46ED0" w:rsidRPr="00216965">
        <w:rPr>
          <w:rFonts w:eastAsia="Times New Roman" w:cs="Times New Roman"/>
          <w:szCs w:val="24"/>
          <w:vertAlign w:val="superscript"/>
        </w:rPr>
        <w:t>+</w:t>
      </w:r>
      <w:r w:rsidRPr="00216965">
        <w:rPr>
          <w:rFonts w:eastAsia="Times New Roman" w:cs="Times New Roman"/>
          <w:szCs w:val="24"/>
        </w:rPr>
        <w:t xml:space="preserve"> and pH due to biochar addition which caused osmotic stress to plants. </w:t>
      </w:r>
    </w:p>
    <w:p w14:paraId="47E44C33" w14:textId="47D1F5CA"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At high biochar application rates free radicals from biochar can inhibit germination and seedling growth. Nevertheless, at low biochar rates, low levels of free radicals could be beneficial, as reactive oxygen species can interact with plant hormones that trigger germination (Joseph </w:t>
      </w:r>
      <w:r w:rsidR="009B2252" w:rsidRPr="00216965">
        <w:rPr>
          <w:rFonts w:eastAsia="Times New Roman" w:cs="Times New Roman"/>
          <w:iCs/>
          <w:szCs w:val="24"/>
        </w:rPr>
        <w:t>et al</w:t>
      </w:r>
      <w:r w:rsidRPr="00216965">
        <w:rPr>
          <w:rFonts w:eastAsia="Times New Roman" w:cs="Times New Roman"/>
          <w:szCs w:val="24"/>
        </w:rPr>
        <w:t xml:space="preserve">., 2021). For instance,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{"citationItems":[{"id":"ITEM-1","itemData":{"DOI":"10.1021/ES404250A","abstract":"Biochar can benefit human society as a carbon-negative material and soil amendment. However, negative biochar impacts on plant germination and growth have been observed, and they have not been full...","author":[{"dropping-particle":"","family":"Liao","given":"Shaohua","non-dropping-particle":"","parse-names":false,"suffix":""},{"dropping-particle":"","family":"Pan","given":"Bo","non-dropping-particle":"","parse-names":false,"suffix":""},{"dropping-particle":"","family":"Li","given":"Hao","non-dropping-particle":"","parse-names":false,"suffix":""},{"dropping-particle":"","family":"Zhang","given":"Di","non-dropping-particle":"","parse-names":false,"suffix":""},{"dropping-particle":"","family":"Xing","given":"Baoshan","non-dropping-particle":"","parse-names":false,"suffix":""}],"container-title":"Environmental Science and Technology","id":"ITEM-1","issue":"15","issued":{"date-parts":[["2014","8","5"]]},"page":"8581-8587","publisher":"American Chemical Society","title":"Detecting free radicals in biochars and determining their ability to inhibit the germination and growth of corn, wheat and rice seedlings","type":"article-journal","volume":"48"},"uris":["http://www.mendeley.com/documents/?uuid=6220e075-2b97-3332-b956-c246bb7e2b27"]}],"mendeley":{"formattedCitation":"(Liao et al., 2014)","manualFormatting":"Liao et al. (2014)","plainTextFormattedCitation":"(Liao et al., 2014)","previouslyFormattedCitation":"(Liao et al., 2014)"},"properties":{"noteIndex":0},"schema":"https://github.com/citation-style-language/schema/raw/master/csl-citation.json"}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Liao </w:t>
      </w:r>
      <w:r w:rsidR="009B2252" w:rsidRPr="00216965">
        <w:rPr>
          <w:rFonts w:eastAsia="Times New Roman" w:cs="Times New Roman"/>
          <w:iCs/>
          <w:noProof/>
          <w:szCs w:val="24"/>
        </w:rPr>
        <w:t>et al</w:t>
      </w:r>
      <w:r w:rsidRPr="00216965">
        <w:rPr>
          <w:rFonts w:eastAsia="Times New Roman" w:cs="Times New Roman"/>
          <w:noProof/>
          <w:szCs w:val="24"/>
        </w:rPr>
        <w:t>. (2014)</w:t>
      </w:r>
      <w:r w:rsidRPr="00216965">
        <w:rPr>
          <w:rFonts w:eastAsia="Times New Roman" w:cs="Times New Roman"/>
          <w:szCs w:val="24"/>
        </w:rPr>
        <w:fldChar w:fldCharType="end"/>
      </w:r>
      <w:r w:rsidRPr="00216965">
        <w:rPr>
          <w:rFonts w:eastAsia="Times New Roman" w:cs="Times New Roman"/>
          <w:szCs w:val="24"/>
        </w:rPr>
        <w:t xml:space="preserve"> reported germination inhibition, root and shoot growth retardation and plasma membrane damage in wheat, rice and corn seedlings treated with biochars with abundant free radicals at high application rates (2-6 g/petri dish) whereas an stimulatory effect on plants was observed at low applications (0.5-1 g/petri dish). </w:t>
      </w:r>
    </w:p>
    <w:p w14:paraId="1C4C1234" w14:textId="77777777" w:rsidR="00632101" w:rsidRPr="00216965" w:rsidRDefault="00632101" w:rsidP="008A33DA">
      <w:pPr>
        <w:spacing w:line="360" w:lineRule="auto"/>
        <w:jc w:val="center"/>
        <w:rPr>
          <w:rFonts w:eastAsia="Times New Roman" w:cs="Times New Roman"/>
          <w:szCs w:val="24"/>
        </w:rPr>
      </w:pPr>
      <w:r w:rsidRPr="00216965">
        <w:rPr>
          <w:noProof/>
        </w:rPr>
        <w:drawing>
          <wp:inline distT="0" distB="0" distL="0" distR="0" wp14:anchorId="51113F45" wp14:editId="3D9E0500">
            <wp:extent cx="5314950" cy="3486150"/>
            <wp:effectExtent l="0" t="0" r="0" b="0"/>
            <wp:docPr id="84" name="image7.pn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84" name="image7.png" descr="Background pattern&#10;&#10;Description automatically generated"/>
                    <pic:cNvPicPr preferRelativeResize="0"/>
                  </pic:nvPicPr>
                  <pic:blipFill>
                    <a:blip r:embed="rId24"/>
                    <a:srcRect/>
                    <a:stretch>
                      <a:fillRect/>
                    </a:stretch>
                  </pic:blipFill>
                  <pic:spPr>
                    <a:xfrm>
                      <a:off x="0" y="0"/>
                      <a:ext cx="5319114" cy="3488881"/>
                    </a:xfrm>
                    <a:prstGeom prst="rect">
                      <a:avLst/>
                    </a:prstGeom>
                    <a:ln/>
                  </pic:spPr>
                </pic:pic>
              </a:graphicData>
            </a:graphic>
          </wp:inline>
        </w:drawing>
      </w:r>
    </w:p>
    <w:p w14:paraId="2D6307EB" w14:textId="5DB298DC" w:rsidR="00632101" w:rsidRPr="00216965" w:rsidRDefault="00632101" w:rsidP="008A33DA">
      <w:pPr>
        <w:pStyle w:val="Caption"/>
        <w:rPr>
          <w:rFonts w:eastAsia="Times New Roman" w:cs="Times New Roman"/>
          <w:b/>
          <w:bCs w:val="0"/>
          <w:color w:val="000000"/>
          <w:szCs w:val="24"/>
        </w:rPr>
      </w:pPr>
      <w:bookmarkStart w:id="104" w:name="_heading=h.4i7ojhp" w:colFirst="0" w:colLast="0"/>
      <w:bookmarkStart w:id="105" w:name="_Ref82891550"/>
      <w:bookmarkStart w:id="106" w:name="_Toc86439351"/>
      <w:bookmarkEnd w:id="104"/>
      <w:r w:rsidRPr="00216965">
        <w:rPr>
          <w:b/>
          <w:bCs w:val="0"/>
        </w:rPr>
        <w:t>Fig</w:t>
      </w:r>
      <w:r w:rsidR="008B181D" w:rsidRPr="00216965">
        <w:rPr>
          <w:b/>
          <w:bCs w:val="0"/>
        </w:rPr>
        <w:t>.</w:t>
      </w:r>
      <w:r w:rsidRPr="00216965">
        <w:rPr>
          <w:b/>
          <w:bCs w:val="0"/>
        </w:rPr>
        <w:t xml:space="preserve">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2</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8</w:t>
      </w:r>
      <w:r w:rsidR="00BF3EBE" w:rsidRPr="00216965">
        <w:rPr>
          <w:b/>
          <w:bCs w:val="0"/>
        </w:rPr>
        <w:fldChar w:fldCharType="end"/>
      </w:r>
      <w:bookmarkEnd w:id="105"/>
      <w:r w:rsidRPr="00216965">
        <w:rPr>
          <w:b/>
          <w:bCs w:val="0"/>
        </w:rPr>
        <w:t xml:space="preserve"> </w:t>
      </w:r>
      <w:r w:rsidRPr="00216965">
        <w:rPr>
          <w:rFonts w:eastAsia="Times New Roman" w:cs="Times New Roman"/>
          <w:b/>
          <w:bCs w:val="0"/>
          <w:color w:val="000000"/>
          <w:szCs w:val="24"/>
        </w:rPr>
        <w:t>Interaction of biochar with plants on heavy metals (HM) contaminated soils</w:t>
      </w:r>
      <w:bookmarkEnd w:id="106"/>
      <w:r w:rsidR="00A95538" w:rsidRPr="00216965">
        <w:rPr>
          <w:rFonts w:eastAsia="Times New Roman" w:cs="Times New Roman"/>
          <w:b/>
          <w:bCs w:val="0"/>
          <w:color w:val="000000"/>
          <w:szCs w:val="24"/>
        </w:rPr>
        <w:t>.</w:t>
      </w:r>
    </w:p>
    <w:p w14:paraId="143F0956" w14:textId="2C225C0D" w:rsidR="00632101" w:rsidRPr="00216965" w:rsidRDefault="00632101" w:rsidP="008A33DA">
      <w:pPr>
        <w:spacing w:line="360" w:lineRule="auto"/>
        <w:jc w:val="both"/>
        <w:rPr>
          <w:rFonts w:eastAsia="Times New Roman" w:cs="Times New Roman"/>
          <w:szCs w:val="24"/>
        </w:rPr>
      </w:pPr>
      <w:r w:rsidRPr="00216965">
        <w:rPr>
          <w:rFonts w:eastAsia="Times New Roman" w:cs="Times New Roman"/>
          <w:color w:val="000000"/>
          <w:szCs w:val="24"/>
        </w:rPr>
        <w:t xml:space="preserve">Moreover, the same immobilization mechanisms of biochar for heavy metals may affect other compounds such as nutrients, flavonoids and hormones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(Beesley et al., 2011)</w:t>
      </w:r>
      <w:r w:rsidRPr="00216965">
        <w:rPr>
          <w:rFonts w:eastAsia="Times New Roman" w:cs="Times New Roman"/>
          <w:szCs w:val="24"/>
        </w:rPr>
        <w:fldChar w:fldCharType="end"/>
      </w:r>
      <w:r w:rsidRPr="00216965">
        <w:rPr>
          <w:rFonts w:eastAsia="Times New Roman" w:cs="Times New Roman"/>
          <w:color w:val="000000"/>
          <w:szCs w:val="24"/>
        </w:rPr>
        <w:t xml:space="preserve">. It is still unclear if the sorption of </w:t>
      </w:r>
      <w:r w:rsidRPr="00216965">
        <w:rPr>
          <w:rFonts w:eastAsia="Times New Roman" w:cs="Times New Roman"/>
          <w:szCs w:val="24"/>
        </w:rPr>
        <w:t xml:space="preserve">signalling compounds and nutrients is beneficial or harmful </w:t>
      </w:r>
      <w:r w:rsidRPr="00216965">
        <w:rPr>
          <w:rFonts w:eastAsia="Times New Roman" w:cs="Times New Roman"/>
          <w:szCs w:val="24"/>
        </w:rPr>
        <w:lastRenderedPageBreak/>
        <w:t xml:space="preserve">to plants, and more research  is necessary to determine if sorption is reversible or permanent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(Beesley et al., 2011)</w:t>
      </w:r>
      <w:r w:rsidRPr="00216965">
        <w:rPr>
          <w:rFonts w:eastAsia="Times New Roman" w:cs="Times New Roman"/>
          <w:szCs w:val="24"/>
        </w:rPr>
        <w:fldChar w:fldCharType="end"/>
      </w:r>
      <w:r w:rsidRPr="00216965">
        <w:rPr>
          <w:rFonts w:eastAsia="Times New Roman" w:cs="Times New Roman"/>
          <w:szCs w:val="24"/>
        </w:rPr>
        <w:t xml:space="preserve">. </w:t>
      </w:r>
    </w:p>
    <w:p w14:paraId="5155F438" w14:textId="77777777" w:rsidR="00632101" w:rsidRPr="00216965" w:rsidRDefault="00632101" w:rsidP="008A33DA">
      <w:pPr>
        <w:pStyle w:val="Heading3"/>
        <w:rPr>
          <w:rFonts w:eastAsia="Times New Roman"/>
        </w:rPr>
      </w:pPr>
      <w:bookmarkStart w:id="107" w:name="_heading=h.2xcytpi" w:colFirst="0" w:colLast="0"/>
      <w:bookmarkStart w:id="108" w:name="_Toc86504642"/>
      <w:bookmarkEnd w:id="107"/>
      <w:r w:rsidRPr="00216965">
        <w:rPr>
          <w:rFonts w:eastAsia="Times New Roman"/>
        </w:rPr>
        <w:t>Monitoring toxicity of biochar-amended soils</w:t>
      </w:r>
      <w:bookmarkEnd w:id="108"/>
    </w:p>
    <w:p w14:paraId="6986E939" w14:textId="79053D71"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order to assess the environmental risk of heavy metal-polluted soils during and following biochar amendment, the concentration, mobility and toxicity levels of heavy metals require routine monitoring. Pollution monitoring is a key aspect for the sustainable management of contaminated land, but questions remain regarding what should be monitored to assess the ecological risk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{"citationItems":[{"id":"ITEM-1","itemData":{"DOI":"10.1016/j.envpol.2011.04.004","ISBN":"1873-6424 (Electronic)\\r0269-7491 (Linking)","ISSN":"02697491","PMID":"21570165","abstract":"Monitoring soil pollution is a key aspect in sustainable management of contaminated land but there is often debate over what should be monitored to assess ecological risk. Soil pore water, containing the most labile pollutant fraction in soils, can be easily collected in situ offering a routine way to monitor this risk. We present a compilation of data on concentration of trace elements (As, Cd, Cu, Pb, and Zn) in soil pore water collected in field conditions from a range of polluted and non-polluted soils in Spain and the UK during single and repeated monitoring, and propose a simple eco-toxicity test using this media. Sufficient pore water could be extracted for analysis both under semi-arid and temperate conditions, and eco-toxicity comparisons could be effectively made between polluted and non-polluted soils. We propose that in-situ pore water extraction could enhance the realism of risk assessment at some contaminated sites. ?? 2010 Published by Elsevier Ltd.","author":[{"dropping-particle":"","family":"Moreno","given":"Eduardo","non-dropping-particle":"","parse-names":false,"suffix":""},{"dropping-particle":"","family":"Beesley","given":"Luke","non-dropping-particle":"","parse-names":false,"suffix":""},{"dropping-particle":"","family":"Lepp","given":"Nicholas","non-dropping-particle":"","parse-names":false,"suffix":""},{"dropping-particle":"","family":"Dickinson","given":"Nicholas","non-dropping-particle":"","parse-names":false,"suffix":""},{"dropping-particle":"","family":"Hartley","given":"William","non-dropping-particle":"","parse-names":false,"suffix":""},{"dropping-particle":"","family":"Clemente","given":"Rafael","non-dropping-particle":"","parse-names":false,"suffix":""}],"container-title":"Environmental Pollution","id":"ITEM-1","issue":"10","issued":{"date-parts":[["2011"]]},"page":"3078-3085","publisher":"Elsevier Ltd","title":"Field sampling of soil pore water to evaluate trace element mobility and associated environmental risk","type":"article-journal","volume":"159"},"uris":["http://www.mendeley.com/documents/?uuid=495ddd99-abfa-4ac5-a496-09c037892112"]}],"mendeley":{"formattedCitation":"(Moreno et al., 2011)","plainTextFormattedCitation":"(Moreno et al., 2011)","previouslyFormattedCitation":"(Moreno et al., 2011)"},"properties":{"noteIndex":0},"schema":"https://github.com/citation-style-language/schema/raw/master/csl-citation.json"}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(Moreno et al., 2011)</w:t>
      </w:r>
      <w:r w:rsidRPr="00216965">
        <w:rPr>
          <w:rFonts w:eastAsia="Times New Roman" w:cs="Times New Roman"/>
          <w:szCs w:val="24"/>
        </w:rPr>
        <w:fldChar w:fldCharType="end"/>
      </w:r>
      <w:r w:rsidRPr="00216965">
        <w:rPr>
          <w:rFonts w:eastAsia="Times New Roman" w:cs="Times New Roman"/>
          <w:szCs w:val="24"/>
        </w:rPr>
        <w:t xml:space="preserve">. Much of the confusion in deriving critical toxic concentrations of heavy metals in soils arises from comparing the results of short-term laboratory experiments with monitoring of long-term exposures of microbial populations to heavy metals in field experiments. Laboratory studies measure responses to immediate, acute toxicity (disturbance) but fail to asses responses to long-term chronic toxicity (stress) which develops gradually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(Giller et al., 1998)</w:t>
      </w:r>
      <w:r w:rsidRPr="00216965">
        <w:rPr>
          <w:rFonts w:eastAsia="Times New Roman" w:cs="Times New Roman"/>
          <w:szCs w:val="24"/>
        </w:rPr>
        <w:fldChar w:fldCharType="end"/>
      </w:r>
      <w:r w:rsidRPr="00216965">
        <w:rPr>
          <w:rFonts w:eastAsia="Times New Roman" w:cs="Times New Roman"/>
          <w:szCs w:val="24"/>
        </w:rPr>
        <w:t xml:space="preserve">. </w:t>
      </w:r>
    </w:p>
    <w:p w14:paraId="77AE2A96" w14:textId="78045565"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Different methodologies have been employed to monitor heavy metal toxicity in biochar-amended soils. Some studies focus exclusively on monitoring the environmental bioavailability. In this context, soil pore water has been commonly used to assess the toxicity of heavy metals in biochar-amended soils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id":"ITEM-2","itemData":{"DOI":"10.1007/s10653-016-9873-6","ISSN":"15732983","author":[{"dropping-particle":"","family":"Jiang","given":"Shasha","non-dropping-particle":"","parse-names":false,"suffix":""},{"dropping-particle":"","family":"Nguyen","given":"Tuan A H","non-dropping-particle":"","parse-names":false,"suffix":""},{"dropping-particle":"","family":"Rudolph","given":"Victor","non-dropping-particle":"","parse-names":false,"suffix":""},{"dropping-particle":"","family":"Yang","given":"Hong","non-dropping-particle":"","parse-names":false,"suffix":""},{"dropping-particle":"","family":"Zhang","given":"Dongke","non-dropping-particle":"","parse-names":false,"suffix":""},{"dropping-particle":"","family":"Ok","given":"Yong Sik","non-dropping-particle":"","parse-names":false,"suffix":""},{"dropping-particle":"","family":"Huang","given":"Longbin","non-dropping-particle":"","parse-names":false,"suffix":""}],"container-title":"Environmental Geochemistry and Health","id":"ITEM-2","issued":{"date-parts":[["2017"]]},"page":"403-415","publisher":"Springer Netherlands","title":"Characterization of hard- and softwood biochars pyrolyzed at high temperature","type":"article-journal","volume":"39"},"uris":["http://www.mendeley.com/documents/?uuid=88cb6f94-5835-415f-bc83-bee9828a938c"]},{"id":"ITEM-3","itemData":{"DOI":"10.1016/j.jhazmat.2011.04.025","ISBN":"1873-3336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Materials","id":"ITEM-3","issue":"1-3","issued":{"date-parts":[["2011"]]},"page":"41-48","publisher":"Elsevier B.V.","title":"Efficiency of green waste compost and biochar soil amendments for reducing lead and copper mobility and uptake to ryegrass","type":"article-journal","volume":"191"},"uris":["http://www.mendeley.com/documents/?uuid=cf24f16c-c283-44fe-9891-fa53486db117"]},{"id":"ITEM-4","itemData":{"DOI":"10.1016/j.jhazmat.2009.06.124","ISBN":"0304-3894","ISSN":"03043894","PMID":"19656626","abstract":"We investigated the pore-water content and speciation of copper (Cu), zinc (Zn), cadmium (Cd) and lead (Pb) in a range of uncontaminated and long-term contaminated soils in order to establish their potential bioaccessibility to soil biota, plants and humans. Among the samples, soil pH (0.01 M CaCl\n                        2) ranged from 4.9 to 8.2. The total metal content of the uncontaminated soils ranged from 3.8 to 93.8 mg Cu kg\n                        -1, 10.3 to 95 mg kg\n                        -1 Zn, 0.1 to 1.8 mg Cd kg\n                        -1 and 5.2 to 183 mg kg\n                        -1 Pb, while metal content in the contaminated soils ranged from 104 to 6841 mg Cu kg\n                        -1, 312 to 39,000 mg kg\n                        -1 Zn, 6 to 302 mg Cd kg\n                        -1 and 609 to 12,000 mg kg\n                        -1 Pb. Our analysis of pore-water found the Cu concentrations to be much higher in contaminated soils than in uncontaminated soils, with the distribution coefficients (K\n                        d) correlating significantly with the log of dissolved organic carbon concentrations. Despite the high total metal content of the contaminated soil, Zn, Cd and Pb were not generally found at elevated levels in the pore-water with the exception of a single contaminated soil. A long period of ageing and soil weathering may have led to a substantial reduction in heavy metal concentrations in the pore-water of contaminated soils. On the other hand, Pb bioaccessibility was found to be comparatively high in Pb contaminated soils, where it tended to exceed the total Pb values by more than 80%. We conclude th</w:instrText>
      </w:r>
      <w:r w:rsidR="006C06AA" w:rsidRPr="00216965">
        <w:rPr>
          <w:rFonts w:eastAsia="Times New Roman" w:cs="Times New Roman"/>
          <w:szCs w:val="24"/>
          <w:lang w:val="nl-NL"/>
        </w:rPr>
        <w:instrText>at, despite the extensive ageing of some contaminated soils, the bioaccessibility of Pb remains relatively high. ?? 2009 Elsevier B.V. All rights reserved.","author":[{"dropping-particle":"","family":"Lamb","given":"Dane T.","non-dropping-particle":"","parse-names":false,"suffix":""},{"dropping-particle":"","family":"Ming","given":"Hui","non-dropping-particle":"","parse-names":false,"suffix":""},{"dropping-particle":"","family":"Megharaj","given":"Mallavarapu","non-dropping-particle":"","parse-names":false,"suffix":""},{"dropping-particle":"","family":"Naidu","given":"Ravi","non-dropping-particle":"","parse-names":false,"suffix":""}],"container-title":"Journal of Hazardous Materials","id":"ITEM-4","issue":"1-3","issued":{"date-parts":[["2009"]]},"page":"1150-1158","title":"Heavy metal (Cu, Zn, Cd and Pb) partitioning and bioaccessibility in uncontaminated and long-term contaminated soils","type":"article-journal","volume":"171"},"uris":["http://www.mendeley.com/documents/?uuid=71e76f5c-c9ea-48f3-8a7e-02fff8bcad5b"]}],"mendeley":{"formattedCitation":"(Beesley et al., 2010; Jiang et al., 2017; Karami et al., 2011; Lamb et al., 2009)","plainTextFormattedCitation":"(Beesley et al., 2010; Jiang et al., 2017; Karami et al., 2011; Lamb et al., 2009)","previouslyFormattedCitation":"(Beesley et al., 2010; Jiang et al., 2017; Karami et al., 2011; Lamb et al., 2009)"},"properties":{"noteIndex":0},"schema":"https://github.com/citation-style-language/schema/raw/master/csl-citation.json"}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nl-NL"/>
        </w:rPr>
        <w:t>(Beesley et al., 2010; Jiang et al., 2017; Karami et al., 2011; Lamb et al., 2009)</w:t>
      </w:r>
      <w:r w:rsidRPr="00216965">
        <w:rPr>
          <w:rFonts w:eastAsia="Times New Roman" w:cs="Times New Roman"/>
          <w:szCs w:val="24"/>
        </w:rPr>
        <w:fldChar w:fldCharType="end"/>
      </w:r>
      <w:r w:rsidRPr="00216965">
        <w:rPr>
          <w:rFonts w:eastAsia="Times New Roman" w:cs="Times New Roman"/>
          <w:szCs w:val="24"/>
          <w:lang w:val="nl-NL"/>
        </w:rPr>
        <w:t xml:space="preserve">. </w:t>
      </w:r>
      <w:r w:rsidRPr="00216965">
        <w:rPr>
          <w:rFonts w:eastAsia="Times New Roman" w:cs="Times New Roman"/>
          <w:szCs w:val="24"/>
        </w:rPr>
        <w:t xml:space="preserve">Using the soil pore water concentration of metals, it is possible to explain leaching, plant uptake and toxicological effects of heavy metals and other pollutants. In these cases, the ‘bioavailable fraction’ and ‘pore water concentration’ have been considered to be equivalent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{"citationItems":[{"id":"ITEM-1","itemData":{"ISBN":"09670513 (ISSN)","ISSN":"09670513","abstract":"Bioavailability is not a unique, fixed concept with a single meaning for all users of the concept. Depending on the background of the user, different definitions exist. This is not a problem as long as bioavailability is used in connection with a biological process or effect as can be defined in user-specific conceptual and operational definitions. Bioavailability has been in use for a long time in agricultural science, and is becoming increasingly important for risk assessment of contaminants in soils and sediments. Several methods to establish bioavailability, and thereby predict risks and effects, are in use or in development. It will be difficult to reduce the large number of methods to a limited number for national and international regulatory proposes. Each laboratory and country will claim to have the best method. Bioavailability can only become a tool when scientists no longer engage in methodological discussions, but provide minimum requirements for the methods necessary to establish bioavailability. © 2005 EPP Publications Ltd.","author":[{"dropping-particle":"","family":"Harmsen","given":"J","non-dropping-particle":"","parse-names":false,"suffix":""},{"dropping-particle":"","family":"Rulkens","given":"W","non-dropping-particle":"","parse-names":false,"suffix":""},{"dropping-particle":"","family":"Eijsackers","given":"H","non-dropping-particle":"","parse-names":false,"suffix":""}],"container-title":"Land Contamination and Reclamation","id":"ITEM-1","issue":"2","issued":{"date-parts":[["2005"]]},"page":"161-171","title":"Bioavailability: Concept for understanding or tool for predicting?","type":"article-journal","volume":"13"},"uris":["http://www.mendeley.com/documents/?uuid=89136181-bc24-4115-af20-d7285c5adb14"]}],"mendeley":{"formattedCitation":"(Harmsen et al., 2005)","plainTextFormattedCitation":"(Harmsen et al., 2005)","previouslyFormattedCitation":"(Harmsen et al., 2005)"},"properties":{"noteIndex":0},"schema":"https://github.com/citation-style-language/schema/raw/master/csl-citation.json"}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(Harmsen et al., 2005)</w:t>
      </w:r>
      <w:r w:rsidRPr="00216965">
        <w:rPr>
          <w:rFonts w:eastAsia="Times New Roman" w:cs="Times New Roman"/>
          <w:szCs w:val="24"/>
        </w:rPr>
        <w:fldChar w:fldCharType="end"/>
      </w:r>
      <w:r w:rsidRPr="00216965">
        <w:rPr>
          <w:rFonts w:eastAsia="Times New Roman" w:cs="Times New Roman"/>
          <w:szCs w:val="24"/>
        </w:rPr>
        <w:t xml:space="preserve">. Usually, ‘Rhizon’ soil moisture samplers are used to collect soil pore water for monitoring and assessing eco-toxicity in soils (Moreno </w:t>
      </w:r>
      <w:r w:rsidR="009B2252" w:rsidRPr="00216965">
        <w:rPr>
          <w:rFonts w:eastAsia="Times New Roman" w:cs="Times New Roman"/>
          <w:iCs/>
          <w:szCs w:val="24"/>
        </w:rPr>
        <w:t>et al</w:t>
      </w:r>
      <w:r w:rsidRPr="00216965">
        <w:rPr>
          <w:rFonts w:eastAsia="Times New Roman" w:cs="Times New Roman"/>
          <w:szCs w:val="24"/>
        </w:rPr>
        <w:t xml:space="preserve">., 2011). Soil pore water is considered the most direct and simple method for the determination of bioavailable metals. In addition, the use of passive samplers as previously mentioned may allow the </w:t>
      </w:r>
      <w:r w:rsidRPr="00216965">
        <w:rPr>
          <w:rFonts w:eastAsia="Times New Roman" w:cs="Times New Roman"/>
          <w:i/>
          <w:szCs w:val="24"/>
        </w:rPr>
        <w:t>in situ</w:t>
      </w:r>
      <w:r w:rsidRPr="00216965">
        <w:rPr>
          <w:rFonts w:eastAsia="Times New Roman" w:cs="Times New Roman"/>
          <w:szCs w:val="24"/>
        </w:rPr>
        <w:t xml:space="preserve"> collection of soil pore water, offering a routine way to monitor this solution under field conditions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{"citationItems":[{"id":"ITEM-1","itemData":{"DOI":"10.1016/j.envpol.2011.04.004","ISBN":"1873-6424 (Electronic)\\r0269-7491 (Linking)","ISSN":"02697491","PMID":"21570165","abstract":"Monitoring soil pollution is a key aspect in sustainable management of contaminated land but there is often debate over what should be monitored to assess ecological risk. Soil pore water, containing the most labile pollutant fraction in soils, can be easily collected in situ offering a routine way to monitor this risk. We present a compilation of data on concentration of trace elements (As, Cd, Cu, Pb, and Zn) in soil pore water collected in field conditions from a range of polluted and non-polluted soils in Spain and the UK during single and repeated monitoring, and propose a simple eco-toxicity test using this media. Sufficient pore water could be extracted for analysis both under semi-arid and temperate conditions, and eco-toxicity comparisons could be effectively made between polluted and non-polluted soils. We propose that in-situ pore water extraction could enhance the realism of risk assessment at some contaminated sites. ?? 2010 Published by Elsevier Ltd.","author":[{"dropping-particle":"","family":"Moreno","given":"Eduardo","non-dropping-particle":"","parse-names":false,"suffix":""},{"dropping-particle":"","family":"Beesley","given":"Luke","non-dropping-particle":"","parse-names":false,"suffix":""},{"dropping-particle":"","family":"Lepp","given":"Nicholas","non-dropping-particle":"","parse-names":false,"suffix":""},{"dropping-particle":"","family":"Dickinson","given":"Nicholas","non-dropping-particle":"","parse-names":false,"suffix":""},{"dropping-particle":"","family":"Hartley","given":"William","non-dropping-particle":"","parse-names":false,"suffix":""},{"dropping-particle":"","family":"Clemente","given":"Rafael","non-dropping-particle":"","parse-names":false,"suffix":""}],"container-title":"Environmental Pollution","id":"ITEM-1","issue":"10","issued":{"date-parts":[["2011"]]},"page":"3078-3085","publisher":"Elsevier Ltd","title":"Field sampling of soil pore water to evaluate trace element mobility and associated environmental risk","type":"article-journal","volume":"159"},"uris":["http://www.mendeley.com/documents/?uuid=495ddd99-abfa-4ac5-a496-09c037892112"]},{"id":"ITEM-2","itemData":{"DOI":"10.2134/jeq2014.02.0084","ISSN":"0047-2425","PMID":"25602205","abstract":"The leaching of trace metals from anthropogenically contaminated sites poses the risk of groundwater pollution. Biochar has recently been proposed as a soil additive to reduce trace-metal concentrations in the soil solution and to increase water retention, thus reducing drainage. However, field studies on the effects of biochar addition on trace-metal leaching are scarce. Therefore, we added 0, 1, 2.5, and 5 g 100 g of biochar derived from giant miscanthus ( x J.M. Greef &amp; Deuter ex Hodk. &amp; Renvoize) to soil contaminated by former wastewater irrigation and examined water retention and cumulative leaching of Zn, Cd, Cu, and Pb in a 2-yr field study. Cumulative trace-metal leaching was determined by self-integrating accumulators (SIAs) based on ion-exchange resins and compared with data calculated from mean concentrations in the soil solution collected with tension lysimeter plates and groundwater recharge rate. The highest rate of biochar addition increased water retention and thus reduced the amount of drainage water. Mean cumulative Zn and Cd fluxes decreased due to both reduced concentrations in the soil solution and reduced drainage. Although Cu and Pb concentrations in the soil solution increased with biochar addition, the reduced drainage resulted in similar fluxes in the biochar and the control treatment. The cumulative Zn, Cd, and Cu fluxes determined with SIAs were in the same range as the calculated values, while SIA-based Pb fluxes were much higher than those calculated. Since the suction plates excluded colloids, the high SIA-based Pb fluxes indicate colloidal transport and reveal the importance to elucidate the colloidal pathway for risk assessment.","author":[{"dropping-particle":"","family":"Schweiker","given":"Carolin","non-dropping-particle":"","parse-names":false,"suffix":""},{"dropping-particle":"","family":"Wagner","given":"Anne","non-dropping-particle":"","parse-names":false,"suffix":""},{"dropping-particle":"","family":"Peters","given":"Andre","non-dropping-particle":"","parse-names":false,"suffix":""},{"dropping-particle":"","family":"Bischoff","given":"Wolf-Anno","non-dropping-particle":"","parse-names":false,"suffix":""},{"dropping-particle":"","family":"Kaupenjohann","given":"Martin","non-dropping-particle":"","parse-names":false,"suffix":""}],"container-title":"Journal of Environment Quality","id":"ITEM-2","issue":"6","issued":{"date-parts":[["2014"]]},"page":"1886-1893","title":"Biochar reduces zinc and cadmium but not copper and lead leaching on a former sewage field","type":"article-journal","volume":"43"},"uris":["http://www.mendeley.com/documents/?uuid=66f0fb43-05de-4c1b-b1bd-0fd4d9346fad"]}],"mendeley":{"formattedCitation":"(Moreno et al., 2011; Schweiker et al., 2014)","plainTextFormattedCitation":"(Moreno et al., 2011; Schweiker et al., 2014)","previouslyFormattedCitation":"(Moreno et al., 2011; Schweiker et al., 2014)"},"properties":{"noteIndex":0},"schema":"https://github.com/citation-style-language/schema/raw/master/csl-citation.json"}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(Moreno et al., 2011; Schweiker et al., 2014)</w:t>
      </w:r>
      <w:r w:rsidRPr="00216965">
        <w:rPr>
          <w:rFonts w:eastAsia="Times New Roman" w:cs="Times New Roman"/>
          <w:szCs w:val="24"/>
        </w:rPr>
        <w:fldChar w:fldCharType="end"/>
      </w:r>
      <w:r w:rsidRPr="00216965">
        <w:rPr>
          <w:rFonts w:eastAsia="Times New Roman" w:cs="Times New Roman"/>
          <w:szCs w:val="24"/>
        </w:rPr>
        <w:t xml:space="preserve">. </w:t>
      </w:r>
    </w:p>
    <w:p w14:paraId="28F2AD46" w14:textId="1626654F"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Other approaches use chemical reagents as extractants to quantify the more labile fraction of heavy metals in soils. The more common extractants used are 1M solution of NH</w:t>
      </w:r>
      <w:r w:rsidRPr="00216965">
        <w:rPr>
          <w:rFonts w:eastAsia="Times New Roman" w:cs="Times New Roman"/>
          <w:szCs w:val="24"/>
          <w:vertAlign w:val="subscript"/>
        </w:rPr>
        <w:t>4</w:t>
      </w:r>
      <w:r w:rsidRPr="00216965">
        <w:rPr>
          <w:rFonts w:eastAsia="Times New Roman" w:cs="Times New Roman"/>
          <w:szCs w:val="24"/>
        </w:rPr>
        <w:t>NO</w:t>
      </w:r>
      <w:r w:rsidRPr="00216965">
        <w:rPr>
          <w:rFonts w:eastAsia="Times New Roman" w:cs="Times New Roman"/>
          <w:szCs w:val="24"/>
          <w:vertAlign w:val="subscript"/>
        </w:rPr>
        <w:t>3</w:t>
      </w:r>
      <w:r w:rsidRPr="00216965">
        <w:rPr>
          <w:rFonts w:eastAsia="Times New Roman" w:cs="Times New Roman"/>
          <w:szCs w:val="24"/>
        </w:rPr>
        <w:t xml:space="preserv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metals","type":"article-journal","volume":"348"},"uris":["http://www.mendeley.com/documents/?uuid=82171b33-8b24-44b8-8521-6ab142be0efa"]},{"id":"ITEM-2","itemData":{"DOI":"10.1016/j.scitotenv.2018.02.156","ISSN":"18791026","abstract":"In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Environment","id":"ITEM-2","issued":{"date-parts":[["2018"]]},"page":"1287-1295","publisher":"Elsevier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additives","type":"article-journal","volume":"628-629"},"uris":["http://www.mendeley.com/documents/?uuid=9c06a75b-67d7-467b-ac54-a74c5a7bb86a"]}],"mendeley":{"formattedCitation":"(Park et al., 2011a; Wawra et al., 2018)","plainTextFormattedCitation":"(Park et al., 2011a; Wawra et al., 2018)","previouslyFormattedCitation":"(Park et al., 2011a; Wawra et al., 2018)"},"properties":{"noteIndex":0},"schema":"https://github.com/citation-style-language/schema/raw/master/csl-citation.json"}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(Park et al., 2011a; Wawra et al., 2018)</w:t>
      </w:r>
      <w:r w:rsidRPr="00216965">
        <w:rPr>
          <w:rFonts w:eastAsia="Times New Roman" w:cs="Times New Roman"/>
          <w:szCs w:val="24"/>
        </w:rPr>
        <w:fldChar w:fldCharType="end"/>
      </w:r>
      <w:r w:rsidRPr="00216965">
        <w:rPr>
          <w:rFonts w:eastAsia="Times New Roman" w:cs="Times New Roman"/>
          <w:szCs w:val="24"/>
        </w:rPr>
        <w:t>, ammonium citrate 2% w/v, 0.1 M sodium nitrate, 0.05 M Na</w:t>
      </w:r>
      <w:r w:rsidRPr="00216965">
        <w:rPr>
          <w:rFonts w:eastAsia="Times New Roman" w:cs="Times New Roman"/>
          <w:szCs w:val="24"/>
          <w:vertAlign w:val="subscript"/>
        </w:rPr>
        <w:t>2</w:t>
      </w:r>
      <w:r w:rsidRPr="00216965">
        <w:rPr>
          <w:rFonts w:eastAsia="Times New Roman" w:cs="Times New Roman"/>
          <w:szCs w:val="24"/>
        </w:rPr>
        <w:t xml:space="preserve">EDTA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{"citationItems":[{"id":"ITEM-1","itemData":{"DOI":"10.1016/j.scitotenv.2004.06.009","ISBN":"00489697","ISSN":"00489697","PMID":"15626388","abstract":"The aim of this work was to estimate, on the basis of soil extraction procedures, whether a given soil is suitable for cultivation of plants used as food or feed. The paper discusses the transfer of metal ions (As, Cd, Cr, Cu, Hg, Mn, Ni, Pb, Zn) from contaminated soils to plants in terms of transfer factors (TF). The knowledge of transfer factors for a given element should enable prediction, before plants are sowed, whether a given soil is suitable for the cultivation of plants for consumption purposes. TF can only be evaluated when a linear relationship is observed between soil and plant composition for a given element. Such a relationship is rarely observed between the total soil content of a given metal and that of the plant. For this reason, it was necessary to develop an extraction procedure that would represent the content of metal available to plants during growing season. Several extracting agents were tested. The extracting agent that fulfilled these criteria was 2% (w/v) ammonium citrate. Statistically significant correlation coefficients were determined between the citrate-soluble fraction of soil and content in plant in the case of all the elements studied, except Ni. If a statistically significant correlation exists, it is then possible to evaluate the soil-plant transfer factor for a given metal in plants. © 2004 Elsevier B.V. All rights reserved.","author":[{"dropping-particle":"","family":"Chojnacka","given":"K.","non-dropping-particle":"","parse-names":false,"suffix":""},{"dropping-particle":"","family":"Chojnacki","given":"A.","non-dropping-particle":"","parse-names":false,"suffix":""},{"dropping-particle":"","family":"Górecka","given":"H.","non-dropping-particle":"","parse-names":false,"suffix":""},{"dropping-particle":"","family":"Górecki","given":"H.","non-dropping-particle":"","parse-names":false,"suffix":""}],"container-title":"Science of the Total Environment","id":"ITEM-1","issue":"1-3","issued":{"date-parts":[["2005"]]},"page":"175-182","title":"Bioavailability of heavy metals from polluted soils to plants","type":"article-journal","volume":"337"},"uris":["http://www.mendeley.com/documents/?uuid=e71f1b9c-67ac-4c29-8a88-dc5136eff660"]}],"mendeley":{"formattedCitation":"(Chojnacka et al., 2005)","plainTextFormattedCitation":"(Chojnacka et al., 2005)","previouslyFormattedCitation":"(Chojnacka et al., 2005)"},"properties":{"noteIndex":0},"schema":"https://github.com/citation-style-language/schema/raw/master/csl-citation.json"}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(Chojnacka et al., 2005)</w:t>
      </w:r>
      <w:r w:rsidRPr="00216965">
        <w:rPr>
          <w:rFonts w:eastAsia="Times New Roman" w:cs="Times New Roman"/>
          <w:szCs w:val="24"/>
        </w:rPr>
        <w:fldChar w:fldCharType="end"/>
      </w:r>
      <w:r w:rsidRPr="00216965">
        <w:rPr>
          <w:rFonts w:eastAsia="Times New Roman" w:cs="Times New Roman"/>
          <w:szCs w:val="24"/>
        </w:rPr>
        <w:t xml:space="preserve">, diethylene triamine penta acetic acid (DTPA) </w:t>
      </w:r>
      <w:r w:rsidRPr="00216965">
        <w:rPr>
          <w:rFonts w:eastAsia="Times New Roman" w:cs="Times New Roman"/>
          <w:szCs w:val="24"/>
        </w:rPr>
        <w:lastRenderedPageBreak/>
        <w:fldChar w:fldCharType="begin" w:fldLock="1"/>
      </w:r>
      <w:r w:rsidR="006C06AA" w:rsidRPr="00216965">
        <w:rPr>
          <w:rFonts w:eastAsia="Times New Roman" w:cs="Times New Roman"/>
          <w:szCs w:val="24"/>
        </w:rPr>
        <w:instrText>ADDIN CSL_CITATION {"citationItems":[{"id":"ITEM-1","itemData":{"DOI":"10.1007/s12517-020-05376-w","ISSN":"18667538","abstract":"Metal-contaminated soils are considered a global concern due to their adverse effects on ecosystem vitality. This study was conducted to assess the efficiency of garden waste biochar (GB), as a modern remediation tool of soils contaminated with heavy metals (HMs), compared with the other Paulownia biochar (PB) and bamboo biochar (BB), on the growth of Brassica juncea (L.). The experiments and analyses were carried out at the Institute of Agricultural Resources and Environment, Guangdong Academy of Agricultural Sciences (Guangzhou, China), during the year 2018. The studied contaminated soil sample was amended with 0, 2%, 4%, and 6% (w/w) of PB, BB, GB400, and GB600 biochar. The experiment was designed in a completely randomized block design with 3 replications for each treatment. Garden waste biochar significantly duplicated the soil organic matter and EC 1.43−2.21 and 1.33−1.51 times, respectively, enhanced soil pH, and improved plant growth. It was more efficient to improve soil properties than PB and BB. DTPA-extractable metals showed the highest reduction at 6% of GB400, which was 29.56, 46.04, and 59.98% for Pb, Cd, and Cu, respectively, while it was 48.29% for Zn at GB600 over the control. Moreover, GB treatments increased the nitrogen (N) and phosphorus (P) contents of the plant shoots. Besides, HM contents of soil and plant tissues were significantly reduced after biochar applications and the highest reduction was recorded using 6% of GB. The results obviously pointed out that the metal transfer coefficient (TC) of shoots was decreased compared with the control after biochar applications, and GB showed the optimum response in this regard. The huge amounts of garden waste, after transforming them to biochar (GB) which has been considered more effective in safe crop production, can be used to reduce the availability of toxic metals in the soil and keep them under safe limits, especially with large-scale vegetable crops in China. It will clean the environment and improve resource sustainability. Therefore, GB is recommended to be used in soil HM remediation on a large scale in polluted areas.","author":[{"dropping-particle":"","family":"Awad","given":"Mahrous","non-dropping-particle":"","parse-names":false,"suffix":""},{"dropping-particle":"","family":"Moustafa-Farag","given":"Mohamed","non-dropping-particle":"","parse-names":false,"suffix":""},{"dropping-particle":"","family":"Wei","given":"Lan","non-dropping-particle":"","parse-names":false,"suffix":""},{"dropping-particle":"","family":"Huang","given":"Qing","non-dropping-particle":"","parse-names":false,"suffix":""},{"dropping-particle":"","family":"Liu","given":"Zhongzhen","non-dropping-particle":"","parse-names":false,"suffix":""}],"container-title":"Arabian Journal of Geosciences","id":"ITEM-1","issue":"12","issued":{"date-parts":[["2020","6","1"]]},"page":"1-12","publisher":"Springer","title":"Effect of garden waste biochar on the bioavailability of heavy metals and growth of Brassica juncea (L.) in a multi-contaminated soil","type":"article-journal","volume":"13"},"uris":["http://www.mendeley.com/documents/?uuid=5557bcf8-d2c7-32cb-b69b-d99d85eb099a"]},{"id":"ITEM-2","itemData":{"DOI":"10.1016/J.ENVINT.2020.105519","ISSN":"0160-4120","abstract":"Soils in coastal areas of the land-sea interface are vulnerable to heavy metal (HM) accumulation and subsequently to human health risk. However, few studies have investigated the HM pollution and risk in soils along the coastal areas of the Yellow Sea Large Marine Ecosystem (YSLME), in an international perspective. This study is the first comprehensive work in the YSLME encompassing 122 coastal locations along the Bohai Sea (BS), Yellow Sea of China (YSC), and Yellow Sea of South Korea (YSK). Soil HM pollution showed great spatial variations cross the regions and countries. Accumulations of As, Cu, Pb, and Zn in the YSK were significantly higher than those in the BS and YSC (p &lt; 0.05). Whilst the elevated Cd, Hg, and Ni in soils were found in the BS and YSC compared to those in the YSK (p &lt; 0.05). Meantime, the assessment of ecological risk posed by HMs indicated higher potential risk in the BS than other coastal areas. In specific, Cd and Hg posed a higher risk in the BS and YSC, while As showed relatively high risk in the YSK, indicating site-dependent accumulation of HMs in soils. Soil pH and organic matter were found to be important factors affecting the HM accumulation in the study areas. Industrial activities are the major driving factors influencing spatial distributions of HMs, and such activities exhibited different degrees of influence across the sampling sites. Altogether, the results of present study first identified the bilateral characteristics of soil HM pollution along the entire coasts of the YSLME in a comprehensive manner in several aspects: (1) sources, (2) hot spots, (3) priority chemicals of concern, and (4) site-specific potential risk of the soil HMs. Overall, this study provides references and backgrounds for future environmental management strategies and aids in developing a bilateral government policy towards coastal pollution management of HMs from an international scale and perspective.","author":[{"dropping-particle":"","family":"Liu","given":"Peng","non-dropping-particle":"","parse-names":false,"suffix":""},{"dropping-particle":"","family":"Hu","given":"Wenyou","non-dropping-particle":"","parse-names":false,"suffix":""},{"dropping-particle":"","family":"Tian","given":"Kang","non-dropping-particle":"","parse-names":false,"suffix":""},{"dropping-particle":"","family":"Huang","given":"Biao","non-dropping-particle":"","parse-names":false,"suffix":""},{"dropping-particle":"","family":"Zhao","given":"Yongcun","non-dropping-particle":"","parse-names":false,"suffix":""},{"dropping-particle":"","family":"Wang","given":"Xinkai","non-dropping-particle":"","parse-names":false,"suffix":""},{"dropping-particle":"","family":"Zhou","given":"Yunqiao","non-dropping-particle":"","parse-names":false,"suffix":""},{"dropping-particle":"","family":"Shi","given":"Bin","non-dropping-particle":"","parse-names":false,"suffix":"</w:instrText>
      </w:r>
      <w:r w:rsidR="006C06AA" w:rsidRPr="00216965">
        <w:rPr>
          <w:rFonts w:eastAsia="Times New Roman" w:cs="Times New Roman"/>
          <w:szCs w:val="24"/>
          <w:lang w:val="fr-FR"/>
        </w:rPr>
        <w:instrText>"},{"dropping-particle":"","family":"Kwon","given":"Bong Oh","non-dropping-particle":"","parse-names":false,"suffix":""},{"dropping-particle":"","family":"Choi","given":"Kyungsik","non-dropping-particle":"","parse-names":false,"suffix":""},{"dropping-particle":"","family":"Ryu","given":"Jongseong","non-dropping-particle":"","parse-names":false,"suffix":""},{"dropping-particle":"","family":"Chen","given":"Yong","non-dropping-particle":"","parse-names":false,"suffix":""},{"dropping-particle":"","family":"Wang","given":"Tieyu","non-dropping-particle":"","parse-names":false,"suffix":""},{"dropping-particle":"","family":"Khim","given":"Jong Seong","non-dropping-particle":"","parse-names":false,"suffix":""}],"container-title":"Environment International","id":"ITEM-2","issued":{"date-parts":[["2020","4","1"]]},"page":"105519","publisher":"Pergamon","title":"Accumulation and ecological risk of heavy metals in soils along the coastal areas of the Bohai Sea and the Yellow Sea: A comparative study of China and South Korea","type":"article-journal","volume":"137"},"uris":["http://www.mendeley.com/documents/?uuid=17b7e655-8a72-3ba1-91b4-7cea0e600051"]}],"mendeley":{"formattedCitation":"(Awad et al., 2020; P. Liu et al., 2020)","plainTextFormattedCitation":"(Awad et al., 2020; P. Liu et al., 2020)","previouslyFormattedCitation":"(Awad et al., 2020; P. Liu et al., 2020)"},"properties":{"noteIndex":0},"schema":"https://github.com/citation-style-language/schema/raw/master/csl-citation.json"}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lang w:val="fr-FR"/>
        </w:rPr>
        <w:t>(Awad et al., 2020; P. Liu et al., 2020)</w:t>
      </w:r>
      <w:r w:rsidRPr="00216965">
        <w:rPr>
          <w:rFonts w:eastAsia="Times New Roman" w:cs="Times New Roman"/>
          <w:szCs w:val="24"/>
        </w:rPr>
        <w:fldChar w:fldCharType="end"/>
      </w:r>
      <w:r w:rsidRPr="00216965">
        <w:rPr>
          <w:rFonts w:eastAsia="Times New Roman" w:cs="Times New Roman"/>
          <w:szCs w:val="24"/>
          <w:lang w:val="fr-FR"/>
        </w:rPr>
        <w:t>, sodium acetate and MgCl</w:t>
      </w:r>
      <w:r w:rsidRPr="00216965">
        <w:rPr>
          <w:rFonts w:eastAsia="Times New Roman" w:cs="Times New Roman"/>
          <w:szCs w:val="24"/>
          <w:vertAlign w:val="subscript"/>
          <w:lang w:val="fr-FR"/>
        </w:rPr>
        <w:t xml:space="preserve">2 </w:t>
      </w:r>
      <w:r w:rsidRPr="00216965">
        <w:rPr>
          <w:rFonts w:eastAsia="Times New Roman" w:cs="Times New Roman"/>
          <w:szCs w:val="24"/>
          <w:vertAlign w:val="subscript"/>
        </w:rPr>
        <w:fldChar w:fldCharType="begin" w:fldLock="1"/>
      </w:r>
      <w:r w:rsidR="006C06AA" w:rsidRPr="00216965">
        <w:rPr>
          <w:rFonts w:eastAsia="Times New Roman" w:cs="Times New Roman"/>
          <w:szCs w:val="24"/>
          <w:vertAlign w:val="subscript"/>
          <w:lang w:val="fr-FR"/>
        </w:rPr>
        <w:instrText>ADDIN CSL_CITATION {"citationItems":[{"id":"ITEM-1","itemData":{"DOI":"10.4172/scientificreports.1","author":[{"dropping-particle":"","family":"Okoro","given":"Hussein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w:instrText>
      </w:r>
      <w:r w:rsidR="006C06AA" w:rsidRPr="00804FEA">
        <w:rPr>
          <w:rFonts w:eastAsia="Times New Roman" w:cs="Times New Roman"/>
          <w:szCs w:val="24"/>
          <w:vertAlign w:val="subscript"/>
        </w:rPr>
        <w:instrText>nette G","non-dropping-particle":"","parse-names":false,"suffix":""}],"container-title":"Open Access Scientific Reports","id":"ITEM-1","issue":"3","issued":{"date-parts":[["2012"]]},"page":"181","title":"A review of sequential extraction procedures for heavy metals speciation in soil and sediments","type":"article-journal","volume":"1"},"uris":["http://www.mendeley.com/documents/?uuid=19cf9187-8aee-460e-ad8e-5187b017ed8a"]},{"id":"ITEM-2","itemData":{"author":[{"dropping-particle":"","family":"Tessier","given":"A","non-dropping-particle":"","parse-names":false,"suffix":""},{"dropping-particle":"","family":"Campbell","given":"P G C","non-dropping-particle":"","parse-names":false,"suffix":""},{"dropping-particle":"","family":"Bisson","given":"M","non-dropping-particle"</w:instrText>
      </w:r>
      <w:r w:rsidR="006C06AA" w:rsidRPr="00216965">
        <w:rPr>
          <w:rFonts w:eastAsia="Times New Roman" w:cs="Times New Roman"/>
          <w:szCs w:val="24"/>
          <w:vertAlign w:val="subscript"/>
        </w:rPr>
        <w:instrText>:"","parse-names":false,"suffix":""}],"container-title":"Analytical Chemistry","id":"ITEM-2","issue":"7","issued":{"date-parts":[["1979"]]},"page":"844-851","title":"Sequential extraction procedure for the speciation of particulate trace metals","type":"article-journal","volume":"51"},"uris":["http://www.mendeley.com/documents/?uuid=1d1e9d90-39b3-46fd-bd46-0b3d3a00a1d6"]}],"mendeley":{"formattedCitation":"(Okoro et al., 2012; Tessier et al., 1979)","plainTextFormattedCitation":"(Okoro et al., 2012; Tessier et al., 1979)","previouslyFormattedCitation":"(Okoro et al., 2012; Tessier et al., 1979)"},"properties":{"noteIndex":0},"schema":"https://github.com/citation-style-language/schema/raw/master/csl-citation.json"}</w:instrText>
      </w:r>
      <w:r w:rsidRPr="00216965">
        <w:rPr>
          <w:rFonts w:eastAsia="Times New Roman" w:cs="Times New Roman"/>
          <w:szCs w:val="24"/>
          <w:vertAlign w:val="subscript"/>
        </w:rPr>
        <w:fldChar w:fldCharType="separate"/>
      </w:r>
      <w:r w:rsidR="001974AA" w:rsidRPr="00216965">
        <w:rPr>
          <w:rFonts w:eastAsia="Times New Roman" w:cs="Times New Roman"/>
          <w:noProof/>
          <w:szCs w:val="24"/>
        </w:rPr>
        <w:t>(Okoro et al., 2012; Tessier et al., 1979)</w:t>
      </w:r>
      <w:r w:rsidRPr="00216965">
        <w:rPr>
          <w:rFonts w:eastAsia="Times New Roman" w:cs="Times New Roman"/>
          <w:szCs w:val="24"/>
          <w:vertAlign w:val="subscript"/>
        </w:rPr>
        <w:fldChar w:fldCharType="end"/>
      </w:r>
      <w:r w:rsidRPr="00216965">
        <w:rPr>
          <w:rFonts w:eastAsia="Times New Roman" w:cs="Times New Roman"/>
          <w:szCs w:val="24"/>
        </w:rPr>
        <w:t xml:space="preserve">. </w:t>
      </w:r>
    </w:p>
    <w:p w14:paraId="4BD2E358" w14:textId="78BDC6FE"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Other studies have focused on the sequential extraction of heavy metals to assess the effect of biochar on the distribution and mobility of heavy metals in different soil fractions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soil","type":"article-journal","volume":"39"},"uris":["http://www.mendeley.com/documents/?uuid=11a55112-223f-38f1-b45d-89e3281424c5"]},{"id":"ITEM-2","itemData":{"DOI":"10.1007/s11104-011-0948-y","ISBN":"0032-079X","ISSN":"0032079X","abstract":"Background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Soil","id":"ITEM-2","issued":{"date-parts":[["2011"]]},"page":"439-451","title":"Biochar reduces the bioavailability and phytotoxicity of heavy metals","type":"article-journal","volume":"348"},"uris":["http://www.mendeley.com/documents/?uuid=82171b33-8b24-44b8-8521-6ab142be0efa"]},{"id":"ITEM-3","itemData":{"DOI":"10.1016/j.still.2016.01.008","abstract":"A B S T R A C T Contaminated mining soils might pose risk to the environment due to leaching of heavy metals into ground water, especially under acid conditions. Biochar might be an option for remediation of contaminated mining soils. The aim of this study was to evaluate the effect of soil acidification and biochar (BC) application on Cd, Pb and Zn mobility and chemical fractionation in two mining soils (A and B). Fifteen leaching columns per soil were packed, applying the following treatments: soil + 3% BC; acidified soil; acidified soil + 3% BC and control soil + CaCO 3 . The control treatment was constituted by the original polluted soil (soil A or soil B). BC was produced by slow pyrolysis at 700 C from sugarcane straw. Ten leaching events were performed and Cd, Pb, Zn and pH were determined for each leaching. A sequential extraction procedure was performed after leaching was finished. The following fractions were evaluated: mobile, exchangeable, bound to Mn oxide, bound to OM, bound to Fe oxide and residual. In the polluted control soil metal mobility was very low. In acidified soils metal mobility increased drastically and BC application reduced the Cd (57–73%), Pb (45–55%) and Zn (46%) concentrations in the leachate. With the sequential extraction it was observed that Cd was mostly bound to the mobile fraction (15–35%) and exchangeable fraction (7–38%), Pb was mainly bound to the Mn oxide fraction (32–70%) and OM (31– 43%) and Zn was principally bound to the residual fraction (31–68%). Cadmium presented the highest mobility index (33–53%) and Pb the lowest (1–3%), which is related to the fractions they are bound in the soil. Field studies would be necessary to confirm the effectiveness of BC application on heavy metals' retention, prior to large scale application.","author":[{"dropping-particle":"","family":"Puga","given":"Aline Peregrina","non-dropping-particle":"","parse-names":false,"suffix":""},{"dropping-particle":"","family":"Azevedo","given":"Leonidas Carrijo","non-dropping-particle":"","parse-names":false,"suffix":""},{"dropping-particle":"","family":"Abreu","given":"Cleide","non-dropping-particle":"De","parse-names":false,"suffix":""},{"dropping-particle":"","family":"Coscione","given":"Aline Reneé","non-dropping-particle":"","parse-names":false,"suffix":""},{"dropping-particle":"","family":"Paz-Ferreiro","given":"Jorge","non-dropping-particle":"","parse-names":false,"suffix":""}],"container-title":"Soil and Tillage Research","id":"ITEM-3","issued":{"date-parts":[["2016"]]},"page":"25–33","title":"Leaching and fractionation of heavy metals in mining soils amended with biochar","type":"article-journal","volume":"164"},"uris":["http://www.mendeley.com/documents/?uuid=962920f6-8753-326f-8746-670111beb354"]},{"id":"ITEM-4","itemData":{"DOI":"10.1016/j.envpol.2020.114133","ISSN":"18736424","PMID":"32078879","abstract":"Biochar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Pollution","id":"ITEM-4","issued":{"date-parts":[["2020","6","1"]]},"page":"114133","publisher":"Elsevier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soil","type":"article-journal","volume":"261"},"uris":["http://www.mendeley.com/documents/?uuid=6eee545a-7fee-346b-8aa7-47b79f2eb8fe"]},{"id":"ITEM-5","itemData":{"DOI":"10.1007/s11270-015-2680-3","abstract":"Biochar has great advantages and potentials on soil amendment and polluted soil remediation. In order to explore these applications, a pot experiment was carried out to research the effect of biochar on the heavy metal speciation in paddy soil and the heavy metal accumulation of paddy rice from Chengdu plain, Sichuan Province. The experimental results show that wine lees-derived biochar can efficiently increase soil pH, decrease the contents of soil exchangeable heavy metals, and promote heavy metal transformation to re-sidual fraction. Moreover, application of biochar can reduce the accumulation of heavy metals in paddy plant, decrease the migration ability of heavy metals to the aboveground part of the plant, and consequently cut down contents of heavy metals in rice. When biochar dosage was 0.5 % in weight, the contents of soil ex-changeable Cr, Ni, Cu, Pb, Zn, and Cd decreased 18.8, 29.6, 26.3, 23.0, 23.01, and 48.14 %, respectively, which all significantly differed from CK (P&lt;0.05), and the contents of heavy metals in plant roots, stems, leaves, rice husk, and rice all decreased accordingly, among which Zn, Cd, and Pb decreased 10.96, 8.89, and 8.33 % respectively. When biochar dosage in-creased to 1 %, heavy metal contents in roots, stems, leaves, rice husk, and rice decreased further. Therefore, wine lees-derived biochar shows a great potential in remediation of heavy-metal-polluted soil, and this work pro</w:instrText>
      </w:r>
      <w:r w:rsidR="006C06AA" w:rsidRPr="00216965">
        <w:rPr>
          <w:rFonts w:eastAsia="Times New Roman" w:cs="Times New Roman"/>
          <w:szCs w:val="24"/>
          <w:lang w:val="fr-FR"/>
        </w:rPr>
        <w:instrText>vides theoretical basis for restoring heavy-metal-polluted soil using biochar.","author":[{"dropping-particle":"","family":"Zhu","given":"Qihong","non-dropping-particle":"","parse-names":false,"suffix":""},{"dropping-particle":"","family":"Wu","given":"Jun","non-dropping-particle":"","parse-names":false,"suffix":""},{"dropping-particle":"","family":"Wang","given":"Lilin","non-dropping-particle":"","parse-names":false,"suffix":""},{"dropping-particle":"","family":"Yang","given":"Gang","non-dropping-particle":"","parse-names":false,"suffix":""},{"dropping-particle":"","family":"Zhang","given":"Xiaohong","non-dropping-particle":"","parse-names":false,"suffix":""}],"container-title":"Water, Air, and Soil Pollution","id":"ITEM-5","issued":{"date-parts":[["2015"]]},"page":"429","title":"Effect of biochar on heavy metal speciation of paddy soil","type":"article-journal","volume":"226"},"uris":["http://www.mendeley.com/documents/?uuid=bd113688-0cce-3f39-883f-9b3afe068f8d"]}],"mendeley":{"formattedCitation":"(Bandara et al., 2017; Park et al., 2011a; Puga et al., 2016; C. Xu et al., 2020; Zhu et al., 2015)","plainTextFormattedCitation":"(Bandara et al., 2017; Park et al., 2011a; Puga et al., 2016; C. Xu et al., 2020; Zhu et al., 2015)","previouslyFormattedCitation":"(Bandara et al., 2017; Park et al., 2011a; Puga et al., 2016; C. Xu et al., 2020; Zhu et al., 2015)"},"properties":{"noteIndex":0},"schema":"https://github.com/citation-style-language/schema/raw/master/csl-citation.json"}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lang w:val="fr-FR"/>
        </w:rPr>
        <w:t>(Bandara et al., 2017; Park et al., 2011a; Puga et al., 2016; C. Xu et al., 2020; Zhu et al., 2015)</w:t>
      </w:r>
      <w:r w:rsidRPr="00216965">
        <w:rPr>
          <w:rFonts w:eastAsia="Times New Roman" w:cs="Times New Roman"/>
          <w:szCs w:val="24"/>
        </w:rPr>
        <w:fldChar w:fldCharType="end"/>
      </w:r>
      <w:r w:rsidRPr="00216965">
        <w:rPr>
          <w:rFonts w:eastAsia="Times New Roman" w:cs="Times New Roman"/>
          <w:szCs w:val="24"/>
          <w:lang w:val="fr-FR"/>
        </w:rPr>
        <w:t xml:space="preserve">. </w:t>
      </w:r>
      <w:r w:rsidRPr="00216965">
        <w:rPr>
          <w:rFonts w:eastAsia="Times New Roman" w:cs="Times New Roman"/>
          <w:szCs w:val="24"/>
        </w:rPr>
        <w:t xml:space="preserve">A number of sequential extraction techniques have been developed over the last 30 years, and there is no standardized procedure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(Filgueiras et al., 2002)</w:t>
      </w:r>
      <w:r w:rsidRPr="00216965">
        <w:rPr>
          <w:rFonts w:eastAsia="Times New Roman" w:cs="Times New Roman"/>
          <w:szCs w:val="24"/>
        </w:rPr>
        <w:fldChar w:fldCharType="end"/>
      </w:r>
      <w:r w:rsidRPr="00216965">
        <w:rPr>
          <w:rFonts w:eastAsia="Times New Roman" w:cs="Times New Roman"/>
          <w:szCs w:val="24"/>
        </w:rPr>
        <w:t xml:space="preserve">. The most commonly used protocols are modifications derived from the 5-step sequential extraction method originally presented by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{"citationItems":[{"id":"ITEM-1","itemData":{"author":[{"dropping-particle":"","family":"Tessier","given":"A","non-dropping-particle":"","parse-names":false,"suffix":""},{"dropping-particle":"","family":"Campbell","given":"P G C","non-dropping-particle":"","parse-names":false,"suffix":""},{"dropping-particle":"","family":"Bisson","given":"M","non-dropping-particle":"","parse-names":false,"suffix":""}],"container-title":"Analytical Chemistry","id":"ITEM-1","issue":"7","issued":{"date-parts":[["1979"]]},"page":"844-851","title":"Sequential extraction procedure for the speciation of particulate trace metals","type":"article-journal","volume":"51"},"uris":["http://www.mendeley.com/documents/?uuid=1d1e9d90-39b3-46fd-bd46-0b3d3a00a1d6"]}],"mendeley":{"formattedCitation":"(Tessier et al., 1979)","manualFormatting":"Tessier et al. (1979)","plainTextFormattedCitation":"(Tessier et al., 1979)","previouslyFormattedCitation":"(Tessier et al., 1979)"},"properties":{"noteIndex":0},"schema":"https://github.com/citation-style-language/schema/raw/master/csl-citation.json"}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Tessier </w:t>
      </w:r>
      <w:r w:rsidR="009B2252" w:rsidRPr="00216965">
        <w:rPr>
          <w:rFonts w:eastAsia="Times New Roman" w:cs="Times New Roman"/>
          <w:iCs/>
          <w:noProof/>
          <w:szCs w:val="24"/>
        </w:rPr>
        <w:t>et al</w:t>
      </w:r>
      <w:r w:rsidRPr="00216965">
        <w:rPr>
          <w:rFonts w:eastAsia="Times New Roman" w:cs="Times New Roman"/>
          <w:noProof/>
          <w:szCs w:val="24"/>
        </w:rPr>
        <w:t>. (1979)</w:t>
      </w:r>
      <w:r w:rsidRPr="00216965">
        <w:rPr>
          <w:rFonts w:eastAsia="Times New Roman" w:cs="Times New Roman"/>
          <w:szCs w:val="24"/>
        </w:rPr>
        <w:fldChar w:fldCharType="end"/>
      </w:r>
      <w:r w:rsidRPr="00216965">
        <w:rPr>
          <w:rFonts w:eastAsia="Times New Roman" w:cs="Times New Roman"/>
          <w:szCs w:val="24"/>
        </w:rPr>
        <w:t xml:space="preserve"> and the extraction method developed by the Community Bureau of Reference (BCR)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{"citationItems":[{"id":"ITEM-1","itemData":{"DOI":"10.1080/03067319308027619","abstract":"An account is presented of a series of investigations and collaborative studies, initiated by BCR, on current methods of metal speciation by extraction of soils and sediments with chemical reagents...","author":[{"dropping-particle":"","family":"Ure","given":"A. M.","non-dropping-particle":"","parse-names":false,"suffix":""},{"dropping-particle":"","family":"Quevauviller","given":"Ph.","non-dropping-particle":"","parse-names":false,"suffix":""},{"dropping-particle":"","family":"Muntau","given":"H.","non-dropping-particle":"","parse-names":false,"suffix":""},{"dropping-particle":"","family":"Griepink","given":"B.","non-dropping-particle":"","parse-names":false,"suffix":""}],"container-title":"International Journal of Environmental Analytical Chemistry","id":"ITEM-1","issue":"1-4","issued":{"date-parts":[["2006","6","1"]]},"page":"135-151","publisher":"Taylor &amp; Francis Group","title":"Speciation of heavy metals in soils and sediments. An account of the improvement and harmonization of extraction techniques undertaken under the auspices of the BCR of the Commission of the European Communities","type":"article-journal","volume":"51"},"uris":["http://www.mendeley.com/documents/?uuid=7ed4cd57-52d4-3432-a567-724900ba6b6b"]}],"mendeley":{"formattedCitation":"(Ure et al., 2006)","plainTextFormattedCitation":"(Ure et al., 2006)","previouslyFormattedCitation":"(Ure et al., 2006)"},"properties":{"noteIndex":0},"schema":"https://github.com/citation-style-language/schema/raw/master/csl-citation.json"}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(Ure et al., 2006)</w:t>
      </w:r>
      <w:r w:rsidRPr="00216965">
        <w:rPr>
          <w:rFonts w:eastAsia="Times New Roman" w:cs="Times New Roman"/>
          <w:szCs w:val="24"/>
        </w:rPr>
        <w:fldChar w:fldCharType="end"/>
      </w:r>
      <w:r w:rsidRPr="00216965">
        <w:rPr>
          <w:rFonts w:eastAsia="Times New Roman" w:cs="Times New Roman"/>
          <w:szCs w:val="24"/>
        </w:rPr>
        <w:t xml:space="preserve">. Although sequential extraction procedures are time consuming, they provide valuable information on the origin, mode of occurrence, biological and physicochemical availability, mobilization and transport of trace metals in soils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(Filgueiras et al., 2002)</w:t>
      </w:r>
      <w:r w:rsidRPr="00216965">
        <w:rPr>
          <w:rFonts w:eastAsia="Times New Roman" w:cs="Times New Roman"/>
          <w:szCs w:val="24"/>
        </w:rPr>
        <w:fldChar w:fldCharType="end"/>
      </w:r>
      <w:r w:rsidRPr="00216965">
        <w:rPr>
          <w:rFonts w:eastAsia="Times New Roman" w:cs="Times New Roman"/>
          <w:szCs w:val="24"/>
        </w:rPr>
        <w:t xml:space="preserve">. However, sample processing during sequential extraction procedures can disturb soil structure, enhance the surface area exposed to extractants and, due to the destruction of the soil matrix, this type of analysis may provide an inaccurate results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soil","type":"article-journal","volume":"158"},"uris":["http://www.mendeley.com/documents/?uuid=82b97d1e-c40c-4f11-95c0-fbd3c838b5a9"]},{"id":"ITEM-2","itemData":{"DOI":"10.1016/j.envpol.2011.04.004","ISBN":"1873-6424 (Electronic)\\r0269-7491 (Linking)","ISSN":"02697491","PMID":"21570165","abstract":"Monitoring soil pollution is a key aspect in sustainable management of contaminated land but there is often debate over what should be monitored to assess ecological risk. Soil pore water, containing the most labile pollutant fraction in soils, can be easily collected in situ offering a routine way to monitor this risk. We present a compilation of data on concentration of trace elements (As, Cd, Cu, Pb, and Zn) in soil pore water collected in field conditions from a range of polluted and non-polluted soils in Spain and the UK during single and repeated monitoring, and propose a simple eco-toxicity test using this media. Sufficient pore water could be extracted for analysis both under semi-arid and temperate conditions, and eco-toxicity comparisons could be effectively made between polluted and non-polluted soils. We propose that in-situ pore water extraction could enhance the realism of risk assessment at some contaminated sites. ?? 2010 Published by Elsevier Ltd.","author":[{"dropping-particle":"","family":"Moreno","given":"Eduardo","non-dropping-particle":"","parse-names":false,"suffix":""},{"dropping-particle":"","family":"Beesley","given":"Luke","non-dropping-particle":"","parse-names":false,"suffix":""},{"dropping-particle":"","family":"Lepp","given":"Nicholas","non-dropping-particle":"","parse-names":false,"suffix":""},{"dropping-particle":"","family":"Dickinson","given":"Nicholas","non-dropping-particle":"","parse-names":false,"suffix":""},{"dropping-particle":"","family":"Hartley","given":"William","non-dropping-particle":"","parse-names":false,"suffix":""},{"dropping-particle":"","family":"Clemente","given":"Rafael","non-dropping-particle":"","parse-names":false,"suffix":""}],"container-title":"Environmental Pollution","id":"ITEM-2","issue":"10","issued":{"date-parts":[["2011"]]},"page":"3078-3085","publisher":"Elsevier Ltd","title":"Field sampling of soil pore water to evaluate trace element mobility and associated environmental risk","type":"article-journal","volume":"159"},"uris":["http://www.mendeley.com/documents/?uuid=495ddd99-abfa-4ac5-a496-09c037892112"]}],"mendeley":{"formattedCitation":"(Beesley et al., 2010; Moreno et al., 2011)","plainTextFormattedCitation":"(Beesley et al., 2010; Moreno et al., 2011)","previouslyFormattedCitation":"(Beesley et al., 2010; Moreno et al., 2011)"},"properties":{"noteIndex":0},"schema":"https://github.com/citation-style-language/schema/raw/master/csl-citation.json"}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(Beesley et al., 2010; Moreno et al., 2011)</w:t>
      </w:r>
      <w:r w:rsidRPr="00216965">
        <w:rPr>
          <w:rFonts w:eastAsia="Times New Roman" w:cs="Times New Roman"/>
          <w:szCs w:val="24"/>
        </w:rPr>
        <w:fldChar w:fldCharType="end"/>
      </w:r>
      <w:r w:rsidRPr="00216965">
        <w:rPr>
          <w:rFonts w:eastAsia="Times New Roman" w:cs="Times New Roman"/>
          <w:szCs w:val="24"/>
        </w:rPr>
        <w:t>.</w:t>
      </w:r>
    </w:p>
    <w:p w14:paraId="6FA4B87F" w14:textId="4763C641"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In all the methods mentioned above, the determination of heavy metals is generally undertaken via inductively coupled plasma mass spectrometry (ICP-MS), inductively coupled plasma - optical emission spectrometry (ICP-OES), atomic absorption spectroscopy (AAS) or flame atomic absorption spectroscopy (FAAS)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rPr>
          <w:rFonts w:eastAsia="Times New Roman" w:cs="Times New Roman"/>
          <w:szCs w:val="24"/>
        </w:rPr>
        <w:fldChar w:fldCharType="separate"/>
      </w:r>
      <w:r w:rsidR="001974AA" w:rsidRPr="00216965">
        <w:rPr>
          <w:rFonts w:eastAsia="Times New Roman" w:cs="Times New Roman"/>
          <w:noProof/>
          <w:szCs w:val="24"/>
        </w:rPr>
        <w:t>(Filgueiras et al., 2002)</w:t>
      </w:r>
      <w:r w:rsidRPr="00216965">
        <w:rPr>
          <w:rFonts w:eastAsia="Times New Roman" w:cs="Times New Roman"/>
          <w:szCs w:val="24"/>
        </w:rPr>
        <w:fldChar w:fldCharType="end"/>
      </w:r>
      <w:r w:rsidRPr="00216965">
        <w:rPr>
          <w:rFonts w:eastAsia="Times New Roman" w:cs="Times New Roman"/>
          <w:szCs w:val="24"/>
        </w:rPr>
        <w:t>.</w:t>
      </w:r>
    </w:p>
    <w:p w14:paraId="01355651" w14:textId="3DC1C6D6" w:rsidR="006E23EA" w:rsidRPr="00216965" w:rsidRDefault="00632101" w:rsidP="008A33DA">
      <w:pPr>
        <w:pStyle w:val="Caption"/>
        <w:spacing w:line="360" w:lineRule="auto"/>
        <w:jc w:val="both"/>
        <w:rPr>
          <w:rFonts w:eastAsia="Times New Roman" w:cs="Times New Roman"/>
          <w:bCs w:val="0"/>
          <w:szCs w:val="24"/>
          <w:lang w:eastAsia="en-US"/>
        </w:rPr>
      </w:pPr>
      <w:r w:rsidRPr="00216965">
        <w:rPr>
          <w:rFonts w:eastAsia="Times New Roman" w:cs="Times New Roman"/>
          <w:bCs w:val="0"/>
          <w:szCs w:val="24"/>
          <w:lang w:eastAsia="en-US"/>
        </w:rPr>
        <w:t xml:space="preserve">An alternative approach to monitor the toxicity of heavy metals in biochar-amended soils is using biological performance indicators. As previously mentioned biochar application affects both the soil physico-chemical properties and the soil biological properties from the perspectives of plant growth (vegetation measurement), microbial community and activity, ecotoxicity, and the whole food-web structure </w:t>
      </w:r>
      <w:r w:rsidRPr="00216965">
        <w:rPr>
          <w:rFonts w:eastAsia="Times New Roman" w:cs="Times New Roman"/>
          <w:bCs w:val="0"/>
          <w:szCs w:val="24"/>
          <w:lang w:eastAsia="en-US"/>
        </w:rPr>
        <w:fldChar w:fldCharType="begin" w:fldLock="1"/>
      </w:r>
      <w:r w:rsidR="006C06AA" w:rsidRPr="00216965">
        <w:rPr>
          <w:rFonts w:eastAsia="Times New Roman" w:cs="Times New Roman"/>
          <w:bCs w:val="0"/>
          <w:szCs w:val="24"/>
          <w:lang w:eastAsia="en-US"/>
        </w:rPr>
        <w:instrText>ADDIN CSL_CITATION {"citationItems":[{"id":"ITEM-1","itemData":{"DOI":"10.1016/j.jhazmat.2021.125378","author":[{"dropping-particle":"","family":"He","given":"Mingjing","non-dropping-particle":"","parse-names":false,"suffix":""},{"dropping-particle":"","family":"Xiong","given":"Xinni","non-dropping-particle":"","parse-names":false,"suffix":""},{"dropping-particle":"","family":"Wang","given":"Lei","non-dropping-particle":"","parse-names":false,"suffix":""},{"dropping-particle":"","family":"Hou","given":"Deyi","non-dropping-particle":"","parse-names":false,"suffix":""},{"dropping-particle":"","family":"Bolan","given":"Nanthi S","non-dropping-particle":"","parse-names":false,"suffix":""},{"dropping-particle":"","family":"Sik","given":"Yong","non-dropping-particle":"","parse-names":false,"suffix":""}],"container-title":"Journal of Hazardous Materials","id":"ITEM-1","issued":{"date-parts":[["2021"]]},"page":"125378","title":"A critical review on performance indicators for evaluating soil biota and soil health of biochar-amended soils","type":"article-journal","volume":"414"},"uris":["http://www.mendeley.com/documents/?uuid=3ae01258-c56c-4afd-9216-def44a8b101f"]}],"mendeley":{"formattedCitation":"(He et al., 2021)","plainTextFormattedCitation":"(He et al., 2021)","previouslyFormattedCitation":"(He et al., 2021)"},"properties":{"noteIndex":0},"schema":"https://github.com/citation-style-language/schema/raw/master/csl-citation.json"}</w:instrText>
      </w:r>
      <w:r w:rsidRPr="00216965">
        <w:rPr>
          <w:rFonts w:eastAsia="Times New Roman" w:cs="Times New Roman"/>
          <w:bCs w:val="0"/>
          <w:szCs w:val="24"/>
          <w:lang w:eastAsia="en-US"/>
        </w:rPr>
        <w:fldChar w:fldCharType="separate"/>
      </w:r>
      <w:r w:rsidR="00C83E62" w:rsidRPr="00216965">
        <w:rPr>
          <w:rFonts w:eastAsia="Times New Roman" w:cs="Times New Roman"/>
          <w:bCs w:val="0"/>
          <w:noProof/>
          <w:szCs w:val="24"/>
          <w:lang w:eastAsia="en-US"/>
        </w:rPr>
        <w:t>(He et al., 2021)</w:t>
      </w:r>
      <w:r w:rsidRPr="00216965">
        <w:rPr>
          <w:rFonts w:eastAsia="Times New Roman" w:cs="Times New Roman"/>
          <w:bCs w:val="0"/>
          <w:szCs w:val="24"/>
          <w:lang w:eastAsia="en-US"/>
        </w:rPr>
        <w:fldChar w:fldCharType="end"/>
      </w:r>
      <w:r w:rsidRPr="00216965">
        <w:rPr>
          <w:rFonts w:eastAsia="Times New Roman" w:cs="Times New Roman"/>
          <w:bCs w:val="0"/>
          <w:szCs w:val="24"/>
          <w:lang w:eastAsia="en-US"/>
        </w:rPr>
        <w:t xml:space="preserve">. Hence, the study of soil biota after biochar amendments can provide a deeper understanding of the effects on soil health and the environmental impact of biochar application. </w:t>
      </w:r>
      <w:r w:rsidR="005850BF" w:rsidRPr="00216965">
        <w:rPr>
          <w:rFonts w:eastAsia="Times New Roman" w:cs="Times New Roman"/>
          <w:bCs w:val="0"/>
          <w:szCs w:val="24"/>
          <w:lang w:eastAsia="en-US"/>
        </w:rPr>
        <w:fldChar w:fldCharType="begin"/>
      </w:r>
      <w:r w:rsidR="005850BF" w:rsidRPr="00216965">
        <w:rPr>
          <w:rFonts w:eastAsia="Times New Roman" w:cs="Times New Roman"/>
          <w:bCs w:val="0"/>
          <w:szCs w:val="24"/>
          <w:lang w:eastAsia="en-US"/>
        </w:rPr>
        <w:instrText xml:space="preserve"> REF _Ref86494790 \h </w:instrText>
      </w:r>
      <w:r w:rsidR="00BF1695" w:rsidRPr="00216965">
        <w:rPr>
          <w:rFonts w:eastAsia="Times New Roman" w:cs="Times New Roman"/>
          <w:bCs w:val="0"/>
          <w:szCs w:val="24"/>
          <w:lang w:eastAsia="en-US"/>
        </w:rPr>
        <w:instrText xml:space="preserve"> \* MERGEFORMAT </w:instrText>
      </w:r>
      <w:r w:rsidR="005850BF" w:rsidRPr="00216965">
        <w:rPr>
          <w:rFonts w:eastAsia="Times New Roman" w:cs="Times New Roman"/>
          <w:bCs w:val="0"/>
          <w:szCs w:val="24"/>
          <w:lang w:eastAsia="en-US"/>
        </w:rPr>
      </w:r>
      <w:r w:rsidR="005850BF" w:rsidRPr="00216965">
        <w:rPr>
          <w:rFonts w:eastAsia="Times New Roman" w:cs="Times New Roman"/>
          <w:bCs w:val="0"/>
          <w:szCs w:val="24"/>
          <w:lang w:eastAsia="en-US"/>
        </w:rPr>
        <w:fldChar w:fldCharType="separate"/>
      </w:r>
    </w:p>
    <w:p w14:paraId="1D46D1A8" w14:textId="22BBF80C" w:rsidR="00632101" w:rsidRPr="00216965" w:rsidRDefault="006E23EA" w:rsidP="008A33DA">
      <w:pPr>
        <w:spacing w:line="360" w:lineRule="auto"/>
        <w:jc w:val="both"/>
        <w:rPr>
          <w:rFonts w:eastAsia="Times New Roman" w:cs="Times New Roman"/>
          <w:szCs w:val="24"/>
        </w:rPr>
      </w:pPr>
      <w:r w:rsidRPr="00216965">
        <w:rPr>
          <w:b/>
        </w:rPr>
        <w:t xml:space="preserve">Table </w:t>
      </w:r>
      <w:r w:rsidRPr="00216965">
        <w:rPr>
          <w:b/>
          <w:bCs/>
          <w:noProof/>
        </w:rPr>
        <w:t>2</w:t>
      </w:r>
      <w:r w:rsidRPr="00216965">
        <w:rPr>
          <w:b/>
          <w:bCs/>
          <w:noProof/>
        </w:rPr>
        <w:noBreakHyphen/>
        <w:t>7</w:t>
      </w:r>
      <w:r w:rsidR="005850BF" w:rsidRPr="00216965">
        <w:rPr>
          <w:rFonts w:eastAsia="Times New Roman" w:cs="Times New Roman"/>
          <w:szCs w:val="24"/>
        </w:rPr>
        <w:fldChar w:fldCharType="end"/>
      </w:r>
      <w:r w:rsidR="00632101" w:rsidRPr="00216965">
        <w:rPr>
          <w:rFonts w:eastAsia="Times New Roman" w:cs="Times New Roman"/>
          <w:szCs w:val="24"/>
        </w:rPr>
        <w:t xml:space="preserve"> summarises studies that have used different biological performance indicators to monitor soils amended with biochars. Among various biological performance indicators the most commonly used are the physical vegetation indicators, such as biomass weight (yield, dry weight of shoot and root), length, area and volume (i.e., plant </w:t>
      </w:r>
      <w:r w:rsidR="00632101" w:rsidRPr="00216965">
        <w:rPr>
          <w:rFonts w:eastAsia="Times New Roman" w:cs="Times New Roman"/>
          <w:szCs w:val="24"/>
        </w:rPr>
        <w:lastRenderedPageBreak/>
        <w:t xml:space="preserve">height, root length, root diameter, root surface area, leaf area, and root volume), as well as chemical vegetation indicators (photosynthesis and respiration-related indicators, nutrient-related indicators, metal toxicity-related indicators) and soil microbial community (qRT- PCR, 16 rRNA, PLFA, soil mineralization, enzymatic activities). </w:t>
      </w:r>
    </w:p>
    <w:p w14:paraId="40E5D4B3" w14:textId="77777777" w:rsidR="00632101" w:rsidRPr="00216965" w:rsidRDefault="00632101" w:rsidP="008A33DA">
      <w:pPr>
        <w:spacing w:line="360" w:lineRule="auto"/>
        <w:jc w:val="both"/>
        <w:rPr>
          <w:rFonts w:eastAsia="Times New Roman" w:cs="Times New Roman"/>
          <w:szCs w:val="24"/>
        </w:rPr>
        <w:sectPr w:rsidR="00632101" w:rsidRPr="00216965">
          <w:pgSz w:w="11906" w:h="16838"/>
          <w:pgMar w:top="1417" w:right="1701" w:bottom="1417" w:left="1701" w:header="708" w:footer="708" w:gutter="0"/>
          <w:pgNumType w:start="1"/>
          <w:cols w:space="720"/>
        </w:sectPr>
      </w:pPr>
      <w:r w:rsidRPr="00216965">
        <w:rPr>
          <w:rFonts w:eastAsia="Times New Roman" w:cs="Times New Roman"/>
          <w:szCs w:val="24"/>
        </w:rPr>
        <w:t>Overall, different methods are used to assess the impact of biochar on amended soils; however, some are time consuming and do not provide accurate information on the biological toxicity of heavy metals, whereas other techniques are designed for use under laboratory conditions only. Therefore, a careful selection of methods is required in order to provide a holistic understanding of the ecological risk derived from heavy metal-contaminated soils and the impact of biochar amendments to improve soil health.</w:t>
      </w:r>
    </w:p>
    <w:p w14:paraId="4C1DB97C" w14:textId="52F7B3D8" w:rsidR="00632101" w:rsidRPr="00216965" w:rsidRDefault="00085AAA" w:rsidP="008A33DA">
      <w:pPr>
        <w:pStyle w:val="Caption"/>
        <w:rPr>
          <w:rFonts w:eastAsia="Times New Roman" w:cs="Times New Roman"/>
          <w:b/>
          <w:color w:val="000000"/>
          <w:szCs w:val="24"/>
        </w:rPr>
      </w:pPr>
      <w:bookmarkStart w:id="109" w:name="_Ref86494790"/>
      <w:bookmarkStart w:id="110" w:name="_Toc86440363"/>
      <w:bookmarkStart w:id="111" w:name="_Hlk86425994"/>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2</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7</w:t>
      </w:r>
      <w:r w:rsidR="00E569FA" w:rsidRPr="00216965">
        <w:rPr>
          <w:b/>
          <w:bCs w:val="0"/>
        </w:rPr>
        <w:fldChar w:fldCharType="end"/>
      </w:r>
      <w:bookmarkEnd w:id="109"/>
      <w:r w:rsidRPr="00216965">
        <w:t xml:space="preserve"> </w:t>
      </w:r>
      <w:r w:rsidRPr="00216965">
        <w:rPr>
          <w:rFonts w:eastAsia="Times New Roman" w:cs="Times New Roman"/>
          <w:b/>
          <w:color w:val="000000"/>
          <w:szCs w:val="24"/>
        </w:rPr>
        <w:t>Current approaches used for monitoring soil toxicity after biochar application based on living organisms response</w:t>
      </w:r>
      <w:bookmarkEnd w:id="110"/>
      <w:r w:rsidR="00B61794" w:rsidRPr="00216965">
        <w:rPr>
          <w:rFonts w:eastAsia="Times New Roman" w:cs="Times New Roman"/>
          <w:b/>
          <w:color w:val="000000"/>
          <w:szCs w:val="24"/>
        </w:rPr>
        <w:t xml:space="preserve">. </w:t>
      </w:r>
      <w:r w:rsidR="00B61794" w:rsidRPr="00216965">
        <w:rPr>
          <w:rFonts w:eastAsia="Times New Roman" w:cs="Times New Roman"/>
          <w:bCs w:val="0"/>
          <w:color w:val="000000"/>
          <w:szCs w:val="24"/>
        </w:rPr>
        <w:t>Data obtained from various authors detailed below.</w:t>
      </w:r>
    </w:p>
    <w:tbl>
      <w:tblPr>
        <w:tblW w:w="13858" w:type="dxa"/>
        <w:tblBorders>
          <w:top w:val="single" w:sz="4" w:space="0" w:color="000000"/>
          <w:bottom w:val="single" w:sz="4" w:space="0" w:color="000000"/>
        </w:tblBorders>
        <w:tblLayout w:type="fixed"/>
        <w:tblLook w:val="0400" w:firstRow="0" w:lastRow="0" w:firstColumn="0" w:lastColumn="0" w:noHBand="0" w:noVBand="1"/>
      </w:tblPr>
      <w:tblGrid>
        <w:gridCol w:w="1384"/>
        <w:gridCol w:w="2693"/>
        <w:gridCol w:w="3686"/>
        <w:gridCol w:w="1559"/>
        <w:gridCol w:w="2126"/>
        <w:gridCol w:w="2410"/>
      </w:tblGrid>
      <w:tr w:rsidR="00632101" w:rsidRPr="00216965" w14:paraId="76FEDFC5" w14:textId="77777777" w:rsidTr="008A33DA">
        <w:tc>
          <w:tcPr>
            <w:tcW w:w="1384" w:type="dxa"/>
            <w:tcBorders>
              <w:top w:val="single" w:sz="4" w:space="0" w:color="000000"/>
              <w:bottom w:val="single" w:sz="4" w:space="0" w:color="000000"/>
            </w:tcBorders>
            <w:shd w:val="clear" w:color="auto" w:fill="A8D08D" w:themeFill="accent6" w:themeFillTint="99"/>
          </w:tcPr>
          <w:p w14:paraId="2B619773"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Approach</w:t>
            </w:r>
          </w:p>
        </w:tc>
        <w:tc>
          <w:tcPr>
            <w:tcW w:w="2693" w:type="dxa"/>
            <w:tcBorders>
              <w:top w:val="single" w:sz="4" w:space="0" w:color="000000"/>
              <w:bottom w:val="single" w:sz="4" w:space="0" w:color="000000"/>
            </w:tcBorders>
            <w:shd w:val="clear" w:color="auto" w:fill="A8D08D" w:themeFill="accent6" w:themeFillTint="99"/>
          </w:tcPr>
          <w:p w14:paraId="59FBE29B"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Method</w:t>
            </w:r>
          </w:p>
        </w:tc>
        <w:tc>
          <w:tcPr>
            <w:tcW w:w="3686" w:type="dxa"/>
            <w:tcBorders>
              <w:top w:val="single" w:sz="4" w:space="0" w:color="000000"/>
              <w:bottom w:val="single" w:sz="4" w:space="0" w:color="000000"/>
            </w:tcBorders>
            <w:shd w:val="clear" w:color="auto" w:fill="A8D08D" w:themeFill="accent6" w:themeFillTint="99"/>
          </w:tcPr>
          <w:p w14:paraId="2F312741"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Description</w:t>
            </w:r>
          </w:p>
        </w:tc>
        <w:tc>
          <w:tcPr>
            <w:tcW w:w="1559" w:type="dxa"/>
            <w:tcBorders>
              <w:top w:val="single" w:sz="4" w:space="0" w:color="000000"/>
              <w:bottom w:val="single" w:sz="4" w:space="0" w:color="000000"/>
            </w:tcBorders>
            <w:shd w:val="clear" w:color="auto" w:fill="A8D08D" w:themeFill="accent6" w:themeFillTint="99"/>
          </w:tcPr>
          <w:p w14:paraId="0BBBC561"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Metals monitored</w:t>
            </w:r>
          </w:p>
        </w:tc>
        <w:tc>
          <w:tcPr>
            <w:tcW w:w="2126" w:type="dxa"/>
            <w:tcBorders>
              <w:top w:val="single" w:sz="4" w:space="0" w:color="000000"/>
              <w:bottom w:val="single" w:sz="4" w:space="0" w:color="000000"/>
            </w:tcBorders>
            <w:shd w:val="clear" w:color="auto" w:fill="A8D08D" w:themeFill="accent6" w:themeFillTint="99"/>
          </w:tcPr>
          <w:p w14:paraId="3D8FC8C5"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Biochar type</w:t>
            </w:r>
          </w:p>
        </w:tc>
        <w:tc>
          <w:tcPr>
            <w:tcW w:w="2410" w:type="dxa"/>
            <w:tcBorders>
              <w:top w:val="single" w:sz="4" w:space="0" w:color="000000"/>
              <w:bottom w:val="single" w:sz="4" w:space="0" w:color="000000"/>
            </w:tcBorders>
            <w:shd w:val="clear" w:color="auto" w:fill="A8D08D" w:themeFill="accent6" w:themeFillTint="99"/>
          </w:tcPr>
          <w:p w14:paraId="5015FFB0" w14:textId="77777777" w:rsidR="00632101" w:rsidRPr="00216965" w:rsidRDefault="00632101" w:rsidP="00A0457B">
            <w:pPr>
              <w:spacing w:after="0" w:line="240" w:lineRule="auto"/>
              <w:jc w:val="both"/>
              <w:rPr>
                <w:rFonts w:eastAsia="Times New Roman" w:cs="Times New Roman"/>
                <w:b/>
                <w:sz w:val="20"/>
                <w:szCs w:val="20"/>
              </w:rPr>
            </w:pPr>
            <w:r w:rsidRPr="00216965">
              <w:rPr>
                <w:rFonts w:eastAsia="Times New Roman" w:cs="Times New Roman"/>
                <w:b/>
                <w:sz w:val="20"/>
                <w:szCs w:val="20"/>
              </w:rPr>
              <w:t>Source</w:t>
            </w:r>
          </w:p>
        </w:tc>
      </w:tr>
      <w:tr w:rsidR="00632101" w:rsidRPr="00216965" w14:paraId="465C9DD8" w14:textId="77777777" w:rsidTr="008A33DA">
        <w:tc>
          <w:tcPr>
            <w:tcW w:w="1384" w:type="dxa"/>
            <w:vMerge w:val="restart"/>
            <w:tcBorders>
              <w:top w:val="single" w:sz="4" w:space="0" w:color="000000"/>
            </w:tcBorders>
          </w:tcPr>
          <w:p w14:paraId="2ADB8ACB" w14:textId="77777777" w:rsidR="00632101" w:rsidRPr="00216965" w:rsidRDefault="00632101" w:rsidP="00A0457B">
            <w:pPr>
              <w:spacing w:after="0" w:line="240" w:lineRule="auto"/>
              <w:jc w:val="both"/>
              <w:rPr>
                <w:rFonts w:eastAsia="Times New Roman" w:cs="Times New Roman"/>
                <w:sz w:val="20"/>
                <w:szCs w:val="20"/>
              </w:rPr>
            </w:pPr>
          </w:p>
          <w:p w14:paraId="43685BE5" w14:textId="77777777" w:rsidR="00632101" w:rsidRPr="00216965" w:rsidRDefault="00632101" w:rsidP="00A0457B">
            <w:pPr>
              <w:spacing w:after="0" w:line="240" w:lineRule="auto"/>
              <w:jc w:val="both"/>
              <w:rPr>
                <w:rFonts w:eastAsia="Times New Roman" w:cs="Times New Roman"/>
                <w:sz w:val="20"/>
                <w:szCs w:val="20"/>
              </w:rPr>
            </w:pPr>
          </w:p>
          <w:p w14:paraId="159A4B57" w14:textId="77777777" w:rsidR="00632101" w:rsidRPr="00216965" w:rsidRDefault="00632101" w:rsidP="00A0457B">
            <w:pPr>
              <w:spacing w:after="0" w:line="240" w:lineRule="auto"/>
              <w:jc w:val="both"/>
              <w:rPr>
                <w:rFonts w:eastAsia="Times New Roman" w:cs="Times New Roman"/>
                <w:sz w:val="20"/>
                <w:szCs w:val="20"/>
              </w:rPr>
            </w:pPr>
          </w:p>
          <w:p w14:paraId="5B4918B4" w14:textId="77777777" w:rsidR="00632101" w:rsidRPr="00216965" w:rsidRDefault="00632101" w:rsidP="00A0457B">
            <w:pPr>
              <w:spacing w:after="0" w:line="240" w:lineRule="auto"/>
              <w:jc w:val="both"/>
              <w:rPr>
                <w:rFonts w:eastAsia="Times New Roman" w:cs="Times New Roman"/>
                <w:sz w:val="20"/>
                <w:szCs w:val="20"/>
              </w:rPr>
            </w:pPr>
          </w:p>
          <w:p w14:paraId="1E4591E7" w14:textId="77777777" w:rsidR="00632101" w:rsidRPr="00216965" w:rsidRDefault="00632101" w:rsidP="00A0457B">
            <w:pPr>
              <w:spacing w:after="0" w:line="240" w:lineRule="auto"/>
              <w:jc w:val="both"/>
              <w:rPr>
                <w:rFonts w:eastAsia="Times New Roman" w:cs="Times New Roman"/>
                <w:sz w:val="20"/>
                <w:szCs w:val="20"/>
              </w:rPr>
            </w:pPr>
          </w:p>
          <w:p w14:paraId="6DFAFC98" w14:textId="77777777" w:rsidR="00632101" w:rsidRPr="00216965" w:rsidRDefault="00632101" w:rsidP="00A0457B">
            <w:pPr>
              <w:spacing w:after="0" w:line="240" w:lineRule="auto"/>
              <w:jc w:val="both"/>
              <w:rPr>
                <w:rFonts w:eastAsia="Times New Roman" w:cs="Times New Roman"/>
                <w:sz w:val="20"/>
                <w:szCs w:val="20"/>
              </w:rPr>
            </w:pPr>
          </w:p>
          <w:p w14:paraId="50B93D77" w14:textId="77777777" w:rsidR="00632101" w:rsidRPr="00216965" w:rsidRDefault="00632101" w:rsidP="00A0457B">
            <w:pPr>
              <w:spacing w:after="0" w:line="240" w:lineRule="auto"/>
              <w:jc w:val="both"/>
              <w:rPr>
                <w:rFonts w:eastAsia="Times New Roman" w:cs="Times New Roman"/>
                <w:sz w:val="20"/>
                <w:szCs w:val="20"/>
              </w:rPr>
            </w:pPr>
          </w:p>
          <w:p w14:paraId="6D77EDF2"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Vegetation indicators</w:t>
            </w:r>
          </w:p>
        </w:tc>
        <w:tc>
          <w:tcPr>
            <w:tcW w:w="2693" w:type="dxa"/>
            <w:tcBorders>
              <w:top w:val="single" w:sz="4" w:space="0" w:color="000000"/>
            </w:tcBorders>
          </w:tcPr>
          <w:p w14:paraId="2CF05673"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Plant tissue concentration</w:t>
            </w:r>
          </w:p>
        </w:tc>
        <w:tc>
          <w:tcPr>
            <w:tcW w:w="3686" w:type="dxa"/>
            <w:tcBorders>
              <w:top w:val="single" w:sz="4" w:space="0" w:color="000000"/>
            </w:tcBorders>
          </w:tcPr>
          <w:p w14:paraId="1B31453C"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Tissue acid digestion of </w:t>
            </w:r>
            <w:r w:rsidRPr="00216965">
              <w:rPr>
                <w:rFonts w:eastAsia="Times New Roman" w:cs="Times New Roman"/>
                <w:i/>
                <w:sz w:val="20"/>
                <w:szCs w:val="20"/>
              </w:rPr>
              <w:t>Lolium perenne</w:t>
            </w:r>
            <w:r w:rsidRPr="00216965">
              <w:rPr>
                <w:rFonts w:eastAsia="Times New Roman" w:cs="Times New Roman"/>
                <w:sz w:val="20"/>
                <w:szCs w:val="20"/>
              </w:rPr>
              <w:t xml:space="preserve"> for metal determination</w:t>
            </w:r>
          </w:p>
        </w:tc>
        <w:tc>
          <w:tcPr>
            <w:tcW w:w="1559" w:type="dxa"/>
            <w:tcBorders>
              <w:top w:val="single" w:sz="4" w:space="0" w:color="000000"/>
            </w:tcBorders>
          </w:tcPr>
          <w:p w14:paraId="4C39BEE7"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Pb, Cu</w:t>
            </w:r>
          </w:p>
        </w:tc>
        <w:tc>
          <w:tcPr>
            <w:tcW w:w="2126" w:type="dxa"/>
            <w:tcBorders>
              <w:top w:val="single" w:sz="4" w:space="0" w:color="000000"/>
            </w:tcBorders>
          </w:tcPr>
          <w:p w14:paraId="5E5D6EEB"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British oak ash derived biochar</w:t>
            </w:r>
          </w:p>
        </w:tc>
        <w:tc>
          <w:tcPr>
            <w:tcW w:w="2410" w:type="dxa"/>
            <w:tcBorders>
              <w:top w:val="single" w:sz="4" w:space="0" w:color="000000"/>
            </w:tcBorders>
          </w:tcPr>
          <w:p w14:paraId="417526C1" w14:textId="0E8B55FD"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2011)","manualFormatting":"Karami et al. (2011)","plainTextFormattedCitation":"(Karami et al., 2011)","previouslyFormattedCitation":"(Karami et al., 2011)"},"properties":{"noteIndex":0},"schema":"https://github.com/citation-style-language/schema/raw/master/csl-citation.json"}</w:instrText>
            </w:r>
            <w:r w:rsidRPr="00216965">
              <w:rPr>
                <w:sz w:val="18"/>
                <w:szCs w:val="20"/>
              </w:rPr>
              <w:fldChar w:fldCharType="separate"/>
            </w:r>
            <w:r w:rsidRPr="00216965">
              <w:rPr>
                <w:noProof/>
                <w:sz w:val="18"/>
                <w:szCs w:val="20"/>
              </w:rPr>
              <w:t>Karami et al. (2011)</w:t>
            </w:r>
            <w:r w:rsidRPr="00216965">
              <w:rPr>
                <w:sz w:val="18"/>
                <w:szCs w:val="20"/>
              </w:rPr>
              <w:fldChar w:fldCharType="end"/>
            </w:r>
          </w:p>
        </w:tc>
      </w:tr>
      <w:tr w:rsidR="00632101" w:rsidRPr="00216965" w14:paraId="14695A99" w14:textId="77777777" w:rsidTr="008A33DA">
        <w:tc>
          <w:tcPr>
            <w:tcW w:w="1384" w:type="dxa"/>
            <w:vMerge/>
            <w:tcBorders>
              <w:top w:val="single" w:sz="4" w:space="0" w:color="000000"/>
            </w:tcBorders>
          </w:tcPr>
          <w:p w14:paraId="6A20383D"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Pr>
          <w:p w14:paraId="711A7504"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Total leaf chlorophyll &amp; parameters related to growth and development </w:t>
            </w:r>
          </w:p>
        </w:tc>
        <w:tc>
          <w:tcPr>
            <w:tcW w:w="3686" w:type="dxa"/>
          </w:tcPr>
          <w:p w14:paraId="1F081A22"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Total leaf chlorophyll-related</w:t>
            </w:r>
          </w:p>
          <w:p w14:paraId="14DF519D"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SPAD units</w:t>
            </w:r>
          </w:p>
          <w:p w14:paraId="564A9D8B"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Plant shoots weight and root size</w:t>
            </w:r>
          </w:p>
          <w:p w14:paraId="078ACF77"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Plant tissue concentration of </w:t>
            </w:r>
            <w:r w:rsidRPr="00216965">
              <w:rPr>
                <w:rFonts w:eastAsia="Times New Roman" w:cs="Times New Roman"/>
                <w:i/>
                <w:sz w:val="20"/>
                <w:szCs w:val="20"/>
              </w:rPr>
              <w:t>Sylibum marianum</w:t>
            </w:r>
            <w:r w:rsidRPr="00216965">
              <w:rPr>
                <w:rFonts w:eastAsia="Times New Roman" w:cs="Times New Roman"/>
                <w:sz w:val="20"/>
                <w:szCs w:val="20"/>
              </w:rPr>
              <w:t xml:space="preserve"> L. and </w:t>
            </w:r>
            <w:r w:rsidRPr="00216965">
              <w:rPr>
                <w:rFonts w:eastAsia="Times New Roman" w:cs="Times New Roman"/>
                <w:i/>
                <w:sz w:val="20"/>
                <w:szCs w:val="20"/>
              </w:rPr>
              <w:t>Helianthus annuus L.</w:t>
            </w:r>
          </w:p>
        </w:tc>
        <w:tc>
          <w:tcPr>
            <w:tcW w:w="1559" w:type="dxa"/>
          </w:tcPr>
          <w:p w14:paraId="7345C645"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Cu, Zn</w:t>
            </w:r>
          </w:p>
        </w:tc>
        <w:tc>
          <w:tcPr>
            <w:tcW w:w="2126" w:type="dxa"/>
          </w:tcPr>
          <w:p w14:paraId="56D42E31"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Oak biochar</w:t>
            </w:r>
          </w:p>
        </w:tc>
        <w:tc>
          <w:tcPr>
            <w:tcW w:w="2410" w:type="dxa"/>
          </w:tcPr>
          <w:p w14:paraId="24FCE1A6" w14:textId="7F72745A" w:rsidR="00632101" w:rsidRPr="00216965" w:rsidRDefault="00632101" w:rsidP="00A0457B">
            <w:pPr>
              <w:spacing w:after="0" w:line="240" w:lineRule="auto"/>
              <w:jc w:val="both"/>
              <w:rPr>
                <w:rFonts w:eastAsia="Times New Roman" w:cs="Times New Roman"/>
                <w:sz w:val="20"/>
                <w:szCs w:val="20"/>
              </w:rPr>
            </w:pPr>
            <w:r w:rsidRPr="00216965">
              <w:rPr>
                <w:sz w:val="18"/>
                <w:szCs w:val="20"/>
                <w:lang w:val="en-US"/>
              </w:rPr>
              <w:fldChar w:fldCharType="begin" w:fldLock="1"/>
            </w:r>
            <w:r w:rsidR="006C06AA" w:rsidRPr="00216965">
              <w:rPr>
                <w:sz w:val="18"/>
                <w:szCs w:val="20"/>
                <w:lang w:val="en-US"/>
              </w:rPr>
              <w:instrText>ADDIN CSL_CITATION {"citationItems":[{"id":"ITEM-1","itemData":{"DOI":"10.1016/j.indcrop.2016.08.035","ISSN":"09266690","abstract":"Composting is considered an appropriate approach for stabilising and sanitising pig slurry, incorporating its nutrients into the soil-plant system. However, pig slurry compost (PSC) can be highly saline with high concentrations of Cu and Zn, and can emit greenhouse gases (GHGs) and volatile organic compounds (VOCs), when not properly stabilised. In order to produce substrates with adequate characteristics for containerised soilless plant production, PSC must be mixed with other materials. In this study two materials were chosen: coir (coconut fibre; CF), as the most popular material after peat for this purpose, and biochar (BCH), a novel material in this scenario. Substrates were prepared by mixing PSC:CF and PSC:BCH at 60:40, 40:60, 20:80 and 0:100 (% v:v) ratios and their physical and chemical characteristics, their emission of GHG and VOC and seed germination and growth of two species grown for non-food purposes (milk thistle (Sylibum marianum L.) and sunflower (Helianthus annuus L.)) were studied. The results showed that BCH was more adequate than CF for the preparation of substrates with PSC, enabling seed germination and plant growth by decreasing the EC and available Cu and Zn contents, hence limiting phytotoxic effects, whilst also reducing CO2, NO and VOC emissions. Toxic effects appeared in plants grown in substrates prepared with PSC at proportions greater than 20%; whilst at low rate (up to 20%) the beneficial effects might have been caused by the nutrients (N, P and K) supplied by PSC to the crops.","author":[{"dropping-particle":"","family":"Sáez","given":"J. A.","non-dropping-particle":"","parse-names":false,"suffix":""},{"dropping-particle":"","family":"Belda","given":"R. M.","non-dropping-particle":"","parse-names":false,"suffix":""},{"dropping-particle":"","family":"Bernal","given":"M. P.","non-dropping-particle":"","parse-names":false,"suffix":""},{"dropping-particle":"","family":"Fornes","given":"F.","non-dropping-particle":"","parse-names":false,"suffix":""}],"container-title":"Industrial Crops and Products","id":"ITEM-1","issued":{"date-parts":[["2016"]]},"page":"97-106","publisher":"Elsevier B.V.","title":"Biochar improves agro-environmental aspects of pig slurry compost as a substrate for crops with energy and remediation uses","type":"article-journal","volume":"94"},"uris":["http://www.mendeley.com/documents/?uuid=dba3a72f-d0b9-4eba-9503-a9c5f1e67ec3"]}],"mendeley":{"formattedCitation":"(Sáez et al., 2016)","manualFormatting":"Sáez et al. (2016)","plainTextFormattedCitation":"(Sáez et al., 2016)","previouslyFormattedCitation":"(Sáez et al., 2016)"},"properties":{"noteIndex":0},"schema":"https://github.com/citation-style-language/schema/raw/master/csl-citation.json"}</w:instrText>
            </w:r>
            <w:r w:rsidRPr="00216965">
              <w:rPr>
                <w:sz w:val="18"/>
                <w:szCs w:val="20"/>
                <w:lang w:val="en-US"/>
              </w:rPr>
              <w:fldChar w:fldCharType="separate"/>
            </w:r>
            <w:r w:rsidRPr="00216965">
              <w:rPr>
                <w:noProof/>
                <w:sz w:val="18"/>
                <w:szCs w:val="20"/>
                <w:lang w:val="en-US"/>
              </w:rPr>
              <w:fldChar w:fldCharType="begin" w:fldLock="1"/>
            </w:r>
            <w:r w:rsidR="006C06AA" w:rsidRPr="00216965">
              <w:rPr>
                <w:noProof/>
                <w:sz w:val="18"/>
                <w:szCs w:val="20"/>
                <w:lang w:val="en-US"/>
              </w:rPr>
              <w:instrText>ADDIN CSL_CITATION {"citationItems":[{"id":"ITEM-1","itemData":{"DOI":"10.1016/j.indcrop.2016.08.035","ISSN":"09266690","abstract":"Composting is considered an appropriate approach for stabilising and sanitising pig slurry, incorporating its nutrients into the soil-plant system. However, pig slurry compost (PSC) can be highly saline with high concentrations of Cu and Zn, and can emit greenhouse gases (GHGs) and volatile organic compounds (VOCs), when not properly stabilised. In order to produce substrates with adequate characteristics for containerised soilless plant production, PSC must be mixed with other materials. In this study two materials were chosen: coir (coconut fibre; CF), as the most popular material after peat for this purpose, and biochar (BCH), a novel material in this scenario. Substrates were prepared by mixing PSC:CF and PSC:BCH at 60:40, 40:60, 20:80 and 0:100 (% v:v) ratios and their physical and chemical characteristics, their emission of GHG and VOC and seed germination and growth of two species grown for non-food purposes (milk thistle (Sylibum marianum L.) and sunflower (Helianthus annuus L.)) were studied. The results showed that BCH was more adequate than CF for the preparation of substrates with PSC, enabling seed germination and plant growth by decreasing the EC and available Cu and Zn contents, hence limiting phytotoxic effects, whilst also reducing CO2, NO and VOC emissions. Toxic effects appeared in plants grown in substrates prepared with PSC at proportions greater than 20%; whilst at low rate (up to 20%) the beneficial effects might have been caused by the nutrients (N, P and K) supplied by PSC to the crops.","author":[{"dropping-particle":"","family":"Sáez","given":"J. A.","non-dropping-particle":"","parse-names":false,"suffix":""},{"dropping-particle":"","family":"Belda","given":"R. M.","non-dropping-particle":"","parse-names":false,"suffix":""},{"dropping-particle":"","family":"Bernal","given":"M. P.","non-dropping-particle":"","parse-names":false,"suffix":""},{"dropping-particle":"","family":"Fornes","given":"F.","non-dropping-particle":"","parse-names":false,"suffix":""}],"container-title":"Industrial Crops and Products","id":"ITEM-1","issued":{"date-parts":[["2016"]]},"page":"97-106","publisher":"Elsevier B.V.","title":"Biochar improves agro-environmental aspects of pig slurry compost as a substrate for crops with energy and remediation uses","type":"article-journal","volume":"94"},"uris":["http://www.mendeley.com/documents/?uuid=dba3a72f-d0b9-4eba-9503-a9c5f1e67ec3"]}],"mendeley":{"formattedCitation":"(Sáez et al., 2016)","manualFormatting":"Sáez et al. (2016)","plainTextFormattedCitation":"(Sáez et al., 2016)","previouslyFormattedCitation":"(Sáez et al., 2016)"},"properties":{"noteIndex":0},"schema":"https://github.com/citation-style-language/schema/raw/master/csl-citation.json"}</w:instrText>
            </w:r>
            <w:r w:rsidRPr="00216965">
              <w:rPr>
                <w:noProof/>
                <w:sz w:val="18"/>
                <w:szCs w:val="20"/>
                <w:lang w:val="en-US"/>
              </w:rPr>
              <w:fldChar w:fldCharType="separate"/>
            </w:r>
            <w:r w:rsidRPr="00216965">
              <w:rPr>
                <w:noProof/>
                <w:sz w:val="18"/>
                <w:szCs w:val="20"/>
                <w:lang w:val="en-US"/>
              </w:rPr>
              <w:t>Sáez et al. (2016)</w:t>
            </w:r>
            <w:r w:rsidRPr="00216965">
              <w:rPr>
                <w:noProof/>
                <w:sz w:val="18"/>
                <w:szCs w:val="20"/>
                <w:lang w:val="en-US"/>
              </w:rPr>
              <w:fldChar w:fldCharType="end"/>
            </w:r>
            <w:r w:rsidRPr="00216965">
              <w:rPr>
                <w:sz w:val="18"/>
                <w:szCs w:val="20"/>
                <w:lang w:val="en-US"/>
              </w:rPr>
              <w:fldChar w:fldCharType="end"/>
            </w:r>
          </w:p>
        </w:tc>
      </w:tr>
      <w:tr w:rsidR="00632101" w:rsidRPr="00216965" w14:paraId="5B8702BD" w14:textId="77777777" w:rsidTr="008A33DA">
        <w:tc>
          <w:tcPr>
            <w:tcW w:w="1384" w:type="dxa"/>
            <w:vMerge/>
            <w:tcBorders>
              <w:top w:val="single" w:sz="4" w:space="0" w:color="000000"/>
            </w:tcBorders>
          </w:tcPr>
          <w:p w14:paraId="28C56963"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Pr>
          <w:p w14:paraId="3868D195"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Dry biomass and tissue concentration (shoots and roots)</w:t>
            </w:r>
          </w:p>
        </w:tc>
        <w:tc>
          <w:tcPr>
            <w:tcW w:w="3686" w:type="dxa"/>
          </w:tcPr>
          <w:p w14:paraId="283D1A12"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Acid digestion of Indian mustard for metal determination</w:t>
            </w:r>
          </w:p>
        </w:tc>
        <w:tc>
          <w:tcPr>
            <w:tcW w:w="1559" w:type="dxa"/>
          </w:tcPr>
          <w:p w14:paraId="4B1DEF51"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Cd, Cu, Pb</w:t>
            </w:r>
          </w:p>
        </w:tc>
        <w:tc>
          <w:tcPr>
            <w:tcW w:w="2126" w:type="dxa"/>
          </w:tcPr>
          <w:p w14:paraId="5672DAE7" w14:textId="3B2DBCBD"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Chicken manure-derived biochar and green waste </w:t>
            </w:r>
            <w:r w:rsidR="00C62FFD" w:rsidRPr="00216965">
              <w:rPr>
                <w:rFonts w:eastAsia="Times New Roman" w:cs="Times New Roman"/>
                <w:sz w:val="20"/>
                <w:szCs w:val="20"/>
              </w:rPr>
              <w:t>derived</w:t>
            </w:r>
            <w:r w:rsidRPr="00216965">
              <w:rPr>
                <w:rFonts w:eastAsia="Times New Roman" w:cs="Times New Roman"/>
                <w:sz w:val="20"/>
                <w:szCs w:val="20"/>
              </w:rPr>
              <w:t xml:space="preserve"> biochar</w:t>
            </w:r>
          </w:p>
        </w:tc>
        <w:tc>
          <w:tcPr>
            <w:tcW w:w="2410" w:type="dxa"/>
          </w:tcPr>
          <w:p w14:paraId="0F44C004" w14:textId="6EA0E7CD"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lang w:val="en-US"/>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2011a)","manualFormatting":"Park et al. (2011)","plainTextFormattedCitation":"(Park et al., 2011a)","previouslyFormattedCitation":"(Park et al., 2011a)"},"properties":{"noteIndex":0},"schema":"https://github.com/citation-style-language/schema/raw/master/csl-citation.json"}</w:instrText>
            </w:r>
            <w:r w:rsidRPr="00216965">
              <w:rPr>
                <w:sz w:val="18"/>
                <w:szCs w:val="20"/>
              </w:rPr>
              <w:fldChar w:fldCharType="separate"/>
            </w:r>
            <w:r w:rsidRPr="00216965">
              <w:rPr>
                <w:noProof/>
                <w:sz w:val="18"/>
                <w:szCs w:val="20"/>
                <w:lang w:val="en-US"/>
              </w:rPr>
              <w:t>Park et al. (2011)</w:t>
            </w:r>
            <w:r w:rsidRPr="00216965">
              <w:rPr>
                <w:sz w:val="18"/>
                <w:szCs w:val="20"/>
              </w:rPr>
              <w:fldChar w:fldCharType="end"/>
            </w:r>
          </w:p>
        </w:tc>
      </w:tr>
      <w:tr w:rsidR="00632101" w:rsidRPr="00216965" w14:paraId="3DADD163" w14:textId="77777777" w:rsidTr="008A33DA">
        <w:tc>
          <w:tcPr>
            <w:tcW w:w="1384" w:type="dxa"/>
            <w:vMerge/>
            <w:tcBorders>
              <w:top w:val="single" w:sz="4" w:space="0" w:color="000000"/>
            </w:tcBorders>
          </w:tcPr>
          <w:p w14:paraId="6580E9B8"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Borders>
              <w:bottom w:val="nil"/>
            </w:tcBorders>
          </w:tcPr>
          <w:p w14:paraId="1D93289D"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Parameters related to growth and development </w:t>
            </w:r>
          </w:p>
        </w:tc>
        <w:tc>
          <w:tcPr>
            <w:tcW w:w="3686" w:type="dxa"/>
            <w:tcBorders>
              <w:bottom w:val="nil"/>
            </w:tcBorders>
          </w:tcPr>
          <w:p w14:paraId="3189D0AC"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Plant growth parameters shoot/root length and tissue digestion for Cd determination in </w:t>
            </w:r>
            <w:r w:rsidRPr="00216965">
              <w:rPr>
                <w:rFonts w:eastAsia="Times New Roman" w:cs="Times New Roman"/>
                <w:i/>
                <w:sz w:val="20"/>
                <w:szCs w:val="20"/>
              </w:rPr>
              <w:t>Juncus subsecundus</w:t>
            </w:r>
          </w:p>
        </w:tc>
        <w:tc>
          <w:tcPr>
            <w:tcW w:w="1559" w:type="dxa"/>
            <w:tcBorders>
              <w:bottom w:val="nil"/>
            </w:tcBorders>
          </w:tcPr>
          <w:p w14:paraId="0F1734D3"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Cd</w:t>
            </w:r>
          </w:p>
        </w:tc>
        <w:tc>
          <w:tcPr>
            <w:tcW w:w="2126" w:type="dxa"/>
            <w:tcBorders>
              <w:bottom w:val="nil"/>
            </w:tcBorders>
          </w:tcPr>
          <w:p w14:paraId="08522A11"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oil mallee biochar and wheat chaff biochar</w:t>
            </w:r>
          </w:p>
        </w:tc>
        <w:tc>
          <w:tcPr>
            <w:tcW w:w="2410" w:type="dxa"/>
            <w:tcBorders>
              <w:bottom w:val="nil"/>
            </w:tcBorders>
          </w:tcPr>
          <w:p w14:paraId="5324967B" w14:textId="62291015"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lang w:val="en-US"/>
              </w:rPr>
              <w:instrText>ADDIN CSL_CITATION {"citationItems":[{"id":"ITEM-1","itemData":{"DOI":"10.1007/s11368-012-0571-4","ISBN":"1439-0108 1614-7480","ISSN":"14390108","abstract":"An addition of biochar mixed into the substrate of constructed wetlands may alleviate toxicity of metals such as cadmium (Cd) to emergent wetland plants, leading to a better performance in terms of pollutant removal from wastewater. The objective of this study was to investigate the impact of biochars on soil Cd immobilization and phytoavailability, growth of plants, and Cd concentration, accumulation, and translocation in plant tissues in Cd-contaminated soils under waterlogged conditions. A glasshouse experiment was conducted to investigate the effect of biochars derived from different organic sources (pyrolysis of oil mallee plants or wheat chaff at 550 A degrees C) with varied application amounts (0, 0.5, and 5 % w/w) on mitigating Cd (0, 10, and 50 mg kg(-1)) toxicity to Juncus subsecundus under waterlogged soil condition. Soil pH and CaCl2/EDTA-extractable soil Cd were determined before and after plant growth. Plant shoot number and height were monitored during the experiment. The total root length and dry weight of aboveground and belowground tissues were recorded. The concentration of Cd in plant tissues was determined. After 3 weeks of soil incubation, pH increased and CaCl2-extractable Cd decreased significantly with biochar additions. After 9 weeks of plant growth, biochar additions significantly increased soil pH and electrical conductivity and reduced CaCl2-extractable Cd. EDTA-extractable soil Cd significantly decreased with biochar additions (except for oil mallee biochar at the low application rate) in the high-Cd treatment, but not in the low-Cd treatment. Growth and biomass significantly decreased with Cd additions, and biochar additions did not significantly improve plant growth regardless of biochar type or application rate. The concentration, accumulation, and translocation of Cd in plants were significantly influenced by the interaction of Cd and biochar treatments. The addition of biochars reduced Cd accumulation, but less so Cd translocation in plants, at least in the low-Cd-contaminated soils. Biochars immobilized soil Cd, but did not improve growth of the emergent wetland plant species at the early growth stage, probably due to the interaction between biochars and waterlogged environment. Further study is needed to elucidate the underlying mechanisms.","author":[{"dropping-particle":"","family":"Zhang","given":"Zhenhua","non-dropping-particle":"","parse-names":false,"suffix":""},{"dropping-particle":"","family":"Solaiman","given":"Zakaria M.","non-dropping-particle":"","parse-names":false,"suffix":""},{"dropping-particle":"","family":"Meney","given":"Kathy","non-dropping-particle":"","parse-names":false,"suffix":""},{"dropping-particle":"V.","family":"Murphy","given":"Daniel","non-dropping-particle":"","parse-names":false,"suffix":""},{"dropping-particle":"","family":"Rengel","given":"Zed","non-dropping-particle":"","parse-names":false,"suffix":""}],"container-title":"Journal of Soils and Sediments","id":"ITEM-1","issue":"1","issued":{"date-parts":[["2013"]]},"page":"140-151","title":"Biochars immobilize soil cadmium, but do not improve growth of emergent wetland species Juncus subsecundus in cadmium-contaminated soil","type":"article-journal","volume":"13"},"uris":["http://www.mendeley.com/documents/?uuid=eccab6ec-c639-4948-a905-557443574af7"]}],"mendeley":{"formattedCitation":"(Zhang et al., 2013)","manualFormatting":"Zhang et al. (2013)","plainTextFormattedCitation":"(Zhang et al., 2013)","previouslyFormattedCitation":"(Zhang et al., 2013)"},"properties":{"noteIndex":0},"schema":"https://github.com/citation-style-language/schema/raw/master/csl-citation.json"}</w:instrText>
            </w:r>
            <w:r w:rsidRPr="00216965">
              <w:rPr>
                <w:sz w:val="18"/>
                <w:szCs w:val="20"/>
              </w:rPr>
              <w:fldChar w:fldCharType="separate"/>
            </w:r>
            <w:r w:rsidRPr="00216965">
              <w:rPr>
                <w:noProof/>
                <w:sz w:val="18"/>
                <w:szCs w:val="20"/>
                <w:lang w:val="en-US"/>
              </w:rPr>
              <w:t>Zhang et al. (2013)</w:t>
            </w:r>
            <w:r w:rsidRPr="00216965">
              <w:rPr>
                <w:sz w:val="18"/>
                <w:szCs w:val="20"/>
              </w:rPr>
              <w:fldChar w:fldCharType="end"/>
            </w:r>
          </w:p>
        </w:tc>
      </w:tr>
      <w:tr w:rsidR="00632101" w:rsidRPr="00216965" w14:paraId="4655C23F" w14:textId="77777777" w:rsidTr="008A33DA">
        <w:tc>
          <w:tcPr>
            <w:tcW w:w="1384" w:type="dxa"/>
            <w:vMerge/>
            <w:tcBorders>
              <w:top w:val="single" w:sz="4" w:space="0" w:color="000000"/>
            </w:tcBorders>
          </w:tcPr>
          <w:p w14:paraId="5046A199"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Borders>
              <w:top w:val="nil"/>
              <w:bottom w:val="single" w:sz="4" w:space="0" w:color="000000"/>
            </w:tcBorders>
          </w:tcPr>
          <w:p w14:paraId="40B2543B"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Tissue concentration in paddy plant</w:t>
            </w:r>
          </w:p>
        </w:tc>
        <w:tc>
          <w:tcPr>
            <w:tcW w:w="3686" w:type="dxa"/>
            <w:tcBorders>
              <w:top w:val="nil"/>
              <w:bottom w:val="single" w:sz="4" w:space="0" w:color="000000"/>
            </w:tcBorders>
          </w:tcPr>
          <w:p w14:paraId="1456399F" w14:textId="03C04B24"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Acid digestion of roots, shoots and </w:t>
            </w:r>
            <w:r w:rsidR="00C62FFD" w:rsidRPr="00216965">
              <w:rPr>
                <w:rFonts w:eastAsia="Times New Roman" w:cs="Times New Roman"/>
                <w:sz w:val="20"/>
                <w:szCs w:val="20"/>
              </w:rPr>
              <w:t>leaves</w:t>
            </w:r>
            <w:r w:rsidRPr="00216965">
              <w:rPr>
                <w:rFonts w:eastAsia="Times New Roman" w:cs="Times New Roman"/>
                <w:sz w:val="20"/>
                <w:szCs w:val="20"/>
              </w:rPr>
              <w:t xml:space="preserve"> of rice plants</w:t>
            </w:r>
          </w:p>
        </w:tc>
        <w:tc>
          <w:tcPr>
            <w:tcW w:w="1559" w:type="dxa"/>
            <w:tcBorders>
              <w:top w:val="nil"/>
              <w:bottom w:val="single" w:sz="4" w:space="0" w:color="000000"/>
            </w:tcBorders>
          </w:tcPr>
          <w:p w14:paraId="4AED489A"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Cr, Ni, Cu, Pb, Zn and Cd</w:t>
            </w:r>
          </w:p>
        </w:tc>
        <w:tc>
          <w:tcPr>
            <w:tcW w:w="2126" w:type="dxa"/>
            <w:tcBorders>
              <w:top w:val="nil"/>
              <w:bottom w:val="single" w:sz="4" w:space="0" w:color="000000"/>
            </w:tcBorders>
          </w:tcPr>
          <w:p w14:paraId="0C070C7F"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lees-derived biochar</w:t>
            </w:r>
          </w:p>
        </w:tc>
        <w:tc>
          <w:tcPr>
            <w:tcW w:w="2410" w:type="dxa"/>
            <w:tcBorders>
              <w:top w:val="nil"/>
              <w:bottom w:val="single" w:sz="4" w:space="0" w:color="000000"/>
            </w:tcBorders>
          </w:tcPr>
          <w:p w14:paraId="057721BB" w14:textId="210D8219"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lang w:val="en-US"/>
              </w:rPr>
              <w:instrText>ADDIN CSL_CITATION {"citationItems":[{"id":"ITEM-1","itemData":{"DOI":"10.1007/s11270-015-2680-3","abstract":"Biochar has great advantages and potentials on soil amendment and polluted soil remediation. In order to explore these applications, a pot experiment was carried out to research the effect of biochar on the heavy metal speciation in paddy soil and the heavy metal accumulation of paddy rice from Chengdu plain, Sichuan Province. The experimental results show that wine lees-derived biochar can efficiently increase soil pH, decrease the contents of soil exchangeable heavy metals, and promote heavy metal transformation to re-sidual fraction. Moreover, application of biochar can reduce the accumulation of heavy metals in paddy plant, decrease the migration ability of heavy metals to the aboveground part of the plant, and consequently cut down contents of heavy metals in rice. When biochar dosage was 0.5 % in weight, the contents of soil ex-changeable Cr, Ni, Cu, Pb, Zn, and Cd decreased 18.8, 29.6, 26.3, 23.0, 23.01, and 48.14 %, respectively, which all significantly differed from CK (P&lt;0.05), and the contents of heavy metals in plant roots, stems, leaves, rice husk, and rice all decreased accordingly, among which Zn, Cd, and Pb decreased 10.96, 8.89, and 8.33 % respectively. When biochar dosage in-creased to 1 %, heavy metal contents in roots, stems, leaves, rice husk, and rice decreased further. Therefore, wine lees-derived biochar shows a great potential in remediation of heavy-metal-polluted soil, and this work provides theoretical basis for restoring heavy-metal-polluted soil using biochar.","author":[{"dropping-particle":"","family":"Zhu","given":"Qihong","non-dropping-particle":"","parse-names":false,"suffix":""},{"dropping-particle":"","family":"Wu","given":"Jun","non-dropping-particle":"","parse-names":false,"suffix":""},{"dropping-particle":"","family":"Wang","given":"Lilin","non-dropping-particle":"","parse-names":false,"suffix":""},{"dropping-particle":"","family":"Yang","given":"Gang","non-dropping-particle":"","parse-names":false,"suffix":""},{"dropping-particle":"","family":"Zhang","given":"Xiaohong","non-dropping-particle":"","parse-names":false,"suffix":""}],"container-title":"Water, Air, and Soil Pollution","id":"ITEM-1","issued":{"date-parts":[["2015"]]},"page":"429","title":"Effect of biochar on heavy metal speciation of paddy soil","type":"article-journal","volume":"226"},"uris":["http://www.mendeley.com/documents/?uuid=bd113688-0cce-3f39-883f-9b3afe068f8d"]}],"mendeley":{"formattedCitation":"(Zhu et al., 2015)","manualFormatting":"Zhu et al. (2015)","plainTextFormattedCitation":"(Zhu et al., 2015)","previouslyFormattedCitation":"(Zhu et al., 2015)"},"properties":{"noteIndex":0},"schema":"https://github.com/citation-style-language/schema/raw/master/csl-citation.json"}</w:instrText>
            </w:r>
            <w:r w:rsidRPr="00216965">
              <w:rPr>
                <w:sz w:val="18"/>
                <w:szCs w:val="20"/>
              </w:rPr>
              <w:fldChar w:fldCharType="separate"/>
            </w:r>
            <w:r w:rsidRPr="00216965">
              <w:rPr>
                <w:noProof/>
                <w:sz w:val="18"/>
                <w:szCs w:val="20"/>
              </w:rPr>
              <w:t>Zhu et al. (2015)</w:t>
            </w:r>
            <w:r w:rsidRPr="00216965">
              <w:rPr>
                <w:sz w:val="18"/>
                <w:szCs w:val="20"/>
              </w:rPr>
              <w:fldChar w:fldCharType="end"/>
            </w:r>
          </w:p>
        </w:tc>
      </w:tr>
      <w:tr w:rsidR="00632101" w:rsidRPr="00216965" w14:paraId="1844A29D" w14:textId="77777777" w:rsidTr="008A33DA">
        <w:tc>
          <w:tcPr>
            <w:tcW w:w="1384" w:type="dxa"/>
            <w:vMerge w:val="restart"/>
            <w:vAlign w:val="center"/>
          </w:tcPr>
          <w:p w14:paraId="6309D762" w14:textId="77777777" w:rsidR="00632101" w:rsidRPr="00216965" w:rsidRDefault="00632101" w:rsidP="00A0457B">
            <w:pPr>
              <w:spacing w:after="0" w:line="240" w:lineRule="auto"/>
              <w:jc w:val="center"/>
              <w:rPr>
                <w:rFonts w:eastAsia="Times New Roman" w:cs="Times New Roman"/>
                <w:sz w:val="20"/>
                <w:szCs w:val="20"/>
              </w:rPr>
            </w:pPr>
          </w:p>
          <w:p w14:paraId="0B98A50B" w14:textId="77777777" w:rsidR="00632101" w:rsidRPr="00216965" w:rsidRDefault="00632101" w:rsidP="00A0457B">
            <w:pPr>
              <w:spacing w:after="0" w:line="240" w:lineRule="auto"/>
              <w:jc w:val="center"/>
              <w:rPr>
                <w:rFonts w:eastAsia="Times New Roman" w:cs="Times New Roman"/>
                <w:sz w:val="20"/>
                <w:szCs w:val="20"/>
              </w:rPr>
            </w:pPr>
            <w:r w:rsidRPr="00216965">
              <w:rPr>
                <w:rFonts w:eastAsia="Times New Roman" w:cs="Times New Roman"/>
                <w:sz w:val="20"/>
                <w:szCs w:val="20"/>
              </w:rPr>
              <w:t>Soil microbial community</w:t>
            </w:r>
          </w:p>
        </w:tc>
        <w:tc>
          <w:tcPr>
            <w:tcW w:w="2693" w:type="dxa"/>
            <w:tcBorders>
              <w:top w:val="single" w:sz="4" w:space="0" w:color="000000"/>
            </w:tcBorders>
          </w:tcPr>
          <w:p w14:paraId="7A0053AF"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Physiological response and enzyme activity</w:t>
            </w:r>
          </w:p>
        </w:tc>
        <w:tc>
          <w:tcPr>
            <w:tcW w:w="3686" w:type="dxa"/>
            <w:tcBorders>
              <w:top w:val="single" w:sz="4" w:space="0" w:color="000000"/>
            </w:tcBorders>
          </w:tcPr>
          <w:p w14:paraId="799765B8"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Soil basal respiration and dehydrogenase activity (DHA)</w:t>
            </w:r>
          </w:p>
        </w:tc>
        <w:tc>
          <w:tcPr>
            <w:tcW w:w="1559" w:type="dxa"/>
            <w:tcBorders>
              <w:top w:val="single" w:sz="4" w:space="0" w:color="000000"/>
            </w:tcBorders>
          </w:tcPr>
          <w:p w14:paraId="40263B81"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Cd, Cu, Pb</w:t>
            </w:r>
          </w:p>
        </w:tc>
        <w:tc>
          <w:tcPr>
            <w:tcW w:w="2126" w:type="dxa"/>
            <w:tcBorders>
              <w:top w:val="single" w:sz="4" w:space="0" w:color="000000"/>
            </w:tcBorders>
          </w:tcPr>
          <w:p w14:paraId="15C5A0DA"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Chicken manure-derived biochar</w:t>
            </w:r>
          </w:p>
        </w:tc>
        <w:tc>
          <w:tcPr>
            <w:tcW w:w="2410" w:type="dxa"/>
            <w:tcBorders>
              <w:top w:val="single" w:sz="4" w:space="0" w:color="000000"/>
            </w:tcBorders>
          </w:tcPr>
          <w:p w14:paraId="59B88EA1" w14:textId="1D530494"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2011a)","manualFormatting":"Park et al. (2011)","plainTextFormattedCitation":"(Park et al., 2011a)","previouslyFormattedCitation":"(Park et al., 2011a)"},"properties":{"noteIndex":0},"schema":"https://github.com/citation-style-language/schema/raw/master/csl-citation.json"}</w:instrText>
            </w:r>
            <w:r w:rsidRPr="00216965">
              <w:rPr>
                <w:sz w:val="18"/>
                <w:szCs w:val="20"/>
              </w:rPr>
              <w:fldChar w:fldCharType="separate"/>
            </w:r>
            <w:r w:rsidRPr="00216965">
              <w:rPr>
                <w:noProof/>
                <w:sz w:val="18"/>
                <w:szCs w:val="20"/>
                <w:lang w:val="en-US"/>
              </w:rPr>
              <w:t>Park et al. (2011)</w:t>
            </w:r>
            <w:r w:rsidRPr="00216965">
              <w:rPr>
                <w:sz w:val="18"/>
                <w:szCs w:val="20"/>
              </w:rPr>
              <w:fldChar w:fldCharType="end"/>
            </w:r>
          </w:p>
        </w:tc>
      </w:tr>
      <w:tr w:rsidR="00632101" w:rsidRPr="00216965" w14:paraId="29108147" w14:textId="77777777" w:rsidTr="008A33DA">
        <w:trPr>
          <w:trHeight w:val="531"/>
        </w:trPr>
        <w:tc>
          <w:tcPr>
            <w:tcW w:w="1384" w:type="dxa"/>
            <w:vMerge/>
            <w:vAlign w:val="center"/>
          </w:tcPr>
          <w:p w14:paraId="1C1F18A2"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Pr>
          <w:p w14:paraId="7000D025"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Physiological response and functional diversity</w:t>
            </w:r>
          </w:p>
        </w:tc>
        <w:tc>
          <w:tcPr>
            <w:tcW w:w="3686" w:type="dxa"/>
          </w:tcPr>
          <w:p w14:paraId="6A3E1EB7"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Soil basal respiration and mineralization analysis, PFLA</w:t>
            </w:r>
          </w:p>
        </w:tc>
        <w:tc>
          <w:tcPr>
            <w:tcW w:w="1559" w:type="dxa"/>
          </w:tcPr>
          <w:p w14:paraId="6C2D354F"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Pb, Zn, Cd, Sb, Cu</w:t>
            </w:r>
          </w:p>
        </w:tc>
        <w:tc>
          <w:tcPr>
            <w:tcW w:w="2126" w:type="dxa"/>
          </w:tcPr>
          <w:p w14:paraId="1D6307F2" w14:textId="77777777" w:rsidR="00632101" w:rsidRPr="00216965" w:rsidRDefault="00632101" w:rsidP="00A0457B">
            <w:pPr>
              <w:spacing w:after="0" w:line="240" w:lineRule="auto"/>
              <w:jc w:val="both"/>
              <w:rPr>
                <w:rFonts w:eastAsia="Times New Roman" w:cs="Times New Roman"/>
                <w:sz w:val="20"/>
                <w:szCs w:val="20"/>
              </w:rPr>
            </w:pPr>
          </w:p>
        </w:tc>
        <w:tc>
          <w:tcPr>
            <w:tcW w:w="2410" w:type="dxa"/>
          </w:tcPr>
          <w:p w14:paraId="7B348648" w14:textId="14A9DDFB"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lang w:val="en-US"/>
              </w:rPr>
              <w:instrText>ADDIN CSL_CITATION {"citationItems":[{"id":"ITEM-1","itemData":{"DOI":"10.1016/j.scitotenv.2018.02.156","ISSN":"18791026","abstract":"In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Environment","id":"ITEM-1","issued":{"date-parts":[["2018"]]},"page":"1287-1295","publisher":"Elsevier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additives","type":"article-journal","volume":"628-629"},"uris":["http://www.mendeley.com/documents/?uuid=9c06a75b-67d7-467b-ac54-a74c5a7bb86a"]}],"mendeley":{"formattedCitation":"(Wawra et al., 2018)","manualFormatting":"Wawra et al. (2018)","plainTextFormattedCitation":"(Wawra et al., 2018)","previouslyFormattedCitation":"(Wawra et al., 2018)"},"properties":{"noteIndex":0},"schema":"https://github.com/citation-style-language/schema/raw/master/csl-citation.json"}</w:instrText>
            </w:r>
            <w:r w:rsidRPr="00216965">
              <w:rPr>
                <w:sz w:val="18"/>
                <w:szCs w:val="20"/>
              </w:rPr>
              <w:fldChar w:fldCharType="separate"/>
            </w:r>
            <w:r w:rsidRPr="00216965">
              <w:rPr>
                <w:noProof/>
                <w:sz w:val="18"/>
                <w:szCs w:val="20"/>
                <w:lang w:val="en-US"/>
              </w:rPr>
              <w:t>Wawra et al. (2018)</w:t>
            </w:r>
            <w:r w:rsidRPr="00216965">
              <w:rPr>
                <w:sz w:val="18"/>
                <w:szCs w:val="20"/>
              </w:rPr>
              <w:fldChar w:fldCharType="end"/>
            </w:r>
          </w:p>
        </w:tc>
      </w:tr>
      <w:tr w:rsidR="00632101" w:rsidRPr="00216965" w14:paraId="1F2301DA" w14:textId="77777777" w:rsidTr="008A33DA">
        <w:tc>
          <w:tcPr>
            <w:tcW w:w="1384" w:type="dxa"/>
            <w:vMerge/>
            <w:vAlign w:val="center"/>
          </w:tcPr>
          <w:p w14:paraId="793C43DA"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Borders>
              <w:bottom w:val="nil"/>
            </w:tcBorders>
          </w:tcPr>
          <w:p w14:paraId="1803F1D7"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Enzymatic activity</w:t>
            </w:r>
          </w:p>
        </w:tc>
        <w:tc>
          <w:tcPr>
            <w:tcW w:w="3686" w:type="dxa"/>
            <w:tcBorders>
              <w:bottom w:val="nil"/>
            </w:tcBorders>
          </w:tcPr>
          <w:p w14:paraId="6A619175"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Urease, catalase, phosphatase activities</w:t>
            </w:r>
          </w:p>
        </w:tc>
        <w:tc>
          <w:tcPr>
            <w:tcW w:w="1559" w:type="dxa"/>
            <w:tcBorders>
              <w:bottom w:val="nil"/>
            </w:tcBorders>
          </w:tcPr>
          <w:p w14:paraId="3C1612DD"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Cu, Pb, Cd, Zn</w:t>
            </w:r>
          </w:p>
        </w:tc>
        <w:tc>
          <w:tcPr>
            <w:tcW w:w="2126" w:type="dxa"/>
            <w:tcBorders>
              <w:bottom w:val="nil"/>
            </w:tcBorders>
          </w:tcPr>
          <w:p w14:paraId="35DE8E90"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Bamboo and rice straw biochar</w:t>
            </w:r>
          </w:p>
        </w:tc>
        <w:tc>
          <w:tcPr>
            <w:tcW w:w="2410" w:type="dxa"/>
            <w:tcBorders>
              <w:bottom w:val="nil"/>
            </w:tcBorders>
          </w:tcPr>
          <w:p w14:paraId="361001D4" w14:textId="71AE6CA9" w:rsidR="00632101" w:rsidRPr="00216965" w:rsidRDefault="00632101" w:rsidP="00A0457B">
            <w:pPr>
              <w:spacing w:after="0" w:line="240" w:lineRule="auto"/>
              <w:jc w:val="both"/>
              <w:rPr>
                <w:rFonts w:eastAsia="Times New Roman" w:cs="Times New Roman"/>
                <w:sz w:val="20"/>
                <w:szCs w:val="20"/>
              </w:rPr>
            </w:pPr>
            <w:r w:rsidRPr="00216965">
              <w:rPr>
                <w:sz w:val="18"/>
                <w:szCs w:val="20"/>
                <w:lang w:val="en-US"/>
              </w:rPr>
              <w:fldChar w:fldCharType="begin" w:fldLock="1"/>
            </w:r>
            <w:r w:rsidR="006C06AA" w:rsidRPr="00216965">
              <w:rPr>
                <w:sz w:val="18"/>
                <w:szCs w:val="20"/>
                <w:lang w:val="en-US"/>
              </w:rPr>
              <w:instrText>ADDIN CSL_CITATION {"citationItems":[{"id":"ITEM-1","itemData":{"DOI":"10.1007/s11356-015-4233-0","abstract":"Biochar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Research","id":"ITEM-1","issued":{"date-parts":[["2016"]]},"page":"974-984","title":"Effect of biochar on the extractability of heavy metals (Cd, Cu, Pb, and Zn) and enzyme activity in soil","type":"article-journal","volume":"23"},"uris":["http://www.mendeley.com/documents/?uuid=2cc320c9-b009-37a7-80a9-9edc49123e98"]}],"mendeley":{"formattedCitation":"(X. Yang et al., 2016)","manualFormatting":"X. Yang et al. (2016)","plainTextFormattedCitation":"(X. Yang et al., 2016)","previouslyFormattedCitation":"(X. Yang et al., 2016)"},"properties":{"noteIndex":0},"schema":"https://github.com/citation-style-language/schema/raw/master/csl-citation.json"}</w:instrText>
            </w:r>
            <w:r w:rsidRPr="00216965">
              <w:rPr>
                <w:sz w:val="18"/>
                <w:szCs w:val="20"/>
                <w:lang w:val="en-US"/>
              </w:rPr>
              <w:fldChar w:fldCharType="separate"/>
            </w:r>
            <w:r w:rsidRPr="00216965">
              <w:rPr>
                <w:noProof/>
                <w:sz w:val="18"/>
                <w:szCs w:val="20"/>
                <w:lang w:val="en-US"/>
              </w:rPr>
              <w:t>X. Yang et al. (2016)</w:t>
            </w:r>
            <w:r w:rsidRPr="00216965">
              <w:rPr>
                <w:sz w:val="18"/>
                <w:szCs w:val="20"/>
                <w:lang w:val="en-US"/>
              </w:rPr>
              <w:fldChar w:fldCharType="end"/>
            </w:r>
          </w:p>
        </w:tc>
      </w:tr>
      <w:tr w:rsidR="00632101" w:rsidRPr="00216965" w14:paraId="28ED7538" w14:textId="77777777" w:rsidTr="008A33DA">
        <w:tc>
          <w:tcPr>
            <w:tcW w:w="1384" w:type="dxa"/>
            <w:vMerge/>
            <w:vAlign w:val="center"/>
          </w:tcPr>
          <w:p w14:paraId="1D0AC7E3" w14:textId="77777777" w:rsidR="00632101" w:rsidRPr="00216965" w:rsidRDefault="00632101" w:rsidP="00A0457B">
            <w:pPr>
              <w:widowControl w:val="0"/>
              <w:pBdr>
                <w:top w:val="nil"/>
                <w:left w:val="nil"/>
                <w:bottom w:val="nil"/>
                <w:right w:val="nil"/>
                <w:between w:val="nil"/>
              </w:pBdr>
              <w:spacing w:after="0"/>
              <w:rPr>
                <w:rFonts w:eastAsia="Times New Roman" w:cs="Times New Roman"/>
                <w:sz w:val="20"/>
                <w:szCs w:val="20"/>
              </w:rPr>
            </w:pPr>
          </w:p>
        </w:tc>
        <w:tc>
          <w:tcPr>
            <w:tcW w:w="2693" w:type="dxa"/>
            <w:tcBorders>
              <w:top w:val="nil"/>
              <w:bottom w:val="single" w:sz="4" w:space="0" w:color="000000"/>
            </w:tcBorders>
          </w:tcPr>
          <w:p w14:paraId="41A31214"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Microbial community (bacterial)</w:t>
            </w:r>
          </w:p>
        </w:tc>
        <w:tc>
          <w:tcPr>
            <w:tcW w:w="3686" w:type="dxa"/>
            <w:tcBorders>
              <w:top w:val="nil"/>
              <w:bottom w:val="single" w:sz="4" w:space="0" w:color="000000"/>
            </w:tcBorders>
          </w:tcPr>
          <w:p w14:paraId="27F94F1A"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16S rRNA sequencing</w:t>
            </w:r>
          </w:p>
        </w:tc>
        <w:tc>
          <w:tcPr>
            <w:tcW w:w="1559" w:type="dxa"/>
            <w:tcBorders>
              <w:top w:val="nil"/>
              <w:bottom w:val="single" w:sz="4" w:space="0" w:color="000000"/>
            </w:tcBorders>
          </w:tcPr>
          <w:p w14:paraId="225C5703"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Pb, As</w:t>
            </w:r>
          </w:p>
        </w:tc>
        <w:tc>
          <w:tcPr>
            <w:tcW w:w="2126" w:type="dxa"/>
            <w:tcBorders>
              <w:top w:val="nil"/>
              <w:bottom w:val="single" w:sz="4" w:space="0" w:color="000000"/>
            </w:tcBorders>
          </w:tcPr>
          <w:p w14:paraId="4B82DB44"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Soybean stover and pine needle derived biochars</w:t>
            </w:r>
          </w:p>
        </w:tc>
        <w:tc>
          <w:tcPr>
            <w:tcW w:w="2410" w:type="dxa"/>
            <w:tcBorders>
              <w:top w:val="nil"/>
              <w:bottom w:val="single" w:sz="4" w:space="0" w:color="000000"/>
            </w:tcBorders>
          </w:tcPr>
          <w:p w14:paraId="76229CFC" w14:textId="46B49BD2"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fldChar w:fldCharType="begin" w:fldLock="1"/>
            </w:r>
            <w:r w:rsidR="006C06AA" w:rsidRPr="00216965">
              <w:rPr>
                <w:rFonts w:eastAsia="Times New Roman" w:cs="Times New Roman"/>
                <w:sz w:val="20"/>
                <w:szCs w:val="20"/>
              </w:rPr>
              <w:instrText>ADDIN CSL_CITATION {"citationItems":[{"id":"ITEM-1","itemData":{"DOI":"10.1016/j.jenvman.2015.10.006","ISSN":"10958630","abstract":"Biochar is gaining attention as a potential soil amendment to remediate and revitalize the contaminated soils. Simultaneous effects of biochar on metals mobility, microbial abundance, bacterial diversity and carbon storage in soil are scarcely addressed. This study assessed the effect of biochars on metal mobility, microbial abundance, bacterial community, and carbon storage in an agricultural soil contaminated with heavy metals. Biochars derived from soybean stover at 300 and 700 °C (S-BC300 and S-BC700, respectively) and pine needles at the same temperatures (P-BC300 and P-BC700, respectively) were used. A maximum reduction of Pb mobility by 95% was observed from a soil treated with S-BC700, associated with precipitation of chloropyromorphite and hydroxylpyromorphite. In contrast, As was desorbed from soil particles because of P competition. The abundance of Gram-positive and negative bacteria, fungi, actinomycetes, and arbuscular mycorrhizal fungi increased in the soils treated with biochar produced at 300 °C, possibly due to the high dissolved organic and active organic carbons. Microbial abundance in the soils treated with S-BC700 and P-BC700 was constant due to the existence of fixed or non-labile carbon. Changes to bacterial communities in the biochar-treated soils depended on feedstock type and pyrolysis temperature. Actinobacteria substantially increased whereas Acidobacteria and Chloroflexi decreased in the biochar-treated soils. The non-labile carbon fraction was ~25 fold higher in the biochar-treated soil than the control soil, indicating long-term carbon storage.","author":[{"dropping-particle":"","family":"Ahmad","given":"Mahtab","non-dropping-particle":"","parse-names":false,"suffix":""},{"dropping-particle":"","family":"Ok","given":"Yong Sik","non-dropping-particle":"","parse-names":false,"suffix":""},{"dropping-particle":"","family":"Kim","given":"Byung Yong","non-dropping-particle":"","parse-names":false,"suffix":""},{"dropping-particle":"","family":"Ahn","given":"Jae Hyung","non-dropping-particle":"","parse-names":false,"suffix":""},{"dropping-particle":"","family":"Lee","given":"Young Han","non-dropping-particle":"","parse-names":false,"suffix":""},{"dropping-particle":"","family":"Zhang","given":"Ming","non-dropping-particle":"","parse-names":false,"suffix":""},{"dropping-particle":"","family":"Moon","given":"Deok Hyun","non-dropping-particle":"","parse-names":false,"suffix":""},{"dropping-particle":"","family":"Al-Wabel","given":"Mohammad I.","non-dropping-particle":"","parse-names":false,"suffix":""},{"dropping-particle":"","family":"Lee","given":"Sang Soo","non-dropping-particle":"","parse-names":false,"suffix":""}],"container-title":"Journal of Environmental Management","id":"ITEM-1","issued":{"date-parts":[["2016","1","15"]]},"page":"131-139","publisher":"Academic Press","title":"Impact of soybean stover- and pine needle-derived biochars on Pb and As mobility, microbial community, and carbon stability in a contaminated agricultural soil","type":"article-journal","volume":"166"},"uris":["http://www.mendeley.com/documents/?uuid=323abb5e-343f-38c4-9a02-93e9578fcd7a"]}],"mendeley":{"formattedCitation":"(Ahmad et al., 2016)","manualFormatting":"Ahmad et al. (2016)","plainTextFormattedCitation":"(Ahmad et al., 2016)","previouslyFormattedCitation":"(Ahmad et al., 2016)"},"properties":{"noteIndex":0},"schema":"https://github.com/citation-style-language/schema/raw/master/csl-citation.json"}</w:instrText>
            </w:r>
            <w:r w:rsidRPr="00216965">
              <w:rPr>
                <w:rFonts w:eastAsia="Times New Roman" w:cs="Times New Roman"/>
                <w:sz w:val="20"/>
                <w:szCs w:val="20"/>
              </w:rPr>
              <w:fldChar w:fldCharType="separate"/>
            </w:r>
            <w:r w:rsidRPr="00216965">
              <w:rPr>
                <w:rFonts w:eastAsia="Times New Roman" w:cs="Times New Roman"/>
                <w:noProof/>
                <w:sz w:val="20"/>
                <w:szCs w:val="20"/>
              </w:rPr>
              <w:t>Ahmad et al. (2016)</w:t>
            </w:r>
            <w:r w:rsidRPr="00216965">
              <w:rPr>
                <w:rFonts w:eastAsia="Times New Roman" w:cs="Times New Roman"/>
                <w:sz w:val="20"/>
                <w:szCs w:val="20"/>
              </w:rPr>
              <w:fldChar w:fldCharType="end"/>
            </w:r>
          </w:p>
        </w:tc>
      </w:tr>
      <w:tr w:rsidR="00632101" w:rsidRPr="00216965" w14:paraId="025EE7B2" w14:textId="77777777" w:rsidTr="008A33DA">
        <w:tc>
          <w:tcPr>
            <w:tcW w:w="1384" w:type="dxa"/>
          </w:tcPr>
          <w:p w14:paraId="38B6C0FB"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Other living organisms</w:t>
            </w:r>
          </w:p>
        </w:tc>
        <w:tc>
          <w:tcPr>
            <w:tcW w:w="2693" w:type="dxa"/>
            <w:tcBorders>
              <w:top w:val="single" w:sz="4" w:space="0" w:color="000000"/>
            </w:tcBorders>
          </w:tcPr>
          <w:p w14:paraId="56163CA4"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 xml:space="preserve">Tissue concentration of the earth worm </w:t>
            </w:r>
            <w:r w:rsidRPr="00216965">
              <w:rPr>
                <w:rFonts w:eastAsia="Times New Roman" w:cs="Times New Roman"/>
                <w:i/>
                <w:sz w:val="20"/>
                <w:szCs w:val="20"/>
              </w:rPr>
              <w:t>Eisenia fetida</w:t>
            </w:r>
          </w:p>
        </w:tc>
        <w:tc>
          <w:tcPr>
            <w:tcW w:w="3686" w:type="dxa"/>
            <w:tcBorders>
              <w:top w:val="single" w:sz="4" w:space="0" w:color="000000"/>
            </w:tcBorders>
          </w:tcPr>
          <w:p w14:paraId="2E214927"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Acid digestion of worm tissue</w:t>
            </w:r>
          </w:p>
        </w:tc>
        <w:tc>
          <w:tcPr>
            <w:tcW w:w="1559" w:type="dxa"/>
            <w:tcBorders>
              <w:top w:val="single" w:sz="4" w:space="0" w:color="000000"/>
            </w:tcBorders>
          </w:tcPr>
          <w:p w14:paraId="4E003462"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Multi-contaminated site organics and metals</w:t>
            </w:r>
          </w:p>
        </w:tc>
        <w:tc>
          <w:tcPr>
            <w:tcW w:w="2126" w:type="dxa"/>
            <w:tcBorders>
              <w:top w:val="single" w:sz="4" w:space="0" w:color="000000"/>
            </w:tcBorders>
          </w:tcPr>
          <w:p w14:paraId="78E67DEC" w14:textId="77777777" w:rsidR="00632101" w:rsidRPr="00216965" w:rsidRDefault="00632101" w:rsidP="00A0457B">
            <w:pPr>
              <w:spacing w:after="0" w:line="240" w:lineRule="auto"/>
              <w:jc w:val="both"/>
              <w:rPr>
                <w:rFonts w:eastAsia="Times New Roman" w:cs="Times New Roman"/>
                <w:sz w:val="20"/>
                <w:szCs w:val="20"/>
              </w:rPr>
            </w:pPr>
            <w:r w:rsidRPr="00216965">
              <w:rPr>
                <w:rFonts w:eastAsia="Times New Roman" w:cs="Times New Roman"/>
                <w:sz w:val="20"/>
                <w:szCs w:val="20"/>
              </w:rPr>
              <w:t>hardwood-derived biochar</w:t>
            </w:r>
          </w:p>
        </w:tc>
        <w:tc>
          <w:tcPr>
            <w:tcW w:w="2410" w:type="dxa"/>
            <w:tcBorders>
              <w:top w:val="single" w:sz="4" w:space="0" w:color="000000"/>
            </w:tcBorders>
          </w:tcPr>
          <w:p w14:paraId="3D79BD45" w14:textId="4AAC1617" w:rsidR="00632101" w:rsidRPr="00216965" w:rsidRDefault="00632101" w:rsidP="00A0457B">
            <w:pPr>
              <w:spacing w:after="0" w:line="240" w:lineRule="auto"/>
              <w:jc w:val="both"/>
              <w:rPr>
                <w:rFonts w:eastAsia="Times New Roman" w:cs="Times New Roman"/>
                <w:sz w:val="20"/>
                <w:szCs w:val="20"/>
              </w:rPr>
            </w:pPr>
            <w:r w:rsidRPr="00216965">
              <w:rPr>
                <w:sz w:val="18"/>
                <w:szCs w:val="20"/>
              </w:rPr>
              <w:fldChar w:fldCharType="begin" w:fldLock="1"/>
            </w:r>
            <w:r w:rsidR="006C06AA" w:rsidRPr="00216965">
              <w:rPr>
                <w:sz w:val="18"/>
                <w:szCs w:val="20"/>
                <w:lang w:val="en-US"/>
              </w:rPr>
              <w:instrText>ADDIN CSL_CITATION {"citationItems":[{"id":"ITEM-1","itemData":{"DOI":"10.1016/j.envpol.2010.09.037","ISBN":"0269-7491","ISSN":"02697491","PMID":"21035930","abstract":"Polycyclic aromatic hydrocarbons (PAHs) and potentially toxic elements (PTEs) were monitored over 56 days in calcareous contaminated-soil amended with either or both biochar and Eisenia fetida. Biochar reduced total (449 to 306 mg kg-1) and bioavailable (cyclodextrin extractable) (276 to 182 mg kg-1) PAHs, PAH concentrations in E. fetida (up to 45%) but also earthworm weight. Earthworms increased PAH bioavailability by &gt;40%. Combined treatment results were similar to the biochar-only treatment. Earthworms increased water soluble Co (3.4 to 29.2 mg kg-1), Cu (60.0 to 120.1 mg kg-1) and Ni (31.7 to 83.0 mg kg-1) but not As, Cd, Pb or Zn; biochar reduced water soluble Cu (60 to 37 mg kg-1). Combined treatment results were similar to the biochar-only treatment but gave a greater reduction in As and Cd mobility. Biochar has contaminated land remediation potential, but its long-term impact on contaminants and soil biota needs to be assessed. ?? 2010 Elsevier Ltd. All rights reserved.","author":[{"dropping-particle":"","family":"Gomez-Eyles","given":"Jose L.","non-dropping-particle":"","parse-names":false,"suffix":""},{"dropping-particle":"","family":"Sizmur","given":"Tom","non-dropping-particle":"","parse-names":false,"suffix":""},{"dropping-particle":"","family":"Collins","given":"Chris D.","non-dropping-particle":"","parse-names":false,"suffix":""},{"dropping-particle":"","family":"Hodson","given":"Mark E.","non-dropping-particle":"","parse-names":false,"suffix":""}],"container-title":"Environmental Pollution","id":"ITEM-1","issue":"2","issued":{"date-parts":[["2011"]]},"page":"616-622","publisher":"Elsevier Ltd","title":"Effects of biochar and the earthworm Eisenia fetida on the bioavailability of polycyclic aromatic hydrocarbons and potentially toxic elements","type":"article-journal","volume":"159"},"uris":["http://www.mendeley.com/documents/?uuid=9e455bec-72bb-494b-a708-392b3b6ea092"]}],"mendeley":{"formattedCitation":"(Gomez-Eyles et al., 2011)","manualFormatting":"Gomez-Eyles et al. (2011)","plainTextFormattedCitation":"(Gomez-Eyles et al., 2011)","previouslyFormattedCitation":"(Gomez-Eyles et al., 2011)"},"properties":{"noteIndex":0},"schema":"https://github.com/citation-style-language/schema/raw/master/csl-citation.json"}</w:instrText>
            </w:r>
            <w:r w:rsidRPr="00216965">
              <w:rPr>
                <w:sz w:val="18"/>
                <w:szCs w:val="20"/>
              </w:rPr>
              <w:fldChar w:fldCharType="separate"/>
            </w:r>
            <w:r w:rsidRPr="00216965">
              <w:rPr>
                <w:noProof/>
                <w:sz w:val="18"/>
                <w:szCs w:val="20"/>
              </w:rPr>
              <w:t>Gomez-Eyles et al. (2011)</w:t>
            </w:r>
            <w:r w:rsidRPr="00216965">
              <w:rPr>
                <w:sz w:val="18"/>
                <w:szCs w:val="20"/>
              </w:rPr>
              <w:fldChar w:fldCharType="end"/>
            </w:r>
          </w:p>
        </w:tc>
      </w:tr>
      <w:bookmarkEnd w:id="111"/>
    </w:tbl>
    <w:p w14:paraId="0DEB5329" w14:textId="77777777" w:rsidR="00632101" w:rsidRPr="00216965" w:rsidRDefault="00632101" w:rsidP="008A33DA">
      <w:pPr>
        <w:spacing w:line="360" w:lineRule="auto"/>
        <w:rPr>
          <w:rFonts w:eastAsia="Times New Roman" w:cs="Times New Roman"/>
          <w:szCs w:val="24"/>
        </w:rPr>
        <w:sectPr w:rsidR="00632101" w:rsidRPr="00216965">
          <w:pgSz w:w="16838" w:h="11906" w:orient="landscape"/>
          <w:pgMar w:top="1701" w:right="1417" w:bottom="1701" w:left="1417" w:header="708" w:footer="708" w:gutter="0"/>
          <w:cols w:space="720"/>
        </w:sectPr>
      </w:pPr>
    </w:p>
    <w:p w14:paraId="17E207EB" w14:textId="77777777" w:rsidR="00632101" w:rsidRPr="00216965" w:rsidRDefault="00632101" w:rsidP="008A33DA">
      <w:pPr>
        <w:pStyle w:val="Heading3"/>
        <w:rPr>
          <w:rFonts w:eastAsia="Times New Roman"/>
        </w:rPr>
      </w:pPr>
      <w:bookmarkStart w:id="112" w:name="_heading=h.3whwml4" w:colFirst="0" w:colLast="0"/>
      <w:bookmarkStart w:id="113" w:name="_Toc86504643"/>
      <w:bookmarkEnd w:id="112"/>
      <w:r w:rsidRPr="00216965">
        <w:rPr>
          <w:rFonts w:eastAsia="Times New Roman"/>
        </w:rPr>
        <w:lastRenderedPageBreak/>
        <w:t>Current uncertainties on biochar application</w:t>
      </w:r>
      <w:bookmarkEnd w:id="113"/>
    </w:p>
    <w:p w14:paraId="55567971" w14:textId="77777777"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The results of biochar use for  the immobilization of heavy metals in soil are promising. However, a better understanding is required regarding present uncertainties related to its application. Some of the aspects that are not yet clear include biochar affinity and performance for immobilization of different metals, the estimation of application rates and an accurate procedure for monitoring the remediation process that includes the impact of biochar on soil biota.</w:t>
      </w:r>
    </w:p>
    <w:p w14:paraId="66F76FC8" w14:textId="061E156B" w:rsidR="00FD5FFA"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 xml:space="preserve">Biochars may have a higher capacity for the immobilization of specific heavy metals, but the biochar properties and soil conditions which determine this affinity are not clearly defined. For example, both bamboo and rice straw biochar are reported to be more effective at decreasing extractable Cu and Pb than removing extractable Cd and Zn from soil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Research","id":"ITEM-1","issued":{"date-parts":[["2016"]]},"page":"974-984","title":"Effect of biochar on the extractability of heavy metals (Cd, Cu, Pb, and Zn) and enzyme activity in soil","type":"article-journal","volume":"23"},"uris":["http://www.mendeley.com/documents/?uuid=2cc320c9-b009-37a7-80a9-9edc49123e98"]}],"mendeley":{"formattedCitation":"(X. Yang et al., 2016)","plainTextFormattedCitation":"(X. Yang et al., 2016)","previouslyFormattedCitation":"(X. Yang et al., 2016)"},"properties":{"noteIndex":0},"schema":"https://github.com/citation-style-language/schema/raw/master/csl-citation.json"}</w:instrText>
      </w:r>
      <w:r w:rsidRPr="00216965">
        <w:rPr>
          <w:rFonts w:eastAsia="Times New Roman" w:cs="Times New Roman"/>
          <w:szCs w:val="24"/>
        </w:rPr>
        <w:fldChar w:fldCharType="separate"/>
      </w:r>
      <w:r w:rsidR="00C83E62" w:rsidRPr="00216965">
        <w:rPr>
          <w:rFonts w:eastAsia="Times New Roman" w:cs="Times New Roman"/>
          <w:noProof/>
          <w:szCs w:val="24"/>
        </w:rPr>
        <w:t>(X. Yang et al., 2016)</w:t>
      </w:r>
      <w:r w:rsidRPr="00216965">
        <w:rPr>
          <w:rFonts w:eastAsia="Times New Roman" w:cs="Times New Roman"/>
          <w:szCs w:val="24"/>
        </w:rPr>
        <w:fldChar w:fldCharType="end"/>
      </w:r>
      <w:r w:rsidRPr="00216965">
        <w:rPr>
          <w:rFonts w:eastAsia="Times New Roman" w:cs="Times New Roman"/>
          <w:szCs w:val="24"/>
        </w:rPr>
        <w:t xml:space="preserve">. Similarly, there is still uncertainty concerning the best biochar application rate. Previous studies have used varied application rates from 0.5 to </w:t>
      </w:r>
      <w:r w:rsidR="00A8182A" w:rsidRPr="00216965">
        <w:rPr>
          <w:rFonts w:eastAsia="Times New Roman" w:cs="Times New Roman"/>
          <w:szCs w:val="24"/>
        </w:rPr>
        <w:t>1</w:t>
      </w:r>
      <w:r w:rsidRPr="00216965">
        <w:rPr>
          <w:rFonts w:eastAsia="Times New Roman" w:cs="Times New Roman"/>
          <w:szCs w:val="24"/>
        </w:rPr>
        <w:t xml:space="preserve">0% </w:t>
      </w:r>
      <w:r w:rsidRPr="00216965">
        <w:rPr>
          <w:rFonts w:eastAsia="Times New Roman" w:cs="Times New Roman"/>
          <w:i/>
          <w:iCs/>
          <w:szCs w:val="24"/>
        </w:rPr>
        <w:t>w/w</w:t>
      </w:r>
      <w:r w:rsidR="00A8182A" w:rsidRPr="00216965">
        <w:rPr>
          <w:rFonts w:eastAsia="Times New Roman" w:cs="Times New Roman"/>
          <w:szCs w:val="24"/>
        </w:rPr>
        <w:t xml:space="preserve"> </w:t>
      </w:r>
      <w:r w:rsidR="00A8182A"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Pollution","id":"ITEM-1","issued":{"date-parts":[["2020","6","1"]]},"page":"114133","publisher":"Elsevier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soil","type":"article-journal","volume":"261"},"uris":["http://www.mendeley.com/documents/?uuid=6eee545a-7fee-346b-8aa7-47b79f2eb8fe"]},{"id":"ITEM-2","itemData":{"DOI":"10.1007/s11270-020-04885-4","ISSN":"15732932","abstract":"Organic sorbents alter physicochemical soil properties and mitigate heavy metal (HM) bioavailability. However, some sorbents are labile and, therefore, introduce the risk of HM release into soil after mineralisation. Before field application, new stable organic sorbents such as woodchip biochar (BIO) and brown coal waste (BCW) need to be tested and compared with standard organic amendments like farmyard manure (FYM). An incubated pot experiment was conducted to investigate the efficacy of FYM, BIO and BCW (added to soil in pots at 5 and 10% w/w) to alter soil physicochemical properties and mitigate bioavailability of Cd, Pb and Zn spiked in treatments at different doses (in mg kg−1); 0 (not spiked), 1 (1 Cd, 70 Pb, 100 Zn) and 2 (3 Cd, 500 Pb, 700 Zn), and incubated for 9 weeks. At the end of the experiment, the EDTA-extractable HM fractions, pH, cation exchange capacity (CEC) and specific surface area (SSA, to check trends) were determined in all treated soils. Results showed that FYM, BCW and BIO generally improved all soil properties (except reduced pH from BCW and apparent SSA reduction from FYM) and accounted for respective maximum abatements of Cd (50.2, 69.9 and 25.5%), Pb (34.2, 64.3 and 17.4%) and Zn (14.9, 17.7 and 11.8%) bioavailability in soil. FYM and BCW were more effective at 10% w/w especially in the low contaminated soil, whereas the highest efficacy for BIO was at 5% w/w and in the high contaminated soil. The efficacies of sorption by the organic sorbents varied for different HMs and were in the orders: BCW &gt; FYM &gt; BIO for Cd, FYM &gt; BCW &gt; BIO for Pb and BIO &gt; BCW &gt; FYM for Zn. Soil pH and CEC were strongly correlated with HM bioavailability in all treatments and implied that immobilisation of HMs occurred via complex formation, ion exchange and pH-dependent specific adsorption. All three sorbents were beneficial as soil amendments, and in terms of HM mitigation, BCW had the highest efficacy, followed by FYM and then BIO. Considering the documented high soil stability of BCW and BIO, these results are promising for further trialling at field scale.","author":[{"dropping-particle":"","family":"Amoah-Antwi","given":"C.","non-dropping-particle":"","parse-names":false,"suffix":""},{"dropping-particle":"","family":"Kwiatkowska-Malina","given":"J.","non-dropping-particle":"","parse-names":false,"suffix":""},{"dropping-particle":"","family":"Szara","given":"E.","non-dropping-particle":"","parse-names":false,"suffix":""},{"dropping-particle":"","family":"Thornton","given":"S.","non-dropping-particle":"","parse-names":false,"suffix":""},{"dropping-particle":"","family":"Fenton","given":"O.","non-dropping-particle":"","parse-names":false,"suffix":""},{"dropping-particle":"","family":"Malina","given":"G.","non-dropping-particle":"","parse-names":false,"suffix":""}],"container-title":"Water, Air, and Soil Pollution","id":"ITEM-2","issued":{"date-parts":[["2020","10","1"]]},"page":"515","publisher":"Springer Science and Business Media Deutschland GmbH","title":"Efficacy of woodchip biochar and brown coal waste as stable sorbents for abatement of bioavailable cadmium, lead and zinc in soil","type":"article-journal","volume":"231"},"uris":["http://www.mendeley.com/documents/?uuid=3443d71f-7da5-34e4-a645-6e69e4174239"]}],"mendeley":{"formattedCitation":"(C. Amoah-Antwi et al., 2020; C. Xu et al., 2020)","plainTextFormattedCitation":"(C. Amoah-Antwi et al., 2020; C. Xu et al., 2020)","previouslyFormattedCitation":"(C. Amoah-Antwi et al., 2020; C. Xu et al., 2020)"},"properties":{"noteIndex":0},"schema":"https://github.com/citation-style-language/schema/raw/master/csl-citation.json"}</w:instrText>
      </w:r>
      <w:r w:rsidR="00A8182A" w:rsidRPr="00216965">
        <w:rPr>
          <w:rFonts w:eastAsia="Times New Roman" w:cs="Times New Roman"/>
          <w:szCs w:val="24"/>
        </w:rPr>
        <w:fldChar w:fldCharType="separate"/>
      </w:r>
      <w:r w:rsidR="00C83E62" w:rsidRPr="00216965">
        <w:rPr>
          <w:rFonts w:eastAsia="Times New Roman" w:cs="Times New Roman"/>
          <w:noProof/>
          <w:szCs w:val="24"/>
        </w:rPr>
        <w:t xml:space="preserve">(C. Amoah-Antwi et al., 2020; </w:t>
      </w:r>
      <w:bookmarkStart w:id="114" w:name="_Hlk99663424"/>
      <w:r w:rsidR="00C83E62" w:rsidRPr="00216965">
        <w:rPr>
          <w:rFonts w:eastAsia="Times New Roman" w:cs="Times New Roman"/>
          <w:noProof/>
          <w:szCs w:val="24"/>
        </w:rPr>
        <w:t>C. Xu et al., 2020</w:t>
      </w:r>
      <w:bookmarkEnd w:id="114"/>
      <w:r w:rsidR="00C83E62" w:rsidRPr="00216965">
        <w:rPr>
          <w:rFonts w:eastAsia="Times New Roman" w:cs="Times New Roman"/>
          <w:noProof/>
          <w:szCs w:val="24"/>
        </w:rPr>
        <w:t>)</w:t>
      </w:r>
      <w:r w:rsidR="00A8182A" w:rsidRPr="00216965">
        <w:rPr>
          <w:rFonts w:eastAsia="Times New Roman" w:cs="Times New Roman"/>
          <w:szCs w:val="24"/>
        </w:rPr>
        <w:fldChar w:fldCharType="end"/>
      </w:r>
      <w:r w:rsidRPr="00216965">
        <w:rPr>
          <w:rFonts w:eastAsia="Times New Roman" w:cs="Times New Roman"/>
          <w:szCs w:val="24"/>
        </w:rPr>
        <w:t xml:space="preserve">, but it has not been clearly established how to best estimate an appropriate biochar application rate in soils to obtain optimal metal immobilization using the least adsorbent material and without negatively impacting on soil health (e.g. soil salinity, pH, nutrient ratios). </w:t>
      </w:r>
    </w:p>
    <w:p w14:paraId="717DD14B" w14:textId="5AAE9CDF" w:rsidR="00632101" w:rsidRPr="00216965" w:rsidRDefault="00632101" w:rsidP="008A33DA">
      <w:pPr>
        <w:spacing w:line="360" w:lineRule="auto"/>
        <w:jc w:val="both"/>
        <w:rPr>
          <w:rFonts w:eastAsia="Times New Roman" w:cs="Times New Roman"/>
          <w:szCs w:val="24"/>
        </w:rPr>
      </w:pPr>
      <w:r w:rsidRPr="00216965">
        <w:rPr>
          <w:rFonts w:eastAsia="Times New Roman" w:cs="Times New Roman"/>
          <w:szCs w:val="24"/>
        </w:rPr>
        <w:t>For example,</w:t>
      </w:r>
      <w:r w:rsidR="007105B6" w:rsidRPr="00216965">
        <w:rPr>
          <w:rFonts w:eastAsia="Times New Roman" w:cs="Times New Roman"/>
          <w:szCs w:val="24"/>
        </w:rPr>
        <w:t xml:space="preserve"> </w:t>
      </w:r>
      <w:r w:rsidR="007105B6"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Research","id":"ITEM-1","issued":{"date-parts":[["2016"]]},"page":"974-984","title":"Effect of biochar on the extractability of heavy metals (Cd, Cu, Pb, and Zn) and enzyme activity in soil","type":"article-journal","volume":"23"},"uris":["http://www.mendeley.com/documents/?uuid=2cc320c9-b009-37a7-80a9-9edc49123e98"]}],"mendeley":{"formattedCitation":"(X. Yang et al., 2016)","manualFormatting":"Yang et al. (2016)","plainTextFormattedCitation":"(X. Yang et al., 2016)","previouslyFormattedCitation":"(X. Yang et al., 2016)"},"properties":{"noteIndex":0},"schema":"https://github.com/citation-style-language/schema/raw/master/csl-citation.json"}</w:instrText>
      </w:r>
      <w:r w:rsidR="007105B6" w:rsidRPr="00216965">
        <w:rPr>
          <w:rFonts w:eastAsia="Times New Roman" w:cs="Times New Roman"/>
          <w:szCs w:val="24"/>
        </w:rPr>
        <w:fldChar w:fldCharType="separate"/>
      </w:r>
      <w:r w:rsidR="007105B6" w:rsidRPr="00216965">
        <w:rPr>
          <w:rFonts w:eastAsia="Times New Roman" w:cs="Times New Roman"/>
          <w:noProof/>
          <w:szCs w:val="24"/>
        </w:rPr>
        <w:t xml:space="preserve">Yang </w:t>
      </w:r>
      <w:r w:rsidR="007105B6" w:rsidRPr="00216965">
        <w:rPr>
          <w:rFonts w:eastAsia="Times New Roman" w:cs="Times New Roman"/>
          <w:iCs/>
          <w:noProof/>
          <w:szCs w:val="24"/>
        </w:rPr>
        <w:t>et al</w:t>
      </w:r>
      <w:r w:rsidR="007105B6" w:rsidRPr="00216965">
        <w:rPr>
          <w:rFonts w:eastAsia="Times New Roman" w:cs="Times New Roman"/>
          <w:i/>
          <w:noProof/>
          <w:szCs w:val="24"/>
        </w:rPr>
        <w:t>.</w:t>
      </w:r>
      <w:r w:rsidR="007105B6" w:rsidRPr="00216965">
        <w:rPr>
          <w:rFonts w:eastAsia="Times New Roman" w:cs="Times New Roman"/>
          <w:noProof/>
          <w:szCs w:val="24"/>
        </w:rPr>
        <w:t xml:space="preserve"> (2016)</w:t>
      </w:r>
      <w:r w:rsidR="007105B6" w:rsidRPr="00216965">
        <w:rPr>
          <w:rFonts w:eastAsia="Times New Roman" w:cs="Times New Roman"/>
          <w:szCs w:val="24"/>
        </w:rPr>
        <w:fldChar w:fldCharType="end"/>
      </w:r>
      <w:r w:rsidR="007105B6" w:rsidRPr="00216965">
        <w:rPr>
          <w:rFonts w:eastAsia="Times New Roman" w:cs="Times New Roman"/>
          <w:szCs w:val="24"/>
        </w:rPr>
        <w:t xml:space="preserve"> </w:t>
      </w:r>
      <w:r w:rsidRPr="00216965">
        <w:rPr>
          <w:rFonts w:eastAsia="Times New Roman" w:cs="Times New Roman"/>
          <w:szCs w:val="24"/>
        </w:rPr>
        <w:t xml:space="preserve">found  a biochar application rate of 5% </w:t>
      </w:r>
      <w:r w:rsidRPr="00216965">
        <w:rPr>
          <w:rFonts w:eastAsia="Times New Roman" w:cs="Times New Roman"/>
          <w:i/>
          <w:iCs/>
          <w:szCs w:val="24"/>
        </w:rPr>
        <w:t>w/w</w:t>
      </w:r>
      <w:r w:rsidRPr="00216965">
        <w:rPr>
          <w:rFonts w:eastAsia="Times New Roman" w:cs="Times New Roman"/>
          <w:szCs w:val="24"/>
        </w:rPr>
        <w:t xml:space="preserve"> to be the best for reducing the bioavailability of  Cd, Cu, Pb and Zn. Similarly, other studies have also reported the highest reduction in bioavailable Zn, Cd and Pb at 5% </w:t>
      </w:r>
      <w:r w:rsidRPr="00216965">
        <w:rPr>
          <w:rFonts w:eastAsia="Times New Roman" w:cs="Times New Roman"/>
          <w:i/>
          <w:iCs/>
          <w:szCs w:val="24"/>
        </w:rPr>
        <w:t>w/w</w:t>
      </w:r>
      <w:r w:rsidRPr="00216965">
        <w:rPr>
          <w:rFonts w:eastAsia="Times New Roman" w:cs="Times New Roman"/>
          <w:szCs w:val="24"/>
        </w:rPr>
        <w:t xml:space="preserve"> biochar dosage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(Puga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Biochar derived from pyrolysis of oak wood at 400 °C at 5 % (</w:t>
      </w:r>
      <w:r w:rsidRPr="00216965">
        <w:rPr>
          <w:rFonts w:eastAsia="Times New Roman" w:cs="Times New Roman"/>
          <w:i/>
          <w:iCs/>
          <w:szCs w:val="24"/>
        </w:rPr>
        <w:t>w/w</w:t>
      </w:r>
      <w:r w:rsidRPr="00216965">
        <w:rPr>
          <w:rFonts w:eastAsia="Times New Roman" w:cs="Times New Roman"/>
          <w:szCs w:val="24"/>
        </w:rPr>
        <w:t xml:space="preserve">) was the most effective in decreasing the bioavailability of Pb among the amendments tested by </w:t>
      </w:r>
      <w:r w:rsidRPr="00216965">
        <w:rPr>
          <w:lang w:val="en-US"/>
        </w:rPr>
        <w:fldChar w:fldCharType="begin" w:fldLock="1"/>
      </w:r>
      <w:r w:rsidR="006C06AA" w:rsidRPr="00216965">
        <w:rPr>
          <w:lang w:val="en-US"/>
        </w:rPr>
        <w:instrText>ADDIN CSL_CITATION {"citationItems":[{"id":"ITEM-1","itemData":{"DOI":"10.1016/j.biortech.2012.05.042","ISBN":"1873-2976 (Electronic)\\n0960-8524 (Linking)","ISSN":"09608524","PMID":"22721877","abstract":"Conversion of crop residues into biochars (BCs) via pyrolysis is beneficial to environment compared to their direct combustion in agricultural field. Biochars developed from soybean stover at 300 and 700. °C (S-BC300 and S-BC700, respectively) and peanut shells at 300 and 700. °C (P-BC300 and P-BC700, respectively) were used for the removal of trichloroethylene (TCE) from water. Batch adsorption experiments showed that the TCE adsorption was strongly dependent on the BCs properties. Linear relationships were obtained between sorption parameters (K M and S M) and molar elemental ratios as well as surface area of the BCs. The high adsorption capacity of BCs produced at 700. °C was attributed to their high aromaticity and low polarity. The efficacy of S-BC700 and P-BC700 for removing TCE from water was comparable to that of activated carbon (AC). Pyrolysis temperature influencing the BC properties was a critical factor to assess the removal efficiency of TCE from water. © 2012 Elsevier Ltd.","author":[{"dropping-particle":"","family":"Ahmad","given":"Mahtab","non-dropping-particle":"","parse-names":false,"suffix":""},{"dropping-particle":"","family":"Lee","given":"Sang Soo","non-dropping-particle":"","parse-names":false,"suffix":""},{"dropping-particle":"","family":"Dou","given":"Xiaomin","non-dropping-particle":"","parse-names":false,"suffix":""},{"dropping-particle":"","family":"Mohan","given":"Dinesh","non-dropping-particle":"","parse-names":false,"suffix":""},{"dropping-particle":"","family":"Sung","given":"Jwa Kyung","non-dropping-particle":"","parse-names":false,"suffix":""},{"dropping-particle":"","family":"Yang","given":"Jae E.","non-dropping-particle":"","parse-names":false,"suffix":""},{"dropping-particle":"","family":"Ok","given":"Yong Sik","non-dropping-particle":"","parse-names":false,"suffix":""}],"container-title":"Bioresource Technology","id":"ITEM-1","issued":{"date-parts":[["2012"]]},"page":"536-544","publisher":"Elsevier Ltd","title":"Effects of pyrolysis temperature on soybean stover- and peanut shell-derived biochar properties and TCE adsorption in water","type":"article-journal","volume":"118"},"uris":["http://www.mendeley.com/documents/?uuid=10508bba-712c-452f-bde2-61716ef53b76"]}],"mendeley":{"formattedCitation":"(Ahmad et al., 2012)","manualFormatting":"Ahmad et al. (2012)","plainTextFormattedCitation":"(Ahmad et al., 2012)","previouslyFormattedCitation":"(Ahmad et al., 2012)"},"properties":{"noteIndex":0},"schema":"https://github.com/citation-style-language/schema/raw/master/csl-citation.json"}</w:instrText>
      </w:r>
      <w:r w:rsidRPr="00216965">
        <w:rPr>
          <w:lang w:val="en-US"/>
        </w:rPr>
        <w:fldChar w:fldCharType="separate"/>
      </w:r>
      <w:r w:rsidRPr="00216965">
        <w:rPr>
          <w:noProof/>
          <w:lang w:val="en-US"/>
        </w:rPr>
        <w:t xml:space="preserve">Ahmad </w:t>
      </w:r>
      <w:r w:rsidR="009B2252" w:rsidRPr="00216965">
        <w:rPr>
          <w:iCs/>
          <w:noProof/>
          <w:lang w:val="en-US"/>
        </w:rPr>
        <w:t>et al</w:t>
      </w:r>
      <w:r w:rsidR="00330A4F" w:rsidRPr="00216965">
        <w:rPr>
          <w:noProof/>
          <w:lang w:val="en-US"/>
        </w:rPr>
        <w:t>.</w:t>
      </w:r>
      <w:r w:rsidRPr="00216965">
        <w:rPr>
          <w:noProof/>
          <w:lang w:val="en-US"/>
        </w:rPr>
        <w:t xml:space="preserve"> (2012)</w:t>
      </w:r>
      <w:r w:rsidRPr="00216965">
        <w:rPr>
          <w:lang w:val="en-US"/>
        </w:rPr>
        <w:fldChar w:fldCharType="end"/>
      </w:r>
      <w:r w:rsidRPr="00216965">
        <w:rPr>
          <w:rFonts w:eastAsia="Times New Roman" w:cs="Times New Roman"/>
          <w:szCs w:val="24"/>
        </w:rPr>
        <w:t>. Nevertheless, higher application rates of biochar have also been reported, such as 20%</w:t>
      </w:r>
      <w:r w:rsidRPr="00C62FFD">
        <w:rPr>
          <w:rFonts w:eastAsia="Times New Roman" w:cs="Times New Roman"/>
          <w:i/>
          <w:iCs/>
          <w:szCs w:val="24"/>
        </w:rPr>
        <w:t>v/v</w:t>
      </w:r>
      <w:r w:rsidRPr="00216965">
        <w:rPr>
          <w:rFonts w:eastAsia="Times New Roman" w:cs="Times New Roman"/>
          <w:szCs w:val="24"/>
        </w:rPr>
        <w:t xml:space="preserve"> </w:t>
      </w:r>
      <w:r w:rsidRPr="00216965">
        <w:rPr>
          <w:lang w:val="en-US"/>
        </w:rPr>
        <w:fldChar w:fldCharType="begin" w:fldLock="1"/>
      </w:r>
      <w:r w:rsidR="006C06AA" w:rsidRPr="00216965">
        <w:rPr>
          <w:lang w:val="en-US"/>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2011)","plainTextFormattedCitation":"(Karami et al., 2011)","previouslyFormattedCitation":"(Karami et al., 2011)"},"properties":{"noteIndex":0},"schema":"https://github.com/citation-style-language/schema/raw/master/csl-citation.json"}</w:instrText>
      </w:r>
      <w:r w:rsidRPr="00216965">
        <w:rPr>
          <w:lang w:val="en-US"/>
        </w:rPr>
        <w:fldChar w:fldCharType="separate"/>
      </w:r>
      <w:r w:rsidR="00C83E62" w:rsidRPr="00216965">
        <w:rPr>
          <w:noProof/>
          <w:lang w:val="en-US"/>
        </w:rPr>
        <w:t>(Karami et al., 2011)</w:t>
      </w:r>
      <w:r w:rsidRPr="00216965">
        <w:rPr>
          <w:lang w:val="en-US"/>
        </w:rPr>
        <w:fldChar w:fldCharType="end"/>
      </w:r>
      <w:r w:rsidRPr="00216965">
        <w:rPr>
          <w:rFonts w:eastAsia="Times New Roman" w:cs="Times New Roman"/>
          <w:szCs w:val="24"/>
        </w:rPr>
        <w:t xml:space="preserve"> and 15% </w:t>
      </w:r>
      <w:r w:rsidRPr="00216965">
        <w:rPr>
          <w:rFonts w:eastAsia="Times New Roman" w:cs="Times New Roman"/>
          <w:i/>
          <w:iCs/>
          <w:szCs w:val="24"/>
        </w:rPr>
        <w:t>w/w</w:t>
      </w:r>
      <w:r w:rsidRPr="00216965">
        <w:rPr>
          <w:rFonts w:eastAsia="Times New Roman" w:cs="Times New Roman"/>
          <w:szCs w:val="24"/>
        </w:rPr>
        <w:t xml:space="preserve"> </w:t>
      </w:r>
      <w:r w:rsidRPr="00216965">
        <w:rPr>
          <w:lang w:val="en-US"/>
        </w:rPr>
        <w:fldChar w:fldCharType="begin" w:fldLock="1"/>
      </w:r>
      <w:r w:rsidR="006C06AA" w:rsidRPr="00216965">
        <w:rPr>
          <w:lang w:val="en-US"/>
        </w:rPr>
        <w:instrText>ADDIN CSL_CITATION {"citationItems":[{"id":"ITEM-1","itemData":{"DOI":"10.1007/s11104-011-0948-y","ISBN":"0032-079X","ISSN":"0032079X","abstract":"Background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Soil","id":"ITEM-1","issued":{"date-parts":[["2011"]]},"page":"439-451","title":"Biochar reduces the bioavailability and phytotoxicity of heavy metals","type":"article-journal","volume":"348"},"uris":["http://www.mendeley.com/documents/?uuid=82171b33-8b24-44b8-8521-6ab142be0efa"]}],"mendeley":{"formattedCitation":"(Park et al., 2011a)","plainTextFormattedCitation":"(Park et al., 2011a)","previouslyFormattedCitation":"(Park et al., 2011a)"},"properties":{"noteIndex":0},"schema":"https://github.com/citation-style-language/schema/raw/master/csl-citation.json"}</w:instrText>
      </w:r>
      <w:r w:rsidRPr="00216965">
        <w:rPr>
          <w:lang w:val="en-US"/>
        </w:rPr>
        <w:fldChar w:fldCharType="separate"/>
      </w:r>
      <w:r w:rsidR="001974AA" w:rsidRPr="00216965">
        <w:rPr>
          <w:noProof/>
          <w:lang w:val="en-US"/>
        </w:rPr>
        <w:t>(Park et al., 2011a)</w:t>
      </w:r>
      <w:r w:rsidRPr="00216965">
        <w:rPr>
          <w:lang w:val="en-US"/>
        </w:rPr>
        <w:fldChar w:fldCharType="end"/>
      </w:r>
      <w:r w:rsidRPr="00216965">
        <w:rPr>
          <w:rFonts w:eastAsia="Times New Roman" w:cs="Times New Roman"/>
          <w:szCs w:val="24"/>
        </w:rPr>
        <w:t xml:space="preserve">. Apart from the concerns raised about high application rates of biochar discussed previously in </w:t>
      </w:r>
      <w:r w:rsidRPr="00216965">
        <w:rPr>
          <w:rFonts w:eastAsia="Times New Roman" w:cs="Times New Roman"/>
          <w:b/>
          <w:bCs/>
          <w:szCs w:val="24"/>
        </w:rPr>
        <w:t xml:space="preserve">section </w:t>
      </w:r>
      <w:r w:rsidRPr="00216965">
        <w:rPr>
          <w:rFonts w:eastAsia="Times New Roman" w:cs="Times New Roman"/>
          <w:b/>
          <w:bCs/>
          <w:szCs w:val="24"/>
        </w:rPr>
        <w:fldChar w:fldCharType="begin"/>
      </w:r>
      <w:r w:rsidRPr="00216965">
        <w:rPr>
          <w:rFonts w:eastAsia="Times New Roman" w:cs="Times New Roman"/>
          <w:b/>
          <w:bCs/>
          <w:szCs w:val="24"/>
        </w:rPr>
        <w:instrText xml:space="preserve"> REF _Ref82905088 \r \h  \* MERGEFORMAT </w:instrText>
      </w:r>
      <w:r w:rsidRPr="00216965">
        <w:rPr>
          <w:rFonts w:eastAsia="Times New Roman" w:cs="Times New Roman"/>
          <w:b/>
          <w:bCs/>
          <w:szCs w:val="24"/>
        </w:rPr>
      </w:r>
      <w:r w:rsidRPr="00216965">
        <w:rPr>
          <w:rFonts w:eastAsia="Times New Roman" w:cs="Times New Roman"/>
          <w:b/>
          <w:bCs/>
          <w:szCs w:val="24"/>
        </w:rPr>
        <w:fldChar w:fldCharType="separate"/>
      </w:r>
      <w:r w:rsidR="006E23EA" w:rsidRPr="00216965">
        <w:rPr>
          <w:rFonts w:eastAsia="Times New Roman" w:cs="Times New Roman"/>
          <w:b/>
          <w:bCs/>
          <w:szCs w:val="24"/>
        </w:rPr>
        <w:t>2.5.6</w:t>
      </w:r>
      <w:r w:rsidRPr="00216965">
        <w:rPr>
          <w:rFonts w:eastAsia="Times New Roman" w:cs="Times New Roman"/>
          <w:b/>
          <w:bCs/>
          <w:szCs w:val="24"/>
        </w:rPr>
        <w:fldChar w:fldCharType="end"/>
      </w:r>
      <w:r w:rsidRPr="00216965">
        <w:rPr>
          <w:rFonts w:eastAsia="Times New Roman" w:cs="Times New Roman"/>
          <w:b/>
          <w:bCs/>
          <w:szCs w:val="24"/>
        </w:rPr>
        <w:t xml:space="preserve"> </w:t>
      </w:r>
      <w:r w:rsidRPr="00216965">
        <w:rPr>
          <w:rFonts w:eastAsia="Times New Roman" w:cs="Times New Roman"/>
          <w:szCs w:val="24"/>
        </w:rPr>
        <w:t>also the cost of the amendment must be considered as cost would rise with high rates which would discourage the use of biochar for large scale applications.</w:t>
      </w:r>
    </w:p>
    <w:p w14:paraId="5C9D35F0" w14:textId="042D3D8B" w:rsidR="00632101" w:rsidRPr="00216965" w:rsidRDefault="00632101" w:rsidP="008A33DA">
      <w:pPr>
        <w:spacing w:line="360" w:lineRule="auto"/>
        <w:jc w:val="both"/>
        <w:rPr>
          <w:rFonts w:ascii="Arial" w:hAnsi="Arial" w:cs="Arial"/>
        </w:rPr>
      </w:pPr>
      <w:r w:rsidRPr="00216965">
        <w:rPr>
          <w:rFonts w:eastAsia="Times New Roman" w:cs="Times New Roman"/>
          <w:szCs w:val="24"/>
        </w:rPr>
        <w:t xml:space="preserve">Finally, some undesirable effects triggered by biochar application are poorly understood. For instance, some reports have related biochar application to As and Cu co-mobilization. For example, increased concentrations of As in the pore water of a contaminated urban soil were recorded after hardwood biochar application </w:t>
      </w:r>
      <w:r w:rsidRPr="00216965">
        <w:rPr>
          <w:rFonts w:eastAsia="Times New Roman" w:cs="Times New Roman"/>
          <w:szCs w:val="24"/>
        </w:rPr>
        <w:fldChar w:fldCharType="begin" w:fldLock="1"/>
      </w:r>
      <w:r w:rsidR="006C06AA" w:rsidRPr="00216965">
        <w:rPr>
          <w:rFonts w:eastAsia="Times New Roman" w:cs="Times New Roman"/>
          <w:szCs w:val="24"/>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rPr>
          <w:rFonts w:eastAsia="Times New Roman" w:cs="Times New Roman"/>
          <w:szCs w:val="24"/>
        </w:rPr>
        <w:fldChar w:fldCharType="separate"/>
      </w:r>
      <w:r w:rsidRPr="00216965">
        <w:rPr>
          <w:rFonts w:eastAsia="Times New Roman" w:cs="Times New Roman"/>
          <w:noProof/>
          <w:szCs w:val="24"/>
        </w:rPr>
        <w:t xml:space="preserve">(Puga </w:t>
      </w:r>
      <w:r w:rsidR="009B2252" w:rsidRPr="00216965">
        <w:rPr>
          <w:rFonts w:eastAsia="Times New Roman" w:cs="Times New Roman"/>
          <w:iCs/>
          <w:noProof/>
          <w:szCs w:val="24"/>
        </w:rPr>
        <w:t>et al</w:t>
      </w:r>
      <w:r w:rsidRPr="00216965">
        <w:rPr>
          <w:rFonts w:eastAsia="Times New Roman" w:cs="Times New Roman"/>
          <w:noProof/>
          <w:szCs w:val="24"/>
        </w:rPr>
        <w:t>., 2015)</w:t>
      </w:r>
      <w:r w:rsidRPr="00216965">
        <w:rPr>
          <w:rFonts w:eastAsia="Times New Roman" w:cs="Times New Roman"/>
          <w:szCs w:val="24"/>
        </w:rPr>
        <w:fldChar w:fldCharType="end"/>
      </w:r>
      <w:r w:rsidRPr="00216965">
        <w:rPr>
          <w:rFonts w:eastAsia="Times New Roman" w:cs="Times New Roman"/>
          <w:szCs w:val="24"/>
        </w:rPr>
        <w:t xml:space="preserve">. Biochar can enhance the solubility of heavy metals by co-mobilization with dissolved organic carbon (DOC). Adding </w:t>
      </w:r>
      <w:r w:rsidRPr="00216965">
        <w:rPr>
          <w:rFonts w:eastAsia="Times New Roman" w:cs="Times New Roman"/>
          <w:szCs w:val="24"/>
        </w:rPr>
        <w:lastRenderedPageBreak/>
        <w:t xml:space="preserve">organic soil amendments can increase DOC concentrations in pore water; the increased metal solubility, mobility and bioavailability in soils treated with organic amendments can be attributed to the formation of soluble organo-metallic complexes with DOC </w:t>
      </w:r>
      <w:r w:rsidRPr="00216965">
        <w:rPr>
          <w:lang w:val="en-US"/>
        </w:rPr>
        <w:fldChar w:fldCharType="begin" w:fldLock="1"/>
      </w:r>
      <w:r w:rsidR="006C06AA" w:rsidRPr="00216965">
        <w:rPr>
          <w:lang w:val="en-US"/>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2011)","plainTextFormattedCitation":"(Karami et al., 2011)","previouslyFormattedCitation":"(Karami et al., 2011)"},"properties":{"noteIndex":0},"schema":"https://github.com/citation-style-language/schema/raw/master/csl-citation.json"}</w:instrText>
      </w:r>
      <w:r w:rsidRPr="00216965">
        <w:rPr>
          <w:lang w:val="en-US"/>
        </w:rPr>
        <w:fldChar w:fldCharType="separate"/>
      </w:r>
      <w:r w:rsidR="00C83E62" w:rsidRPr="00216965">
        <w:rPr>
          <w:noProof/>
          <w:lang w:val="en-US"/>
        </w:rPr>
        <w:t>(Karami et al., 2011)</w:t>
      </w:r>
      <w:r w:rsidRPr="00216965">
        <w:rPr>
          <w:lang w:val="en-US"/>
        </w:rPr>
        <w:fldChar w:fldCharType="end"/>
      </w:r>
      <w:r w:rsidRPr="00216965">
        <w:rPr>
          <w:rFonts w:eastAsia="Times New Roman" w:cs="Times New Roman"/>
          <w:szCs w:val="24"/>
        </w:rPr>
        <w:t xml:space="preserve">. </w:t>
      </w:r>
      <w:r w:rsidR="00B61794" w:rsidRPr="00216965">
        <w:rPr>
          <w:rFonts w:eastAsia="Times New Roman" w:cs="Times New Roman"/>
          <w:szCs w:val="24"/>
        </w:rPr>
        <w:fldChar w:fldCharType="begin" w:fldLock="1"/>
      </w:r>
      <w:r w:rsidR="00CF3C22" w:rsidRPr="00216965">
        <w:rPr>
          <w:rFonts w:eastAsia="Times New Roman" w:cs="Times New Roman"/>
          <w:szCs w:val="24"/>
        </w:rPr>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soil","type":"article-journal","volume":"158"},"uris":["http://www.mendeley.com/documents/?uuid=82b97d1e-c40c-4f11-95c0-fbd3c838b5a9"]}],"mendeley":{"formattedCitation":"(Beesley et al., 2010)","manualFormatting":"Beesley et al. (2010)","plainTextFormattedCitation":"(Beesley et al., 2010)","previouslyFormattedCitation":"(Beesley et al., 2010)"},"properties":{"noteIndex":0},"schema":"https://github.com/citation-style-language/schema/raw/master/csl-citation.json"}</w:instrText>
      </w:r>
      <w:r w:rsidR="00B61794" w:rsidRPr="00216965">
        <w:rPr>
          <w:rFonts w:eastAsia="Times New Roman" w:cs="Times New Roman"/>
          <w:szCs w:val="24"/>
        </w:rPr>
        <w:fldChar w:fldCharType="separate"/>
      </w:r>
      <w:r w:rsidR="00B61794" w:rsidRPr="00216965">
        <w:rPr>
          <w:rFonts w:eastAsia="Times New Roman" w:cs="Times New Roman"/>
          <w:noProof/>
          <w:szCs w:val="24"/>
        </w:rPr>
        <w:t>Beesley et al. (2010)</w:t>
      </w:r>
      <w:r w:rsidR="00B61794" w:rsidRPr="00216965">
        <w:rPr>
          <w:rFonts w:eastAsia="Times New Roman" w:cs="Times New Roman"/>
          <w:szCs w:val="24"/>
        </w:rPr>
        <w:fldChar w:fldCharType="end"/>
      </w:r>
      <w:r w:rsidR="00B61794" w:rsidRPr="00216965">
        <w:rPr>
          <w:rFonts w:eastAsia="Times New Roman" w:cs="Times New Roman"/>
          <w:szCs w:val="24"/>
        </w:rPr>
        <w:t xml:space="preserve"> </w:t>
      </w:r>
      <w:r w:rsidRPr="00216965">
        <w:rPr>
          <w:rFonts w:eastAsia="Times New Roman" w:cs="Times New Roman"/>
          <w:szCs w:val="24"/>
        </w:rPr>
        <w:t xml:space="preserve">found that Cu mobility increased after the application of hardwood biochar, which was related to increased DOC in the soil pore water. This feature was also observed by </w:t>
      </w:r>
      <w:r w:rsidRPr="00216965">
        <w:rPr>
          <w:lang w:val="en-US"/>
        </w:rPr>
        <w:fldChar w:fldCharType="begin" w:fldLock="1"/>
      </w:r>
      <w:r w:rsidR="006C06AA" w:rsidRPr="00216965">
        <w:rPr>
          <w:lang w:val="en-US"/>
        </w:rPr>
        <w:instrText>ADDIN CSL_CITATION {"citationItems":[{"id":"ITEM-1","itemData":{"DOI":"10.1021/jf104206c","abstract":"While a large-scale soil amendment of biochars continues to receive interest for enhancing crop yields and to remediate contaminated sites, systematic study is lacking in how biochar properties translate into purported functions such as heavy metal sequestration. In this study, cottonseed hulls were pyrolyzed at five temperatures (200, 350, 500, 650, and 800 °C) and characterized for the yield, moisture, ash, volatile matter, and fixed carbon contents, elemental composition (CHNSO), BET surface area, pH, pH pzc , and by ATR-FTIR. The characterization results were compared with the literature values for additional source materials: grass, wood, pine needle, and broiler litter-derived biochars with and without post-treatments. At respective pyrolysis temperatures, cottonseed hull chars had ash content in between grass and wood chars, and significantly lower BET surface area in comparison to other plant source materials considered. The N:C ratio reached a maximum between 300 and 400 °C for all biomass sources considered, while the following trend in N:C ratio was maintained at each pyrolysis temperature: wood , cottonseed hull ≈ grass ≈ pine needle , broiler litter. To examine how biochar properties translate into its function as a heavy metal (Ni II , Cu II , Pb II , and Cd II) sorbent, a soil amendment study was conducted for acidic sandy loam Norfolk soil previously shown to have low heavy metal retention capacity. The results suggest that the properties attributable to the surface functional groups of biochars (volatile matter and oxygen contents and pH pzc) control the heavy metal sequestration ability in Norfolk soil, and biochar selection for soil amendment must be made case-by-case based on the biochar characteristics, soil property, and the target function.","author":[{"dropping-particle":"","family":"Uchimiya","given":"Minori","non-dropping-particle":"","parse-names":false,"suffix":""},{"dropping-particle":"","family":"Wartelle","given":"Lynda H","non-dropping-particle":"","parse-names":false,"suffix":""},{"dropping-particle":"","family":"Klasson","given":"K Thomas","non-dropping-particle":"","parse-names":false,"suffix":""},{"dropping-particle":"","family":"Fortier","given":"Chanel A","non-dropping-particle":"","parse-names":false,"suffix":""},{"dropping-particle":"","family":"Lima","given":"Isabel M","non-dropping-particle":"","parse-names":false,"suffix":""}],"container-title":"Journal of Agricultural and Food Chemistry","id":"ITEM-1","issued":{"date-parts":[["2011"]]},"page":"2501-2510","title":"Influence of pyrolysis temperature on biochar property and function as a heavy metal sorbent in soil","type":"article-journal","volume":"59"},"uris":["http://www.mendeley.com/documents/?uuid=505f2a1e-0306-3c7b-9d91-7ea9792fd635"]}],"mendeley":{"formattedCitation":"(Uchimiya et al., 2011)","manualFormatting":"Uchimiya et al. (2011)","plainTextFormattedCitation":"(Uchimiya et al., 2011)","previouslyFormattedCitation":"(Uchimiya et al., 2011)"},"properties":{"noteIndex":0},"schema":"https://github.com/citation-style-language/schema/raw/master/csl-citation.json"}</w:instrText>
      </w:r>
      <w:r w:rsidRPr="00216965">
        <w:rPr>
          <w:lang w:val="en-US"/>
        </w:rPr>
        <w:fldChar w:fldCharType="separate"/>
      </w:r>
      <w:r w:rsidRPr="00216965">
        <w:rPr>
          <w:noProof/>
          <w:lang w:val="en-US"/>
        </w:rPr>
        <w:t xml:space="preserve">Uchimiya </w:t>
      </w:r>
      <w:r w:rsidR="009B2252" w:rsidRPr="00216965">
        <w:rPr>
          <w:iCs/>
          <w:noProof/>
          <w:lang w:val="en-US"/>
        </w:rPr>
        <w:t>et al</w:t>
      </w:r>
      <w:r w:rsidRPr="00216965">
        <w:rPr>
          <w:noProof/>
          <w:lang w:val="en-US"/>
        </w:rPr>
        <w:t>. (2011)</w:t>
      </w:r>
      <w:r w:rsidRPr="00216965">
        <w:rPr>
          <w:lang w:val="en-US"/>
        </w:rPr>
        <w:fldChar w:fldCharType="end"/>
      </w:r>
      <w:r w:rsidRPr="00216965">
        <w:rPr>
          <w:rFonts w:eastAsia="Times New Roman" w:cs="Times New Roman"/>
          <w:szCs w:val="24"/>
        </w:rPr>
        <w:t>, who explained Cu mobilization after biochar addition by the formation of a soluble complex with metal ion-coordinating organic fractions, or due to competition between organic matter and metal ions for the sorption sites on biochar and soil components.</w:t>
      </w:r>
    </w:p>
    <w:bookmarkEnd w:id="27"/>
    <w:p w14:paraId="7D333B97" w14:textId="1BD12AE4" w:rsidR="00632101" w:rsidRPr="00216965" w:rsidRDefault="00632101" w:rsidP="008A33DA">
      <w:pPr>
        <w:spacing w:line="600" w:lineRule="auto"/>
        <w:rPr>
          <w:rFonts w:ascii="Arial" w:hAnsi="Arial" w:cs="Arial"/>
        </w:rPr>
      </w:pPr>
    </w:p>
    <w:p w14:paraId="4267282C" w14:textId="0A7CF46F" w:rsidR="005563EE" w:rsidRPr="00216965" w:rsidRDefault="005563EE" w:rsidP="008A33DA">
      <w:pPr>
        <w:spacing w:line="600" w:lineRule="auto"/>
        <w:rPr>
          <w:rFonts w:ascii="Arial" w:hAnsi="Arial" w:cs="Arial"/>
        </w:rPr>
      </w:pPr>
    </w:p>
    <w:p w14:paraId="76B9EEA2" w14:textId="5604B26A" w:rsidR="005563EE" w:rsidRPr="00216965" w:rsidRDefault="005563EE" w:rsidP="008A33DA">
      <w:pPr>
        <w:spacing w:line="600" w:lineRule="auto"/>
        <w:rPr>
          <w:rFonts w:ascii="Arial" w:hAnsi="Arial" w:cs="Arial"/>
        </w:rPr>
      </w:pPr>
    </w:p>
    <w:p w14:paraId="0D3D6633" w14:textId="07867644" w:rsidR="005563EE" w:rsidRPr="00216965" w:rsidRDefault="005563EE" w:rsidP="008A33DA">
      <w:pPr>
        <w:spacing w:line="600" w:lineRule="auto"/>
        <w:rPr>
          <w:rFonts w:ascii="Arial" w:hAnsi="Arial" w:cs="Arial"/>
        </w:rPr>
      </w:pPr>
    </w:p>
    <w:p w14:paraId="4C73C9F9" w14:textId="111822F0" w:rsidR="005563EE" w:rsidRPr="00216965" w:rsidRDefault="005563EE" w:rsidP="008A33DA">
      <w:pPr>
        <w:spacing w:line="600" w:lineRule="auto"/>
        <w:rPr>
          <w:rFonts w:ascii="Arial" w:hAnsi="Arial" w:cs="Arial"/>
        </w:rPr>
      </w:pPr>
    </w:p>
    <w:p w14:paraId="6600FD9E" w14:textId="4F0E8B96" w:rsidR="005563EE" w:rsidRPr="00216965" w:rsidRDefault="005563EE" w:rsidP="008A33DA">
      <w:pPr>
        <w:spacing w:line="600" w:lineRule="auto"/>
        <w:rPr>
          <w:rFonts w:ascii="Arial" w:hAnsi="Arial" w:cs="Arial"/>
        </w:rPr>
      </w:pPr>
    </w:p>
    <w:p w14:paraId="7C0DD6A0" w14:textId="39EFAFDC" w:rsidR="005563EE" w:rsidRPr="00216965" w:rsidRDefault="005563EE" w:rsidP="008A33DA">
      <w:pPr>
        <w:spacing w:line="600" w:lineRule="auto"/>
        <w:rPr>
          <w:rFonts w:ascii="Arial" w:hAnsi="Arial" w:cs="Arial"/>
        </w:rPr>
      </w:pPr>
    </w:p>
    <w:p w14:paraId="3B3A6EF4" w14:textId="4BBF4CEC" w:rsidR="005563EE" w:rsidRPr="00216965" w:rsidRDefault="005563EE" w:rsidP="008A33DA">
      <w:pPr>
        <w:spacing w:line="600" w:lineRule="auto"/>
        <w:rPr>
          <w:rFonts w:ascii="Arial" w:hAnsi="Arial" w:cs="Arial"/>
        </w:rPr>
      </w:pPr>
    </w:p>
    <w:p w14:paraId="04F6E21D" w14:textId="0E4D26FD" w:rsidR="005563EE" w:rsidRPr="00216965" w:rsidRDefault="005563EE" w:rsidP="008A33DA">
      <w:pPr>
        <w:spacing w:line="600" w:lineRule="auto"/>
        <w:rPr>
          <w:rFonts w:ascii="Arial" w:hAnsi="Arial" w:cs="Arial"/>
        </w:rPr>
      </w:pPr>
    </w:p>
    <w:p w14:paraId="40DD7115" w14:textId="0A47FCD0" w:rsidR="005563EE" w:rsidRPr="00216965" w:rsidRDefault="005563EE" w:rsidP="008A33DA">
      <w:pPr>
        <w:spacing w:line="600" w:lineRule="auto"/>
        <w:rPr>
          <w:rFonts w:ascii="Arial" w:hAnsi="Arial" w:cs="Arial"/>
        </w:rPr>
      </w:pPr>
    </w:p>
    <w:p w14:paraId="06BA644C" w14:textId="37A67BF2" w:rsidR="005563EE" w:rsidRPr="00216965" w:rsidRDefault="005563EE" w:rsidP="008A33DA">
      <w:pPr>
        <w:spacing w:line="600" w:lineRule="auto"/>
        <w:rPr>
          <w:rFonts w:ascii="Arial" w:hAnsi="Arial" w:cs="Arial"/>
        </w:rPr>
      </w:pPr>
    </w:p>
    <w:p w14:paraId="08EDBF92" w14:textId="23DAF08C" w:rsidR="005563EE" w:rsidRPr="00216965" w:rsidRDefault="005563EE" w:rsidP="008A33DA">
      <w:pPr>
        <w:spacing w:line="600" w:lineRule="auto"/>
        <w:rPr>
          <w:rFonts w:ascii="Arial" w:hAnsi="Arial" w:cs="Arial"/>
        </w:rPr>
      </w:pPr>
    </w:p>
    <w:p w14:paraId="29C04026" w14:textId="721F5549" w:rsidR="005563EE" w:rsidRPr="00216965" w:rsidRDefault="005563EE" w:rsidP="008A33DA">
      <w:pPr>
        <w:pStyle w:val="Heading1"/>
        <w:jc w:val="both"/>
      </w:pPr>
      <w:bookmarkStart w:id="115" w:name="_Ref86412333"/>
      <w:bookmarkStart w:id="116" w:name="_Toc86504644"/>
      <w:r w:rsidRPr="00216965">
        <w:lastRenderedPageBreak/>
        <w:t>The relationship between properties of plant-based biochars and sorption of Cd(II), Pb(II) and Zn(II) in soil model systems</w:t>
      </w:r>
      <w:bookmarkEnd w:id="115"/>
      <w:bookmarkEnd w:id="116"/>
    </w:p>
    <w:p w14:paraId="4F69BBE8" w14:textId="77777777" w:rsidR="005563EE" w:rsidRPr="00216965" w:rsidRDefault="005563EE" w:rsidP="008A33DA">
      <w:pPr>
        <w:pStyle w:val="Heading2"/>
      </w:pPr>
      <w:bookmarkStart w:id="117" w:name="_Toc86504645"/>
      <w:r w:rsidRPr="00216965">
        <w:t>Introduction</w:t>
      </w:r>
      <w:bookmarkEnd w:id="117"/>
      <w:r w:rsidRPr="00216965">
        <w:t xml:space="preserve"> </w:t>
      </w:r>
    </w:p>
    <w:p w14:paraId="7E966562" w14:textId="4177300F" w:rsidR="005563EE" w:rsidRPr="00216965" w:rsidRDefault="005563EE" w:rsidP="008A33DA">
      <w:pPr>
        <w:spacing w:line="360" w:lineRule="auto"/>
        <w:jc w:val="both"/>
        <w:rPr>
          <w:rFonts w:cs="Times New Roman"/>
          <w:szCs w:val="24"/>
        </w:rPr>
      </w:pPr>
      <w:r w:rsidRPr="00216965">
        <w:t xml:space="preserve">Heavy metals (HMs) are important environmental pollutants due to their widespread occurrence. Cost-effective management solutions are required to reduce the environmental risk from HM-contaminated soil. Of the HMs commonly present in polluted soils, Pb(II), Cd(II) and Zn(II) are most problematic, according to reported potential toxicity at the lowest bioavailable concentration </w:t>
      </w:r>
      <w:r w:rsidRPr="00216965">
        <w:rPr>
          <w:rFonts w:cs="Times New Roman"/>
          <w:szCs w:val="24"/>
        </w:rPr>
        <w:fldChar w:fldCharType="begin" w:fldLock="1"/>
      </w:r>
      <w:r w:rsidR="004F0F92" w:rsidRPr="00216965">
        <w:rPr>
          <w:rFonts w:cs="Times New Roman"/>
          <w:szCs w:val="24"/>
        </w:rPr>
        <w:instrText>ADDIN CSL_CITATION {"citationItems":[{"id":"ITEM-1","itemData":{"author":[{"dropping-particle":"","family":"Bonito","given":"Marcello","non-dropping-particle":"Di","parse-names":false,"suffix":""}],"id":"ITEM-1","issued":{"date-parts":[["2005"]]},"number-of-pages":"33-35,225-227","publisher":"University of Nottingham","title":"Trace elements in soil pore water: a comparison of sampling methods","type":"thesis"},"uris":["http://www.mendeley.com/documents/?uuid=72dd635c-c22d-4e00-a95a-d32853f602d8"]},{"id":"ITEM-2","itemData":{"DOI":"10.1097/00010694-199703000-00009","ISBN":"0126564469","ISSN":"0038-075X","PMID":"4388","abstract":"Environmental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-2","issued":{"date-parts":[["2003"]]},"number-of-pages":"229-231","publisher":"Academic Press","publisher-place":"San Diego, California","title":"Environmental Soil Chemistry","type":"book"},"uris":["http://www.mendeley.com/documents/?uuid=2e8cdb2d-9122-4c0b-8580-27a612fa364d"]}],"mendeley":{"formattedCitation":"(Di Bonito, 2005; Sparks, 2003)","plainTextFormattedCitation":"(Di Bonito, 2005; Sparks, 2003)","previouslyFormattedCitation":"(Di Bonito, 2005; Sparks, 2003)"},"properties":{"noteIndex":0},"schema":"https://github.com/citation-style-language/schema/raw/master/csl-citation.json"}</w:instrText>
      </w:r>
      <w:r w:rsidRPr="00216965">
        <w:rPr>
          <w:rFonts w:cs="Times New Roman"/>
          <w:szCs w:val="24"/>
        </w:rPr>
        <w:fldChar w:fldCharType="separate"/>
      </w:r>
      <w:r w:rsidR="001974AA" w:rsidRPr="00216965">
        <w:rPr>
          <w:rFonts w:cs="Times New Roman"/>
          <w:noProof/>
          <w:szCs w:val="24"/>
        </w:rPr>
        <w:t>(Di Bonito, 2005; Sparks, 2003)</w:t>
      </w:r>
      <w:r w:rsidRPr="00216965">
        <w:rPr>
          <w:rFonts w:cs="Times New Roman"/>
          <w:szCs w:val="24"/>
        </w:rPr>
        <w:fldChar w:fldCharType="end"/>
      </w:r>
      <w:r w:rsidRPr="00216965">
        <w:t>. Recent studies highlight biochars as effective amendments for improving soil health at contaminated sites. This is achieved by reducing bioavailable concentrations of HMs</w:t>
      </w:r>
      <w:r w:rsidR="002D5CDE" w:rsidRPr="00216965">
        <w:t xml:space="preserve"> </w:t>
      </w:r>
      <w:r w:rsidR="002D5CDE" w:rsidRPr="00216965">
        <w:rPr>
          <w:rFonts w:cs="Times New Roman"/>
          <w:szCs w:val="24"/>
        </w:rPr>
        <w:fldChar w:fldCharType="begin" w:fldLock="1"/>
      </w:r>
      <w:r w:rsidR="006C06AA" w:rsidRPr="00216965">
        <w:rPr>
          <w:rFonts w:cs="Times New Roman"/>
          <w:szCs w:val="24"/>
        </w:rPr>
        <w:instrText>ADDIN CSL_CITATION {"citationItems":[{"id":"ITEM-1","itemData":{"DOI":"10.1007/s11368-015-1326-9","abstract":"Purpose Previous studies show that application of biochar can reduce the bioavailability of heavy metals in soil. A plant growth experiment was carried out to evaluate the effect of tobacco stalk-and dead pig-derived biochars on the extract-ability and redistribution of cadmium (Cd) and zinc (Zn) in contaminated soil, and the impact on tobacco (Nicotiana tabacum L.) plant growth. Materials and methods The top 20 cm of a soil contaminated with Cd and Zn was used in this study. Biochars derived from tobacco stalk and dead pig were applied to the soil at four application rates (0, 1, 2.5, and 5 %), and tobacco plants were grown. After 80-days growth, the pH, electrical conductivity (EC), CaCl 2-extractable heavy metals and fractions of heavy metals in soil samples , as well as the plant biomass and the concentrations of heavy metals in the plant were determined. Results and discussion The plant growth experiment demonstrated that tobacco stalk biochar and dead pig biochar significantly (P &lt; 0.05) increased the pH, but had no significant effect on the electrical conductivity (EC) of the soil. The CaCl 2-extractable Cd and Zn content decreased as the application rates increased. The concentration of extractable Cd and Zn decreased by 64.2 and 94.9 %, respectively, for the tobacco stalk biochar treatment, and 45.8 and 61.8 %, respectively, for the dead pig biochar treatment at 5 % application rate. After biochar addition, the exchangeable Cd was mainly transformed to fractions bound to carbonates and Fe-Mn oxides, while the Zn was immobilized mainly in the fraction bound to Fe-Mn oxides. Tobacco stalk biochar increased the tobacco plant biomass by 30.3 and 36.2 % for shoot and root, respectively at the 5 % application rate. Dead pig biochar increased the tobacco plant biomass by 43.5 and 40.9 % for shoot and root, respectively, at the 2.5 % application rate. Both biochars significantly (P &lt; 0.05) decreased the Cd and Zn accumulation by tobacco plant. Conclusions As a soil amendment, tobacco stalk biochar was more effective at removing Cd, whereas dead pig biochar was more effective at removing Zn, and a higher application rate was more effective than a lower application rate. Overall, biochar derived from tobacco stalk was more effective, than dead pig biochar, at remediating soil contaminated with Cd and Zn, as well as promoting tobacco growth.","author":[{"dropping-particle":"","family":"Yang","given":"Xing","non-dropping-particle":"","parse-names":false,"suffix":""},{"dropping-particle":"","family":"Lu","given":"Kouping","non-dropping-particle":"","parse-names":false,"suffix":""},{"dropping-particle":"","family":"McGrouther","given":"Kim","non-dropping-particle":"","parse-names":false,"suffix":""},{"dropping-particle":"","family":"Che","given":"Lei","non-dropping-particle":"","parse-names":false,"suffix":""},{"dropping-particle":"","family":"Hu","given":"Guotao","non-dropping-particle":"","parse-names":false,"suffix":""},{"dropping-particle":"","family":"Wang","given":"Qiuyue","non-dropping-particle":"","parse-names":false,"suffix":""},{"dropping-particle":"","family":"Liu","given":"Xingyuan","non-dropping-particle":"","parse-names":false,"suffix":""},{"dropping-particle":"","family":"Shen","given":"Leilei","non-dropping-particle":"","parse-names":false,"suffix":""},{"dropping-particle":"","family":"Huang","given":"Huagang","non-dropping-particle":"","parse-names":false,"suffix":""},{"dropping-particle":"","family":"Ye","given":"Zhengqian","non-dropping-particle":"","parse-names":false,"suffix":""},{"dropping-particle":"","family":"Wang","given":"Hailong","non-dropping-particle":"","parse-names":false,"suffix":""}],"container-title":"Journal of Soils and Sediments","id":"ITEM-1","issued":{"date-parts":[["2017"]]},"page":"751-762","title":"Bioavailability of Cd and Zn in soils treated with biochars derived from tobacco stalk and dead pigs","type":"article-journal","volume":"17"},"uris":["http://www.mendeley.com/documents/?uuid=e80cce24-2c45-3860-adc2-7efd2e5275e7"]},{"id":"ITEM-2","itemData":{"DOI":"10.1680/jenge.18.00091","abstract":"Biochar has seized interest because of its significant effect on the remediation of heavy-metal-contaminated soil. Based on research achievements of biochar remediation of heavy-metal-contaminated soils in recent years, research status and progress in this field are reviewed from several important aspects, including production and properties of biochar, remediation mechanisms, remediation effect and affecting factors. The following findings were obtained: (a) biochar has the advantages of low price, high efficiency, greenness and soil improvement. (b) The physico-chemical properties of biochar are affected by biomass materials and pyrolysis temperatures. Activation, magnetisation, oxidation and digestion can improve the adsorption of heavy metals on biochar. (c) The effect of biochar on heavy metal mobility and bioavailability includes two conflicting aspects: immobilising heavy metals to reduce bioavailability or mobilising heavy metal to increase bioavailability. (d) Biochar can be applied with other solidifying materials to enhance the strength of treated soil. (e) The adsorption mechanisms of heavy metals on biochar include physical adsorption, ion exchange, electrostatic interaction, complexation and precipitation. Finally, future research is suggested, including establishing a uniform classification criterion of biochar; exploring the efficiency of biochar on the remediation of sites containing multicontaminants; illustrating the interactions between biochar and heavy metals in the complex soil environment; expanding the research scale from laboratory-and small-scale in situ tests to large-scale and long-term studies; and carrying out solidification experiments considering mechanical properties for biochar application in soil remediation.","author":[{"dropping-particle":"","family":"Wang","given":"Yue","non-dropping-particle":"","parse-names":false,"suffix":""},{"dropping-particle":"","family":"Wang","given":"Hong-Sheng","non-dropping-particle":"","parse-names":false,"suffix":""},{"dropping-particle":"","family":"Tang","given":"Chao-Sheng","non-dropping-particle":"","parse-names":false,"suffix":""},{"dropping-particle":"","family":"Gu","given":"Kai","non-dropping-particle":"","parse-names":false,"suffix":""},{"dropping-particle":"","family":"Shi","given":"Bin","non-dropping-particle":"","parse-names":false,"suffix":""}],"container-title":"Environmental Geotechnics","id":"ITEM-2","issued":{"date-parts":[["2019"]]},"page":"1800091","title":"Remediation of heavy metal contaminated soils by biochar: a Review","type":"article-journal"},"uris":["http://www.mendeley.com/documents/?uuid=a3345671-6b27-3ade-acd1-96d85979732c"]}],"mendeley":{"formattedCitation":"(Y. Wang et al., 2019; Yang et al., 2017)","manualFormatting":"(Yang et al., 2017; Y. Wang et al., 2019)","plainTextFormattedCitation":"(Y. Wang et al., 2019; Yang et al., 2017)","previouslyFormattedCitation":"(Y. Wang et al., 2019; Yang et al., 2017)"},"properties":{"noteIndex":0},"schema":"https://github.com/citation-style-language/schema/raw/master/csl-citation.json"}</w:instrText>
      </w:r>
      <w:r w:rsidR="002D5CDE" w:rsidRPr="00216965">
        <w:rPr>
          <w:rFonts w:cs="Times New Roman"/>
          <w:szCs w:val="24"/>
        </w:rPr>
        <w:fldChar w:fldCharType="separate"/>
      </w:r>
      <w:r w:rsidR="002D5CDE" w:rsidRPr="00216965">
        <w:rPr>
          <w:rFonts w:cs="Times New Roman"/>
          <w:noProof/>
          <w:szCs w:val="24"/>
        </w:rPr>
        <w:t xml:space="preserve">(Yang </w:t>
      </w:r>
      <w:r w:rsidR="009B2252" w:rsidRPr="00216965">
        <w:rPr>
          <w:rFonts w:cs="Times New Roman"/>
          <w:noProof/>
          <w:szCs w:val="24"/>
        </w:rPr>
        <w:t>et al</w:t>
      </w:r>
      <w:r w:rsidR="002D5CDE" w:rsidRPr="00216965">
        <w:rPr>
          <w:rFonts w:cs="Times New Roman"/>
          <w:i/>
          <w:noProof/>
          <w:szCs w:val="24"/>
        </w:rPr>
        <w:t>.</w:t>
      </w:r>
      <w:r w:rsidR="002D5CDE" w:rsidRPr="00216965">
        <w:rPr>
          <w:rFonts w:cs="Times New Roman"/>
          <w:noProof/>
          <w:szCs w:val="24"/>
        </w:rPr>
        <w:t xml:space="preserve">, 2017; Y. Wang </w:t>
      </w:r>
      <w:r w:rsidR="009B2252" w:rsidRPr="00216965">
        <w:rPr>
          <w:rFonts w:cs="Times New Roman"/>
          <w:noProof/>
          <w:szCs w:val="24"/>
        </w:rPr>
        <w:t>et al</w:t>
      </w:r>
      <w:r w:rsidR="002D5CDE" w:rsidRPr="00216965">
        <w:rPr>
          <w:rFonts w:cs="Times New Roman"/>
          <w:i/>
          <w:noProof/>
          <w:szCs w:val="24"/>
        </w:rPr>
        <w:t>.</w:t>
      </w:r>
      <w:r w:rsidR="002D5CDE" w:rsidRPr="00216965">
        <w:rPr>
          <w:rFonts w:cs="Times New Roman"/>
          <w:noProof/>
          <w:szCs w:val="24"/>
        </w:rPr>
        <w:t>, 2019)</w:t>
      </w:r>
      <w:r w:rsidR="002D5CDE" w:rsidRPr="00216965">
        <w:rPr>
          <w:rFonts w:cs="Times New Roman"/>
          <w:szCs w:val="24"/>
        </w:rPr>
        <w:fldChar w:fldCharType="end"/>
      </w:r>
      <w:r w:rsidRPr="00216965">
        <w:t xml:space="preserve">. Among different feedstock types, biochars derived from plant waste are gaining attention as a means to recycle agricultural wastes </w:t>
      </w:r>
      <w:r w:rsidRPr="00216965">
        <w:rPr>
          <w:rFonts w:cs="Times New Roman"/>
          <w:szCs w:val="24"/>
        </w:rPr>
        <w:fldChar w:fldCharType="begin" w:fldLock="1"/>
      </w:r>
      <w:r w:rsidR="006C06AA" w:rsidRPr="00216965">
        <w:rPr>
          <w:rFonts w:cs="Times New Roman"/>
          <w:szCs w:val="24"/>
        </w:rPr>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benefits","type":"article-journal","volume":"12"},"uris":["http://www.mendeley.com/documents/?uuid=ca76da3f-ee2b-3484-b359-2d2ed0c558ad"]}],"mendeley":{"formattedCitation":"(Domingues et al., 2017)","plainTextFormattedCitation":"(Domingues et al., 2017)","previouslyFormattedCitation":"(Domingues et al., 2017)"},"properties":{"noteIndex":0},"schema":"https://github.com/citation-style-language/schema/raw/master/csl-citation.json"}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(Domingues et al., 2017)</w:t>
      </w:r>
      <w:r w:rsidRPr="00216965">
        <w:rPr>
          <w:rFonts w:cs="Times New Roman"/>
          <w:szCs w:val="24"/>
        </w:rPr>
        <w:fldChar w:fldCharType="end"/>
      </w:r>
      <w:r w:rsidRPr="00216965">
        <w:t xml:space="preserve">. </w:t>
      </w:r>
    </w:p>
    <w:p w14:paraId="6ABC533D" w14:textId="14DBDA72" w:rsidR="005563EE" w:rsidRPr="00216965" w:rsidRDefault="005563EE" w:rsidP="008A33DA">
      <w:pPr>
        <w:spacing w:line="360" w:lineRule="auto"/>
        <w:jc w:val="both"/>
        <w:rPr>
          <w:rFonts w:cs="Times New Roman"/>
          <w:szCs w:val="24"/>
        </w:rPr>
      </w:pPr>
      <w:r w:rsidRPr="00216965">
        <w:t>The metal sorption process by biochars has been previously described as a result of three different mechanisms: (i) ion exchange (Ca</w:t>
      </w:r>
      <w:r w:rsidRPr="00216965">
        <w:rPr>
          <w:vertAlign w:val="superscript"/>
        </w:rPr>
        <w:t>2+</w:t>
      </w:r>
      <w:r w:rsidRPr="00216965">
        <w:t>,K</w:t>
      </w:r>
      <w:r w:rsidRPr="00216965">
        <w:rPr>
          <w:vertAlign w:val="superscript"/>
        </w:rPr>
        <w:t>+</w:t>
      </w:r>
      <w:r w:rsidRPr="00216965">
        <w:t>,Mg</w:t>
      </w:r>
      <w:r w:rsidRPr="00216965">
        <w:rPr>
          <w:vertAlign w:val="superscript"/>
        </w:rPr>
        <w:t>2+</w:t>
      </w:r>
      <w:r w:rsidRPr="00216965">
        <w:t>,Na</w:t>
      </w:r>
      <w:r w:rsidRPr="00216965">
        <w:rPr>
          <w:vertAlign w:val="superscript"/>
        </w:rPr>
        <w:t>+</w:t>
      </w:r>
      <w:r w:rsidRPr="00216965">
        <w:t xml:space="preserve">); (ii) metal complexation onto free and complexed carbonyl, carboxyl, alcoholic, hydroxyl or phenolic hydroxyl functional groups; and (iii) physical adsorption or surface precipitation caused by sorptive interaction involving delocalization of π electrons of organic carbon </w:t>
      </w:r>
      <w:r w:rsidRPr="00216965">
        <w:rPr>
          <w:rFonts w:cs="Times New Roman"/>
          <w:szCs w:val="24"/>
        </w:rPr>
        <w:fldChar w:fldCharType="begin" w:fldLock="1"/>
      </w:r>
      <w:r w:rsidR="006C06AA" w:rsidRPr="00216965">
        <w:rPr>
          <w:rFonts w:cs="Times New Roman"/>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2014)","plainTextFormattedCitation":"(Trakal et al., 2014)","previouslyFormattedCitation":"(Trakal et al., 2014)"},"properties":{"noteIndex":0},"schema":"https://github.com/citation-style-language/schema/raw/master/csl-citation.json"}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(Trakal et al., 2014)</w:t>
      </w:r>
      <w:r w:rsidRPr="00216965">
        <w:rPr>
          <w:rFonts w:cs="Times New Roman"/>
          <w:szCs w:val="24"/>
        </w:rPr>
        <w:fldChar w:fldCharType="end"/>
      </w:r>
      <w:r w:rsidRPr="00216965">
        <w:t xml:space="preserve">. It is known that pyrolysis conditions and feedstock origin are key factors determining biochar properties and consequently its sorption capacity </w:t>
      </w:r>
      <w:r w:rsidRPr="00216965">
        <w:rPr>
          <w:rFonts w:cs="Times New Roman"/>
          <w:szCs w:val="24"/>
        </w:rPr>
        <w:fldChar w:fldCharType="begin" w:fldLock="1"/>
      </w:r>
      <w:r w:rsidR="006C06AA" w:rsidRPr="00216965">
        <w:rPr>
          <w:rFonts w:cs="Times New Roman"/>
          <w:szCs w:val="24"/>
        </w:rPr>
        <w:instrText>ADDIN CSL_CITATION {"citationItems":[{"id":"ITEM-1","itemData":{"DOI":"10.1016/j.jenvman.2015.07.056","ISSN":"10958630","PMID":"26265597","abstract":"Biochars are products that are rich in carbon obtained by pyrolysis processes that consist in introducing a biomass (such as wood or manure) in a closed container and heating it with little or no available air. This paper reports the impacts of pyrolysis parameters on biochar characteristics. A preliminary examination of the scientific literature revealed that the type of feedstock, the temperature, the heating rate and the gas flow were the major parameters influencing the biochar characteristics. This review highlights the multitude of biochars that can be made and shows the importance of characterizing them before their use in soils. Then we assess how the input of biochars in soils can affect soil parameters. A review of the literature showed modifications on: i) the physical properties of soils (. i.e. the modification in soil structure and water retention), ii) the chemical properties of soils (. i.e. the modification of pH, cation exchange capacity, nutrient availability, the organic matter content) and iii) the biological properties (. i.e. the changes in microbial and faunal communities). All these modifications can lead to an increase in crop productivity, which confirms the value of biochars as a soil amendment. Moreover, biochars can also provide an advantage for soil remediation. Indeed, biochars efficiently reduce the bioavailability of organic and inorganic pollutants. In addition, this review focuses on a specific plant that can be used to produce biochars: Miscanthus, a non-wood rhizomatous C4 perennial grass. Miscanthus presents advantages for biochar production due to: i) its lignocellulosic content, ii) its silicon content, which can mitigate environmental stresses (notably for plants grown on contaminated sites) and iii) the greater surface area of the Miscanthus biochars compared to the biochars produced with other feedstock.","author":[{"dropping-particle":"","family":"Janus","given":"Adeline","non-dropping-particle":"","parse-names":false,"suffix":""},{"dropping-particle":"","family":"Pelfrêne","given":"Aurélie","non-dropping-particle":"","parse-names":false,"suffix":""},{"dropping-particle":"","family":"Heymans","given":"Sophie","non-dropping-particle":"","parse-names":false,"suffix":""},{"dropping-particle":"","family":"Deboffe","given":"Christophe","non-dropping-particle":"","parse-names":false,"suffix":""},{"dropping-particle":"","family":"Douay","given":"Francis","non-dropping-particle":"","parse-names":false,"suffix":""},{"dropping-particle":"","family":"Waterlot","given":"Christophe","non-dropping-particle":"","parse-names":false,"suffix":""}],"container-title":"Journal of Environmental Management","id":"ITEM-1","issued":{"date-parts":[["2015"]]},"page":"275-289","title":"Elaboration, characteristics and advantages of biochars for the management of contaminated soils with a specific overview on Miscanthus biochars","type":"article-journal","volume":"162"},"uris":["http://www.mendeley.com/documents/?uuid=fb799e3b-320c-45b9-af26-4ace74302f75"]}],"mendeley":{"formattedCitation":"(Janus et al., 2015)","plainTextFormattedCitation":"(Janus et al., 2015)","previouslyFormattedCitation":"(Janus et al., 2015)"},"properties":{"noteIndex":0},"schema":"https://github.com/citation-style-language/schema/raw/master/csl-citation.json"}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(Janus et al., 2015)</w:t>
      </w:r>
      <w:r w:rsidRPr="00216965">
        <w:rPr>
          <w:rFonts w:cs="Times New Roman"/>
          <w:szCs w:val="24"/>
        </w:rPr>
        <w:fldChar w:fldCharType="end"/>
      </w:r>
      <w:r w:rsidRPr="00216965">
        <w:t xml:space="preserve">. However, adsorption of HMs is also influenced by element properties and their competitive behaviour for biochar sorption sites </w:t>
      </w:r>
      <w:r w:rsidRPr="00216965">
        <w:rPr>
          <w:rFonts w:cs="Times New Roman"/>
          <w:szCs w:val="24"/>
        </w:rPr>
        <w:fldChar w:fldCharType="begin" w:fldLock="1"/>
      </w:r>
      <w:r w:rsidR="006C06AA" w:rsidRPr="00216965">
        <w:rPr>
          <w:rFonts w:cs="Times New Roman"/>
          <w:szCs w:val="24"/>
        </w:rPr>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solutions","type":"article-journal","volume":"142"},"uris":["http://www.mendeley.com/documents/?uuid=1cae7d89-3ac3-3524-b831-95328bd4d82f"]}],"mendeley":{"formattedCitation":"(Park et al., 2016)","plainTextFormattedCitation":"(Park et al., 2016)","previouslyFormattedCitation":"(Park et al., 2016)"},"properties":{"noteIndex":0},"schema":"https://github.com/citation-style-language/schema/raw/master/csl-citation.json"}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(Park et al., 2016)</w:t>
      </w:r>
      <w:r w:rsidRPr="00216965">
        <w:rPr>
          <w:rFonts w:cs="Times New Roman"/>
          <w:szCs w:val="24"/>
        </w:rPr>
        <w:fldChar w:fldCharType="end"/>
      </w:r>
      <w:r w:rsidRPr="00216965">
        <w:t xml:space="preserve">. Because biochar is not a well-defined material, the identification of biochars with beneficial properties for soils is complicated, resulting in large variation in sorption potential and performance </w:t>
      </w:r>
      <w:r w:rsidRPr="00216965">
        <w:rPr>
          <w:rFonts w:cs="Times New Roman"/>
          <w:szCs w:val="24"/>
        </w:rPr>
        <w:fldChar w:fldCharType="begin" w:fldLock="1"/>
      </w:r>
      <w:r w:rsidR="006C06AA" w:rsidRPr="00216965">
        <w:rPr>
          <w:rFonts w:cs="Times New Roman"/>
          <w:szCs w:val="24"/>
        </w:rPr>
        <w:instrText>ADDIN CSL_CITATION {"citationItems":[{"id":"ITEM-1","itemData":{"DOI":"10.1021/es9031419","ISBN":"0013-936X (Print) 0013-936X (Linking)","ISSN":"0013936X","PMID":"20099810","abstract":"Char black carbon (BC), the solid residue of incomplete combustion, is continuously being added to soils and sediments due to natural vegetation fires, anthropogenic pollution, and new strategies for carbon sequestration (\"biochar\"). Here we present a molecular-level assessment of the physical organization and chemical complexity of biomass-derived chars and, specifically, that of aromatic carbon in char structures. Brunauer-Emmett-Teller (BET)-N(2) surface area (SA), X-ray diffraction (XRD), synchrotron-based near-edge X-ray absorption fine structure (NEXAFS), and Fourier transform infrared (FT-IR) spectroscopy are used to show how two plant materials (wood and grass) undergo analogous but quantitatively different physical-chemical transitions as charring temperature increases from 100 to 700 degrees C. These changes suggest the existence of four distinct categories of char consisting of a unique mixture of chemical phases and physical states: (i) in transition chars, the crystalline character of the precursor materials is preserved; (ii) in amorphous chars, the heat-altered molecules and incipient aromatic polycondensates are randomly mixed; (iii) composite chars consist of poorly ordered graphene stacks embedded in amorphous phases; and (iv) turbostratic chars are dominated by disordered graphitic crystallites. Molecular variations among the different char categories likely translate into differences in their ability to persist in the environment and function as environmental sorbents.","author":[{"dropping-particle":"","family":"Keiluweit","given":"Marco","non-dropping-particle":"","parse-names":false,"suffix":""},{"dropping-particle":"","family":"Nico","given":"Peter S.","non-dropping-particle":"","parse-names":false,"suffix":""},{"dropping-particle":"","family":"Johnson","given":"Markg","non-dropping-particle":"","parse-names":false,"suffix":""},{"dropping-particle":"","family":"Kleber","given":"Markus","non-dropping-particle":"","parse-names":false,"suffix":""}],"container-title":"Environmental Science and Technology","id":"ITEM-1","issue":"4","issued":{"date-parts":[["2010"]]},"page":"1247-1253","title":"Dynamic molecular structure of plant biomass-derived black carbon (biochar)","type":"article-journal","volume":"44"},"uris":["http://www.mendeley.com/documents/?uuid=5fc8cc4a-0a30-4372-b48f-904256925fb9"]}],"mendeley":{"formattedCitation":"(Keiluweit et al., 2010)","plainTextFormattedCitation":"(Keiluweit et al., 2010)","previouslyFormattedCitation":"(Keiluweit et al., 2010)"},"properties":{"noteIndex":0},"schema":"https://github.com/citation-style-language/schema/raw/master/csl-citation.json"}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(Keiluweit et al., 2010)</w:t>
      </w:r>
      <w:r w:rsidRPr="00216965">
        <w:rPr>
          <w:rFonts w:cs="Times New Roman"/>
          <w:szCs w:val="24"/>
        </w:rPr>
        <w:fldChar w:fldCharType="end"/>
      </w:r>
      <w:r w:rsidRPr="00216965">
        <w:t>. In the case of HM immobilization in soil, it is not yet clear what determines the binding affinity and interactions between biochar and HMs in the complex soil environment</w:t>
      </w:r>
      <w:r w:rsidR="002D5CDE" w:rsidRPr="00216965">
        <w:t xml:space="preserve"> </w:t>
      </w:r>
      <w:r w:rsidR="002D5CDE" w:rsidRPr="00216965">
        <w:rPr>
          <w:rFonts w:cs="Times New Roman"/>
          <w:szCs w:val="24"/>
        </w:rPr>
        <w:fldChar w:fldCharType="begin" w:fldLock="1"/>
      </w:r>
      <w:r w:rsidR="006C06AA" w:rsidRPr="00216965">
        <w:rPr>
          <w:rFonts w:cs="Times New Roman"/>
          <w:szCs w:val="24"/>
        </w:rPr>
        <w:instrText>ADDIN CSL_CITATION {"citationItems":[{"id":"ITEM-1","itemData":{"DOI":"10.1680/jenge.18.00091","abstract":"Biochar has seized interest because of its significant effect on the remediation of heavy-metal-contaminated soil. Based on research achievements of biochar remediation of heavy-metal-contaminated soils in recent years, research status and progress in this field are reviewed from several important aspects, including production and properties of biochar, remediation mechanisms, remediation effect and affecting factors. The following findings were obtained: (a) biochar has the advantages of low price, high efficiency, greenness and soil improvement. (b) The physico-chemical properties of biochar are affected by biomass materials and pyrolysis temperatures. Activation, magnetisation, oxidation and digestion can improve the adsorption of heavy metals on biochar. (c) The effect of biochar on heavy metal mobility and bioavailability includes two conflicting aspects: immobilising heavy metals to reduce bioavailability or mobilising heavy metal to increase bioavailability. (d) Biochar can be applied with other solidifying materials to enhance the strength of treated soil. (e) The adsorption mechanisms of heavy metals on biochar include physical adsorption, ion exchange, electrostatic interaction, complexation and precipitation. Finally, future research is suggested, including establishing a uniform classification criterion of biochar; exploring the efficiency of biochar on the remediation of sites containing multicontaminants; illustrating the interactions between biochar and heavy metals in the complex soil environment; expanding the research scale from laboratory-and small-scale in situ tests to large-scale and long-term studies; and carrying out solidification experiments considering mechanical properties for biochar application in soil remediation.","author":[{"dropping-particle":"","family":"Wang","given":"Yue","non-dropping-particle":"","parse-names":false,"suffix":""},{"dropping-particle":"","family":"Wang","given":"Hong-Sheng","non-dropping-particle":"","parse-names":false,"suffix":""},{"dropping-particle":"","family":"Tang","given":"Chao-Sheng","non-dropping-particle":"","parse-names":false,"suffix":""},{"dropping-particle":"","family":"Gu","given":"Kai","non-dropping-particle":"","parse-names":false,"suffix":""},{"dropping-particle":"","family":"Shi","given":"Bin","non-dropping-particle":"","parse-names":false,"suffix":""}],"container-title":"Environmental Geotechnics","id":"ITEM-1","issued":{"date-parts":[["2019"]]},"page":"1800091","title":"Remediation of heavy metal contaminated soils by biochar: a Review","type":"article-journal"},"uris":["http://www.mendeley.com/documents/?uuid=a3345671-6b27-3ade-acd1-96d85979732c"]}],"mendeley":{"formattedCitation":"(Y. Wang et al., 2019)","manualFormatting":"(Y. Wang et al., 2019)","plainTextFormattedCitation":"(Y. Wang et al., 2019)","previouslyFormattedCitation":"(Y. Wang et al., 2019)"},"properties":{"noteIndex":0},"schema":"https://github.com/citation-style-language/schema/raw/master/csl-citation.json"}</w:instrText>
      </w:r>
      <w:r w:rsidR="002D5CDE" w:rsidRPr="00216965">
        <w:rPr>
          <w:rFonts w:cs="Times New Roman"/>
          <w:szCs w:val="24"/>
        </w:rPr>
        <w:fldChar w:fldCharType="separate"/>
      </w:r>
      <w:r w:rsidR="002D5CDE" w:rsidRPr="00216965">
        <w:rPr>
          <w:rFonts w:cs="Times New Roman"/>
          <w:noProof/>
          <w:szCs w:val="24"/>
        </w:rPr>
        <w:t xml:space="preserve">(Y. Wang </w:t>
      </w:r>
      <w:r w:rsidR="009B2252" w:rsidRPr="00216965">
        <w:rPr>
          <w:rFonts w:cs="Times New Roman"/>
          <w:noProof/>
          <w:szCs w:val="24"/>
        </w:rPr>
        <w:t>et al</w:t>
      </w:r>
      <w:r w:rsidR="002D5CDE" w:rsidRPr="00216965">
        <w:rPr>
          <w:rFonts w:cs="Times New Roman"/>
          <w:i/>
          <w:noProof/>
          <w:szCs w:val="24"/>
        </w:rPr>
        <w:t>.</w:t>
      </w:r>
      <w:r w:rsidR="002D5CDE" w:rsidRPr="00216965">
        <w:rPr>
          <w:rFonts w:cs="Times New Roman"/>
          <w:noProof/>
          <w:szCs w:val="24"/>
        </w:rPr>
        <w:t>, 2019)</w:t>
      </w:r>
      <w:r w:rsidR="002D5CDE" w:rsidRPr="00216965">
        <w:rPr>
          <w:rFonts w:cs="Times New Roman"/>
          <w:szCs w:val="24"/>
        </w:rPr>
        <w:fldChar w:fldCharType="end"/>
      </w:r>
      <w:r w:rsidRPr="00216965">
        <w:t>.</w:t>
      </w:r>
    </w:p>
    <w:p w14:paraId="55D24811" w14:textId="18C8D3A6" w:rsidR="005563EE" w:rsidRPr="00216965" w:rsidRDefault="005563EE" w:rsidP="008A33DA">
      <w:pPr>
        <w:spacing w:line="360" w:lineRule="auto"/>
        <w:jc w:val="both"/>
        <w:rPr>
          <w:rFonts w:cs="Times New Roman"/>
          <w:szCs w:val="24"/>
        </w:rPr>
      </w:pPr>
      <w:r w:rsidRPr="00216965">
        <w:t>Sorption of HMs by biochar is usually determined with batch studies. However, most sorption studies have focused on water treatment, using high HM concentrations up to 1000 mg.L</w:t>
      </w:r>
      <w:r w:rsidRPr="00216965">
        <w:rPr>
          <w:vertAlign w:val="superscript"/>
        </w:rPr>
        <w:t>-1</w:t>
      </w:r>
      <w:r w:rsidRPr="00216965">
        <w:t xml:space="preserve"> </w:t>
      </w:r>
      <w:r w:rsidR="002D5CDE" w:rsidRPr="00216965">
        <w:rPr>
          <w:rFonts w:cs="Times New Roman"/>
          <w:szCs w:val="24"/>
        </w:rPr>
        <w:fldChar w:fldCharType="begin" w:fldLock="1"/>
      </w:r>
      <w:r w:rsidR="006C06AA" w:rsidRPr="00216965">
        <w:rPr>
          <w:rFonts w:cs="Times New Roman"/>
          <w:szCs w:val="24"/>
        </w:rPr>
        <w:instrText>ADDIN CSL_CITATION {"citationItems":[{"id":"ITEM-1","itemData":{"DOI":"10.1016/j.biortech.2014.11.077","ISSN":"18732976","abstract":"The objective of this study was to investigate the relationship between Pb2+ adsorption and physicochemical properties of biochars produced at different pyrolytic temperatures. Ten biochars were prepared from peanut shell (PS) and Chinese medicine material residue (MR) at 300-600°C. Adsorption kinetics and isotherms were determined, and the untreated and Pb2+-loaded biochars were analyzed by FTIR, SEM-EDX and XRD. Functional groups complexation, Pb2+-π interaction and precipitation with minerals jointly contributed to Pb2+ adsorption on these biochars. New mineral precipitates (e.g., Pb2(SO4)O and Pb4(CO3)2(SO4)(OH)2) formed during Pb2+ sorption. For high-temperature biochars (≥500°C), Pb2+ sorption via complexation reduced, but the contribution of Pb2+-π interaction was enhanced. Dramatic reduction of Pb2+ sorption on demineralized biochars indicated the dominant role of minerals. These results are useful for screening effective biochars as engineered sorbents to remove or immobilize Pb2+ in polluted water and soil.","author":[{"dropping-particle":"","family":"Wang","given":"Zhenyu","non-dropping-particle":"","parse-names":false,"suffix":""},{"dropping-particle":"","family":"Liu","given":"Guocheng","non-dropping-particle":"","parse-names":false,"suffix":""},{"dropping-particle":"","family":"Zheng","given":"Hao","non-dropping-particle":"","parse-names":false,"suffix":""},{"dropping-particle":"","family":"Li","given":"Fengmin","non-dropping-particle":"","parse-names":false,"suffix":""},{"dropping-particle":"","family":"Ngo","given":"Huu Hao","non-dropping-particle":"","parse-names":false,"suffix":""},{"dropping-particle":"","family":"Guo","given":"Wenshan","non-dropping-particle":"","parse-names":false,"suffix":""},{"dropping-particle":"","family":"Liu","given":"Cui","non-dropping-particle":"","parse-names":false,"suffix":""},{"dropping-particle":"","family":"Chen","given":"Lei","non-dropping-particle":"","parse-names":false,"suffix":""},{"dropping-particle":"","family":"Xing","given":"Baoshan","non-dropping-particle":"","parse-names":false,"suffix":""}],"container-title":"Bioresource Technology","id":"ITEM-1","issued":{"date-parts":[["2015","2","1"]]},"page":"308-317","publisher":"Elsevier Ltd","title":"Investigating the mechanisms of biochar’s removal of lead from solution","type":"article-journal","volume":"177"},"uris":["http://www.mendeley.com/documents/?uuid=a61e7b78-989f-349e-9f9a-c3fc86f603f6"]},{"id":"ITEM-2","itemData":{"DOI":"10.2166/wst.2016.319","ISSN":"02731223","abstract":"The purpose of this work is to investigate adsorption characteristic of\\ncorn stalk (CS) biochar for removal of cadmium ions (Cd2+) from aqueous\\nsolution. Batch adsorption experiments were carried out to evaluate the\\neffects of pH value of solution, adsorbent particle size, adsorbent\\ndosage, and ionic strength of solution on the adsorption of Cd2+ onto\\nbiochar that was pyrolytically produced from CS at 300 degrees C. The\\nresults showed that the initial pH value of solution played an important\\nrole in adsorption. The adsorptive amount of Cd2+ onto the biochar\\ndecreased with increasing the adsorbent dosage, adsorbent particle size,\\nand ionic strength, while it increased with increasing the initial pH\\nvalue of solution and temperature. Cd2+ was removed efficiently and\\nquickly from aqueous solutions by the biochar with a maximum capacity of\\n33.94 mg/g. The adsorption process was well described by the\\npseudo-second-order kinetic model with the correlation coefficients\\ngreater than 0.986. The adsorption isotherm could be well fitted by the\\nLangmuir model. The thermodynamic studies showed that the adsorption of\\nCd2+ onto the biochar was a spontaneous and exothermic process. The\\nresults indicate that CS biochar can be considered as an efficient\\nadsorbent.","author":[{"dropping-particle":"","family":"Ma","given":"Fengfeng","non-dropping-particle":"","parse-names":false,"suffix":""},{"dropping-particle":"","family":"Zhao","given":"Baowei","non-dropping-particle":"","parse-names":false,"suffix":""},{"dropping-particle":"","family":"Diao","given":"Jingru","non-dropping-particle":"","parse-names":false,"suffix":""}],"container-title":"Water Science and Technology","id":"ITEM-2","issue":"6","issued":{"date-parts":[["2016"]]},"page":"1335-1345","title":"Adsorption of cadmium by biochar produced from pyrolysis of corn stalk in aqueous solution","type":"article-journal","volume":"74"},"uris":["http://www.mendeley.com/documents/?uuid=396013fb-fcd3-4afa-b9bf-2725ea358950"]},{"id":"ITEM-3","itemData":{"DOI":"10.1016/j.chemosphere.2020.126539","ISSN":"18791298","PMID":"32220719","abstract":"Biochar is a promising agent for wastewater treatment, soil remediation, and gas storage and separation. This review summarizes recent research development on biochar production and applications with a focus on the application of biochar technology in wastewater treatment. Different technologies for biochar production, with an emphasis on pre-treatment of feedstock and post treatment, are succinctly summarized. Biochar has been extensively used as an adsorbent to remove toxic metals, organic pollutants, and nutrients from wastewater. Compared to pristine biochar, engineered/designer biochar generally has larger surface area, stronger adsorption capacity, or more abundant surface functional groups (SFG), which represents a new type of carbon material with great application prospects in various wastewater treatments. As the first of its kind, this critical review emphasizes the promising prospects of biochar technology in the treatment of various wastewater including industrial wastewater (dye, battery manufacture, and dairy wastewater), municipal wastewater, agricultural wastewater, and stormwater. Future research on engineered/designer biochar production and its field-scale application is discussed. Based on the review, it can be concluded that biochar technology represents a new, cost effective, and environmentally-friendly solution for the treatment of wastewater.","author":[{"dropping-particle":"","family":"Xiang","given":"Wei","non-dropping-particle":"","parse-names":false,"suffix":""},{"dropping-particle":"","family":"Zhang","given":"Xueyang","non-dropping-particle":"","parse-names":false,"suffix":""},{"dropping-particle":"","family":"Chen","given":"Jianjun","non-dropping-particle":"","parse-names":false,"suffix":""},{"dropping-particle":"","family":"Zou","given":"Weixin","non-dropping-particle":"","parse-names":false,"suffix":""},{"dropping-particle":"","family":"He","given":"Feng","non-dropping-particle":"","parse-names":false,"suffix":""},{"dropping-particle":"","family":"Hu","given":"Xin","non-dropping-particle":"","parse-names":false,"suffix":""},{"dropping-particle":"","family":"Tsang","given":"Daniel C.W.","non-dropping-particle":"","parse-names":false,"suffix":""},{"dropping-particle":"","family":"Ok","given":"Yong Sik","non-dropping-particle":"","parse-names":false,"suffix":""},{"dropping-particle":"","family":"Gao","given":"Bin","non-dropping-particle":"","parse-names":false,"suffix":""}],"container-title":"Chemosphere","id":"ITEM-3","issued":{"date-parts":[["2020","8","1"]]},"page":"126539","publisher":"Elsevier Ltd","title":"Biochar technology in wastewater treatment: A critical review","type":"article-journal","volume":"252"},"uris":["http://www.mendeley.com/documents/?uuid=c4a337a4-5a3a-304c-8a1a-37832013e3d3"]}],"mendeley":{"formattedCitation":"(Ma et al., 2016; Z. Wang et al., 2015; Xiang et al., 2020)","plainTextFormattedCitation":"(Ma et al., 2016; Z. Wang et al., 2015; Xiang et al., 2020)","previouslyFormattedCitation":"(Ma et al., 2016; Z. Wang et al., 2015; Xiang et al., 2020)"},"properties":{"noteIndex":0},"schema":"https://github.com/citation-style-language/schema/raw/master/csl-citation.json"}</w:instrText>
      </w:r>
      <w:r w:rsidR="002D5CDE" w:rsidRPr="00216965">
        <w:rPr>
          <w:rFonts w:cs="Times New Roman"/>
          <w:szCs w:val="24"/>
        </w:rPr>
        <w:fldChar w:fldCharType="separate"/>
      </w:r>
      <w:r w:rsidR="001974AA" w:rsidRPr="00216965">
        <w:rPr>
          <w:rFonts w:cs="Times New Roman"/>
          <w:noProof/>
          <w:szCs w:val="24"/>
        </w:rPr>
        <w:t>(Ma et al., 2016; Z. Wang et al., 2015; Xiang et al., 2020)</w:t>
      </w:r>
      <w:r w:rsidR="002D5CDE" w:rsidRPr="00216965">
        <w:rPr>
          <w:rFonts w:cs="Times New Roman"/>
          <w:szCs w:val="24"/>
        </w:rPr>
        <w:fldChar w:fldCharType="end"/>
      </w:r>
      <w:r w:rsidRPr="00216965">
        <w:rPr>
          <w:rFonts w:cs="Times New Roman"/>
          <w:szCs w:val="24"/>
        </w:rPr>
        <w:t xml:space="preserve"> </w:t>
      </w:r>
      <w:r w:rsidRPr="00216965">
        <w:t xml:space="preserve">which are much greater than bioavailable concentrations of HMs in soil. Soils with very large HM concentrations commonly have a small bioavailable fraction due to the presence of insoluble mineral phases </w:t>
      </w:r>
      <w:r w:rsidRPr="00216965">
        <w:rPr>
          <w:rFonts w:cs="Times New Roman"/>
          <w:szCs w:val="24"/>
        </w:rPr>
        <w:fldChar w:fldCharType="begin" w:fldLock="1"/>
      </w:r>
      <w:r w:rsidR="006C06AA" w:rsidRPr="00216965">
        <w:rPr>
          <w:rFonts w:cs="Times New Roman"/>
          <w:szCs w:val="24"/>
        </w:rPr>
        <w:instrText>ADDIN CSL_CITATION {"citationItems":[{"id":"ITEM-1","itemData":{"abstract":"ÐAn increasing body of evidence suggests that microorganisms are far more sensitive to heavy metal stress than soil animals or plants growing on the same soils. Not surprisingly, most studies of heavy metal toxicity to soil microorganisms have concentrated on eects where loss of microbial function can be observed and yet such studies may mask underlying eects on biodiversity within mi-crobial populations and communities. The types of evidence which are available for determining critical metal concentrations or loadings for microbial processes and populations in agricultural soil are assessed, particularly in relation to the agricultural use of sewage sludge. Much of the confusion in de-riving critical toxic concentrations of heavy metals in soils arises from comparison of experimental results based on short-term laboratory ecotoxicological studies with results from monitoring of long-term exposures of microbial populations to heavy metals in ®eld experiments. The laboratory studies in eect measure responses to immediate, acute toxicity (disturbance) whereas the monitoring of ®eld experiments measures responses to long-term chronic toxicity (stress) which accumulates gradually. Laboratory ecotoxicological studies are the most easily conducted and by far the most numerous, but are dicult to extrapolate meaningfully to toxic eects likely to occur in the ®eld. Using evidence pri-marily derived from long-term ®eld experiments, a hypothesis is formulated to explain how microorgan-isms may become aected by gradually increasing soil metal concentrations and this is discussed in relation tode®nisafe''òcritical'' soil metal loadings for soil protection. #","author":[{"dropping-particle":"","family":"Giller","given":"Ken E","non-dropping-particle":"","parse-names":false,"suffix":""},{"dropping-particle":"","family":"Witter","given":"Ernst","non-dropping-particle":"","parse-names":false,"suffix":""},{"dropping-particle":"","family":"Mcgrath","given":"Steve P","non-dropping-particle":"","parse-names":false,"suffix":""}],"container-title":"Soil Biology and Biochemistry","id":"ITEM-1","issue":"10/11","issued":{"date-parts":[["1998"]]},"page":"1389-1414","title":"Toxicity of heavy metals to microorganisms and microbial processes in agricultural soils: A review","type":"article-journal","volume":"30"},"uris":["http://www.mendeley.com/documents/?uuid=29710547-e25b-3f33-90ec-8946e80e8455"]}],"mendeley":{"formattedCitation":"(Giller et al., 1998)","plainTextFormattedCitation":"(Giller et al., 1998)","previouslyFormattedCitation":"(Giller et al., 1998)"},"properties":{"noteIndex":0},"schema":"https://github.com/citation-style-language/schema/raw/master/csl-citation.json"}</w:instrText>
      </w:r>
      <w:r w:rsidRPr="00216965">
        <w:rPr>
          <w:rFonts w:cs="Times New Roman"/>
          <w:szCs w:val="24"/>
        </w:rPr>
        <w:fldChar w:fldCharType="separate"/>
      </w:r>
      <w:r w:rsidR="001974AA" w:rsidRPr="00216965">
        <w:rPr>
          <w:rFonts w:cs="Times New Roman"/>
          <w:noProof/>
          <w:szCs w:val="24"/>
        </w:rPr>
        <w:t>(Giller et al., 1998)</w:t>
      </w:r>
      <w:r w:rsidRPr="00216965">
        <w:rPr>
          <w:rFonts w:cs="Times New Roman"/>
          <w:szCs w:val="24"/>
        </w:rPr>
        <w:fldChar w:fldCharType="end"/>
      </w:r>
      <w:r w:rsidRPr="00216965">
        <w:t xml:space="preserve">. The bioavailable HM concentrations reported in soil pore water from contaminated soils vary </w:t>
      </w:r>
      <w:r w:rsidRPr="00216965">
        <w:lastRenderedPageBreak/>
        <w:t>between 0.1 to 4 mg.L</w:t>
      </w:r>
      <w:r w:rsidRPr="00216965">
        <w:rPr>
          <w:vertAlign w:val="superscript"/>
        </w:rPr>
        <w:t>-1</w:t>
      </w:r>
      <w:r w:rsidRPr="00216965">
        <w:t xml:space="preserve"> for Cd and Zn, but 0.1 to 90 mg.L</w:t>
      </w:r>
      <w:r w:rsidRPr="00216965">
        <w:rPr>
          <w:vertAlign w:val="superscript"/>
        </w:rPr>
        <w:t>-1</w:t>
      </w:r>
      <w:r w:rsidRPr="00216965">
        <w:t xml:space="preserve"> for Pb </w:t>
      </w:r>
      <w:r w:rsidRPr="00216965">
        <w:rPr>
          <w:rFonts w:cs="Times New Roman"/>
          <w:szCs w:val="24"/>
        </w:rPr>
        <w:fldChar w:fldCharType="begin" w:fldLock="1"/>
      </w:r>
      <w:r w:rsidR="006C06AA" w:rsidRPr="00216965">
        <w:rPr>
          <w:rFonts w:cs="Times New Roman"/>
          <w:szCs w:val="24"/>
        </w:rPr>
        <w:instrText>ADDIN CSL_CITATION {"citationItems":[{"id":"ITEM-1","itemData":{"DOI":"10.2134/jeq2014.02.0084","ISSN":"0047-2425","PMID":"25602205","abstract":"The leaching of trace metals from anthropogenically contaminated sites poses the risk of groundwater pollution. Biochar has recently been proposed as a soil additive to reduce trace-metal concentrations in the soil solution and to increase water retention, thus reducing drainage. However, field studies on the effects of biochar addition on trace-metal leaching are scarce. Therefore, we added 0, 1, 2.5, and 5 g 100 g of biochar derived from giant miscanthus ( x J.M. Greef &amp; Deuter ex Hodk. &amp; Renvoize) to soil contaminated by former wastewater irrigation and examined water retention and cumulative leaching of Zn, Cd, Cu, and Pb in a 2-yr field study. Cumulative trace-metal leaching was determined by self-integrating accumulators (SIAs) based on ion-exchange resins and compared with data calculated from mean concentrations in the soil solution collected with tension lysimeter plates and groundwater recharge rate. The highest rate of biochar addition increased water retention and thus reduced the amount of drainage water. Mean cumulative Zn and Cd fluxes decreased due to both reduced concentrations in the soil solution and reduced drainage. Although Cu and Pb concentrations in the soil solution increased with biochar addition, the reduced drainage resulted in similar fluxes in the biochar and the control treatment. The cumulative Zn, Cd, and Cu fluxes determined with SIAs were in the same range as the calculated values, while SIA-based Pb fluxes were much higher than those calculated. Since the suction plates excluded colloids, the high SIA-based Pb fluxes indicate colloidal transport and reveal the importance to elucidate the colloidal pathway for risk assessment.","author":[{"dropping-particle":"","family":"Schweiker","given":"Carolin","non-dropping-particle":"","parse-names":false,"suffix":""},{"dropping-particle":"","family":"Wagner","given":"Anne","non-dropping-particle":"","parse-names":false,"suffix":""},{"dropping-particle":"","family":"Peters","given":"Andre","non-dropping-particle":"","parse-names":false,"suffix":""},{"dropping-particle":"","family":"Bischoff","given":"Wolf-Anno","non-dropping-particle":"","parse-names":false,"suffix":""},{"dropping-particle":"","family":"Kaupenjohann","given":"Martin","non-dropping-particle":"","parse-names":false,"suffix":""}],"container-title":"Journal of Environment Quality","id":"ITEM-1","issue":"6","issued":{"date-parts":[["2014"]]},"page":"1886-1893","title":"Biochar reduces zinc and cadmium but not copper and lead leaching on a former sewage field","type":"article-journal","volume":"43"},"uris":["http://www.mendeley.com/documents/?uuid=66f0fb43-05de-4c1b-b1bd-0fd4d9346fad"]},{"id":"ITEM-2","itemData":{"DOI":"10.1016/j.envpol.2011.04.004","ISBN":"1873-6424 (Electronic)\\r0269-7491 (Linking)","ISSN":"02697491","PMID":"21570165","abstract":"Monitoring soil pollution is a key aspect in sustainable management of contaminated land but there is often debate over what should be monitored to assess ecological risk. Soil pore water, containing the most labile pollutant fraction in soils, can be easily collected in situ offering a routine way to monitor this risk. We present a compilation of data on concentration of trace elements (As, Cd, Cu, Pb, and Zn) in soil pore water collected in field conditions from a range of polluted and non-polluted soils in Spain and the UK during single and repeated monitoring, and propose a simple eco-toxicity test using this media. Sufficient pore water could be extracted for analysis both under semi-arid and temperate conditions, and eco-toxicity comparisons could be effectively made between polluted and non-polluted soils. We propose that in-situ pore water extraction could enhance the realism of risk assessment at some contaminated sites. ?? 2010 Published by Elsevier Ltd.","author":[{"dropping-particle":"","family":"Moreno","given":"Eduardo","non-dropping-particle":"","parse-names":false,"suffix":""},{"dropping-particle":"","family":"Beesley","given":"Luke","non-dropping-particle":"","parse-names":false,"suffix":""},{"dropping-particle":"","family":"Lepp","given":"Nicholas","non-dropping-particle":"","parse-names":false,"suffix":""},{"dropping-particle":"","family":"Dickinson","given":"Nicholas","non-dropping-particle":"","parse-names":false,"suffix":""},{"dropping-particle":"","family":"Hartley","given":"William","non-dropping-particle":"","parse-names":false,"suffix":""},{"dropping-particle":"","family":"Clemente","given":"Rafael","non-dropping-particle":"","parse-names":false,"suffix":""}],"container-title":"Environmental Pollution","id":"ITEM-2","issue":"10","issued":{"date-parts":[["2011"]]},"page":"3078-3085","publisher":"Elsevier Ltd","title":"Field sampling of soil pore water to evaluate trace element mobility and associated environmental risk","type":"article-journal","volume":"159"},"uris":["http://www.mendeley.com/documents/?uuid=495ddd99-abfa-4ac5-a496-09c037892112"]}],"mendeley":{"formattedCitation":"(Moreno et al., 2011; Schweiker et al., 2014)","plainTextFormattedCitation":"(Moreno et al., 2011; Schweiker et al., 2014)","previouslyFormattedCitation":"(Moreno et al., 2011; Schweiker et al., 2014)"},"properties":{"noteIndex":0},"schema":"https://github.com/citation-style-language/schema/raw/master/csl-citation.json"}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(Moreno et al., 2011; Schweiker et al., 2014)</w:t>
      </w:r>
      <w:r w:rsidRPr="00216965">
        <w:rPr>
          <w:rFonts w:cs="Times New Roman"/>
          <w:szCs w:val="24"/>
        </w:rPr>
        <w:fldChar w:fldCharType="end"/>
      </w:r>
      <w:r w:rsidRPr="00216965">
        <w:t>.</w:t>
      </w:r>
    </w:p>
    <w:p w14:paraId="7F238625" w14:textId="36AD2C30" w:rsidR="005563EE" w:rsidRPr="00216965" w:rsidRDefault="005563EE" w:rsidP="008A33DA">
      <w:pPr>
        <w:spacing w:line="360" w:lineRule="auto"/>
        <w:jc w:val="both"/>
        <w:rPr>
          <w:rFonts w:cs="Times New Roman"/>
          <w:szCs w:val="24"/>
        </w:rPr>
      </w:pPr>
      <w:r w:rsidRPr="00216965">
        <w:t xml:space="preserve">We hypothesised that biochar sorption capacity for Cd(II), Pb(II) and Zn(II) is determined by a limited number of biochar properties. Understanding which are the key properties of plant-derived biochars controlling the sorption for these elements can serve as a basis to assess and select suitable biochars for the remediation of HM-contaminated soil. The aim of this study is to establish relationships between the physico-chemical properties of five plant-based biochars and the immobilization capacity for Cd(II), Pb(II) and Zn(II) in synthetic soil pore water. </w:t>
      </w:r>
      <w:r w:rsidRPr="00216965">
        <w:rPr>
          <w:rFonts w:cs="Times New Roman"/>
          <w:szCs w:val="24"/>
        </w:rPr>
        <w:t>The specific objectives were</w:t>
      </w:r>
      <w:r w:rsidR="00481015" w:rsidRPr="00216965">
        <w:rPr>
          <w:rFonts w:cs="Times New Roman"/>
          <w:szCs w:val="24"/>
        </w:rPr>
        <w:t xml:space="preserve"> to</w:t>
      </w:r>
      <w:r w:rsidRPr="00216965">
        <w:rPr>
          <w:rFonts w:cs="Times New Roman"/>
          <w:szCs w:val="24"/>
        </w:rPr>
        <w:t>:</w:t>
      </w:r>
      <w:r w:rsidR="008B181D" w:rsidRPr="00216965">
        <w:rPr>
          <w:rFonts w:cs="Times New Roman"/>
          <w:szCs w:val="24"/>
        </w:rPr>
        <w:t xml:space="preserve"> </w:t>
      </w:r>
    </w:p>
    <w:p w14:paraId="6AA06622" w14:textId="77777777" w:rsidR="008574C0" w:rsidRPr="00216965" w:rsidRDefault="008574C0" w:rsidP="008574C0">
      <w:pPr>
        <w:pStyle w:val="ListParagraph"/>
        <w:numPr>
          <w:ilvl w:val="0"/>
          <w:numId w:val="5"/>
        </w:numPr>
        <w:spacing w:line="360" w:lineRule="auto"/>
        <w:jc w:val="both"/>
      </w:pPr>
      <w:r w:rsidRPr="00216965">
        <w:t>analyse biochar characteristics associated with HM sorption mechanisms,</w:t>
      </w:r>
    </w:p>
    <w:p w14:paraId="267B1BFE" w14:textId="77777777" w:rsidR="008574C0" w:rsidRPr="00216965" w:rsidRDefault="008574C0" w:rsidP="008574C0">
      <w:pPr>
        <w:pStyle w:val="ListParagraph"/>
        <w:numPr>
          <w:ilvl w:val="0"/>
          <w:numId w:val="5"/>
        </w:numPr>
        <w:spacing w:line="360" w:lineRule="auto"/>
        <w:jc w:val="both"/>
      </w:pPr>
      <w:r w:rsidRPr="00216965">
        <w:t>determine sorption capacity and affinity for Cd, Pb and Zn,</w:t>
      </w:r>
    </w:p>
    <w:p w14:paraId="5BED997E" w14:textId="77777777" w:rsidR="008574C0" w:rsidRPr="00216965" w:rsidRDefault="008574C0" w:rsidP="008574C0">
      <w:pPr>
        <w:pStyle w:val="ListParagraph"/>
        <w:numPr>
          <w:ilvl w:val="0"/>
          <w:numId w:val="5"/>
        </w:numPr>
        <w:spacing w:line="360" w:lineRule="auto"/>
        <w:jc w:val="both"/>
      </w:pPr>
      <w:r w:rsidRPr="00216965">
        <w:t xml:space="preserve">determine the nature of the mechanisms driving the sorption of each HM, and </w:t>
      </w:r>
    </w:p>
    <w:p w14:paraId="452655C8" w14:textId="77777777" w:rsidR="008574C0" w:rsidRPr="00216965" w:rsidRDefault="008574C0" w:rsidP="008574C0">
      <w:pPr>
        <w:pStyle w:val="ListParagraph"/>
        <w:numPr>
          <w:ilvl w:val="0"/>
          <w:numId w:val="5"/>
        </w:numPr>
        <w:spacing w:line="360" w:lineRule="auto"/>
        <w:jc w:val="both"/>
      </w:pPr>
      <w:r w:rsidRPr="00216965">
        <w:t xml:space="preserve">use these relationships to build predictive models of biochar sorption potential.     </w:t>
      </w:r>
    </w:p>
    <w:p w14:paraId="09A43DD0" w14:textId="77777777" w:rsidR="005563EE" w:rsidRPr="00216965" w:rsidRDefault="005563EE" w:rsidP="008A33DA">
      <w:pPr>
        <w:pStyle w:val="Heading2"/>
      </w:pPr>
      <w:bookmarkStart w:id="118" w:name="_Toc86504646"/>
      <w:r w:rsidRPr="00216965">
        <w:t>Materials and Methods</w:t>
      </w:r>
      <w:bookmarkEnd w:id="118"/>
      <w:r w:rsidRPr="00216965">
        <w:t xml:space="preserve"> </w:t>
      </w:r>
    </w:p>
    <w:p w14:paraId="7CE40DA8" w14:textId="77777777" w:rsidR="005563EE" w:rsidRPr="00216965" w:rsidRDefault="005563EE" w:rsidP="008A33DA">
      <w:pPr>
        <w:pStyle w:val="Heading3"/>
      </w:pPr>
      <w:bookmarkStart w:id="119" w:name="_Toc86504647"/>
      <w:r w:rsidRPr="00216965">
        <w:t>Biochar description</w:t>
      </w:r>
      <w:bookmarkEnd w:id="119"/>
    </w:p>
    <w:p w14:paraId="53ECCF9B" w14:textId="0E5916D8" w:rsidR="005563EE" w:rsidRPr="00216965" w:rsidRDefault="005563EE" w:rsidP="008A33DA">
      <w:pPr>
        <w:spacing w:line="360" w:lineRule="auto"/>
        <w:jc w:val="both"/>
      </w:pPr>
      <w:r w:rsidRPr="00216965">
        <w:t xml:space="preserve">Five biochars produced from different plant-derived feedstocks were obtained from the UK Biochar Research Centre. These were converted under well-controlled and reproducible process conditions, comprising a rotary kiln pyrolyser heated indirectly and electrically (Mašek </w:t>
      </w:r>
      <w:r w:rsidR="009B2252" w:rsidRPr="00216965">
        <w:rPr>
          <w:iCs/>
        </w:rPr>
        <w:t>et al</w:t>
      </w:r>
      <w:r w:rsidRPr="00216965">
        <w:t xml:space="preserve">., 2018). The feedstock included oil seed rape straw (OSR550, OSR700), wheat straw (WSP550), Miscanthus straw (MSP550) and soft wood (SWP550) pellets. Selected biochar properties provided by the supplier are shown in </w:t>
      </w:r>
      <w:r w:rsidR="000A5936" w:rsidRPr="00216965">
        <w:fldChar w:fldCharType="begin"/>
      </w:r>
      <w:r w:rsidR="000A5936" w:rsidRPr="00216965">
        <w:instrText xml:space="preserve"> REF _Ref86492902 \h </w:instrText>
      </w:r>
      <w:r w:rsidR="00216965" w:rsidRPr="00216965">
        <w:instrText xml:space="preserve"> \* MERGEFORMAT </w:instrText>
      </w:r>
      <w:r w:rsidR="000A5936"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1</w:t>
      </w:r>
      <w:r w:rsidR="000A5936" w:rsidRPr="00216965">
        <w:fldChar w:fldCharType="end"/>
      </w:r>
      <w:r w:rsidRPr="00216965">
        <w:t>, with other properties determined in this study experimentally. The material used in the study was the fraction passing through a 2 mm stainless steel sieve screen after grinding manually with a mortar and pestle.</w:t>
      </w:r>
    </w:p>
    <w:p w14:paraId="3EE5449A" w14:textId="77777777" w:rsidR="005563EE" w:rsidRPr="00216965" w:rsidRDefault="005563EE" w:rsidP="008A33DA">
      <w:pPr>
        <w:pStyle w:val="Heading3"/>
      </w:pPr>
      <w:bookmarkStart w:id="120" w:name="_Toc86504648"/>
      <w:r w:rsidRPr="00216965">
        <w:t>Biochar characterization</w:t>
      </w:r>
      <w:bookmarkEnd w:id="120"/>
    </w:p>
    <w:p w14:paraId="7C8592DF" w14:textId="73ADBB92" w:rsidR="005563EE" w:rsidRPr="00216965" w:rsidRDefault="005563EE" w:rsidP="008A33DA">
      <w:pPr>
        <w:spacing w:line="360" w:lineRule="auto"/>
        <w:jc w:val="both"/>
      </w:pPr>
      <w:r w:rsidRPr="00216965">
        <w:t xml:space="preserve">The cation exchange capacity (CEC) of biochar was determined using the silver thiourea (AgTU) method, as described by </w:t>
      </w:r>
      <w:r w:rsidRPr="00216965">
        <w:rPr>
          <w:rFonts w:cs="Times New Roman"/>
          <w:szCs w:val="24"/>
        </w:rPr>
        <w:fldChar w:fldCharType="begin" w:fldLock="1"/>
      </w:r>
      <w:r w:rsidR="006C06AA" w:rsidRPr="00216965">
        <w:rPr>
          <w:rFonts w:cs="Times New Roman"/>
          <w:szCs w:val="24"/>
        </w:rPr>
        <w:instrText>ADDIN CSL_CITATION {"citationItems":[{"id":"ITEM-1","itemData":{"DOI":"10.1007/s10653-016-9873-6","ISSN":"15732983","author":[{"dropping-particle":"","family":"Jiang","given":"Shasha","non-dropping-particle":"","parse-names":false,"suffix":""},{"dropping-particle":"","family":"Nguyen","given":"Tuan A H","non-dropping-particle":"","parse-names":false,"suffix":""},{"dropping-particle":"","family":"Rudolph","given":"Victor","non-dropping-particle":"","parse-names":false,"suffix":""},{"dropping-particle":"","family":"Yang","given":"Hong","non-dropping-particle":"","parse-names":false,"suffix":""},{"dropping-particle":"","family":"Zhang","given":"Dongke","non-dropping-particle":"","parse-names":false,"suffix":""},{"dropping-particle":"","family":"Ok","given":"Yong Sik","non-dropping-particle":"","parse-names":false,"suffix":""},{"dropping-particle":"","family":"Huang","given":"Longbin","non-dropping-particle":"","parse-names":false,"suffix":""}],"container-title":"Environmental Geochemistry and Health","id":"ITEM-1","issued":{"date-parts":[["2017"]]},"page":"403-415","publisher":"Springer Netherlands","title":"Characterization of hard- and softwood biochars pyrolyzed at high temperature","type":"article-journal","volume":"39"},"uris":["http://www.mendeley.com/documents/?uuid=88cb6f94-5835-415f-bc83-bee9828a938c"]}],"mendeley":{"formattedCitation":"(Jiang et al., 2017)","manualFormatting":"Jiang et al. (2017)","plainTextFormattedCitation":"(Jiang et al., 2017)","previouslyFormattedCitation":"(Jiang et al., 2017)"},"properties":{"noteIndex":0},"schema":"https://github.com/citation-style-language/schema/raw/master/csl-citation.json"}</w:instrText>
      </w:r>
      <w:r w:rsidRPr="00216965">
        <w:rPr>
          <w:rFonts w:cs="Times New Roman"/>
          <w:szCs w:val="24"/>
        </w:rPr>
        <w:fldChar w:fldCharType="separate"/>
      </w:r>
      <w:r w:rsidRPr="00216965">
        <w:rPr>
          <w:rFonts w:cs="Times New Roman"/>
          <w:noProof/>
          <w:szCs w:val="24"/>
        </w:rPr>
        <w:t xml:space="preserve">Jiang </w:t>
      </w:r>
      <w:r w:rsidR="009B2252" w:rsidRPr="00216965">
        <w:rPr>
          <w:rFonts w:cs="Times New Roman"/>
          <w:iCs/>
          <w:noProof/>
          <w:szCs w:val="24"/>
        </w:rPr>
        <w:t>et al</w:t>
      </w:r>
      <w:r w:rsidRPr="00216965">
        <w:rPr>
          <w:rFonts w:cs="Times New Roman"/>
          <w:noProof/>
          <w:szCs w:val="24"/>
        </w:rPr>
        <w:t>. (2017)</w:t>
      </w:r>
      <w:r w:rsidRPr="00216965">
        <w:rPr>
          <w:rFonts w:cs="Times New Roman"/>
          <w:szCs w:val="24"/>
        </w:rPr>
        <w:fldChar w:fldCharType="end"/>
      </w:r>
      <w:r w:rsidRPr="00216965">
        <w:t xml:space="preserve">  and the porosity was studied using the N</w:t>
      </w:r>
      <w:r w:rsidRPr="00216965">
        <w:rPr>
          <w:vertAlign w:val="subscript"/>
        </w:rPr>
        <w:t>2</w:t>
      </w:r>
      <w:r w:rsidRPr="00216965">
        <w:t xml:space="preserve"> adsorption method at 77 K with an ASAP 2010 porosity analyser (Micrometrics, USA). Pore size distribution was determined by the Barrett–Joyner–Halenda (BJH) analysis, and biochar surface area was determined using the Brunauer-Emmett-Teller (BET) method; measurements were based on 15 analysis points using the 3 Flex 4.04 software. Samples were degassed </w:t>
      </w:r>
      <w:r w:rsidRPr="00216965">
        <w:lastRenderedPageBreak/>
        <w:t xml:space="preserve">overnight (16 hours) at 100 °C in a Vacprep 061 prior to analysis (Micrometrics Sample Degas System, USA). </w:t>
      </w:r>
    </w:p>
    <w:p w14:paraId="5258A62A" w14:textId="77777777" w:rsidR="006D2F0E" w:rsidRPr="00216965" w:rsidRDefault="006D2F0E" w:rsidP="008A33DA">
      <w:pPr>
        <w:pStyle w:val="Heading3"/>
      </w:pPr>
      <w:bookmarkStart w:id="121" w:name="_Toc86504649"/>
      <w:r w:rsidRPr="00216965">
        <w:t>Adsorption experiments</w:t>
      </w:r>
      <w:bookmarkEnd w:id="121"/>
    </w:p>
    <w:p w14:paraId="2DEB8DB3" w14:textId="1C04CEFF" w:rsidR="006D2F0E" w:rsidRPr="00216965" w:rsidRDefault="006D2F0E" w:rsidP="008A33DA">
      <w:pPr>
        <w:spacing w:line="360" w:lineRule="auto"/>
        <w:jc w:val="both"/>
      </w:pPr>
      <w:r w:rsidRPr="00216965">
        <w:t xml:space="preserve">A synthetic soil pore water solution resembling the average ion composition of UK soil solution </w:t>
      </w:r>
      <w:r w:rsidRPr="00216965">
        <w:rPr>
          <w:rFonts w:cs="Times New Roman"/>
          <w:szCs w:val="24"/>
        </w:rPr>
        <w:fldChar w:fldCharType="begin" w:fldLock="1"/>
      </w:r>
      <w:r w:rsidR="00F56BD7" w:rsidRPr="00216965">
        <w:rPr>
          <w:rFonts w:cs="Times New Roman"/>
          <w:szCs w:val="24"/>
        </w:rPr>
        <w:instrText>ADDIN CSL_CITATION {"citationItems":[{"id":"ITEM-1","itemData":{"author":[{"dropping-particle":"","family":"Kinniburgh","given":"David G","non-dropping-particle":"","parse-names":false,"suffix":""},{"dropping-particle":"","family":"Miles","given":"Douglas L","non-dropping-particle":"","parse-names":false,"suffix":""}],"container-title":"Environmental Science &amp; Technology","id":"ITEM-1","issue":"6","issued":{"date-parts":[["1983"]]},"page":"362-368","title":"Extraction and chemical analysis of interstitial water from soils and rocks","type":"article-journal","volume":"17"},"uris":["http://www.mendeley.com/documents/?uuid=63b809ff-3717-3b9d-87c1-d77edc954707"]}],"mendeley":{"formattedCitation":"(Kinniburgh and Miles, 1983)","plainTextFormattedCitation":"(Kinniburgh and Miles, 1983)","previouslyFormattedCitation":"(Kinniburgh and Miles, 1983)"},"properties":{"noteIndex":0},"schema":"https://github.com/citation-style-language/schema/raw/master/csl-citation.json"}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(Kinniburgh and Miles, 1983)</w:t>
      </w:r>
      <w:r w:rsidRPr="00216965">
        <w:rPr>
          <w:rFonts w:cs="Times New Roman"/>
          <w:szCs w:val="24"/>
        </w:rPr>
        <w:fldChar w:fldCharType="end"/>
      </w:r>
      <w:r w:rsidRPr="00216965">
        <w:t xml:space="preserve"> was used for the sorption tests. Only major anions and cations were considered in the make-up of the synthetic soil pore water by dissolving the following salts in deionized water: KNO</w:t>
      </w:r>
      <w:r w:rsidRPr="00216965">
        <w:rPr>
          <w:vertAlign w:val="subscript"/>
        </w:rPr>
        <w:t>3</w:t>
      </w:r>
      <w:r w:rsidRPr="00216965">
        <w:t xml:space="preserve"> (49.52 mg.L</w:t>
      </w:r>
      <w:r w:rsidRPr="00216965">
        <w:rPr>
          <w:vertAlign w:val="superscript"/>
        </w:rPr>
        <w:t>-1</w:t>
      </w:r>
      <w:r w:rsidRPr="00216965">
        <w:t>), NaNO</w:t>
      </w:r>
      <w:r w:rsidRPr="00216965">
        <w:rPr>
          <w:vertAlign w:val="subscript"/>
        </w:rPr>
        <w:t>3</w:t>
      </w:r>
      <w:r w:rsidRPr="00216965">
        <w:t xml:space="preserve"> (26.33 mg.L</w:t>
      </w:r>
      <w:r w:rsidRPr="00216965">
        <w:rPr>
          <w:vertAlign w:val="superscript"/>
        </w:rPr>
        <w:t>-1</w:t>
      </w:r>
      <w:r w:rsidRPr="00216965">
        <w:t>), Mg(NO</w:t>
      </w:r>
      <w:r w:rsidRPr="00216965">
        <w:rPr>
          <w:vertAlign w:val="subscript"/>
        </w:rPr>
        <w:t>3</w:t>
      </w:r>
      <w:r w:rsidRPr="00216965">
        <w:t>)</w:t>
      </w:r>
      <w:r w:rsidRPr="00216965">
        <w:rPr>
          <w:vertAlign w:val="subscript"/>
        </w:rPr>
        <w:t>2</w:t>
      </w:r>
      <w:r w:rsidRPr="00216965">
        <w:t>.6H</w:t>
      </w:r>
      <w:r w:rsidRPr="00216965">
        <w:rPr>
          <w:vertAlign w:val="subscript"/>
        </w:rPr>
        <w:t>2</w:t>
      </w:r>
      <w:r w:rsidRPr="00216965">
        <w:t>O (31.089 mg.L</w:t>
      </w:r>
      <w:r w:rsidRPr="00216965">
        <w:rPr>
          <w:vertAlign w:val="superscript"/>
        </w:rPr>
        <w:t>-1</w:t>
      </w:r>
      <w:r w:rsidRPr="00216965">
        <w:t>), CaCl</w:t>
      </w:r>
      <w:r w:rsidRPr="00216965">
        <w:rPr>
          <w:vertAlign w:val="subscript"/>
        </w:rPr>
        <w:t>2</w:t>
      </w:r>
      <w:r w:rsidRPr="00216965">
        <w:t>.2H</w:t>
      </w:r>
      <w:r w:rsidRPr="00216965">
        <w:rPr>
          <w:vertAlign w:val="subscript"/>
        </w:rPr>
        <w:t>2</w:t>
      </w:r>
      <w:r w:rsidRPr="00216965">
        <w:t>O (55.19 mg.L</w:t>
      </w:r>
      <w:r w:rsidRPr="00216965">
        <w:rPr>
          <w:vertAlign w:val="superscript"/>
        </w:rPr>
        <w:t>-1</w:t>
      </w:r>
      <w:r w:rsidRPr="00216965">
        <w:t>), CaSO</w:t>
      </w:r>
      <w:r w:rsidRPr="00216965">
        <w:rPr>
          <w:vertAlign w:val="subscript"/>
        </w:rPr>
        <w:t>4</w:t>
      </w:r>
      <w:r w:rsidRPr="00216965">
        <w:t xml:space="preserve">  (43.55 mg.L</w:t>
      </w:r>
      <w:r w:rsidRPr="00216965">
        <w:rPr>
          <w:vertAlign w:val="superscript"/>
        </w:rPr>
        <w:t>-1</w:t>
      </w:r>
      <w:r w:rsidRPr="00216965">
        <w:t>), Ca(NO</w:t>
      </w:r>
      <w:r w:rsidRPr="00216965">
        <w:rPr>
          <w:vertAlign w:val="subscript"/>
        </w:rPr>
        <w:t>3</w:t>
      </w:r>
      <w:r w:rsidRPr="00216965">
        <w:t>)</w:t>
      </w:r>
      <w:r w:rsidRPr="00216965">
        <w:rPr>
          <w:vertAlign w:val="subscript"/>
        </w:rPr>
        <w:t>2</w:t>
      </w:r>
      <w:r w:rsidRPr="00216965">
        <w:t>.4H</w:t>
      </w:r>
      <w:r w:rsidRPr="00216965">
        <w:rPr>
          <w:vertAlign w:val="subscript"/>
        </w:rPr>
        <w:t>2</w:t>
      </w:r>
      <w:r w:rsidRPr="00216965">
        <w:t>O (181.71 mg.L</w:t>
      </w:r>
      <w:r w:rsidRPr="00216965">
        <w:rPr>
          <w:vertAlign w:val="superscript"/>
        </w:rPr>
        <w:t>-1</w:t>
      </w:r>
      <w:r w:rsidRPr="00216965">
        <w:t xml:space="preserve">). The ionic strength of this solution was 5 mM, with a pH of 6.8. </w:t>
      </w:r>
    </w:p>
    <w:p w14:paraId="40A7C9D8" w14:textId="1B800AEA" w:rsidR="006D2F0E" w:rsidRPr="00216965" w:rsidRDefault="006D2F0E" w:rsidP="008A33DA">
      <w:pPr>
        <w:spacing w:line="360" w:lineRule="auto"/>
        <w:jc w:val="both"/>
      </w:pPr>
      <w:r w:rsidRPr="00216965">
        <w:t>The metal adsorption experiments were performed using a batch equilibration technique in triplicate. Stock solutions (1000 mg.L</w:t>
      </w:r>
      <w:r w:rsidRPr="00216965">
        <w:rPr>
          <w:vertAlign w:val="superscript"/>
        </w:rPr>
        <w:t>-1</w:t>
      </w:r>
      <w:r w:rsidRPr="00216965">
        <w:t>) of Zn, Cd, and Pb were prepared in deionized water from Zn(NO</w:t>
      </w:r>
      <w:r w:rsidRPr="00216965">
        <w:rPr>
          <w:vertAlign w:val="subscript"/>
        </w:rPr>
        <w:t>3</w:t>
      </w:r>
      <w:r w:rsidRPr="00216965">
        <w:t>)</w:t>
      </w:r>
      <w:r w:rsidRPr="00216965">
        <w:rPr>
          <w:vertAlign w:val="subscript"/>
        </w:rPr>
        <w:t>2</w:t>
      </w:r>
      <w:r w:rsidRPr="00216965">
        <w:t>.6H</w:t>
      </w:r>
      <w:r w:rsidRPr="00216965">
        <w:rPr>
          <w:vertAlign w:val="subscript"/>
        </w:rPr>
        <w:t>2</w:t>
      </w:r>
      <w:r w:rsidRPr="00216965">
        <w:t>O, Cd(NO</w:t>
      </w:r>
      <w:r w:rsidRPr="00216965">
        <w:rPr>
          <w:vertAlign w:val="subscript"/>
        </w:rPr>
        <w:t>3</w:t>
      </w:r>
      <w:r w:rsidRPr="00216965">
        <w:t>)</w:t>
      </w:r>
      <w:r w:rsidRPr="00216965">
        <w:rPr>
          <w:vertAlign w:val="subscript"/>
        </w:rPr>
        <w:t>2</w:t>
      </w:r>
      <w:r w:rsidRPr="00216965">
        <w:t>.4H</w:t>
      </w:r>
      <w:r w:rsidRPr="00216965">
        <w:rPr>
          <w:vertAlign w:val="subscript"/>
        </w:rPr>
        <w:t>2</w:t>
      </w:r>
      <w:r w:rsidRPr="00216965">
        <w:t>O and Pb(NO</w:t>
      </w:r>
      <w:r w:rsidRPr="00216965">
        <w:rPr>
          <w:vertAlign w:val="subscript"/>
        </w:rPr>
        <w:t>3</w:t>
      </w:r>
      <w:r w:rsidRPr="00216965">
        <w:t>)</w:t>
      </w:r>
      <w:r w:rsidRPr="00216965">
        <w:rPr>
          <w:vertAlign w:val="subscript"/>
        </w:rPr>
        <w:t>2</w:t>
      </w:r>
      <w:r w:rsidRPr="00216965">
        <w:t xml:space="preserve">  (GR grade, Fisher Scientific, USA).</w:t>
      </w:r>
    </w:p>
    <w:p w14:paraId="7FF737AF" w14:textId="77777777" w:rsidR="006D2F0E" w:rsidRPr="00216965" w:rsidRDefault="006D2F0E" w:rsidP="008A33DA">
      <w:pPr>
        <w:pStyle w:val="Heading4"/>
      </w:pPr>
      <w:r w:rsidRPr="00216965">
        <w:t>Kinetics</w:t>
      </w:r>
    </w:p>
    <w:p w14:paraId="4A203B12" w14:textId="4BB59CF2" w:rsidR="006D2F0E" w:rsidRPr="00216965" w:rsidRDefault="006D2F0E" w:rsidP="008A33DA">
      <w:pPr>
        <w:spacing w:line="360" w:lineRule="auto"/>
        <w:jc w:val="both"/>
      </w:pPr>
      <w:r w:rsidRPr="00216965">
        <w:t>The effect of contact time on the adsorption capacity of biochars for Cd, Pb and Zn as single element solutions was studied. The kinetic experiments were conducted in 50 mL polyethylene centrifuge tubes containing 100.0 ± 0.3 mg of biochar and 20 mL of 5000 µg.L</w:t>
      </w:r>
      <w:r w:rsidRPr="00216965">
        <w:rPr>
          <w:vertAlign w:val="superscript"/>
        </w:rPr>
        <w:t>-1</w:t>
      </w:r>
      <w:r w:rsidRPr="00216965">
        <w:t xml:space="preserve"> soil solution of each element, preadjusted to pH 7 (average pH of pore water in UK soils) using 0.1 M NaOH solution. The mixture was agitated at 120 rpm on a reciprocating shaker at 22 ± 2 ⁰C. Replicate tubes for each biochar were destructively sampled at 10 time points (0, 1, 2, 4, 8, 12, 24, 48, 72 and 96 hours), and filtered using 0.45 µm syringe filters. The filtrates were acidified with 1% (v/v) HNO3 (TraceMetalTM grade</w:t>
      </w:r>
      <w:r w:rsidR="00CF30E2" w:rsidRPr="00216965">
        <w:t>,</w:t>
      </w:r>
      <w:r w:rsidR="00384B2E" w:rsidRPr="00216965">
        <w:t xml:space="preserve"> Fisher, </w:t>
      </w:r>
      <w:r w:rsidR="00CF30E2" w:rsidRPr="00216965">
        <w:t>USA</w:t>
      </w:r>
      <w:r w:rsidRPr="00216965">
        <w:t>) and the concentration of Cd, Pb and Zn determined by ICP-MS (Sciex Elan DRCII</w:t>
      </w:r>
      <w:r w:rsidR="00CF30E2" w:rsidRPr="00216965">
        <w:t>, PerkinElmer, USA</w:t>
      </w:r>
      <w:r w:rsidRPr="00216965">
        <w:t xml:space="preserve">). </w:t>
      </w:r>
    </w:p>
    <w:p w14:paraId="5186FD2D" w14:textId="77777777" w:rsidR="006D2F0E" w:rsidRPr="00216965" w:rsidRDefault="006D2F0E" w:rsidP="008A33DA">
      <w:pPr>
        <w:pStyle w:val="Heading4"/>
      </w:pPr>
      <w:r w:rsidRPr="00216965">
        <w:t>Effect of pH on adsorption tests</w:t>
      </w:r>
    </w:p>
    <w:p w14:paraId="42AB86CE" w14:textId="1EACA566" w:rsidR="006D2F0E" w:rsidRPr="00216965" w:rsidRDefault="006D2F0E" w:rsidP="008A33DA">
      <w:pPr>
        <w:spacing w:line="360" w:lineRule="auto"/>
        <w:jc w:val="both"/>
      </w:pPr>
      <w:r w:rsidRPr="00216965">
        <w:t xml:space="preserve">The impact of soil pore water pH on HM sorption capacity was determined as described above except that the initial pH of the solutions was adjusted to values between 4.0 and 9.0 ± 0.3 using 0.1 M NaOH or 0.1 M HCl. This is the pH range commonly present in UK soil solutions </w:t>
      </w:r>
      <w:r w:rsidRPr="00216965">
        <w:rPr>
          <w:rFonts w:cs="Times New Roman"/>
          <w:szCs w:val="24"/>
        </w:rPr>
        <w:fldChar w:fldCharType="begin" w:fldLock="1"/>
      </w:r>
      <w:r w:rsidR="00F56BD7" w:rsidRPr="00216965">
        <w:rPr>
          <w:rFonts w:cs="Times New Roman"/>
          <w:szCs w:val="24"/>
        </w:rPr>
        <w:instrText>ADDIN CSL_CITATION {"citationItems":[{"id":"ITEM-1","itemData":{"author":[{"dropping-particle":"","family":"Kinniburgh","given":"David G","non-dropping-particle":"","parse-names":false,"suffix":""},{"dropping-particle":"","family":"Miles","given":"Douglas L","non-dropping-particle":"","parse-names":false,"suffix":""}],"container-title":"Environmental Science &amp; Technology","id":"ITEM-1","issue":"6","issued":{"date-parts":[["1983"]]},"page":"362-368","title":"Extraction and chemical analysis of interstitial water from soils and rocks","type":"article-journal","volume":"17"},"uris":["http://www.mendeley.com/documents/?uuid=63b809ff-3717-3b9d-87c1-d77edc954707"]}],"mendeley":{"formattedCitation":"(Kinniburgh and Miles, 1983)","plainTextFormattedCitation":"(Kinniburgh and Miles, 1983)","previouslyFormattedCitation":"(Kinniburgh and Miles, 1983)"},"properties":{"noteIndex":0},"schema":"https://github.com/citation-style-language/schema/raw/master/csl-citation.json"}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(Kinniburgh and Miles, 1983)</w:t>
      </w:r>
      <w:r w:rsidRPr="00216965">
        <w:rPr>
          <w:rFonts w:cs="Times New Roman"/>
          <w:szCs w:val="24"/>
        </w:rPr>
        <w:fldChar w:fldCharType="end"/>
      </w:r>
      <w:r w:rsidRPr="00216965">
        <w:t>. The chemical speciation of Cd, Pb and Zn at different initial pH values was studied using visual MINTEQ 3.1 (https://vminteq.lwr.kth.se/).</w:t>
      </w:r>
    </w:p>
    <w:p w14:paraId="3D9A484C" w14:textId="77777777" w:rsidR="006D2F0E" w:rsidRPr="00216965" w:rsidRDefault="006D2F0E" w:rsidP="008A33DA">
      <w:pPr>
        <w:pStyle w:val="Heading4"/>
      </w:pPr>
      <w:r w:rsidRPr="00216965">
        <w:lastRenderedPageBreak/>
        <w:t>HMs sorption capacity</w:t>
      </w:r>
    </w:p>
    <w:p w14:paraId="62855655" w14:textId="77777777" w:rsidR="008574C0" w:rsidRPr="00216965" w:rsidRDefault="006D2F0E" w:rsidP="008A33DA">
      <w:pPr>
        <w:spacing w:line="360" w:lineRule="auto"/>
        <w:jc w:val="both"/>
      </w:pPr>
      <w:r w:rsidRPr="00216965">
        <w:t>Sorption capacity for the HMs was measured using a constant quantity (1.25 mg.L</w:t>
      </w:r>
      <w:r w:rsidRPr="00216965">
        <w:rPr>
          <w:vertAlign w:val="superscript"/>
        </w:rPr>
        <w:t>-1</w:t>
      </w:r>
      <w:r w:rsidRPr="00216965">
        <w:t>) of biochar. Trace element solutions were prepared in the range commonly present in the soil pore water of contaminated soils: from 0.05 to 10 mg.L</w:t>
      </w:r>
      <w:r w:rsidRPr="00216965">
        <w:rPr>
          <w:vertAlign w:val="superscript"/>
        </w:rPr>
        <w:t>-1</w:t>
      </w:r>
      <w:r w:rsidRPr="00216965">
        <w:t xml:space="preserve"> for Cd and Zn and from 0.5 to 50 mg.L</w:t>
      </w:r>
      <w:r w:rsidRPr="00216965">
        <w:rPr>
          <w:vertAlign w:val="superscript"/>
        </w:rPr>
        <w:t>-1</w:t>
      </w:r>
      <w:r w:rsidRPr="00216965">
        <w:t xml:space="preserve"> for Pb. As the biochar did not reach its maximum sorption capacity within that range additional concentrations up to 50 mg.L</w:t>
      </w:r>
      <w:r w:rsidRPr="00216965">
        <w:rPr>
          <w:vertAlign w:val="superscript"/>
        </w:rPr>
        <w:t>-1</w:t>
      </w:r>
      <w:r w:rsidRPr="00216965">
        <w:t xml:space="preserve"> were used for Cd and Zn and up to 85 mg.L</w:t>
      </w:r>
      <w:r w:rsidRPr="00216965">
        <w:rPr>
          <w:vertAlign w:val="superscript"/>
        </w:rPr>
        <w:t>-1</w:t>
      </w:r>
      <w:r w:rsidRPr="00216965">
        <w:t xml:space="preserve"> for Pb. Sorption experiments were carried out at an initial pH 5 for Pb sorption, pH 6.5 for Cd and pH 7.5 for Zn. </w:t>
      </w:r>
    </w:p>
    <w:p w14:paraId="3839423C" w14:textId="77777777" w:rsidR="008574C0" w:rsidRPr="00216965" w:rsidRDefault="006D2F0E" w:rsidP="008A33DA">
      <w:pPr>
        <w:spacing w:line="360" w:lineRule="auto"/>
        <w:jc w:val="both"/>
      </w:pPr>
      <w:r w:rsidRPr="00216965">
        <w:t>After filtration, biochar samples loaded with Cd, Pb and Zn were recovered and rinsed with deionized water, then dried at 22 ⁰C ± 2 ⁰C. Attenuated Total Reflection Fourier Transform Infrared (ATR-FTIR) spectra of loaded biochars were obtained using a dry-air purged</w:t>
      </w:r>
      <w:r w:rsidR="00CF30E2" w:rsidRPr="00216965">
        <w:t xml:space="preserve"> </w:t>
      </w:r>
      <w:r w:rsidRPr="00216965">
        <w:t xml:space="preserve">spectrometer </w:t>
      </w:r>
      <w:r w:rsidR="00606414" w:rsidRPr="00216965">
        <w:t>(</w:t>
      </w:r>
      <w:r w:rsidR="00CF30E2" w:rsidRPr="00216965">
        <w:t xml:space="preserve">Vertex 70, </w:t>
      </w:r>
      <w:r w:rsidR="00606414" w:rsidRPr="00216965">
        <w:t xml:space="preserve">Bruker, Germany) </w:t>
      </w:r>
      <w:r w:rsidRPr="00216965">
        <w:t>equipped with a KBr splitter, a DLaTGS detector and a diamond crystal accessory (</w:t>
      </w:r>
      <w:r w:rsidR="00606414" w:rsidRPr="00216965">
        <w:t xml:space="preserve">Platinum ATR Unit A225, </w:t>
      </w:r>
      <w:r w:rsidRPr="00216965">
        <w:t>Bruker</w:t>
      </w:r>
      <w:r w:rsidR="00606414" w:rsidRPr="00216965">
        <w:t>, Germany</w:t>
      </w:r>
      <w:r w:rsidRPr="00216965">
        <w:t>). The spectra were acquired between 400 and 2000 cm</w:t>
      </w:r>
      <w:r w:rsidRPr="00216965">
        <w:rPr>
          <w:vertAlign w:val="superscript"/>
        </w:rPr>
        <w:t>-1</w:t>
      </w:r>
      <w:r w:rsidRPr="00216965">
        <w:t xml:space="preserve"> with a resolution of 1 cm</w:t>
      </w:r>
      <w:r w:rsidRPr="00216965">
        <w:rPr>
          <w:vertAlign w:val="superscript"/>
        </w:rPr>
        <w:t>-1</w:t>
      </w:r>
      <w:r w:rsidRPr="00216965">
        <w:t xml:space="preserve"> and are an average from 16 scans. Spectra were acquired in random order, in duplicate.</w:t>
      </w:r>
    </w:p>
    <w:p w14:paraId="62D45B68" w14:textId="11D95A7C" w:rsidR="006D2F0E" w:rsidRPr="00216965" w:rsidRDefault="006D2F0E" w:rsidP="008A33DA">
      <w:pPr>
        <w:spacing w:line="360" w:lineRule="auto"/>
        <w:jc w:val="both"/>
      </w:pPr>
      <w:r w:rsidRPr="00216965">
        <w:t xml:space="preserve"> The ATR-FTIR spectra was normalized with Orange 3.25 </w:t>
      </w:r>
      <w:r w:rsidRPr="00216965">
        <w:rPr>
          <w:rFonts w:cs="Times New Roman"/>
          <w:szCs w:val="24"/>
        </w:rPr>
        <w:fldChar w:fldCharType="begin" w:fldLock="1"/>
      </w:r>
      <w:r w:rsidR="006C06AA" w:rsidRPr="00216965">
        <w:rPr>
          <w:rFonts w:cs="Times New Roman"/>
          <w:szCs w:val="24"/>
        </w:rPr>
        <w:instrText>ADDIN CSL_CITATION {"citationItems":[{"id":"ITEM-1","itemData":{"author":[{"dropping-particle":"","family":"Demsar","given":"J","non-dropping-particle":"","parse-names":false,"suffix":""},{"dropping-particle":"","family":"Curk","given":"T","non-dropping-particle":"","parse-names":false,"suffix":""},{"dropping-particle":"","family":"Erjavec","given":"A","non-dropping-particle":"","parse-names":false,"suffix":""},{"dropping-particle":"","family":"Gorup","given":"C","non-dropping-particle":"","parse-names":false,"suffix":""},{"dropping-particle":"","family":"Hocevar","given":"T","non-dropping-particle":"","parse-names":false,"suffix":""},{"dropping-particle":"","family":"Milutinovic","given":"M","non-dropping-particle":"","parse-names":false,"suffix":""},{"dropping-particle":"","family":"Mozina","given":"M","non-dropping-particle":"","parse-names":false,"suffix":""},{"dropping-particle":"","family":"Polajnar","given":"M","non-dropping-particle":"","parse-names":false,"suffix":""},{"dropping-particle":"","family":"Toplak","given":"M","non-dropping-particle":"","parse-names":false,"suffix":""},{"dropping-particle":"","family":"Staric","given":"A","non-dropping-particle":"","parse-names":false,"suffix":""},{"dropping-particle":"","family":"Stajdohar","given":"M","non-dropping-particle":"","parse-names":false,"suffix":""},{"dropping-particle":"","family":"Umek","given":"L","non-dropping-particle":"","parse-names":false,"suffix":""},{"dropping-particle":"","family":"Zagar","given":"L","non-dropping-particle":"","parse-names":false,"suffix":""},{"dropping-particle":"","family":"Zbontar","given":"J","non-dropping-particle":"","parse-names":false,"suffix":""},{"dropping-particle":"","family":"Zitnik","given":"M","non-dropping-particle":"","parse-names":false,"suffix":""},{"dropping-particle":"","family":"Zupan","given":"B","non-dropping-particle":"","parse-names":false,"suffix":""}],"container-title":"Journal of Machine Learning Research","id":"ITEM-1","issued":{"date-parts":[["2013"]]},"page":"2349−2353","title":"Orange: Data mining toolbox in phyton","type":"article-journal","volume":"14"},"uris":["http://www.mendeley.com/documents/?uuid=f9453c44-263a-32ed-8dce-195dd95178c6"]}],"mendeley":{"formattedCitation":"(Demsar et al., 2013)","plainTextFormattedCitation":"(Demsar et al., 2013)","previouslyFormattedCitation":"(Demsar et al., 2013)"},"properties":{"noteIndex":0},"schema":"https://github.com/citation-style-language/schema/raw/master/csl-citation.json"}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(Demsar et al., 2013)</w:t>
      </w:r>
      <w:r w:rsidRPr="00216965">
        <w:rPr>
          <w:rFonts w:cs="Times New Roman"/>
          <w:szCs w:val="24"/>
        </w:rPr>
        <w:fldChar w:fldCharType="end"/>
      </w:r>
      <w:r w:rsidRPr="00216965">
        <w:t xml:space="preserve">. The normalized spectra was used to conduct a principal component analysis (PCA) in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 xml:space="preserve">. Since it is possible that ATR-FTIR spectra might contain small differences between biochars that could not be distinguished visually, multivariate data tools as PCA are necessary for spectra analysis. PCA is an effective variable reduction technique for spectroscopic data </w:t>
      </w:r>
      <w:r w:rsidRPr="00216965">
        <w:rPr>
          <w:szCs w:val="24"/>
        </w:rPr>
        <w:fldChar w:fldCharType="begin" w:fldLock="1"/>
      </w:r>
      <w:r w:rsidR="006C06AA" w:rsidRPr="00216965">
        <w:rPr>
          <w:szCs w:val="24"/>
        </w:rPr>
        <w:instrText>ADDIN CSL_CITATION {"citationItems":[{"id":"ITEM-1","itemData":{"DOI":"10.1016/J.INDCROP.2017.11.005","ISSN":"0926-6690","abstract":"Fourier transform infrared (FTIR) spectroscopy, combined to principal components analysis (PCA), was applied in the classification of biomasses through the composition of their bio-oil. Bio-oils were produced through pyrolysis in a bed fixed reactor, using fifteen biomass sources available in Brazil and its characterization was made using gas chromatography coupled to mass spectrometric detector (GC/qMS). Around two hundred compounds were tentatively identified in the fifteen bio-oil samples. As expected, the chemical compositions in each bio-oil were distinct. Through the chromatographic information and PCA of the FTIR spectra it was possible observed the similarity and dissimilarity of biomasses according their bio-oil compositions. PCA revealed that FTIR spectra of biomasses fell into three different groups representing distinct bio-oil chemical compositions. The biomasses that belong to group 1 showed bio-oil compositions rich in carboxylic acids, the group 2 showed bio-oil compositions consisting predominantly of phenols and group 3 showed bio-oils with a significant amount of nitrogen compounds. Such clustering information allow exploring bio-oil quality prior to pyrolysis process.","author":[{"dropping-particle":"","family":"Lazzari","given":"Eliane","non-dropping-particle":"","parse-names":false,"suffix":""},{"dropping-particle":"","family":"Schena","given":"Tiago","non-dropping-particle":"","parse-names":false,"suffix":""},{"dropping-particle":"","family":"Marcelo","given":"Marcelo Caetano Alexandre","non-dropping-particle":"","parse-names":false,"suffix":""},{"dropping-particle":"","family":"Primaz","given":"Carmem Tatiane","non-dropping-particle":"","parse-names":false,"suffix":""},{"dropping-particle":"","family":"Silva","given":"Aline Nunes","non-dropping-particle":"","parse-names":false,"suffix":""},{"dropping-particle":"","family":"Ferrão","given":"Marco Flôres","non-dropping-particle":"","parse-names":false,"suffix":""},{"dropping-particle":"","family":"Bjerk","given":"Thiago","non-dropping-particle":"","parse-names":false,"suffix":""},{"dropping-particle":"","family":"Caramão","given":"Elina Bastos","non-dropping-particle":"","parse-names":false,"suffix":""}],"container-title":"Industrial Crops and Products","id":"ITEM-1","issued":{"date-parts":[["2018","1","1"]]},"note":"FTIR bands functional groups","page":"856-864","publisher":"Elsevier","title":"Classification of biomass through their pyrolytic bio-oil composition using FTIR and PCA analysis","type":"article-journal","volume":"111"},"uris":["http://www.mendeley.com/documents/?uuid=c093ec19-c63c-3778-89a3-3665d5dcf448"]}],"mendeley":{"formattedCitation":"(Lazzari et al., 2018)","plainTextFormattedCitation":"(Lazzari et al., 2018)","previouslyFormattedCitation":"(Lazzari et al., 2018)"},"properties":{"noteIndex":0},"schema":"https://github.com/citation-style-language/schema/raw/master/csl-citation.json"}</w:instrText>
      </w:r>
      <w:r w:rsidRPr="00216965">
        <w:rPr>
          <w:szCs w:val="24"/>
        </w:rPr>
        <w:fldChar w:fldCharType="separate"/>
      </w:r>
      <w:r w:rsidR="00C83E62" w:rsidRPr="00216965">
        <w:rPr>
          <w:noProof/>
          <w:szCs w:val="24"/>
        </w:rPr>
        <w:t>(Lazzari et al., 2018)</w:t>
      </w:r>
      <w:r w:rsidRPr="00216965">
        <w:rPr>
          <w:szCs w:val="24"/>
        </w:rPr>
        <w:fldChar w:fldCharType="end"/>
      </w:r>
      <w:r w:rsidRPr="00216965">
        <w:t>. Scanning electron microscopy coupled with Energy Dispersive X-Ray Spectroscopy (SEM-EDX) was conducted on HM-loaded biochars using an Inspect F50 (FEI, US</w:t>
      </w:r>
      <w:r w:rsidR="00CF30E2" w:rsidRPr="00216965">
        <w:t>A</w:t>
      </w:r>
      <w:r w:rsidRPr="00216965">
        <w:t>) and AZtec (Oxford Instruments</w:t>
      </w:r>
      <w:r w:rsidR="00CF30E2" w:rsidRPr="00216965">
        <w:t>, UK</w:t>
      </w:r>
      <w:r w:rsidRPr="00216965">
        <w:t>) respectively; 20 kV with spot size 4 were used and point ID area analysis and electronic x-ray mapping were assessed in raw and HM-loaded samples.</w:t>
      </w:r>
    </w:p>
    <w:p w14:paraId="6D112B88" w14:textId="77777777" w:rsidR="006D2F0E" w:rsidRPr="00216965" w:rsidRDefault="006D2F0E" w:rsidP="008A33DA">
      <w:pPr>
        <w:spacing w:line="480" w:lineRule="auto"/>
        <w:jc w:val="both"/>
      </w:pPr>
    </w:p>
    <w:p w14:paraId="4BD375CD" w14:textId="1C527682" w:rsidR="007105B6" w:rsidRPr="00216965" w:rsidRDefault="007105B6" w:rsidP="008A33DA">
      <w:pPr>
        <w:tabs>
          <w:tab w:val="left" w:pos="2064"/>
        </w:tabs>
      </w:pPr>
      <w:r w:rsidRPr="00216965">
        <w:tab/>
      </w:r>
    </w:p>
    <w:p w14:paraId="22991193" w14:textId="6543FEA8" w:rsidR="007105B6" w:rsidRPr="00216965" w:rsidRDefault="007105B6" w:rsidP="008A33DA">
      <w:pPr>
        <w:tabs>
          <w:tab w:val="left" w:pos="2064"/>
        </w:tabs>
      </w:pPr>
    </w:p>
    <w:p w14:paraId="7C8D4D17" w14:textId="53D3784B" w:rsidR="007105B6" w:rsidRPr="00216965" w:rsidRDefault="007105B6" w:rsidP="008A33DA">
      <w:pPr>
        <w:tabs>
          <w:tab w:val="left" w:pos="2064"/>
        </w:tabs>
      </w:pPr>
    </w:p>
    <w:p w14:paraId="72BAC8B5" w14:textId="02B2C470" w:rsidR="007105B6" w:rsidRPr="00216965" w:rsidRDefault="007105B6" w:rsidP="008A33DA">
      <w:pPr>
        <w:tabs>
          <w:tab w:val="left" w:pos="2064"/>
        </w:tabs>
      </w:pPr>
    </w:p>
    <w:p w14:paraId="1F26B9C2" w14:textId="2BB0FC61" w:rsidR="007105B6" w:rsidRPr="00216965" w:rsidRDefault="007105B6" w:rsidP="008A33DA">
      <w:pPr>
        <w:tabs>
          <w:tab w:val="left" w:pos="2064"/>
        </w:tabs>
      </w:pPr>
    </w:p>
    <w:p w14:paraId="2C6CA886" w14:textId="07AED8FC" w:rsidR="007105B6" w:rsidRPr="00216965" w:rsidRDefault="007105B6" w:rsidP="008A33DA">
      <w:pPr>
        <w:tabs>
          <w:tab w:val="left" w:pos="2064"/>
        </w:tabs>
        <w:sectPr w:rsidR="007105B6" w:rsidRPr="00216965" w:rsidSect="00A0457B">
          <w:pgSz w:w="11906" w:h="16838"/>
          <w:pgMar w:top="1440" w:right="1440" w:bottom="1440" w:left="1440" w:header="708" w:footer="708" w:gutter="0"/>
          <w:cols w:space="708"/>
          <w:docGrid w:linePitch="360"/>
        </w:sectPr>
      </w:pPr>
    </w:p>
    <w:p w14:paraId="4D8AF4C9" w14:textId="77777777" w:rsidR="007105B6" w:rsidRPr="00216965" w:rsidRDefault="007105B6" w:rsidP="008A33DA">
      <w:pPr>
        <w:pStyle w:val="Caption"/>
        <w:rPr>
          <w:b/>
          <w:bCs w:val="0"/>
        </w:rPr>
      </w:pPr>
      <w:bookmarkStart w:id="122" w:name="_Toc86440364"/>
      <w:bookmarkStart w:id="123" w:name="_Hlk86426118"/>
    </w:p>
    <w:p w14:paraId="5D8A0498" w14:textId="77777777" w:rsidR="007105B6" w:rsidRPr="00216965" w:rsidRDefault="007105B6" w:rsidP="008A33DA">
      <w:pPr>
        <w:pStyle w:val="Caption"/>
        <w:rPr>
          <w:b/>
          <w:bCs w:val="0"/>
        </w:rPr>
      </w:pPr>
    </w:p>
    <w:p w14:paraId="5F89F40B" w14:textId="2D9078C1" w:rsidR="005563EE" w:rsidRPr="00216965" w:rsidRDefault="00C6120A" w:rsidP="008A33DA">
      <w:pPr>
        <w:pStyle w:val="Caption"/>
        <w:rPr>
          <w:rFonts w:eastAsia="Times New Roman" w:cs="Times New Roman"/>
          <w:b/>
          <w:bCs w:val="0"/>
          <w:color w:val="000000"/>
          <w:szCs w:val="24"/>
        </w:rPr>
      </w:pPr>
      <w:bookmarkStart w:id="124" w:name="_Ref86492902"/>
      <w:r w:rsidRPr="00216965">
        <w:rPr>
          <w:b/>
          <w:bCs w:val="0"/>
        </w:rPr>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3</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1</w:t>
      </w:r>
      <w:r w:rsidR="00E569FA" w:rsidRPr="00216965">
        <w:rPr>
          <w:b/>
          <w:bCs w:val="0"/>
        </w:rPr>
        <w:fldChar w:fldCharType="end"/>
      </w:r>
      <w:bookmarkEnd w:id="124"/>
      <w:r w:rsidRPr="00216965">
        <w:t xml:space="preserve"> </w:t>
      </w:r>
      <w:r w:rsidRPr="00216965">
        <w:rPr>
          <w:rFonts w:eastAsia="Times New Roman" w:cs="Times New Roman"/>
          <w:b/>
          <w:bCs w:val="0"/>
          <w:color w:val="000000"/>
          <w:szCs w:val="24"/>
        </w:rPr>
        <w:t>Biochar properties</w:t>
      </w:r>
      <w:bookmarkEnd w:id="122"/>
    </w:p>
    <w:tbl>
      <w:tblPr>
        <w:tblStyle w:val="TableGrid"/>
        <w:tblpPr w:leftFromText="180" w:rightFromText="180" w:vertAnchor="text" w:tblpY="1"/>
        <w:tblOverlap w:val="never"/>
        <w:tblW w:w="1317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1848"/>
        <w:gridCol w:w="2121"/>
        <w:gridCol w:w="2268"/>
        <w:gridCol w:w="2552"/>
        <w:gridCol w:w="2126"/>
      </w:tblGrid>
      <w:tr w:rsidR="005563EE" w:rsidRPr="00216965" w14:paraId="4D79BE4E" w14:textId="77777777" w:rsidTr="008A33DA">
        <w:tc>
          <w:tcPr>
            <w:tcW w:w="2263" w:type="dxa"/>
            <w:tcBorders>
              <w:top w:val="single" w:sz="4" w:space="0" w:color="auto"/>
              <w:bottom w:val="single" w:sz="4" w:space="0" w:color="auto"/>
            </w:tcBorders>
            <w:shd w:val="clear" w:color="auto" w:fill="A8D08D" w:themeFill="accent6" w:themeFillTint="99"/>
            <w:hideMark/>
          </w:tcPr>
          <w:p w14:paraId="4A644241" w14:textId="77777777" w:rsidR="005563EE" w:rsidRPr="00216965" w:rsidRDefault="005563EE" w:rsidP="00A0457B">
            <w:pPr>
              <w:ind w:firstLine="31"/>
              <w:jc w:val="both"/>
              <w:rPr>
                <w:rFonts w:cs="Times New Roman"/>
                <w:lang w:val="es-ES"/>
              </w:rPr>
            </w:pPr>
            <w:r w:rsidRPr="00216965">
              <w:rPr>
                <w:rFonts w:cs="Times New Roman"/>
                <w:lang w:val="es-ES"/>
              </w:rPr>
              <w:t>Source</w:t>
            </w:r>
          </w:p>
        </w:tc>
        <w:tc>
          <w:tcPr>
            <w:tcW w:w="3969" w:type="dxa"/>
            <w:gridSpan w:val="2"/>
            <w:tcBorders>
              <w:top w:val="single" w:sz="4" w:space="0" w:color="auto"/>
              <w:bottom w:val="single" w:sz="4" w:space="0" w:color="auto"/>
            </w:tcBorders>
            <w:shd w:val="clear" w:color="auto" w:fill="A8D08D" w:themeFill="accent6" w:themeFillTint="99"/>
            <w:hideMark/>
          </w:tcPr>
          <w:p w14:paraId="034EA5E9" w14:textId="7E86DD1D" w:rsidR="005563EE" w:rsidRPr="00216965" w:rsidRDefault="005563EE" w:rsidP="00A0457B">
            <w:pPr>
              <w:jc w:val="both"/>
              <w:rPr>
                <w:rFonts w:cs="Times New Roman"/>
              </w:rPr>
            </w:pPr>
            <w:r w:rsidRPr="00216965">
              <w:rPr>
                <w:rFonts w:cs="Times New Roman"/>
              </w:rPr>
              <w:t>Oil seed rape pellets</w:t>
            </w:r>
          </w:p>
        </w:tc>
        <w:tc>
          <w:tcPr>
            <w:tcW w:w="2268" w:type="dxa"/>
            <w:tcBorders>
              <w:top w:val="single" w:sz="4" w:space="0" w:color="auto"/>
              <w:bottom w:val="single" w:sz="4" w:space="0" w:color="auto"/>
            </w:tcBorders>
            <w:shd w:val="clear" w:color="auto" w:fill="A8D08D" w:themeFill="accent6" w:themeFillTint="99"/>
            <w:hideMark/>
          </w:tcPr>
          <w:p w14:paraId="7B3F9D81" w14:textId="5C4423E0" w:rsidR="005563EE" w:rsidRPr="00216965" w:rsidRDefault="005563EE" w:rsidP="00A0457B">
            <w:pPr>
              <w:jc w:val="both"/>
              <w:rPr>
                <w:rFonts w:cs="Times New Roman"/>
                <w:lang w:val="es-ES"/>
              </w:rPr>
            </w:pPr>
            <w:r w:rsidRPr="00216965">
              <w:rPr>
                <w:rFonts w:cs="Times New Roman"/>
                <w:lang w:val="es-ES"/>
              </w:rPr>
              <w:t>Wheat pellets</w:t>
            </w:r>
          </w:p>
        </w:tc>
        <w:tc>
          <w:tcPr>
            <w:tcW w:w="2552" w:type="dxa"/>
            <w:tcBorders>
              <w:top w:val="single" w:sz="4" w:space="0" w:color="auto"/>
              <w:bottom w:val="single" w:sz="4" w:space="0" w:color="auto"/>
            </w:tcBorders>
            <w:shd w:val="clear" w:color="auto" w:fill="A8D08D" w:themeFill="accent6" w:themeFillTint="99"/>
            <w:hideMark/>
          </w:tcPr>
          <w:p w14:paraId="528A511B" w14:textId="3AAECE6F" w:rsidR="005563EE" w:rsidRPr="00216965" w:rsidRDefault="005563EE" w:rsidP="00A0457B">
            <w:pPr>
              <w:jc w:val="both"/>
              <w:rPr>
                <w:rFonts w:cs="Times New Roman"/>
                <w:lang w:val="es-ES"/>
              </w:rPr>
            </w:pPr>
            <w:r w:rsidRPr="00216965">
              <w:rPr>
                <w:rFonts w:cs="Times New Roman"/>
                <w:lang w:val="es-ES"/>
              </w:rPr>
              <w:t>Miscanthus pellets</w:t>
            </w:r>
          </w:p>
        </w:tc>
        <w:tc>
          <w:tcPr>
            <w:tcW w:w="2126" w:type="dxa"/>
            <w:tcBorders>
              <w:top w:val="single" w:sz="4" w:space="0" w:color="auto"/>
              <w:bottom w:val="single" w:sz="4" w:space="0" w:color="auto"/>
            </w:tcBorders>
            <w:shd w:val="clear" w:color="auto" w:fill="A8D08D" w:themeFill="accent6" w:themeFillTint="99"/>
            <w:hideMark/>
          </w:tcPr>
          <w:p w14:paraId="1F56514D" w14:textId="77777777" w:rsidR="005563EE" w:rsidRPr="00216965" w:rsidRDefault="005563EE" w:rsidP="00A0457B">
            <w:pPr>
              <w:jc w:val="both"/>
              <w:rPr>
                <w:rFonts w:cs="Times New Roman"/>
                <w:lang w:val="es-ES"/>
              </w:rPr>
            </w:pPr>
            <w:r w:rsidRPr="00216965">
              <w:rPr>
                <w:rFonts w:cs="Times New Roman"/>
                <w:lang w:val="es-ES"/>
              </w:rPr>
              <w:t>Soft wood pellets</w:t>
            </w:r>
          </w:p>
        </w:tc>
      </w:tr>
      <w:tr w:rsidR="005563EE" w:rsidRPr="00216965" w14:paraId="316C0669" w14:textId="77777777" w:rsidTr="008A33DA">
        <w:tc>
          <w:tcPr>
            <w:tcW w:w="2263" w:type="dxa"/>
            <w:tcBorders>
              <w:top w:val="single" w:sz="4" w:space="0" w:color="auto"/>
            </w:tcBorders>
            <w:shd w:val="clear" w:color="auto" w:fill="A8D08D" w:themeFill="accent6" w:themeFillTint="99"/>
            <w:hideMark/>
          </w:tcPr>
          <w:p w14:paraId="52868D2D" w14:textId="77777777" w:rsidR="005563EE" w:rsidRPr="00216965" w:rsidRDefault="005563EE" w:rsidP="00A0457B">
            <w:pPr>
              <w:ind w:firstLine="31"/>
              <w:jc w:val="both"/>
              <w:rPr>
                <w:rFonts w:cs="Times New Roman"/>
                <w:lang w:val="es-ES"/>
              </w:rPr>
            </w:pPr>
            <w:r w:rsidRPr="00216965">
              <w:rPr>
                <w:rFonts w:cs="Times New Roman"/>
                <w:lang w:val="es-ES"/>
              </w:rPr>
              <w:t>Biochar notation</w:t>
            </w:r>
          </w:p>
        </w:tc>
        <w:tc>
          <w:tcPr>
            <w:tcW w:w="3969" w:type="dxa"/>
            <w:gridSpan w:val="2"/>
            <w:tcBorders>
              <w:top w:val="single" w:sz="4" w:space="0" w:color="auto"/>
              <w:bottom w:val="single" w:sz="4" w:space="0" w:color="auto"/>
            </w:tcBorders>
            <w:shd w:val="clear" w:color="auto" w:fill="A8D08D" w:themeFill="accent6" w:themeFillTint="99"/>
            <w:hideMark/>
          </w:tcPr>
          <w:p w14:paraId="0EE2E532" w14:textId="77777777" w:rsidR="005563EE" w:rsidRPr="00216965" w:rsidRDefault="005563EE" w:rsidP="00A0457B">
            <w:pPr>
              <w:jc w:val="both"/>
              <w:rPr>
                <w:rFonts w:cs="Times New Roman"/>
                <w:lang w:val="es-ES"/>
              </w:rPr>
            </w:pPr>
            <w:r w:rsidRPr="00216965">
              <w:rPr>
                <w:rFonts w:cs="Times New Roman"/>
                <w:lang w:val="es-ES"/>
              </w:rPr>
              <w:t>OSR550                  OSR700</w:t>
            </w:r>
          </w:p>
        </w:tc>
        <w:tc>
          <w:tcPr>
            <w:tcW w:w="2268" w:type="dxa"/>
            <w:tcBorders>
              <w:top w:val="single" w:sz="4" w:space="0" w:color="auto"/>
              <w:bottom w:val="single" w:sz="4" w:space="0" w:color="auto"/>
            </w:tcBorders>
            <w:shd w:val="clear" w:color="auto" w:fill="A8D08D" w:themeFill="accent6" w:themeFillTint="99"/>
            <w:hideMark/>
          </w:tcPr>
          <w:p w14:paraId="317F6D95" w14:textId="77777777" w:rsidR="005563EE" w:rsidRPr="00216965" w:rsidRDefault="005563EE" w:rsidP="00A0457B">
            <w:pPr>
              <w:jc w:val="both"/>
              <w:rPr>
                <w:rFonts w:cs="Times New Roman"/>
                <w:lang w:val="es-ES"/>
              </w:rPr>
            </w:pPr>
            <w:r w:rsidRPr="00216965">
              <w:rPr>
                <w:rFonts w:cs="Times New Roman"/>
                <w:lang w:val="es-ES"/>
              </w:rPr>
              <w:t>WSP550</w:t>
            </w:r>
          </w:p>
        </w:tc>
        <w:tc>
          <w:tcPr>
            <w:tcW w:w="2552" w:type="dxa"/>
            <w:tcBorders>
              <w:top w:val="single" w:sz="4" w:space="0" w:color="auto"/>
              <w:bottom w:val="single" w:sz="4" w:space="0" w:color="auto"/>
            </w:tcBorders>
            <w:shd w:val="clear" w:color="auto" w:fill="A8D08D" w:themeFill="accent6" w:themeFillTint="99"/>
            <w:hideMark/>
          </w:tcPr>
          <w:p w14:paraId="009BAC5F" w14:textId="77777777" w:rsidR="005563EE" w:rsidRPr="00216965" w:rsidRDefault="005563EE" w:rsidP="00A0457B">
            <w:pPr>
              <w:jc w:val="both"/>
              <w:rPr>
                <w:rFonts w:cs="Times New Roman"/>
                <w:lang w:val="es-ES"/>
              </w:rPr>
            </w:pPr>
            <w:r w:rsidRPr="00216965">
              <w:rPr>
                <w:rFonts w:cs="Times New Roman"/>
                <w:lang w:val="es-ES"/>
              </w:rPr>
              <w:t>MSP550</w:t>
            </w:r>
          </w:p>
        </w:tc>
        <w:tc>
          <w:tcPr>
            <w:tcW w:w="2126" w:type="dxa"/>
            <w:tcBorders>
              <w:top w:val="single" w:sz="4" w:space="0" w:color="auto"/>
              <w:bottom w:val="single" w:sz="4" w:space="0" w:color="auto"/>
            </w:tcBorders>
            <w:shd w:val="clear" w:color="auto" w:fill="A8D08D" w:themeFill="accent6" w:themeFillTint="99"/>
            <w:hideMark/>
          </w:tcPr>
          <w:p w14:paraId="6F3077AC" w14:textId="77777777" w:rsidR="005563EE" w:rsidRPr="00216965" w:rsidRDefault="005563EE" w:rsidP="00A0457B">
            <w:pPr>
              <w:jc w:val="both"/>
              <w:rPr>
                <w:rFonts w:cs="Times New Roman"/>
                <w:lang w:val="es-ES"/>
              </w:rPr>
            </w:pPr>
            <w:r w:rsidRPr="00216965">
              <w:rPr>
                <w:rFonts w:cs="Times New Roman"/>
                <w:lang w:val="es-ES"/>
              </w:rPr>
              <w:t>SWP550</w:t>
            </w:r>
          </w:p>
        </w:tc>
      </w:tr>
      <w:tr w:rsidR="005563EE" w:rsidRPr="00216965" w14:paraId="47A8C6C9" w14:textId="77777777" w:rsidTr="008A33DA">
        <w:tc>
          <w:tcPr>
            <w:tcW w:w="2263" w:type="dxa"/>
            <w:hideMark/>
          </w:tcPr>
          <w:p w14:paraId="183EB201" w14:textId="77777777" w:rsidR="005563EE" w:rsidRPr="00216965" w:rsidRDefault="005563EE" w:rsidP="00A0457B">
            <w:pPr>
              <w:ind w:firstLine="31"/>
              <w:jc w:val="both"/>
              <w:rPr>
                <w:rFonts w:cs="Times New Roman"/>
                <w:lang w:val="es-ES"/>
              </w:rPr>
            </w:pPr>
            <w:r w:rsidRPr="00216965">
              <w:rPr>
                <w:rFonts w:cs="Times New Roman"/>
                <w:lang w:val="es-ES"/>
              </w:rPr>
              <w:t>Temperature (⁰C)</w:t>
            </w:r>
            <w:r w:rsidRPr="00216965">
              <w:rPr>
                <w:rFonts w:cs="Times New Roman"/>
                <w:vertAlign w:val="superscript"/>
                <w:lang w:val="es-ES"/>
              </w:rPr>
              <w:t>1</w:t>
            </w:r>
          </w:p>
        </w:tc>
        <w:tc>
          <w:tcPr>
            <w:tcW w:w="1848" w:type="dxa"/>
            <w:tcBorders>
              <w:top w:val="single" w:sz="4" w:space="0" w:color="auto"/>
            </w:tcBorders>
            <w:hideMark/>
          </w:tcPr>
          <w:p w14:paraId="383F8B42" w14:textId="77777777" w:rsidR="005563EE" w:rsidRPr="00216965" w:rsidRDefault="005563EE" w:rsidP="00A0457B">
            <w:pPr>
              <w:jc w:val="both"/>
              <w:rPr>
                <w:rFonts w:cs="Times New Roman"/>
                <w:lang w:val="es-ES"/>
              </w:rPr>
            </w:pPr>
            <w:r w:rsidRPr="00216965">
              <w:rPr>
                <w:rFonts w:cs="Times New Roman"/>
                <w:lang w:val="es-ES"/>
              </w:rPr>
              <w:t>550</w:t>
            </w:r>
          </w:p>
        </w:tc>
        <w:tc>
          <w:tcPr>
            <w:tcW w:w="2121" w:type="dxa"/>
            <w:tcBorders>
              <w:top w:val="single" w:sz="4" w:space="0" w:color="auto"/>
            </w:tcBorders>
            <w:hideMark/>
          </w:tcPr>
          <w:p w14:paraId="78CE33F9" w14:textId="77777777" w:rsidR="005563EE" w:rsidRPr="00216965" w:rsidRDefault="005563EE" w:rsidP="00A0457B">
            <w:pPr>
              <w:jc w:val="both"/>
              <w:rPr>
                <w:rFonts w:cs="Times New Roman"/>
                <w:lang w:val="es-ES"/>
              </w:rPr>
            </w:pPr>
            <w:r w:rsidRPr="00216965">
              <w:rPr>
                <w:rFonts w:cs="Times New Roman"/>
                <w:lang w:val="es-ES"/>
              </w:rPr>
              <w:t>700</w:t>
            </w:r>
          </w:p>
        </w:tc>
        <w:tc>
          <w:tcPr>
            <w:tcW w:w="2268" w:type="dxa"/>
            <w:tcBorders>
              <w:top w:val="single" w:sz="4" w:space="0" w:color="auto"/>
            </w:tcBorders>
            <w:hideMark/>
          </w:tcPr>
          <w:p w14:paraId="19ACBEDC" w14:textId="77777777" w:rsidR="005563EE" w:rsidRPr="00216965" w:rsidRDefault="005563EE" w:rsidP="00A0457B">
            <w:pPr>
              <w:jc w:val="both"/>
              <w:rPr>
                <w:rFonts w:cs="Times New Roman"/>
                <w:lang w:val="es-ES"/>
              </w:rPr>
            </w:pPr>
            <w:r w:rsidRPr="00216965">
              <w:rPr>
                <w:rFonts w:cs="Times New Roman"/>
                <w:lang w:val="es-ES"/>
              </w:rPr>
              <w:t>550</w:t>
            </w:r>
          </w:p>
        </w:tc>
        <w:tc>
          <w:tcPr>
            <w:tcW w:w="2552" w:type="dxa"/>
            <w:tcBorders>
              <w:top w:val="single" w:sz="4" w:space="0" w:color="auto"/>
            </w:tcBorders>
            <w:hideMark/>
          </w:tcPr>
          <w:p w14:paraId="1322CAE0" w14:textId="77777777" w:rsidR="005563EE" w:rsidRPr="00216965" w:rsidRDefault="005563EE" w:rsidP="00A0457B">
            <w:pPr>
              <w:jc w:val="both"/>
              <w:rPr>
                <w:rFonts w:cs="Times New Roman"/>
                <w:lang w:val="es-ES"/>
              </w:rPr>
            </w:pPr>
            <w:r w:rsidRPr="00216965">
              <w:rPr>
                <w:rFonts w:cs="Times New Roman"/>
                <w:lang w:val="es-ES"/>
              </w:rPr>
              <w:t>550</w:t>
            </w:r>
          </w:p>
        </w:tc>
        <w:tc>
          <w:tcPr>
            <w:tcW w:w="2126" w:type="dxa"/>
            <w:tcBorders>
              <w:top w:val="single" w:sz="4" w:space="0" w:color="auto"/>
            </w:tcBorders>
            <w:hideMark/>
          </w:tcPr>
          <w:p w14:paraId="38CDBBC2" w14:textId="77777777" w:rsidR="005563EE" w:rsidRPr="00216965" w:rsidRDefault="005563EE" w:rsidP="00A0457B">
            <w:pPr>
              <w:jc w:val="both"/>
              <w:rPr>
                <w:rFonts w:cs="Times New Roman"/>
                <w:lang w:val="es-ES"/>
              </w:rPr>
            </w:pPr>
            <w:r w:rsidRPr="00216965">
              <w:rPr>
                <w:rFonts w:cs="Times New Roman"/>
                <w:lang w:val="es-ES"/>
              </w:rPr>
              <w:t>550</w:t>
            </w:r>
          </w:p>
        </w:tc>
      </w:tr>
      <w:tr w:rsidR="005563EE" w:rsidRPr="00216965" w14:paraId="27C9B587" w14:textId="77777777" w:rsidTr="008A33DA">
        <w:tc>
          <w:tcPr>
            <w:tcW w:w="2263" w:type="dxa"/>
            <w:hideMark/>
          </w:tcPr>
          <w:p w14:paraId="30DEE789" w14:textId="77777777" w:rsidR="005563EE" w:rsidRPr="00216965" w:rsidRDefault="005563EE" w:rsidP="00A0457B">
            <w:pPr>
              <w:ind w:firstLine="31"/>
              <w:jc w:val="both"/>
              <w:rPr>
                <w:rFonts w:cs="Times New Roman"/>
                <w:lang w:val="es-ES"/>
              </w:rPr>
            </w:pPr>
            <w:r w:rsidRPr="00216965">
              <w:rPr>
                <w:rFonts w:cs="Times New Roman"/>
                <w:lang w:val="es-ES"/>
              </w:rPr>
              <w:t>pH</w:t>
            </w:r>
            <w:r w:rsidRPr="00216965">
              <w:rPr>
                <w:rFonts w:cs="Times New Roman"/>
                <w:vertAlign w:val="superscript"/>
                <w:lang w:val="es-ES"/>
              </w:rPr>
              <w:t xml:space="preserve"> a</w:t>
            </w:r>
          </w:p>
        </w:tc>
        <w:tc>
          <w:tcPr>
            <w:tcW w:w="1848" w:type="dxa"/>
            <w:hideMark/>
          </w:tcPr>
          <w:p w14:paraId="7265366D" w14:textId="77777777" w:rsidR="005563EE" w:rsidRPr="00216965" w:rsidRDefault="005563EE" w:rsidP="00A0457B">
            <w:pPr>
              <w:jc w:val="both"/>
              <w:rPr>
                <w:rFonts w:cs="Times New Roman"/>
                <w:lang w:val="es-ES"/>
              </w:rPr>
            </w:pPr>
            <w:r w:rsidRPr="00216965">
              <w:rPr>
                <w:rFonts w:cs="Times New Roman"/>
                <w:lang w:val="es-ES"/>
              </w:rPr>
              <w:t xml:space="preserve">9.8 </w:t>
            </w:r>
            <w:r w:rsidRPr="00216965">
              <w:rPr>
                <w:rFonts w:eastAsia="Times New Roman" w:cs="Times New Roman"/>
                <w:color w:val="000000"/>
                <w:lang w:val="es-ES" w:eastAsia="es-ES"/>
              </w:rPr>
              <w:t>± 0.5</w:t>
            </w:r>
          </w:p>
        </w:tc>
        <w:tc>
          <w:tcPr>
            <w:tcW w:w="2121" w:type="dxa"/>
            <w:hideMark/>
          </w:tcPr>
          <w:p w14:paraId="2FE5F4A0" w14:textId="77777777" w:rsidR="005563EE" w:rsidRPr="00216965" w:rsidRDefault="005563EE" w:rsidP="00A0457B">
            <w:pPr>
              <w:jc w:val="both"/>
              <w:rPr>
                <w:rFonts w:cs="Times New Roman"/>
                <w:lang w:val="es-ES"/>
              </w:rPr>
            </w:pPr>
            <w:r w:rsidRPr="00216965">
              <w:rPr>
                <w:rFonts w:cs="Times New Roman"/>
                <w:lang w:val="es-ES"/>
              </w:rPr>
              <w:t xml:space="preserve">10.4 </w:t>
            </w:r>
            <w:r w:rsidRPr="00216965">
              <w:rPr>
                <w:rFonts w:eastAsia="Times New Roman" w:cs="Times New Roman"/>
                <w:color w:val="000000"/>
                <w:lang w:val="es-ES" w:eastAsia="es-ES"/>
              </w:rPr>
              <w:t>± 0.5</w:t>
            </w:r>
          </w:p>
        </w:tc>
        <w:tc>
          <w:tcPr>
            <w:tcW w:w="2268" w:type="dxa"/>
            <w:hideMark/>
          </w:tcPr>
          <w:p w14:paraId="23E66FE0" w14:textId="77777777" w:rsidR="005563EE" w:rsidRPr="00216965" w:rsidRDefault="005563EE" w:rsidP="00A0457B">
            <w:pPr>
              <w:jc w:val="both"/>
              <w:rPr>
                <w:rFonts w:cs="Times New Roman"/>
                <w:lang w:val="es-ES"/>
              </w:rPr>
            </w:pPr>
            <w:r w:rsidRPr="00216965">
              <w:rPr>
                <w:rFonts w:cs="Times New Roman"/>
                <w:lang w:val="es-ES"/>
              </w:rPr>
              <w:t xml:space="preserve">9.9 </w:t>
            </w:r>
            <w:r w:rsidRPr="00216965">
              <w:rPr>
                <w:rFonts w:eastAsia="Times New Roman" w:cs="Times New Roman"/>
                <w:color w:val="000000"/>
                <w:lang w:val="es-ES" w:eastAsia="es-ES"/>
              </w:rPr>
              <w:t>± 0.2</w:t>
            </w:r>
          </w:p>
        </w:tc>
        <w:tc>
          <w:tcPr>
            <w:tcW w:w="2552" w:type="dxa"/>
            <w:hideMark/>
          </w:tcPr>
          <w:p w14:paraId="5A5E9E5E" w14:textId="77777777" w:rsidR="005563EE" w:rsidRPr="00216965" w:rsidRDefault="005563EE" w:rsidP="00A0457B">
            <w:pPr>
              <w:jc w:val="both"/>
              <w:rPr>
                <w:rFonts w:cs="Times New Roman"/>
                <w:lang w:val="es-ES"/>
              </w:rPr>
            </w:pPr>
            <w:r w:rsidRPr="00216965">
              <w:rPr>
                <w:rFonts w:cs="Times New Roman"/>
                <w:lang w:val="es-ES"/>
              </w:rPr>
              <w:t xml:space="preserve">9.8 </w:t>
            </w:r>
            <w:r w:rsidRPr="00216965">
              <w:rPr>
                <w:rFonts w:eastAsia="Times New Roman" w:cs="Times New Roman"/>
                <w:color w:val="000000"/>
                <w:lang w:val="es-ES" w:eastAsia="es-ES"/>
              </w:rPr>
              <w:t>± 0.2</w:t>
            </w:r>
          </w:p>
        </w:tc>
        <w:tc>
          <w:tcPr>
            <w:tcW w:w="2126" w:type="dxa"/>
            <w:hideMark/>
          </w:tcPr>
          <w:p w14:paraId="7AEE6C9D" w14:textId="77777777" w:rsidR="005563EE" w:rsidRPr="00216965" w:rsidRDefault="005563EE" w:rsidP="00A0457B">
            <w:pPr>
              <w:jc w:val="both"/>
              <w:rPr>
                <w:rFonts w:cs="Times New Roman"/>
                <w:lang w:val="es-ES"/>
              </w:rPr>
            </w:pPr>
            <w:r w:rsidRPr="00216965">
              <w:rPr>
                <w:rFonts w:cs="Times New Roman"/>
                <w:lang w:val="es-ES"/>
              </w:rPr>
              <w:t xml:space="preserve">7.9 </w:t>
            </w:r>
            <w:r w:rsidRPr="00216965">
              <w:rPr>
                <w:rFonts w:eastAsia="Times New Roman" w:cs="Times New Roman"/>
                <w:color w:val="000000"/>
                <w:lang w:val="es-ES" w:eastAsia="es-ES"/>
              </w:rPr>
              <w:t>± 0.3</w:t>
            </w:r>
          </w:p>
        </w:tc>
      </w:tr>
      <w:tr w:rsidR="005563EE" w:rsidRPr="00216965" w14:paraId="100314D7" w14:textId="77777777" w:rsidTr="008A33DA">
        <w:tc>
          <w:tcPr>
            <w:tcW w:w="2263" w:type="dxa"/>
            <w:hideMark/>
          </w:tcPr>
          <w:p w14:paraId="0045C481" w14:textId="77777777" w:rsidR="005563EE" w:rsidRPr="00216965" w:rsidRDefault="005563EE" w:rsidP="00A0457B">
            <w:pPr>
              <w:ind w:firstLine="31"/>
              <w:jc w:val="both"/>
              <w:rPr>
                <w:rFonts w:cs="Times New Roman"/>
                <w:lang w:val="es-ES"/>
              </w:rPr>
            </w:pPr>
            <w:r w:rsidRPr="00216965">
              <w:rPr>
                <w:rFonts w:cs="Times New Roman"/>
                <w:lang w:val="es-ES"/>
              </w:rPr>
              <w:t>H:C</w:t>
            </w:r>
            <w:r w:rsidRPr="00216965">
              <w:rPr>
                <w:rFonts w:cs="Times New Roman"/>
                <w:vertAlign w:val="subscript"/>
                <w:lang w:val="es-ES"/>
              </w:rPr>
              <w:t>tot</w:t>
            </w:r>
            <w:r w:rsidRPr="00216965">
              <w:rPr>
                <w:rFonts w:cs="Times New Roman"/>
                <w:lang w:val="es-ES"/>
              </w:rPr>
              <w:t xml:space="preserve"> (molar ratio)</w:t>
            </w:r>
            <w:r w:rsidRPr="00216965">
              <w:rPr>
                <w:rFonts w:cs="Times New Roman"/>
                <w:vertAlign w:val="superscript"/>
                <w:lang w:val="es-ES"/>
              </w:rPr>
              <w:t>1</w:t>
            </w:r>
          </w:p>
        </w:tc>
        <w:tc>
          <w:tcPr>
            <w:tcW w:w="1848" w:type="dxa"/>
            <w:hideMark/>
          </w:tcPr>
          <w:p w14:paraId="0F902EC8" w14:textId="77777777" w:rsidR="005563EE" w:rsidRPr="00216965" w:rsidRDefault="005563EE" w:rsidP="00A0457B">
            <w:pPr>
              <w:jc w:val="both"/>
              <w:rPr>
                <w:rFonts w:cs="Times New Roman"/>
                <w:lang w:val="es-ES"/>
              </w:rPr>
            </w:pPr>
            <w:r w:rsidRPr="00216965">
              <w:rPr>
                <w:rFonts w:cs="Times New Roman"/>
                <w:lang w:val="es-ES"/>
              </w:rPr>
              <w:t xml:space="preserve">0.32 </w:t>
            </w:r>
            <w:r w:rsidRPr="00216965">
              <w:rPr>
                <w:rFonts w:eastAsia="Times New Roman" w:cs="Times New Roman"/>
                <w:color w:val="000000"/>
                <w:lang w:val="es-ES" w:eastAsia="es-ES"/>
              </w:rPr>
              <w:t>± 0.03</w:t>
            </w:r>
          </w:p>
        </w:tc>
        <w:tc>
          <w:tcPr>
            <w:tcW w:w="2121" w:type="dxa"/>
            <w:hideMark/>
          </w:tcPr>
          <w:p w14:paraId="295F5EB0" w14:textId="77777777" w:rsidR="005563EE" w:rsidRPr="00216965" w:rsidRDefault="005563EE" w:rsidP="00A0457B">
            <w:pPr>
              <w:jc w:val="both"/>
              <w:rPr>
                <w:rFonts w:cs="Times New Roman"/>
                <w:lang w:val="es-ES"/>
              </w:rPr>
            </w:pPr>
            <w:r w:rsidRPr="00216965">
              <w:rPr>
                <w:rFonts w:cs="Times New Roman"/>
                <w:lang w:val="es-ES"/>
              </w:rPr>
              <w:t xml:space="preserve">0.19 </w:t>
            </w:r>
            <w:r w:rsidRPr="00216965">
              <w:rPr>
                <w:rFonts w:eastAsia="Times New Roman" w:cs="Times New Roman"/>
                <w:color w:val="000000"/>
                <w:lang w:val="es-ES" w:eastAsia="es-ES"/>
              </w:rPr>
              <w:t>± 0.02</w:t>
            </w:r>
          </w:p>
        </w:tc>
        <w:tc>
          <w:tcPr>
            <w:tcW w:w="2268" w:type="dxa"/>
            <w:hideMark/>
          </w:tcPr>
          <w:p w14:paraId="4AC05857" w14:textId="77777777" w:rsidR="005563EE" w:rsidRPr="00216965" w:rsidRDefault="005563EE" w:rsidP="00A0457B">
            <w:pPr>
              <w:jc w:val="both"/>
              <w:rPr>
                <w:rFonts w:cs="Times New Roman"/>
                <w:lang w:val="es-ES"/>
              </w:rPr>
            </w:pPr>
            <w:r w:rsidRPr="00216965">
              <w:rPr>
                <w:rFonts w:cs="Times New Roman"/>
                <w:lang w:val="es-ES"/>
              </w:rPr>
              <w:t xml:space="preserve">0.4 </w:t>
            </w:r>
            <w:r w:rsidRPr="00216965">
              <w:rPr>
                <w:rFonts w:eastAsia="Times New Roman" w:cs="Times New Roman"/>
                <w:color w:val="000000"/>
                <w:lang w:val="es-ES" w:eastAsia="es-ES"/>
              </w:rPr>
              <w:t>± 0.1</w:t>
            </w:r>
          </w:p>
        </w:tc>
        <w:tc>
          <w:tcPr>
            <w:tcW w:w="2552" w:type="dxa"/>
            <w:hideMark/>
          </w:tcPr>
          <w:p w14:paraId="5009DBD2" w14:textId="77777777" w:rsidR="005563EE" w:rsidRPr="00216965" w:rsidRDefault="005563EE" w:rsidP="00A0457B">
            <w:pPr>
              <w:jc w:val="both"/>
              <w:rPr>
                <w:rFonts w:cs="Times New Roman"/>
                <w:lang w:val="es-ES"/>
              </w:rPr>
            </w:pPr>
            <w:r w:rsidRPr="00216965">
              <w:rPr>
                <w:rFonts w:cs="Times New Roman"/>
                <w:lang w:val="es-ES"/>
              </w:rPr>
              <w:t xml:space="preserve">0.38 </w:t>
            </w:r>
            <w:r w:rsidRPr="00216965">
              <w:rPr>
                <w:rFonts w:eastAsia="Times New Roman" w:cs="Times New Roman"/>
                <w:color w:val="000000"/>
                <w:lang w:val="es-ES" w:eastAsia="es-ES"/>
              </w:rPr>
              <w:t>± 0.04</w:t>
            </w:r>
          </w:p>
        </w:tc>
        <w:tc>
          <w:tcPr>
            <w:tcW w:w="2126" w:type="dxa"/>
            <w:hideMark/>
          </w:tcPr>
          <w:p w14:paraId="2542D571" w14:textId="77777777" w:rsidR="005563EE" w:rsidRPr="00216965" w:rsidRDefault="005563EE" w:rsidP="00A0457B">
            <w:pPr>
              <w:jc w:val="both"/>
              <w:rPr>
                <w:rFonts w:cs="Times New Roman"/>
                <w:lang w:val="es-ES"/>
              </w:rPr>
            </w:pPr>
            <w:r w:rsidRPr="00216965">
              <w:rPr>
                <w:rFonts w:cs="Times New Roman"/>
                <w:lang w:val="es-ES"/>
              </w:rPr>
              <w:t xml:space="preserve">0.39 </w:t>
            </w:r>
            <w:r w:rsidRPr="00216965">
              <w:rPr>
                <w:rFonts w:eastAsia="Times New Roman" w:cs="Times New Roman"/>
                <w:color w:val="000000"/>
                <w:lang w:val="es-ES" w:eastAsia="es-ES"/>
              </w:rPr>
              <w:t>± 0.01</w:t>
            </w:r>
          </w:p>
        </w:tc>
      </w:tr>
      <w:tr w:rsidR="005563EE" w:rsidRPr="00216965" w14:paraId="35EB29B8" w14:textId="77777777" w:rsidTr="008A33DA">
        <w:tc>
          <w:tcPr>
            <w:tcW w:w="2263" w:type="dxa"/>
            <w:hideMark/>
          </w:tcPr>
          <w:p w14:paraId="614325D7" w14:textId="77777777" w:rsidR="005563EE" w:rsidRPr="00216965" w:rsidRDefault="005563EE" w:rsidP="00A0457B">
            <w:pPr>
              <w:ind w:firstLine="31"/>
              <w:jc w:val="both"/>
              <w:rPr>
                <w:rFonts w:cs="Times New Roman"/>
                <w:lang w:val="es-419"/>
              </w:rPr>
            </w:pPr>
            <w:r w:rsidRPr="00216965">
              <w:rPr>
                <w:rFonts w:cs="Times New Roman"/>
                <w:lang w:val="es-419"/>
              </w:rPr>
              <w:t>O:C</w:t>
            </w:r>
            <w:r w:rsidRPr="00216965">
              <w:rPr>
                <w:rFonts w:cs="Times New Roman"/>
                <w:vertAlign w:val="subscript"/>
                <w:lang w:val="es-419"/>
              </w:rPr>
              <w:t>tot</w:t>
            </w:r>
            <w:r w:rsidRPr="00216965">
              <w:rPr>
                <w:rFonts w:cs="Times New Roman"/>
                <w:lang w:val="es-419"/>
              </w:rPr>
              <w:t xml:space="preserve"> (molar ratio)</w:t>
            </w:r>
            <w:r w:rsidRPr="00216965">
              <w:rPr>
                <w:rFonts w:cs="Times New Roman"/>
                <w:vertAlign w:val="superscript"/>
                <w:lang w:val="es-419"/>
              </w:rPr>
              <w:t xml:space="preserve"> 1</w:t>
            </w:r>
          </w:p>
        </w:tc>
        <w:tc>
          <w:tcPr>
            <w:tcW w:w="1848" w:type="dxa"/>
            <w:hideMark/>
          </w:tcPr>
          <w:p w14:paraId="680F899C" w14:textId="77777777" w:rsidR="005563EE" w:rsidRPr="00216965" w:rsidRDefault="005563EE" w:rsidP="00A0457B">
            <w:pPr>
              <w:jc w:val="both"/>
              <w:rPr>
                <w:rFonts w:cs="Times New Roman"/>
                <w:lang w:val="es-ES"/>
              </w:rPr>
            </w:pPr>
            <w:r w:rsidRPr="00216965">
              <w:rPr>
                <w:rFonts w:cs="Times New Roman"/>
                <w:lang w:val="es-ES"/>
              </w:rPr>
              <w:t xml:space="preserve">0.12 </w:t>
            </w:r>
            <w:r w:rsidRPr="00216965">
              <w:rPr>
                <w:rFonts w:eastAsia="Times New Roman" w:cs="Times New Roman"/>
                <w:color w:val="000000"/>
                <w:lang w:val="es-ES" w:eastAsia="es-ES"/>
              </w:rPr>
              <w:t>± 0.02</w:t>
            </w:r>
          </w:p>
        </w:tc>
        <w:tc>
          <w:tcPr>
            <w:tcW w:w="2121" w:type="dxa"/>
            <w:hideMark/>
          </w:tcPr>
          <w:p w14:paraId="371F2414" w14:textId="77777777" w:rsidR="005563EE" w:rsidRPr="00216965" w:rsidRDefault="005563EE" w:rsidP="00A0457B">
            <w:pPr>
              <w:jc w:val="both"/>
              <w:rPr>
                <w:rFonts w:cs="Times New Roman"/>
                <w:lang w:val="es-ES"/>
              </w:rPr>
            </w:pPr>
            <w:r w:rsidRPr="00216965">
              <w:rPr>
                <w:rFonts w:cs="Times New Roman"/>
                <w:lang w:val="es-ES"/>
              </w:rPr>
              <w:t xml:space="preserve">0.09 </w:t>
            </w:r>
            <w:r w:rsidRPr="00216965">
              <w:rPr>
                <w:rFonts w:eastAsia="Times New Roman" w:cs="Times New Roman"/>
                <w:color w:val="000000"/>
                <w:lang w:val="es-ES" w:eastAsia="es-ES"/>
              </w:rPr>
              <w:t>± 0.02</w:t>
            </w:r>
          </w:p>
        </w:tc>
        <w:tc>
          <w:tcPr>
            <w:tcW w:w="2268" w:type="dxa"/>
            <w:hideMark/>
          </w:tcPr>
          <w:p w14:paraId="40B7D727" w14:textId="77777777" w:rsidR="005563EE" w:rsidRPr="00216965" w:rsidRDefault="005563EE" w:rsidP="00A0457B">
            <w:pPr>
              <w:jc w:val="both"/>
              <w:rPr>
                <w:rFonts w:cs="Times New Roman"/>
                <w:lang w:val="es-ES"/>
              </w:rPr>
            </w:pPr>
            <w:r w:rsidRPr="00216965">
              <w:rPr>
                <w:rFonts w:cs="Times New Roman"/>
                <w:lang w:val="es-ES"/>
              </w:rPr>
              <w:t xml:space="preserve">0.1 </w:t>
            </w:r>
            <w:r w:rsidRPr="00216965">
              <w:rPr>
                <w:rFonts w:eastAsia="Times New Roman" w:cs="Times New Roman"/>
                <w:color w:val="000000"/>
                <w:lang w:val="es-ES" w:eastAsia="es-ES"/>
              </w:rPr>
              <w:t>± 0.0</w:t>
            </w:r>
          </w:p>
        </w:tc>
        <w:tc>
          <w:tcPr>
            <w:tcW w:w="2552" w:type="dxa"/>
            <w:hideMark/>
          </w:tcPr>
          <w:p w14:paraId="67C5BC5F" w14:textId="77777777" w:rsidR="005563EE" w:rsidRPr="00216965" w:rsidRDefault="005563EE" w:rsidP="00A0457B">
            <w:pPr>
              <w:jc w:val="both"/>
              <w:rPr>
                <w:rFonts w:cs="Times New Roman"/>
                <w:lang w:val="es-ES"/>
              </w:rPr>
            </w:pPr>
            <w:r w:rsidRPr="00216965">
              <w:rPr>
                <w:rFonts w:cs="Times New Roman"/>
                <w:lang w:val="es-ES"/>
              </w:rPr>
              <w:t xml:space="preserve">0.09 </w:t>
            </w:r>
            <w:r w:rsidRPr="00216965">
              <w:rPr>
                <w:rFonts w:eastAsia="Times New Roman" w:cs="Times New Roman"/>
                <w:color w:val="000000"/>
                <w:lang w:val="es-ES" w:eastAsia="es-ES"/>
              </w:rPr>
              <w:t>± 0.03</w:t>
            </w:r>
          </w:p>
        </w:tc>
        <w:tc>
          <w:tcPr>
            <w:tcW w:w="2126" w:type="dxa"/>
            <w:hideMark/>
          </w:tcPr>
          <w:p w14:paraId="27D8741C" w14:textId="77777777" w:rsidR="005563EE" w:rsidRPr="00216965" w:rsidRDefault="005563EE" w:rsidP="00A0457B">
            <w:pPr>
              <w:jc w:val="both"/>
              <w:rPr>
                <w:rFonts w:cs="Times New Roman"/>
                <w:lang w:val="es-ES"/>
              </w:rPr>
            </w:pPr>
            <w:r w:rsidRPr="00216965">
              <w:rPr>
                <w:rFonts w:cs="Times New Roman"/>
                <w:lang w:val="es-ES"/>
              </w:rPr>
              <w:t xml:space="preserve">0.09 </w:t>
            </w:r>
            <w:r w:rsidRPr="00216965">
              <w:rPr>
                <w:rFonts w:eastAsia="Times New Roman" w:cs="Times New Roman"/>
                <w:color w:val="000000"/>
                <w:lang w:val="es-ES" w:eastAsia="es-ES"/>
              </w:rPr>
              <w:t>± 0.01</w:t>
            </w:r>
          </w:p>
        </w:tc>
      </w:tr>
      <w:tr w:rsidR="005563EE" w:rsidRPr="00216965" w14:paraId="1B769537" w14:textId="77777777" w:rsidTr="008A33DA">
        <w:tc>
          <w:tcPr>
            <w:tcW w:w="2263" w:type="dxa"/>
            <w:hideMark/>
          </w:tcPr>
          <w:p w14:paraId="19AC3FA1" w14:textId="77777777" w:rsidR="005563EE" w:rsidRPr="00216965" w:rsidRDefault="005563EE" w:rsidP="00A0457B">
            <w:pPr>
              <w:ind w:firstLine="31"/>
              <w:jc w:val="both"/>
              <w:rPr>
                <w:rFonts w:cs="Times New Roman"/>
                <w:lang w:val="es-419"/>
              </w:rPr>
            </w:pPr>
            <w:r w:rsidRPr="00216965">
              <w:rPr>
                <w:rFonts w:cs="Times New Roman"/>
                <w:lang w:val="es-419"/>
              </w:rPr>
              <w:t xml:space="preserve">Ash </w:t>
            </w:r>
            <w:r w:rsidRPr="00216965">
              <w:rPr>
                <w:rFonts w:cs="Times New Roman"/>
                <w:lang w:val="es-ES"/>
              </w:rPr>
              <w:t>content</w:t>
            </w:r>
            <w:r w:rsidRPr="00216965">
              <w:rPr>
                <w:rFonts w:cs="Times New Roman"/>
                <w:lang w:val="es-419"/>
              </w:rPr>
              <w:t xml:space="preserve"> [</w:t>
            </w:r>
            <w:r w:rsidRPr="00216965">
              <w:rPr>
                <w:rFonts w:cs="Times New Roman"/>
                <w:lang w:val="es-ES"/>
              </w:rPr>
              <w:t>wt%]*</w:t>
            </w:r>
            <w:r w:rsidRPr="00216965">
              <w:rPr>
                <w:rFonts w:cs="Times New Roman"/>
                <w:vertAlign w:val="superscript"/>
                <w:lang w:val="es-ES"/>
              </w:rPr>
              <w:t xml:space="preserve"> 1</w:t>
            </w:r>
          </w:p>
        </w:tc>
        <w:tc>
          <w:tcPr>
            <w:tcW w:w="1848" w:type="dxa"/>
            <w:hideMark/>
          </w:tcPr>
          <w:p w14:paraId="0011B76B" w14:textId="77777777" w:rsidR="005563EE" w:rsidRPr="00216965" w:rsidRDefault="005563EE" w:rsidP="00A0457B">
            <w:pPr>
              <w:jc w:val="both"/>
              <w:rPr>
                <w:rFonts w:cs="Times New Roman"/>
                <w:lang w:val="es-ES"/>
              </w:rPr>
            </w:pPr>
            <w:r w:rsidRPr="00216965">
              <w:rPr>
                <w:rFonts w:cs="Times New Roman"/>
                <w:lang w:val="es-ES"/>
              </w:rPr>
              <w:t xml:space="preserve">19  </w:t>
            </w:r>
            <w:r w:rsidRPr="00216965">
              <w:rPr>
                <w:rFonts w:eastAsia="Times New Roman" w:cs="Times New Roman"/>
                <w:color w:val="000000"/>
                <w:lang w:val="es-ES" w:eastAsia="es-ES"/>
              </w:rPr>
              <w:t>± 2</w:t>
            </w:r>
          </w:p>
        </w:tc>
        <w:tc>
          <w:tcPr>
            <w:tcW w:w="2121" w:type="dxa"/>
            <w:hideMark/>
          </w:tcPr>
          <w:p w14:paraId="42B632A0" w14:textId="77777777" w:rsidR="005563EE" w:rsidRPr="00216965" w:rsidRDefault="005563EE" w:rsidP="00A0457B">
            <w:pPr>
              <w:jc w:val="both"/>
              <w:rPr>
                <w:rFonts w:cs="Times New Roman"/>
                <w:lang w:val="es-ES"/>
              </w:rPr>
            </w:pPr>
            <w:r w:rsidRPr="00216965">
              <w:rPr>
                <w:rFonts w:cs="Times New Roman"/>
                <w:lang w:val="es-ES"/>
              </w:rPr>
              <w:t xml:space="preserve">21.9 </w:t>
            </w:r>
            <w:r w:rsidRPr="00216965">
              <w:rPr>
                <w:rFonts w:eastAsia="Times New Roman" w:cs="Times New Roman"/>
                <w:color w:val="000000"/>
                <w:lang w:val="es-ES" w:eastAsia="es-ES"/>
              </w:rPr>
              <w:t>± 0.5</w:t>
            </w:r>
          </w:p>
        </w:tc>
        <w:tc>
          <w:tcPr>
            <w:tcW w:w="2268" w:type="dxa"/>
            <w:hideMark/>
          </w:tcPr>
          <w:p w14:paraId="62C10B27" w14:textId="77777777" w:rsidR="005563EE" w:rsidRPr="00216965" w:rsidRDefault="005563EE" w:rsidP="00A0457B">
            <w:pPr>
              <w:jc w:val="both"/>
              <w:rPr>
                <w:rFonts w:cs="Times New Roman"/>
                <w:lang w:val="es-ES"/>
              </w:rPr>
            </w:pPr>
            <w:r w:rsidRPr="00216965">
              <w:rPr>
                <w:rFonts w:cs="Times New Roman"/>
                <w:lang w:val="es-ES"/>
              </w:rPr>
              <w:t xml:space="preserve">21 </w:t>
            </w:r>
            <w:r w:rsidRPr="00216965">
              <w:rPr>
                <w:rFonts w:eastAsia="Times New Roman" w:cs="Times New Roman"/>
                <w:color w:val="000000"/>
                <w:lang w:val="es-ES" w:eastAsia="es-ES"/>
              </w:rPr>
              <w:t>± 1</w:t>
            </w:r>
          </w:p>
        </w:tc>
        <w:tc>
          <w:tcPr>
            <w:tcW w:w="2552" w:type="dxa"/>
            <w:hideMark/>
          </w:tcPr>
          <w:p w14:paraId="22D5B548" w14:textId="77777777" w:rsidR="005563EE" w:rsidRPr="00216965" w:rsidRDefault="005563EE" w:rsidP="00A0457B">
            <w:pPr>
              <w:jc w:val="both"/>
              <w:rPr>
                <w:rFonts w:cs="Times New Roman"/>
                <w:lang w:val="es-ES"/>
              </w:rPr>
            </w:pPr>
            <w:r w:rsidRPr="00216965">
              <w:rPr>
                <w:rFonts w:cs="Times New Roman"/>
                <w:lang w:val="es-ES"/>
              </w:rPr>
              <w:t xml:space="preserve">12 </w:t>
            </w:r>
            <w:r w:rsidRPr="00216965">
              <w:rPr>
                <w:rFonts w:eastAsia="Times New Roman" w:cs="Times New Roman"/>
                <w:color w:val="000000"/>
                <w:lang w:val="es-ES" w:eastAsia="es-ES"/>
              </w:rPr>
              <w:t>± 1</w:t>
            </w:r>
          </w:p>
        </w:tc>
        <w:tc>
          <w:tcPr>
            <w:tcW w:w="2126" w:type="dxa"/>
            <w:hideMark/>
          </w:tcPr>
          <w:p w14:paraId="7B984406" w14:textId="77777777" w:rsidR="005563EE" w:rsidRPr="00216965" w:rsidRDefault="005563EE" w:rsidP="00A0457B">
            <w:pPr>
              <w:jc w:val="both"/>
              <w:rPr>
                <w:rFonts w:cs="Times New Roman"/>
                <w:lang w:val="es-ES"/>
              </w:rPr>
            </w:pPr>
            <w:r w:rsidRPr="00216965">
              <w:rPr>
                <w:rFonts w:cs="Times New Roman"/>
                <w:lang w:val="es-ES"/>
              </w:rPr>
              <w:t xml:space="preserve">1.3 </w:t>
            </w:r>
            <w:r w:rsidRPr="00216965">
              <w:rPr>
                <w:rFonts w:eastAsia="Times New Roman" w:cs="Times New Roman"/>
                <w:color w:val="000000"/>
                <w:lang w:val="es-ES" w:eastAsia="es-ES"/>
              </w:rPr>
              <w:t>± 0.4</w:t>
            </w:r>
          </w:p>
        </w:tc>
      </w:tr>
      <w:tr w:rsidR="005563EE" w:rsidRPr="00216965" w14:paraId="550BF5DA" w14:textId="77777777" w:rsidTr="008A33DA">
        <w:tc>
          <w:tcPr>
            <w:tcW w:w="2263" w:type="dxa"/>
            <w:hideMark/>
          </w:tcPr>
          <w:p w14:paraId="2F471C59" w14:textId="77777777" w:rsidR="005563EE" w:rsidRPr="00216965" w:rsidRDefault="005563EE" w:rsidP="00A0457B">
            <w:pPr>
              <w:ind w:firstLine="31"/>
              <w:jc w:val="both"/>
              <w:rPr>
                <w:rFonts w:cs="Times New Roman"/>
                <w:lang w:val="es-ES"/>
              </w:rPr>
            </w:pPr>
            <w:r w:rsidRPr="00216965">
              <w:rPr>
                <w:rFonts w:cs="Times New Roman"/>
                <w:lang w:val="es-ES"/>
              </w:rPr>
              <w:t>Electric</w:t>
            </w:r>
          </w:p>
          <w:p w14:paraId="5617531B" w14:textId="77777777" w:rsidR="005563EE" w:rsidRPr="00216965" w:rsidRDefault="005563EE" w:rsidP="00A0457B">
            <w:pPr>
              <w:ind w:firstLine="31"/>
              <w:jc w:val="both"/>
              <w:rPr>
                <w:rFonts w:cs="Times New Roman"/>
                <w:lang w:val="es-ES"/>
              </w:rPr>
            </w:pPr>
            <w:r w:rsidRPr="00216965">
              <w:rPr>
                <w:rFonts w:cs="Times New Roman"/>
                <w:lang w:val="es-ES"/>
              </w:rPr>
              <w:t>conductivity [dS.m</w:t>
            </w:r>
            <w:r w:rsidRPr="00216965">
              <w:rPr>
                <w:rFonts w:cs="Times New Roman"/>
                <w:vertAlign w:val="superscript"/>
                <w:lang w:val="es-ES"/>
              </w:rPr>
              <w:t>-1</w:t>
            </w:r>
            <w:r w:rsidRPr="00216965">
              <w:rPr>
                <w:rFonts w:cs="Times New Roman"/>
                <w:lang w:val="es-ES"/>
              </w:rPr>
              <w:t>]</w:t>
            </w:r>
            <w:r w:rsidRPr="00216965">
              <w:rPr>
                <w:rFonts w:cs="Times New Roman"/>
                <w:vertAlign w:val="superscript"/>
                <w:lang w:val="es-ES"/>
              </w:rPr>
              <w:t xml:space="preserve"> 1</w:t>
            </w:r>
          </w:p>
        </w:tc>
        <w:tc>
          <w:tcPr>
            <w:tcW w:w="1848" w:type="dxa"/>
            <w:hideMark/>
          </w:tcPr>
          <w:p w14:paraId="57DC054E" w14:textId="77777777" w:rsidR="005563EE" w:rsidRPr="00216965" w:rsidRDefault="005563EE" w:rsidP="00A0457B">
            <w:pPr>
              <w:jc w:val="both"/>
              <w:rPr>
                <w:rFonts w:cs="Times New Roman"/>
                <w:lang w:val="es-ES"/>
              </w:rPr>
            </w:pPr>
            <w:r w:rsidRPr="00216965">
              <w:rPr>
                <w:rFonts w:cs="Times New Roman"/>
                <w:lang w:val="es-ES"/>
              </w:rPr>
              <w:t xml:space="preserve">2.3 </w:t>
            </w:r>
            <w:r w:rsidRPr="00216965">
              <w:rPr>
                <w:rFonts w:eastAsia="Times New Roman" w:cs="Times New Roman"/>
                <w:color w:val="000000"/>
                <w:lang w:val="es-ES" w:eastAsia="es-ES"/>
              </w:rPr>
              <w:t>± 0.4</w:t>
            </w:r>
          </w:p>
        </w:tc>
        <w:tc>
          <w:tcPr>
            <w:tcW w:w="2121" w:type="dxa"/>
            <w:hideMark/>
          </w:tcPr>
          <w:p w14:paraId="2EC45AA7" w14:textId="77777777" w:rsidR="005563EE" w:rsidRPr="00216965" w:rsidRDefault="005563EE" w:rsidP="00A0457B">
            <w:pPr>
              <w:jc w:val="both"/>
              <w:rPr>
                <w:rFonts w:cs="Times New Roman"/>
                <w:lang w:val="es-ES"/>
              </w:rPr>
            </w:pPr>
            <w:r w:rsidRPr="00216965">
              <w:rPr>
                <w:rFonts w:cs="Times New Roman"/>
                <w:lang w:val="es-ES"/>
              </w:rPr>
              <w:t xml:space="preserve">3.1 </w:t>
            </w:r>
            <w:r w:rsidRPr="00216965">
              <w:rPr>
                <w:rFonts w:eastAsia="Times New Roman" w:cs="Times New Roman"/>
                <w:color w:val="000000"/>
                <w:lang w:val="es-ES" w:eastAsia="es-ES"/>
              </w:rPr>
              <w:t>± 0.4</w:t>
            </w:r>
          </w:p>
        </w:tc>
        <w:tc>
          <w:tcPr>
            <w:tcW w:w="2268" w:type="dxa"/>
            <w:hideMark/>
          </w:tcPr>
          <w:p w14:paraId="3DD67FED" w14:textId="77777777" w:rsidR="005563EE" w:rsidRPr="00216965" w:rsidRDefault="005563EE" w:rsidP="00A0457B">
            <w:pPr>
              <w:jc w:val="both"/>
              <w:rPr>
                <w:rFonts w:cs="Times New Roman"/>
                <w:lang w:val="es-ES"/>
              </w:rPr>
            </w:pPr>
            <w:r w:rsidRPr="00216965">
              <w:rPr>
                <w:rFonts w:cs="Times New Roman"/>
                <w:lang w:val="es-ES"/>
              </w:rPr>
              <w:t xml:space="preserve">1.7 </w:t>
            </w:r>
            <w:r w:rsidRPr="00216965">
              <w:rPr>
                <w:rFonts w:eastAsia="Times New Roman" w:cs="Times New Roman"/>
                <w:color w:val="000000"/>
                <w:lang w:val="es-ES" w:eastAsia="es-ES"/>
              </w:rPr>
              <w:t>± 0.4</w:t>
            </w:r>
          </w:p>
        </w:tc>
        <w:tc>
          <w:tcPr>
            <w:tcW w:w="2552" w:type="dxa"/>
            <w:hideMark/>
          </w:tcPr>
          <w:p w14:paraId="68F676F8" w14:textId="77777777" w:rsidR="005563EE" w:rsidRPr="00216965" w:rsidRDefault="005563EE" w:rsidP="00A0457B">
            <w:pPr>
              <w:jc w:val="both"/>
              <w:rPr>
                <w:rFonts w:cs="Times New Roman"/>
                <w:lang w:val="es-ES"/>
              </w:rPr>
            </w:pPr>
            <w:r w:rsidRPr="00216965">
              <w:rPr>
                <w:rFonts w:cs="Times New Roman"/>
                <w:lang w:val="es-ES"/>
              </w:rPr>
              <w:t xml:space="preserve">0.8 </w:t>
            </w:r>
            <w:r w:rsidRPr="00216965">
              <w:rPr>
                <w:rFonts w:eastAsia="Times New Roman" w:cs="Times New Roman"/>
                <w:color w:val="000000"/>
                <w:lang w:val="es-ES" w:eastAsia="es-ES"/>
              </w:rPr>
              <w:t>± 0.2</w:t>
            </w:r>
          </w:p>
        </w:tc>
        <w:tc>
          <w:tcPr>
            <w:tcW w:w="2126" w:type="dxa"/>
            <w:hideMark/>
          </w:tcPr>
          <w:p w14:paraId="523EFA0F" w14:textId="77777777" w:rsidR="005563EE" w:rsidRPr="00216965" w:rsidRDefault="005563EE" w:rsidP="00A0457B">
            <w:pPr>
              <w:jc w:val="both"/>
              <w:rPr>
                <w:rFonts w:cs="Times New Roman"/>
                <w:lang w:val="es-ES"/>
              </w:rPr>
            </w:pPr>
            <w:r w:rsidRPr="00216965">
              <w:rPr>
                <w:rFonts w:cs="Times New Roman"/>
                <w:lang w:val="es-ES"/>
              </w:rPr>
              <w:t xml:space="preserve">0.09 </w:t>
            </w:r>
            <w:r w:rsidRPr="00216965">
              <w:rPr>
                <w:rFonts w:eastAsia="Times New Roman" w:cs="Times New Roman"/>
                <w:color w:val="000000"/>
                <w:lang w:val="es-ES" w:eastAsia="es-ES"/>
              </w:rPr>
              <w:t>± 0.03</w:t>
            </w:r>
          </w:p>
        </w:tc>
      </w:tr>
      <w:tr w:rsidR="005563EE" w:rsidRPr="00216965" w14:paraId="582B6E94" w14:textId="77777777" w:rsidTr="008A33DA">
        <w:tc>
          <w:tcPr>
            <w:tcW w:w="2263" w:type="dxa"/>
            <w:hideMark/>
          </w:tcPr>
          <w:p w14:paraId="46E39552" w14:textId="77777777" w:rsidR="005563EE" w:rsidRPr="00216965" w:rsidRDefault="005563EE" w:rsidP="00A0457B">
            <w:pPr>
              <w:ind w:firstLine="31"/>
              <w:jc w:val="both"/>
              <w:rPr>
                <w:rFonts w:cs="Times New Roman"/>
                <w:lang w:val="es-ES"/>
              </w:rPr>
            </w:pPr>
            <w:r w:rsidRPr="00216965">
              <w:rPr>
                <w:rFonts w:cs="Times New Roman"/>
                <w:lang w:val="es-ES"/>
              </w:rPr>
              <w:t>Total N [wt%]*</w:t>
            </w:r>
            <w:r w:rsidRPr="00216965">
              <w:rPr>
                <w:rFonts w:cs="Times New Roman"/>
                <w:vertAlign w:val="superscript"/>
                <w:lang w:val="es-ES"/>
              </w:rPr>
              <w:t xml:space="preserve"> 1</w:t>
            </w:r>
          </w:p>
        </w:tc>
        <w:tc>
          <w:tcPr>
            <w:tcW w:w="1848" w:type="dxa"/>
            <w:hideMark/>
          </w:tcPr>
          <w:p w14:paraId="23E43E90" w14:textId="77777777" w:rsidR="005563EE" w:rsidRPr="00216965" w:rsidRDefault="005563EE" w:rsidP="00A0457B">
            <w:pPr>
              <w:jc w:val="both"/>
              <w:rPr>
                <w:rFonts w:cs="Times New Roman"/>
                <w:lang w:val="es-ES"/>
              </w:rPr>
            </w:pPr>
            <w:r w:rsidRPr="00216965">
              <w:rPr>
                <w:rFonts w:cs="Times New Roman"/>
                <w:lang w:val="es-ES"/>
              </w:rPr>
              <w:t xml:space="preserve">1.6 </w:t>
            </w:r>
            <w:r w:rsidRPr="00216965">
              <w:rPr>
                <w:rFonts w:eastAsia="Times New Roman" w:cs="Times New Roman"/>
                <w:color w:val="000000"/>
                <w:lang w:val="es-ES" w:eastAsia="es-ES"/>
              </w:rPr>
              <w:t>± 0.2</w:t>
            </w:r>
          </w:p>
        </w:tc>
        <w:tc>
          <w:tcPr>
            <w:tcW w:w="2121" w:type="dxa"/>
            <w:hideMark/>
          </w:tcPr>
          <w:p w14:paraId="0640D0A4" w14:textId="77777777" w:rsidR="005563EE" w:rsidRPr="00216965" w:rsidRDefault="005563EE" w:rsidP="00A0457B">
            <w:pPr>
              <w:jc w:val="both"/>
              <w:rPr>
                <w:rFonts w:cs="Times New Roman"/>
                <w:lang w:val="es-ES"/>
              </w:rPr>
            </w:pPr>
            <w:r w:rsidRPr="00216965">
              <w:rPr>
                <w:rFonts w:cs="Times New Roman"/>
                <w:lang w:val="es-ES"/>
              </w:rPr>
              <w:t xml:space="preserve">1.3 </w:t>
            </w:r>
            <w:r w:rsidRPr="00216965">
              <w:rPr>
                <w:rFonts w:eastAsia="Times New Roman" w:cs="Times New Roman"/>
                <w:color w:val="000000"/>
                <w:lang w:val="es-ES" w:eastAsia="es-ES"/>
              </w:rPr>
              <w:t>± 0.2</w:t>
            </w:r>
          </w:p>
        </w:tc>
        <w:tc>
          <w:tcPr>
            <w:tcW w:w="2268" w:type="dxa"/>
            <w:hideMark/>
          </w:tcPr>
          <w:p w14:paraId="7F90CB23" w14:textId="77777777" w:rsidR="005563EE" w:rsidRPr="00216965" w:rsidRDefault="005563EE" w:rsidP="00A0457B">
            <w:pPr>
              <w:jc w:val="both"/>
              <w:rPr>
                <w:rFonts w:cs="Times New Roman"/>
                <w:lang w:val="es-ES"/>
              </w:rPr>
            </w:pPr>
            <w:r w:rsidRPr="00216965">
              <w:rPr>
                <w:rFonts w:cs="Times New Roman"/>
                <w:lang w:val="es-ES"/>
              </w:rPr>
              <w:t xml:space="preserve">1.4 </w:t>
            </w:r>
            <w:r w:rsidRPr="00216965">
              <w:rPr>
                <w:rFonts w:eastAsia="Times New Roman" w:cs="Times New Roman"/>
                <w:color w:val="000000"/>
                <w:lang w:val="es-ES" w:eastAsia="es-ES"/>
              </w:rPr>
              <w:t>± 0.1</w:t>
            </w:r>
          </w:p>
        </w:tc>
        <w:tc>
          <w:tcPr>
            <w:tcW w:w="2552" w:type="dxa"/>
            <w:hideMark/>
          </w:tcPr>
          <w:p w14:paraId="70CDFA51" w14:textId="77777777" w:rsidR="005563EE" w:rsidRPr="00216965" w:rsidRDefault="005563EE" w:rsidP="00A0457B">
            <w:pPr>
              <w:jc w:val="both"/>
              <w:rPr>
                <w:rFonts w:cs="Times New Roman"/>
                <w:lang w:val="es-ES"/>
              </w:rPr>
            </w:pPr>
            <w:r w:rsidRPr="00216965">
              <w:rPr>
                <w:rFonts w:cs="Times New Roman"/>
                <w:lang w:val="es-ES"/>
              </w:rPr>
              <w:t xml:space="preserve">0.8 </w:t>
            </w:r>
            <w:r w:rsidRPr="00216965">
              <w:rPr>
                <w:rFonts w:eastAsia="Times New Roman" w:cs="Times New Roman"/>
                <w:color w:val="000000"/>
                <w:lang w:val="es-ES" w:eastAsia="es-ES"/>
              </w:rPr>
              <w:t>± 0.1</w:t>
            </w:r>
          </w:p>
        </w:tc>
        <w:tc>
          <w:tcPr>
            <w:tcW w:w="2126" w:type="dxa"/>
            <w:hideMark/>
          </w:tcPr>
          <w:p w14:paraId="2908F854" w14:textId="77777777" w:rsidR="005563EE" w:rsidRPr="00216965" w:rsidRDefault="005563EE" w:rsidP="00A0457B">
            <w:pPr>
              <w:jc w:val="both"/>
              <w:rPr>
                <w:rFonts w:cs="Times New Roman"/>
                <w:lang w:val="es-ES"/>
              </w:rPr>
            </w:pPr>
            <w:r w:rsidRPr="00216965">
              <w:rPr>
                <w:rFonts w:cs="Times New Roman"/>
                <w:lang w:val="es-ES"/>
              </w:rPr>
              <w:t>&lt;0.10</w:t>
            </w:r>
          </w:p>
        </w:tc>
      </w:tr>
      <w:tr w:rsidR="005563EE" w:rsidRPr="00216965" w14:paraId="680BD423" w14:textId="77777777" w:rsidTr="008A33DA">
        <w:tc>
          <w:tcPr>
            <w:tcW w:w="2263" w:type="dxa"/>
            <w:hideMark/>
          </w:tcPr>
          <w:p w14:paraId="153E0939" w14:textId="77777777" w:rsidR="005563EE" w:rsidRPr="00216965" w:rsidRDefault="005563EE" w:rsidP="00A0457B">
            <w:pPr>
              <w:ind w:firstLine="31"/>
              <w:jc w:val="both"/>
              <w:rPr>
                <w:rFonts w:cs="Times New Roman"/>
                <w:lang w:val="es-ES"/>
              </w:rPr>
            </w:pPr>
            <w:r w:rsidRPr="00216965">
              <w:rPr>
                <w:rFonts w:cs="Times New Roman"/>
                <w:lang w:val="es-ES"/>
              </w:rPr>
              <w:t>Total P [wt%]*</w:t>
            </w:r>
            <w:r w:rsidRPr="00216965">
              <w:rPr>
                <w:rFonts w:cs="Times New Roman"/>
                <w:vertAlign w:val="superscript"/>
                <w:lang w:val="es-ES"/>
              </w:rPr>
              <w:t xml:space="preserve"> 1</w:t>
            </w:r>
          </w:p>
        </w:tc>
        <w:tc>
          <w:tcPr>
            <w:tcW w:w="1848" w:type="dxa"/>
            <w:hideMark/>
          </w:tcPr>
          <w:p w14:paraId="07F480F0" w14:textId="77777777" w:rsidR="005563EE" w:rsidRPr="00216965" w:rsidRDefault="005563EE" w:rsidP="00A0457B">
            <w:pPr>
              <w:jc w:val="both"/>
              <w:rPr>
                <w:rFonts w:cs="Times New Roman"/>
                <w:lang w:val="es-ES"/>
              </w:rPr>
            </w:pPr>
            <w:r w:rsidRPr="00216965">
              <w:rPr>
                <w:rFonts w:cs="Times New Roman"/>
                <w:lang w:val="es-ES"/>
              </w:rPr>
              <w:t xml:space="preserve">0.29 </w:t>
            </w:r>
            <w:r w:rsidRPr="00216965">
              <w:rPr>
                <w:rFonts w:eastAsia="Times New Roman" w:cs="Times New Roman"/>
                <w:color w:val="000000"/>
                <w:lang w:val="es-ES" w:eastAsia="es-ES"/>
              </w:rPr>
              <w:t>± 0.08</w:t>
            </w:r>
          </w:p>
        </w:tc>
        <w:tc>
          <w:tcPr>
            <w:tcW w:w="2121" w:type="dxa"/>
            <w:hideMark/>
          </w:tcPr>
          <w:p w14:paraId="4A0337A0" w14:textId="77777777" w:rsidR="005563EE" w:rsidRPr="00216965" w:rsidRDefault="005563EE" w:rsidP="00A0457B">
            <w:pPr>
              <w:jc w:val="both"/>
              <w:rPr>
                <w:rFonts w:cs="Times New Roman"/>
                <w:lang w:val="es-ES"/>
              </w:rPr>
            </w:pPr>
            <w:r w:rsidRPr="00216965">
              <w:rPr>
                <w:rFonts w:cs="Times New Roman"/>
                <w:lang w:val="es-ES"/>
              </w:rPr>
              <w:t xml:space="preserve">0.3 </w:t>
            </w:r>
            <w:r w:rsidRPr="00216965">
              <w:rPr>
                <w:rFonts w:eastAsia="Times New Roman" w:cs="Times New Roman"/>
                <w:color w:val="000000"/>
                <w:lang w:val="es-ES" w:eastAsia="es-ES"/>
              </w:rPr>
              <w:t>± 0.1</w:t>
            </w:r>
          </w:p>
        </w:tc>
        <w:tc>
          <w:tcPr>
            <w:tcW w:w="2268" w:type="dxa"/>
            <w:hideMark/>
          </w:tcPr>
          <w:p w14:paraId="7879D70E" w14:textId="77777777" w:rsidR="005563EE" w:rsidRPr="00216965" w:rsidRDefault="005563EE" w:rsidP="00A0457B">
            <w:pPr>
              <w:jc w:val="both"/>
              <w:rPr>
                <w:rFonts w:cs="Times New Roman"/>
                <w:lang w:val="es-ES"/>
              </w:rPr>
            </w:pPr>
            <w:r w:rsidRPr="00216965">
              <w:rPr>
                <w:rFonts w:cs="Times New Roman"/>
                <w:lang w:val="es-ES"/>
              </w:rPr>
              <w:t xml:space="preserve">0.14 </w:t>
            </w:r>
            <w:r w:rsidRPr="00216965">
              <w:rPr>
                <w:rFonts w:eastAsia="Times New Roman" w:cs="Times New Roman"/>
                <w:color w:val="000000"/>
                <w:lang w:val="es-ES" w:eastAsia="es-ES"/>
              </w:rPr>
              <w:t>± 0.02</w:t>
            </w:r>
          </w:p>
        </w:tc>
        <w:tc>
          <w:tcPr>
            <w:tcW w:w="2552" w:type="dxa"/>
            <w:hideMark/>
          </w:tcPr>
          <w:p w14:paraId="753C1D6F" w14:textId="77777777" w:rsidR="005563EE" w:rsidRPr="00216965" w:rsidRDefault="005563EE" w:rsidP="00A0457B">
            <w:pPr>
              <w:jc w:val="both"/>
              <w:rPr>
                <w:rFonts w:cs="Times New Roman"/>
                <w:lang w:val="es-ES"/>
              </w:rPr>
            </w:pPr>
            <w:r w:rsidRPr="00216965">
              <w:rPr>
                <w:rFonts w:cs="Times New Roman"/>
                <w:lang w:val="es-ES"/>
              </w:rPr>
              <w:t xml:space="preserve">0.19 </w:t>
            </w:r>
            <w:r w:rsidRPr="00216965">
              <w:rPr>
                <w:rFonts w:eastAsia="Times New Roman" w:cs="Times New Roman"/>
                <w:color w:val="000000"/>
                <w:lang w:val="es-ES" w:eastAsia="es-ES"/>
              </w:rPr>
              <w:t>± 0.04</w:t>
            </w:r>
          </w:p>
        </w:tc>
        <w:tc>
          <w:tcPr>
            <w:tcW w:w="2126" w:type="dxa"/>
            <w:hideMark/>
          </w:tcPr>
          <w:p w14:paraId="1E421427" w14:textId="77777777" w:rsidR="005563EE" w:rsidRPr="00216965" w:rsidRDefault="005563EE" w:rsidP="00A0457B">
            <w:pPr>
              <w:jc w:val="both"/>
              <w:rPr>
                <w:rFonts w:cs="Times New Roman"/>
                <w:lang w:val="es-ES"/>
              </w:rPr>
            </w:pPr>
            <w:r w:rsidRPr="00216965">
              <w:rPr>
                <w:rFonts w:cs="Times New Roman"/>
                <w:lang w:val="es-ES"/>
              </w:rPr>
              <w:t xml:space="preserve">0.06 </w:t>
            </w:r>
            <w:r w:rsidRPr="00216965">
              <w:rPr>
                <w:rFonts w:eastAsia="Times New Roman" w:cs="Times New Roman"/>
                <w:color w:val="000000"/>
                <w:lang w:val="es-ES" w:eastAsia="es-ES"/>
              </w:rPr>
              <w:t>± 0.04</w:t>
            </w:r>
          </w:p>
        </w:tc>
      </w:tr>
      <w:tr w:rsidR="005563EE" w:rsidRPr="00216965" w14:paraId="5F28A853" w14:textId="77777777" w:rsidTr="008A33DA">
        <w:tc>
          <w:tcPr>
            <w:tcW w:w="2263" w:type="dxa"/>
            <w:hideMark/>
          </w:tcPr>
          <w:p w14:paraId="28D636DB" w14:textId="77777777" w:rsidR="005563EE" w:rsidRPr="00216965" w:rsidRDefault="005563EE" w:rsidP="00A0457B">
            <w:pPr>
              <w:ind w:firstLine="31"/>
              <w:jc w:val="both"/>
              <w:rPr>
                <w:rFonts w:cs="Times New Roman"/>
                <w:lang w:val="es-ES"/>
              </w:rPr>
            </w:pPr>
            <w:r w:rsidRPr="00216965">
              <w:rPr>
                <w:rFonts w:cs="Times New Roman"/>
                <w:lang w:val="es-ES"/>
              </w:rPr>
              <w:t>Total K [wt%]*</w:t>
            </w:r>
            <w:r w:rsidRPr="00216965">
              <w:rPr>
                <w:rFonts w:cs="Times New Roman"/>
                <w:vertAlign w:val="superscript"/>
                <w:lang w:val="es-ES"/>
              </w:rPr>
              <w:t xml:space="preserve"> 1</w:t>
            </w:r>
          </w:p>
        </w:tc>
        <w:tc>
          <w:tcPr>
            <w:tcW w:w="1848" w:type="dxa"/>
            <w:hideMark/>
          </w:tcPr>
          <w:p w14:paraId="3D0337DD" w14:textId="77777777" w:rsidR="005563EE" w:rsidRPr="00216965" w:rsidRDefault="005563EE" w:rsidP="00A0457B">
            <w:pPr>
              <w:jc w:val="both"/>
              <w:rPr>
                <w:rFonts w:cs="Times New Roman"/>
                <w:lang w:val="es-ES"/>
              </w:rPr>
            </w:pPr>
            <w:r w:rsidRPr="00216965">
              <w:rPr>
                <w:rFonts w:cs="Times New Roman"/>
                <w:lang w:val="es-ES"/>
              </w:rPr>
              <w:t xml:space="preserve">2.9 </w:t>
            </w:r>
            <w:r w:rsidRPr="00216965">
              <w:rPr>
                <w:rFonts w:eastAsia="Times New Roman" w:cs="Times New Roman"/>
                <w:color w:val="000000"/>
                <w:lang w:val="es-ES" w:eastAsia="es-ES"/>
              </w:rPr>
              <w:t>± 0.3</w:t>
            </w:r>
          </w:p>
        </w:tc>
        <w:tc>
          <w:tcPr>
            <w:tcW w:w="2121" w:type="dxa"/>
            <w:hideMark/>
          </w:tcPr>
          <w:p w14:paraId="3F82FDFD" w14:textId="77777777" w:rsidR="005563EE" w:rsidRPr="00216965" w:rsidRDefault="005563EE" w:rsidP="00A0457B">
            <w:pPr>
              <w:jc w:val="both"/>
              <w:rPr>
                <w:rFonts w:cs="Times New Roman"/>
                <w:lang w:val="es-ES"/>
              </w:rPr>
            </w:pPr>
            <w:r w:rsidRPr="00216965">
              <w:rPr>
                <w:rFonts w:cs="Times New Roman"/>
                <w:lang w:val="es-ES"/>
              </w:rPr>
              <w:t xml:space="preserve">2.9 </w:t>
            </w:r>
            <w:r w:rsidRPr="00216965">
              <w:rPr>
                <w:rFonts w:eastAsia="Times New Roman" w:cs="Times New Roman"/>
                <w:color w:val="000000"/>
                <w:lang w:val="es-ES" w:eastAsia="es-ES"/>
              </w:rPr>
              <w:t>± 0.4</w:t>
            </w:r>
          </w:p>
        </w:tc>
        <w:tc>
          <w:tcPr>
            <w:tcW w:w="2268" w:type="dxa"/>
            <w:hideMark/>
          </w:tcPr>
          <w:p w14:paraId="1F56B18C" w14:textId="77777777" w:rsidR="005563EE" w:rsidRPr="00216965" w:rsidRDefault="005563EE" w:rsidP="00A0457B">
            <w:pPr>
              <w:jc w:val="both"/>
              <w:rPr>
                <w:rFonts w:cs="Times New Roman"/>
                <w:lang w:val="es-ES"/>
              </w:rPr>
            </w:pPr>
            <w:r w:rsidRPr="00216965">
              <w:rPr>
                <w:rFonts w:cs="Times New Roman"/>
                <w:lang w:val="es-ES"/>
              </w:rPr>
              <w:t xml:space="preserve">1.6 </w:t>
            </w:r>
            <w:r w:rsidRPr="00216965">
              <w:rPr>
                <w:rFonts w:eastAsia="Times New Roman" w:cs="Times New Roman"/>
                <w:color w:val="000000"/>
                <w:lang w:val="es-ES" w:eastAsia="es-ES"/>
              </w:rPr>
              <w:t>± 0.4</w:t>
            </w:r>
          </w:p>
        </w:tc>
        <w:tc>
          <w:tcPr>
            <w:tcW w:w="2552" w:type="dxa"/>
            <w:hideMark/>
          </w:tcPr>
          <w:p w14:paraId="5BE60B25" w14:textId="77777777" w:rsidR="005563EE" w:rsidRPr="00216965" w:rsidRDefault="005563EE" w:rsidP="00A0457B">
            <w:pPr>
              <w:jc w:val="both"/>
              <w:rPr>
                <w:rFonts w:cs="Times New Roman"/>
                <w:lang w:val="es-ES"/>
              </w:rPr>
            </w:pPr>
            <w:r w:rsidRPr="00216965">
              <w:rPr>
                <w:rFonts w:cs="Times New Roman"/>
                <w:lang w:val="es-ES"/>
              </w:rPr>
              <w:t xml:space="preserve">0.9 </w:t>
            </w:r>
            <w:r w:rsidRPr="00216965">
              <w:rPr>
                <w:rFonts w:eastAsia="Times New Roman" w:cs="Times New Roman"/>
                <w:color w:val="000000"/>
                <w:lang w:val="es-ES" w:eastAsia="es-ES"/>
              </w:rPr>
              <w:t>± 0.1</w:t>
            </w:r>
          </w:p>
        </w:tc>
        <w:tc>
          <w:tcPr>
            <w:tcW w:w="2126" w:type="dxa"/>
            <w:hideMark/>
          </w:tcPr>
          <w:p w14:paraId="234668A1" w14:textId="77777777" w:rsidR="005563EE" w:rsidRPr="00216965" w:rsidRDefault="005563EE" w:rsidP="00A0457B">
            <w:pPr>
              <w:jc w:val="both"/>
              <w:rPr>
                <w:rFonts w:cs="Times New Roman"/>
                <w:lang w:val="es-ES"/>
              </w:rPr>
            </w:pPr>
            <w:r w:rsidRPr="00216965">
              <w:rPr>
                <w:rFonts w:cs="Times New Roman"/>
                <w:lang w:val="es-ES"/>
              </w:rPr>
              <w:t xml:space="preserve">0.3 </w:t>
            </w:r>
            <w:r w:rsidRPr="00216965">
              <w:rPr>
                <w:rFonts w:eastAsia="Times New Roman" w:cs="Times New Roman"/>
                <w:color w:val="000000"/>
                <w:lang w:val="es-ES" w:eastAsia="es-ES"/>
              </w:rPr>
              <w:t>± 0.1</w:t>
            </w:r>
          </w:p>
        </w:tc>
      </w:tr>
      <w:tr w:rsidR="005563EE" w:rsidRPr="00216965" w14:paraId="5FEC5F67" w14:textId="77777777" w:rsidTr="008A33DA">
        <w:tc>
          <w:tcPr>
            <w:tcW w:w="2263" w:type="dxa"/>
            <w:hideMark/>
          </w:tcPr>
          <w:p w14:paraId="35CE6F11" w14:textId="77777777" w:rsidR="005563EE" w:rsidRPr="00216965" w:rsidRDefault="005563EE" w:rsidP="00A0457B">
            <w:pPr>
              <w:ind w:firstLine="31"/>
              <w:jc w:val="both"/>
              <w:rPr>
                <w:rFonts w:eastAsia="Times New Roman" w:cs="Times New Roman"/>
                <w:lang w:val="es-ES" w:eastAsia="es-ES"/>
              </w:rPr>
            </w:pPr>
            <w:bookmarkStart w:id="125" w:name="_Hlk50664468"/>
            <w:r w:rsidRPr="00216965">
              <w:rPr>
                <w:rFonts w:eastAsia="Times New Roman" w:cs="Times New Roman"/>
                <w:lang w:val="es-ES" w:eastAsia="es-ES"/>
              </w:rPr>
              <w:t xml:space="preserve">Total pore volume  </w:t>
            </w:r>
          </w:p>
          <w:p w14:paraId="4B879CC4" w14:textId="77777777" w:rsidR="005563EE" w:rsidRPr="00216965" w:rsidRDefault="005563EE" w:rsidP="00A0457B">
            <w:pPr>
              <w:ind w:firstLine="31"/>
              <w:jc w:val="both"/>
              <w:rPr>
                <w:rFonts w:eastAsiaTheme="minorEastAsia" w:cs="Times New Roman"/>
                <w:lang w:val="es-ES"/>
              </w:rPr>
            </w:pPr>
            <w:r w:rsidRPr="00216965">
              <w:rPr>
                <w:rFonts w:eastAsia="Times New Roman" w:cs="Times New Roman"/>
                <w:lang w:val="es-ES" w:eastAsia="es-ES"/>
              </w:rPr>
              <w:t>[cm</w:t>
            </w:r>
            <w:r w:rsidRPr="00216965">
              <w:rPr>
                <w:rFonts w:eastAsia="Times New Roman" w:cs="Times New Roman"/>
                <w:vertAlign w:val="superscript"/>
                <w:lang w:val="es-ES" w:eastAsia="es-ES"/>
              </w:rPr>
              <w:t>3</w:t>
            </w:r>
            <w:r w:rsidRPr="00216965">
              <w:rPr>
                <w:rFonts w:eastAsia="Times New Roman" w:cs="Times New Roman"/>
                <w:lang w:val="es-ES" w:eastAsia="es-ES"/>
              </w:rPr>
              <w:t>.g</w:t>
            </w:r>
            <w:r w:rsidRPr="00216965">
              <w:rPr>
                <w:rFonts w:eastAsia="Times New Roman" w:cs="Times New Roman"/>
                <w:vertAlign w:val="superscript"/>
                <w:lang w:val="es-ES" w:eastAsia="es-ES"/>
              </w:rPr>
              <w:t>-1</w:t>
            </w:r>
            <w:r w:rsidRPr="00216965">
              <w:rPr>
                <w:rFonts w:eastAsia="Times New Roman" w:cs="Times New Roman"/>
                <w:lang w:val="es-ES" w:eastAsia="es-ES"/>
              </w:rPr>
              <w:t>]</w:t>
            </w:r>
            <w:bookmarkEnd w:id="125"/>
            <w:r w:rsidRPr="00216965">
              <w:rPr>
                <w:rFonts w:eastAsia="Times New Roman" w:cs="Times New Roman"/>
                <w:vertAlign w:val="superscript"/>
                <w:lang w:val="es-ES" w:eastAsia="es-ES"/>
              </w:rPr>
              <w:t>2</w:t>
            </w:r>
          </w:p>
        </w:tc>
        <w:tc>
          <w:tcPr>
            <w:tcW w:w="1848" w:type="dxa"/>
            <w:vAlign w:val="center"/>
            <w:hideMark/>
          </w:tcPr>
          <w:p w14:paraId="2C95F0E2" w14:textId="77777777" w:rsidR="005563EE" w:rsidRPr="00216965" w:rsidRDefault="005563EE" w:rsidP="00A0457B">
            <w:pPr>
              <w:jc w:val="both"/>
              <w:rPr>
                <w:rFonts w:eastAsia="Times New Roman" w:cs="Times New Roman"/>
                <w:lang w:val="es-ES" w:eastAsia="es-ES"/>
              </w:rPr>
            </w:pPr>
            <w:r w:rsidRPr="00216965">
              <w:rPr>
                <w:rFonts w:cs="Times New Roman"/>
                <w:lang w:val="es-ES"/>
              </w:rPr>
              <w:t xml:space="preserve">0.38 </w:t>
            </w:r>
            <w:r w:rsidRPr="00216965">
              <w:rPr>
                <w:rFonts w:eastAsia="Times New Roman" w:cs="Times New Roman"/>
                <w:color w:val="000000"/>
                <w:lang w:val="es-ES" w:eastAsia="es-ES"/>
              </w:rPr>
              <w:t>± 0.02 c</w:t>
            </w:r>
          </w:p>
        </w:tc>
        <w:tc>
          <w:tcPr>
            <w:tcW w:w="2121" w:type="dxa"/>
            <w:vAlign w:val="center"/>
            <w:hideMark/>
          </w:tcPr>
          <w:p w14:paraId="0F46D43D" w14:textId="77777777" w:rsidR="005563EE" w:rsidRPr="00216965" w:rsidRDefault="005563EE" w:rsidP="00A0457B">
            <w:pPr>
              <w:jc w:val="both"/>
              <w:rPr>
                <w:rFonts w:eastAsiaTheme="minorEastAsia" w:cs="Times New Roman"/>
                <w:lang w:val="es-ES"/>
              </w:rPr>
            </w:pPr>
            <w:r w:rsidRPr="00216965">
              <w:rPr>
                <w:rFonts w:cs="Times New Roman"/>
                <w:lang w:val="es-ES"/>
              </w:rPr>
              <w:t xml:space="preserve">0.42 </w:t>
            </w:r>
            <w:r w:rsidRPr="00216965">
              <w:rPr>
                <w:rFonts w:eastAsia="Times New Roman" w:cs="Times New Roman"/>
                <w:color w:val="000000"/>
                <w:lang w:val="es-ES" w:eastAsia="es-ES"/>
              </w:rPr>
              <w:t>± 0.01 b</w:t>
            </w:r>
          </w:p>
        </w:tc>
        <w:tc>
          <w:tcPr>
            <w:tcW w:w="2268" w:type="dxa"/>
            <w:vAlign w:val="center"/>
            <w:hideMark/>
          </w:tcPr>
          <w:p w14:paraId="2B48DC3D" w14:textId="77777777" w:rsidR="005563EE" w:rsidRPr="00216965" w:rsidRDefault="005563EE" w:rsidP="00A0457B">
            <w:pPr>
              <w:jc w:val="both"/>
              <w:rPr>
                <w:rFonts w:cs="Times New Roman"/>
                <w:lang w:val="es-ES"/>
              </w:rPr>
            </w:pPr>
            <w:r w:rsidRPr="00216965">
              <w:rPr>
                <w:rFonts w:cs="Times New Roman"/>
                <w:lang w:val="es-ES"/>
              </w:rPr>
              <w:t xml:space="preserve">0.27 </w:t>
            </w:r>
            <w:r w:rsidRPr="00216965">
              <w:rPr>
                <w:rFonts w:eastAsia="Times New Roman" w:cs="Times New Roman"/>
                <w:color w:val="000000"/>
                <w:lang w:val="es-ES" w:eastAsia="es-ES"/>
              </w:rPr>
              <w:t>± 0.01 e</w:t>
            </w:r>
          </w:p>
        </w:tc>
        <w:tc>
          <w:tcPr>
            <w:tcW w:w="2552" w:type="dxa"/>
            <w:vAlign w:val="center"/>
            <w:hideMark/>
          </w:tcPr>
          <w:p w14:paraId="2535CCDB"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0.6108 </w:t>
            </w:r>
            <w:r w:rsidRPr="00216965">
              <w:rPr>
                <w:rFonts w:eastAsia="Times New Roman" w:cs="Times New Roman"/>
                <w:color w:val="000000"/>
                <w:lang w:val="es-ES" w:eastAsia="es-ES"/>
              </w:rPr>
              <w:t>± 0.0003 a</w:t>
            </w:r>
          </w:p>
        </w:tc>
        <w:tc>
          <w:tcPr>
            <w:tcW w:w="2126" w:type="dxa"/>
            <w:vAlign w:val="center"/>
            <w:hideMark/>
          </w:tcPr>
          <w:p w14:paraId="1C00A5FB" w14:textId="77777777" w:rsidR="005563EE" w:rsidRPr="00216965" w:rsidRDefault="005563EE" w:rsidP="00A0457B">
            <w:pPr>
              <w:jc w:val="both"/>
              <w:rPr>
                <w:rFonts w:cs="Times New Roman"/>
                <w:lang w:val="es-ES"/>
              </w:rPr>
            </w:pPr>
            <w:r w:rsidRPr="00216965">
              <w:rPr>
                <w:rFonts w:cs="Times New Roman"/>
                <w:lang w:val="es-ES"/>
              </w:rPr>
              <w:t xml:space="preserve">0.33 </w:t>
            </w:r>
            <w:r w:rsidRPr="00216965">
              <w:rPr>
                <w:rFonts w:eastAsia="Times New Roman" w:cs="Times New Roman"/>
                <w:color w:val="000000"/>
                <w:lang w:val="es-ES" w:eastAsia="es-ES"/>
              </w:rPr>
              <w:t>± 0.01 d</w:t>
            </w:r>
          </w:p>
        </w:tc>
      </w:tr>
      <w:tr w:rsidR="005563EE" w:rsidRPr="00216965" w14:paraId="6D63E1E3" w14:textId="77777777" w:rsidTr="008A33DA">
        <w:tc>
          <w:tcPr>
            <w:tcW w:w="2263" w:type="dxa"/>
            <w:hideMark/>
          </w:tcPr>
          <w:p w14:paraId="0A14EEBA" w14:textId="77777777" w:rsidR="005563EE" w:rsidRPr="00216965" w:rsidRDefault="005563EE" w:rsidP="00A0457B">
            <w:pPr>
              <w:ind w:firstLine="31"/>
              <w:jc w:val="both"/>
              <w:rPr>
                <w:rFonts w:eastAsia="Times New Roman" w:cs="Times New Roman"/>
                <w:lang w:val="es-ES" w:eastAsia="es-ES"/>
              </w:rPr>
            </w:pPr>
            <w:r w:rsidRPr="00216965">
              <w:rPr>
                <w:rFonts w:eastAsia="Times New Roman" w:cs="Times New Roman"/>
                <w:lang w:val="es-ES" w:eastAsia="es-ES"/>
              </w:rPr>
              <w:t>BET [m</w:t>
            </w:r>
            <w:r w:rsidRPr="00216965">
              <w:rPr>
                <w:rFonts w:eastAsia="Times New Roman" w:cs="Times New Roman"/>
                <w:vertAlign w:val="superscript"/>
                <w:lang w:val="es-ES" w:eastAsia="es-ES"/>
              </w:rPr>
              <w:t>2</w:t>
            </w:r>
            <w:r w:rsidRPr="00216965">
              <w:rPr>
                <w:rFonts w:eastAsia="Times New Roman" w:cs="Times New Roman"/>
                <w:lang w:val="es-ES" w:eastAsia="es-ES"/>
              </w:rPr>
              <w:t>.g</w:t>
            </w:r>
            <w:r w:rsidRPr="00216965">
              <w:rPr>
                <w:rFonts w:eastAsia="Times New Roman" w:cs="Times New Roman"/>
                <w:vertAlign w:val="superscript"/>
                <w:lang w:val="es-ES" w:eastAsia="es-ES"/>
              </w:rPr>
              <w:t>-1</w:t>
            </w:r>
            <w:r w:rsidRPr="00216965">
              <w:rPr>
                <w:rFonts w:eastAsia="Times New Roman" w:cs="Times New Roman"/>
                <w:lang w:val="es-ES" w:eastAsia="es-ES"/>
              </w:rPr>
              <w:t>]</w:t>
            </w:r>
            <w:r w:rsidRPr="00216965">
              <w:rPr>
                <w:rFonts w:eastAsia="Times New Roman" w:cs="Times New Roman"/>
                <w:vertAlign w:val="superscript"/>
                <w:lang w:val="es-ES" w:eastAsia="es-ES"/>
              </w:rPr>
              <w:t xml:space="preserve"> 2</w:t>
            </w:r>
          </w:p>
        </w:tc>
        <w:tc>
          <w:tcPr>
            <w:tcW w:w="1848" w:type="dxa"/>
            <w:vAlign w:val="bottom"/>
            <w:hideMark/>
          </w:tcPr>
          <w:p w14:paraId="60171628" w14:textId="77777777" w:rsidR="005563EE" w:rsidRPr="00216965" w:rsidRDefault="005563EE" w:rsidP="00A0457B">
            <w:pPr>
              <w:jc w:val="both"/>
              <w:rPr>
                <w:rFonts w:eastAsia="Times New Roman" w:cs="Times New Roman"/>
                <w:lang w:val="es-ES" w:eastAsia="es-ES"/>
              </w:rPr>
            </w:pPr>
            <w:r w:rsidRPr="00216965">
              <w:rPr>
                <w:rFonts w:eastAsia="Times New Roman" w:cs="Times New Roman"/>
                <w:lang w:val="es-ES" w:eastAsia="es-ES"/>
              </w:rPr>
              <w:t xml:space="preserve">416 </w:t>
            </w:r>
            <w:r w:rsidRPr="00216965">
              <w:rPr>
                <w:rFonts w:eastAsia="Times New Roman" w:cs="Times New Roman"/>
                <w:color w:val="000000"/>
                <w:lang w:val="es-ES" w:eastAsia="es-ES"/>
              </w:rPr>
              <w:t>± 5 c</w:t>
            </w:r>
          </w:p>
        </w:tc>
        <w:tc>
          <w:tcPr>
            <w:tcW w:w="2121" w:type="dxa"/>
            <w:hideMark/>
          </w:tcPr>
          <w:p w14:paraId="70B9EC66" w14:textId="77777777" w:rsidR="005563EE" w:rsidRPr="00216965" w:rsidRDefault="005563EE" w:rsidP="00A0457B">
            <w:pPr>
              <w:jc w:val="both"/>
              <w:rPr>
                <w:rFonts w:eastAsiaTheme="minorEastAsia" w:cs="Times New Roman"/>
                <w:lang w:val="es-ES"/>
              </w:rPr>
            </w:pPr>
            <w:r w:rsidRPr="00216965">
              <w:rPr>
                <w:rFonts w:eastAsia="Times New Roman" w:cs="Times New Roman"/>
                <w:lang w:val="es-ES" w:eastAsia="es-ES"/>
              </w:rPr>
              <w:t xml:space="preserve">461 </w:t>
            </w:r>
            <w:r w:rsidRPr="00216965">
              <w:rPr>
                <w:rFonts w:eastAsia="Times New Roman" w:cs="Times New Roman"/>
                <w:color w:val="000000"/>
                <w:lang w:val="es-ES" w:eastAsia="es-ES"/>
              </w:rPr>
              <w:t>± 5 b</w:t>
            </w:r>
          </w:p>
        </w:tc>
        <w:tc>
          <w:tcPr>
            <w:tcW w:w="2268" w:type="dxa"/>
            <w:hideMark/>
          </w:tcPr>
          <w:p w14:paraId="27AEE62A"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299 </w:t>
            </w:r>
            <w:r w:rsidRPr="00216965">
              <w:rPr>
                <w:rFonts w:eastAsia="Times New Roman" w:cs="Times New Roman"/>
                <w:color w:val="000000"/>
                <w:lang w:val="es-ES" w:eastAsia="es-ES"/>
              </w:rPr>
              <w:t>± 3 e</w:t>
            </w:r>
          </w:p>
        </w:tc>
        <w:tc>
          <w:tcPr>
            <w:tcW w:w="2552" w:type="dxa"/>
            <w:hideMark/>
          </w:tcPr>
          <w:p w14:paraId="7BC09C51"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490 </w:t>
            </w:r>
            <w:r w:rsidRPr="00216965">
              <w:rPr>
                <w:rFonts w:eastAsia="Times New Roman" w:cs="Times New Roman"/>
                <w:color w:val="000000"/>
                <w:lang w:val="es-ES" w:eastAsia="es-ES"/>
              </w:rPr>
              <w:t>± 12 a</w:t>
            </w:r>
          </w:p>
        </w:tc>
        <w:tc>
          <w:tcPr>
            <w:tcW w:w="2126" w:type="dxa"/>
            <w:hideMark/>
          </w:tcPr>
          <w:p w14:paraId="2739BF12"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358 </w:t>
            </w:r>
            <w:r w:rsidRPr="00216965">
              <w:rPr>
                <w:rFonts w:eastAsia="Times New Roman" w:cs="Times New Roman"/>
                <w:color w:val="000000"/>
                <w:lang w:val="es-ES" w:eastAsia="es-ES"/>
              </w:rPr>
              <w:t>± 3 d</w:t>
            </w:r>
          </w:p>
        </w:tc>
      </w:tr>
      <w:tr w:rsidR="005563EE" w:rsidRPr="00216965" w14:paraId="33E14F80" w14:textId="77777777" w:rsidTr="008A33DA">
        <w:tc>
          <w:tcPr>
            <w:tcW w:w="2263" w:type="dxa"/>
            <w:hideMark/>
          </w:tcPr>
          <w:p w14:paraId="2BDDC531" w14:textId="77777777" w:rsidR="005563EE" w:rsidRPr="00216965" w:rsidRDefault="005563EE" w:rsidP="00A0457B">
            <w:pPr>
              <w:ind w:firstLine="31"/>
              <w:jc w:val="both"/>
              <w:rPr>
                <w:rFonts w:eastAsia="Times New Roman" w:cs="Times New Roman"/>
                <w:lang w:val="es-ES" w:eastAsia="es-ES"/>
              </w:rPr>
            </w:pPr>
            <w:r w:rsidRPr="00216965">
              <w:rPr>
                <w:rFonts w:eastAsia="Times New Roman" w:cs="Times New Roman"/>
                <w:lang w:val="es-ES" w:eastAsia="es-ES"/>
              </w:rPr>
              <w:t>CEC [cmol.kg</w:t>
            </w:r>
            <w:r w:rsidRPr="00216965">
              <w:rPr>
                <w:rFonts w:eastAsia="Times New Roman" w:cs="Times New Roman"/>
                <w:vertAlign w:val="superscript"/>
                <w:lang w:val="es-ES" w:eastAsia="es-ES"/>
              </w:rPr>
              <w:t>-1</w:t>
            </w:r>
            <w:r w:rsidRPr="00216965">
              <w:rPr>
                <w:rFonts w:eastAsia="Times New Roman" w:cs="Times New Roman"/>
                <w:lang w:val="es-ES" w:eastAsia="es-ES"/>
              </w:rPr>
              <w:t>]</w:t>
            </w:r>
            <w:r w:rsidRPr="00216965">
              <w:rPr>
                <w:rFonts w:eastAsia="Times New Roman" w:cs="Times New Roman"/>
                <w:vertAlign w:val="superscript"/>
                <w:lang w:val="es-ES" w:eastAsia="es-ES"/>
              </w:rPr>
              <w:t xml:space="preserve"> 2</w:t>
            </w:r>
          </w:p>
        </w:tc>
        <w:tc>
          <w:tcPr>
            <w:tcW w:w="1848" w:type="dxa"/>
            <w:hideMark/>
          </w:tcPr>
          <w:p w14:paraId="75E2A8DD" w14:textId="77777777" w:rsidR="005563EE" w:rsidRPr="00216965" w:rsidRDefault="005563EE" w:rsidP="00A0457B">
            <w:pPr>
              <w:jc w:val="both"/>
              <w:rPr>
                <w:rFonts w:eastAsia="Times New Roman" w:cs="Times New Roman"/>
                <w:lang w:val="es-ES" w:eastAsia="es-ES"/>
              </w:rPr>
            </w:pPr>
            <w:r w:rsidRPr="00216965">
              <w:rPr>
                <w:rFonts w:eastAsia="Times New Roman" w:cs="Times New Roman"/>
                <w:lang w:val="es-ES" w:eastAsia="es-ES"/>
              </w:rPr>
              <w:t xml:space="preserve">22 </w:t>
            </w:r>
            <w:r w:rsidRPr="00216965">
              <w:rPr>
                <w:rFonts w:eastAsia="Times New Roman" w:cs="Times New Roman"/>
                <w:color w:val="000000"/>
                <w:lang w:val="es-ES" w:eastAsia="es-ES"/>
              </w:rPr>
              <w:t xml:space="preserve">± </w:t>
            </w:r>
            <w:r w:rsidRPr="00216965">
              <w:rPr>
                <w:rFonts w:eastAsia="Times New Roman" w:cs="Times New Roman"/>
                <w:lang w:val="es-ES" w:eastAsia="es-ES"/>
              </w:rPr>
              <w:t>3 a</w:t>
            </w:r>
          </w:p>
        </w:tc>
        <w:tc>
          <w:tcPr>
            <w:tcW w:w="2121" w:type="dxa"/>
            <w:hideMark/>
          </w:tcPr>
          <w:p w14:paraId="13750BBE" w14:textId="77777777" w:rsidR="005563EE" w:rsidRPr="00216965" w:rsidRDefault="005563EE" w:rsidP="00A0457B">
            <w:pPr>
              <w:jc w:val="both"/>
              <w:rPr>
                <w:rFonts w:eastAsiaTheme="minorEastAsia" w:cs="Times New Roman"/>
                <w:lang w:val="es-ES"/>
              </w:rPr>
            </w:pPr>
            <w:r w:rsidRPr="00216965">
              <w:rPr>
                <w:rFonts w:eastAsia="Times New Roman" w:cs="Times New Roman"/>
                <w:lang w:val="es-ES" w:eastAsia="es-ES"/>
              </w:rPr>
              <w:t xml:space="preserve">23 </w:t>
            </w:r>
            <w:r w:rsidRPr="00216965">
              <w:rPr>
                <w:rFonts w:eastAsia="Times New Roman" w:cs="Times New Roman"/>
                <w:color w:val="000000"/>
                <w:lang w:val="es-ES" w:eastAsia="es-ES"/>
              </w:rPr>
              <w:t>± 1 a</w:t>
            </w:r>
          </w:p>
        </w:tc>
        <w:tc>
          <w:tcPr>
            <w:tcW w:w="2268" w:type="dxa"/>
            <w:hideMark/>
          </w:tcPr>
          <w:p w14:paraId="0C502968"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21 </w:t>
            </w:r>
            <w:r w:rsidRPr="00216965">
              <w:rPr>
                <w:rFonts w:eastAsia="Times New Roman" w:cs="Times New Roman"/>
                <w:color w:val="000000"/>
                <w:lang w:val="es-ES" w:eastAsia="es-ES"/>
              </w:rPr>
              <w:t>± 2 a</w:t>
            </w:r>
          </w:p>
        </w:tc>
        <w:tc>
          <w:tcPr>
            <w:tcW w:w="2552" w:type="dxa"/>
            <w:hideMark/>
          </w:tcPr>
          <w:p w14:paraId="7A5122CA"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22 </w:t>
            </w:r>
            <w:r w:rsidRPr="00216965">
              <w:rPr>
                <w:rFonts w:eastAsia="Times New Roman" w:cs="Times New Roman"/>
                <w:color w:val="000000"/>
                <w:lang w:val="es-ES" w:eastAsia="es-ES"/>
              </w:rPr>
              <w:t>± 1 a</w:t>
            </w:r>
          </w:p>
        </w:tc>
        <w:tc>
          <w:tcPr>
            <w:tcW w:w="2126" w:type="dxa"/>
            <w:hideMark/>
          </w:tcPr>
          <w:p w14:paraId="15B09F70" w14:textId="77777777" w:rsidR="005563EE" w:rsidRPr="00216965" w:rsidRDefault="005563EE" w:rsidP="00A0457B">
            <w:pPr>
              <w:jc w:val="both"/>
              <w:rPr>
                <w:rFonts w:cs="Times New Roman"/>
                <w:lang w:val="es-ES"/>
              </w:rPr>
            </w:pPr>
            <w:r w:rsidRPr="00216965">
              <w:rPr>
                <w:rFonts w:eastAsia="Times New Roman" w:cs="Times New Roman"/>
                <w:lang w:val="es-ES" w:eastAsia="es-ES"/>
              </w:rPr>
              <w:t xml:space="preserve">11 </w:t>
            </w:r>
            <w:r w:rsidRPr="00216965">
              <w:rPr>
                <w:rFonts w:eastAsia="Times New Roman" w:cs="Times New Roman"/>
                <w:color w:val="000000"/>
                <w:lang w:val="es-ES" w:eastAsia="es-ES"/>
              </w:rPr>
              <w:t>± 3 b</w:t>
            </w:r>
          </w:p>
        </w:tc>
      </w:tr>
    </w:tbl>
    <w:p w14:paraId="65B3A3BC" w14:textId="77777777" w:rsidR="005563EE" w:rsidRPr="00216965" w:rsidRDefault="005563EE" w:rsidP="008A33DA">
      <w:pPr>
        <w:tabs>
          <w:tab w:val="left" w:pos="8505"/>
        </w:tabs>
        <w:spacing w:after="0" w:line="480" w:lineRule="auto"/>
        <w:ind w:right="111"/>
        <w:jc w:val="both"/>
        <w:rPr>
          <w:szCs w:val="24"/>
          <w:vertAlign w:val="superscript"/>
        </w:rPr>
      </w:pPr>
    </w:p>
    <w:p w14:paraId="379D5304" w14:textId="77777777" w:rsidR="005563EE" w:rsidRPr="00216965" w:rsidRDefault="005563EE" w:rsidP="008A33DA">
      <w:pPr>
        <w:tabs>
          <w:tab w:val="left" w:pos="8505"/>
        </w:tabs>
        <w:spacing w:after="0" w:line="480" w:lineRule="auto"/>
        <w:ind w:right="111"/>
        <w:jc w:val="both"/>
        <w:rPr>
          <w:szCs w:val="24"/>
          <w:vertAlign w:val="superscript"/>
        </w:rPr>
      </w:pPr>
    </w:p>
    <w:p w14:paraId="298693A0" w14:textId="77777777" w:rsidR="005563EE" w:rsidRPr="00216965" w:rsidRDefault="005563EE" w:rsidP="008A33DA">
      <w:pPr>
        <w:tabs>
          <w:tab w:val="left" w:pos="8505"/>
        </w:tabs>
        <w:spacing w:after="0" w:line="480" w:lineRule="auto"/>
        <w:ind w:right="111"/>
        <w:jc w:val="both"/>
        <w:rPr>
          <w:szCs w:val="24"/>
          <w:vertAlign w:val="superscript"/>
        </w:rPr>
      </w:pPr>
    </w:p>
    <w:p w14:paraId="2ADA2C6E" w14:textId="77777777" w:rsidR="005563EE" w:rsidRPr="00216965" w:rsidRDefault="005563EE" w:rsidP="008A33DA">
      <w:pPr>
        <w:tabs>
          <w:tab w:val="left" w:pos="8505"/>
        </w:tabs>
        <w:spacing w:after="0" w:line="480" w:lineRule="auto"/>
        <w:ind w:right="111"/>
        <w:jc w:val="both"/>
        <w:rPr>
          <w:szCs w:val="24"/>
          <w:vertAlign w:val="superscript"/>
        </w:rPr>
      </w:pPr>
    </w:p>
    <w:p w14:paraId="0EE7407F" w14:textId="77777777" w:rsidR="005563EE" w:rsidRPr="00216965" w:rsidRDefault="005563EE" w:rsidP="008A33DA">
      <w:pPr>
        <w:tabs>
          <w:tab w:val="left" w:pos="8505"/>
        </w:tabs>
        <w:spacing w:after="0" w:line="480" w:lineRule="auto"/>
        <w:ind w:right="111"/>
        <w:jc w:val="both"/>
        <w:rPr>
          <w:szCs w:val="24"/>
          <w:vertAlign w:val="superscript"/>
        </w:rPr>
      </w:pPr>
    </w:p>
    <w:p w14:paraId="58A1F505" w14:textId="77777777" w:rsidR="005563EE" w:rsidRPr="00216965" w:rsidRDefault="005563EE" w:rsidP="008A33DA">
      <w:pPr>
        <w:tabs>
          <w:tab w:val="left" w:pos="8505"/>
        </w:tabs>
        <w:spacing w:after="0" w:line="480" w:lineRule="auto"/>
        <w:ind w:right="111"/>
        <w:jc w:val="both"/>
        <w:rPr>
          <w:szCs w:val="24"/>
          <w:vertAlign w:val="superscript"/>
        </w:rPr>
      </w:pPr>
    </w:p>
    <w:p w14:paraId="58419316" w14:textId="77777777" w:rsidR="005563EE" w:rsidRPr="00216965" w:rsidRDefault="005563EE" w:rsidP="008A33DA">
      <w:pPr>
        <w:tabs>
          <w:tab w:val="left" w:pos="8505"/>
        </w:tabs>
        <w:spacing w:after="0" w:line="480" w:lineRule="auto"/>
        <w:ind w:right="111"/>
        <w:jc w:val="both"/>
        <w:rPr>
          <w:szCs w:val="24"/>
          <w:vertAlign w:val="superscript"/>
        </w:rPr>
      </w:pPr>
    </w:p>
    <w:p w14:paraId="66B49DC3" w14:textId="77777777" w:rsidR="005563EE" w:rsidRPr="00216965" w:rsidRDefault="005563EE" w:rsidP="008A33DA">
      <w:pPr>
        <w:tabs>
          <w:tab w:val="left" w:pos="8505"/>
        </w:tabs>
        <w:spacing w:after="0" w:line="480" w:lineRule="auto"/>
        <w:ind w:right="111"/>
        <w:jc w:val="both"/>
        <w:rPr>
          <w:szCs w:val="24"/>
          <w:vertAlign w:val="superscript"/>
        </w:rPr>
      </w:pPr>
    </w:p>
    <w:p w14:paraId="3A153BD3" w14:textId="77777777" w:rsidR="005563EE" w:rsidRPr="00216965" w:rsidRDefault="005563EE" w:rsidP="008A33DA">
      <w:pPr>
        <w:tabs>
          <w:tab w:val="left" w:pos="8505"/>
        </w:tabs>
        <w:spacing w:after="0" w:line="480" w:lineRule="auto"/>
        <w:ind w:right="111"/>
        <w:jc w:val="both"/>
        <w:rPr>
          <w:szCs w:val="24"/>
          <w:vertAlign w:val="superscript"/>
        </w:rPr>
      </w:pPr>
    </w:p>
    <w:p w14:paraId="5EA83195" w14:textId="77777777" w:rsidR="005563EE" w:rsidRPr="00216965" w:rsidRDefault="005563EE" w:rsidP="008A33DA">
      <w:pPr>
        <w:tabs>
          <w:tab w:val="left" w:pos="8505"/>
        </w:tabs>
        <w:spacing w:after="0" w:line="240" w:lineRule="auto"/>
        <w:ind w:right="113"/>
        <w:jc w:val="both"/>
        <w:rPr>
          <w:szCs w:val="24"/>
        </w:rPr>
      </w:pPr>
      <w:r w:rsidRPr="00216965">
        <w:rPr>
          <w:szCs w:val="24"/>
          <w:vertAlign w:val="superscript"/>
        </w:rPr>
        <w:t>1</w:t>
      </w:r>
      <w:r w:rsidRPr="00216965">
        <w:rPr>
          <w:szCs w:val="24"/>
        </w:rPr>
        <w:t xml:space="preserve"> Data reproduced from UK Biochar Research Centre, values are means ± run to run variation (SD), (</w:t>
      </w:r>
      <w:hyperlink r:id="rId25" w:tgtFrame="_blank" w:history="1">
        <w:r w:rsidRPr="00216965">
          <w:rPr>
            <w:rStyle w:val="Hyperlink"/>
            <w:szCs w:val="24"/>
          </w:rPr>
          <w:t>http://www.biochar.ac.uk/standard_materials.php;</w:t>
        </w:r>
      </w:hyperlink>
      <w:r w:rsidRPr="00216965">
        <w:rPr>
          <w:szCs w:val="24"/>
        </w:rPr>
        <w:t xml:space="preserve"> Accessed 17/08/2020)                                                                                                                                                                                                                                                                               </w:t>
      </w:r>
    </w:p>
    <w:p w14:paraId="75831CFC" w14:textId="77777777" w:rsidR="005563EE" w:rsidRPr="00216965" w:rsidRDefault="005563EE" w:rsidP="008A33DA">
      <w:pPr>
        <w:tabs>
          <w:tab w:val="left" w:pos="8505"/>
        </w:tabs>
        <w:spacing w:after="0" w:line="240" w:lineRule="auto"/>
        <w:ind w:left="142" w:right="111" w:hanging="142"/>
        <w:jc w:val="both"/>
        <w:rPr>
          <w:szCs w:val="24"/>
        </w:rPr>
      </w:pPr>
      <w:r w:rsidRPr="00216965">
        <w:rPr>
          <w:szCs w:val="24"/>
          <w:vertAlign w:val="superscript"/>
        </w:rPr>
        <w:t xml:space="preserve">2 </w:t>
      </w:r>
      <w:r w:rsidRPr="00216965">
        <w:rPr>
          <w:szCs w:val="24"/>
        </w:rPr>
        <w:t xml:space="preserve">Data determined experimentally in the present study, values are means ± standard deviation; n = 3; different letters indicate significant differences  between biochars (p &lt; 0.05; one-way ANOVA, </w:t>
      </w:r>
      <w:bookmarkStart w:id="126" w:name="_Hlk48841101"/>
      <w:r w:rsidRPr="00216965">
        <w:rPr>
          <w:szCs w:val="24"/>
        </w:rPr>
        <w:t>Tukey's  honestly significant difference (HSD) post hoc test</w:t>
      </w:r>
      <w:bookmarkEnd w:id="126"/>
      <w:r w:rsidRPr="00216965">
        <w:rPr>
          <w:szCs w:val="24"/>
        </w:rPr>
        <w:t>)</w:t>
      </w:r>
    </w:p>
    <w:p w14:paraId="41FBD30D" w14:textId="77777777" w:rsidR="005563EE" w:rsidRPr="00216965" w:rsidRDefault="005563EE" w:rsidP="008A33DA">
      <w:pPr>
        <w:tabs>
          <w:tab w:val="left" w:pos="8505"/>
        </w:tabs>
        <w:spacing w:after="0" w:line="240" w:lineRule="auto"/>
        <w:ind w:right="111"/>
        <w:jc w:val="both"/>
        <w:rPr>
          <w:szCs w:val="24"/>
        </w:rPr>
      </w:pPr>
      <w:r w:rsidRPr="00216965">
        <w:rPr>
          <w:szCs w:val="24"/>
        </w:rPr>
        <w:t>* dry basis</w:t>
      </w:r>
    </w:p>
    <w:p w14:paraId="74DC7BF3" w14:textId="77777777" w:rsidR="005563EE" w:rsidRPr="00216965" w:rsidRDefault="005563EE" w:rsidP="008A33DA">
      <w:pPr>
        <w:tabs>
          <w:tab w:val="left" w:pos="8505"/>
        </w:tabs>
        <w:spacing w:after="0" w:line="240" w:lineRule="auto"/>
        <w:ind w:right="111"/>
        <w:jc w:val="both"/>
        <w:rPr>
          <w:szCs w:val="24"/>
        </w:rPr>
      </w:pPr>
      <w:r w:rsidRPr="00216965">
        <w:rPr>
          <w:szCs w:val="24"/>
        </w:rPr>
        <w:t>BET: specific surface area determined by the Brunauer-Emmett-Teller (BET) method</w:t>
      </w:r>
    </w:p>
    <w:p w14:paraId="498C1E80" w14:textId="77777777" w:rsidR="005563EE" w:rsidRPr="00216965" w:rsidRDefault="005563EE" w:rsidP="008A33DA">
      <w:pPr>
        <w:tabs>
          <w:tab w:val="left" w:pos="8505"/>
        </w:tabs>
        <w:spacing w:after="0" w:line="240" w:lineRule="auto"/>
        <w:ind w:right="111"/>
        <w:jc w:val="both"/>
        <w:rPr>
          <w:rFonts w:eastAsia="Times New Roman"/>
          <w:szCs w:val="24"/>
          <w:lang w:eastAsia="es-ES"/>
        </w:rPr>
      </w:pPr>
      <w:r w:rsidRPr="00216965">
        <w:rPr>
          <w:rFonts w:eastAsia="Times New Roman"/>
          <w:szCs w:val="24"/>
          <w:lang w:eastAsia="es-ES"/>
        </w:rPr>
        <w:t>CEC: cation exchange capacity</w:t>
      </w:r>
    </w:p>
    <w:bookmarkEnd w:id="123"/>
    <w:p w14:paraId="1F7AECD8" w14:textId="77777777" w:rsidR="005563EE" w:rsidRPr="00216965" w:rsidRDefault="005563EE" w:rsidP="008A33DA">
      <w:pPr>
        <w:spacing w:line="480" w:lineRule="auto"/>
        <w:jc w:val="both"/>
        <w:sectPr w:rsidR="005563EE" w:rsidRPr="00216965" w:rsidSect="00A0457B">
          <w:pgSz w:w="16838" w:h="11906" w:orient="landscape"/>
          <w:pgMar w:top="1440" w:right="1440" w:bottom="1440" w:left="1440" w:header="708" w:footer="708" w:gutter="0"/>
          <w:cols w:space="708"/>
          <w:docGrid w:linePitch="360"/>
        </w:sectPr>
      </w:pPr>
    </w:p>
    <w:p w14:paraId="1AF0AD8D" w14:textId="77777777" w:rsidR="005563EE" w:rsidRPr="00216965" w:rsidRDefault="005563EE" w:rsidP="008A33DA">
      <w:pPr>
        <w:pStyle w:val="Heading4"/>
      </w:pPr>
      <w:r w:rsidRPr="00216965">
        <w:lastRenderedPageBreak/>
        <w:t>Competitive sorption</w:t>
      </w:r>
    </w:p>
    <w:p w14:paraId="1E3EB053" w14:textId="229D5AA4" w:rsidR="005563EE" w:rsidRPr="00216965" w:rsidRDefault="005563EE" w:rsidP="008A33DA">
      <w:pPr>
        <w:spacing w:line="360" w:lineRule="auto"/>
        <w:jc w:val="both"/>
      </w:pPr>
      <w:r w:rsidRPr="00216965">
        <w:t>Competitive sorption effects were evaluated in binary and ternary systems of the studied HMs. Initial concentrations that induced an intermediate sorption capacity by biochars in the single sorption test were used in this competitive experiment; the initial concentrations were: Zn</w:t>
      </w:r>
      <w:r w:rsidR="002F3FDD" w:rsidRPr="00216965">
        <w:t xml:space="preserve"> </w:t>
      </w:r>
      <w:r w:rsidRPr="00216965">
        <w:t>13 mg.L</w:t>
      </w:r>
      <w:r w:rsidRPr="00216965">
        <w:rPr>
          <w:vertAlign w:val="superscript"/>
        </w:rPr>
        <w:t>-1</w:t>
      </w:r>
      <w:r w:rsidRPr="00216965">
        <w:t>, Pb 41 mg.L</w:t>
      </w:r>
      <w:r w:rsidRPr="00216965">
        <w:rPr>
          <w:vertAlign w:val="superscript"/>
        </w:rPr>
        <w:t>-1</w:t>
      </w:r>
      <w:r w:rsidRPr="00216965">
        <w:t xml:space="preserve"> and Cd 22 mg.L</w:t>
      </w:r>
      <w:r w:rsidRPr="00216965">
        <w:rPr>
          <w:vertAlign w:val="superscript"/>
        </w:rPr>
        <w:t>-1</w:t>
      </w:r>
      <w:r w:rsidRPr="00216965">
        <w:t>, which are equivalent to 0.2 mM in each case. Equimolar concentrations were used in this test to allow comparison between elements;      the combinations were: Zn:Cd, Pb:Cd, Zn:Pb and Cd:Zn:Pb. The pH was 6.5 for the first combination and 5 for the rest, as required for the evaluation of Pb binding. Pb is present as insoluble Pb(OH)</w:t>
      </w:r>
      <w:r w:rsidRPr="00216965">
        <w:rPr>
          <w:vertAlign w:val="subscript"/>
        </w:rPr>
        <w:t>2</w:t>
      </w:r>
      <w:r w:rsidRPr="00216965">
        <w:t xml:space="preserve"> at pH 5.5-12.5</w:t>
      </w:r>
      <w:r w:rsidR="00AD0DBC" w:rsidRPr="00216965">
        <w:t xml:space="preserve"> </w:t>
      </w:r>
      <w:r w:rsidR="00AD0DBC" w:rsidRPr="00216965">
        <w:fldChar w:fldCharType="begin" w:fldLock="1"/>
      </w:r>
      <w:r w:rsidR="006C06AA" w:rsidRPr="00216965">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modifications","type":"article-journal","volume":"178"},"uris":["http://www.mendeley.com/documents/?uuid=86ada9eb-8f5a-356c-ba86-8ed24fd91759"]}],"mendeley":{"formattedCitation":"(Hongbo Li et al., 2017)","plainTextFormattedCitation":"(Hongbo Li et al., 2017)","previouslyFormattedCitation":"(Hongbo Li et al., 2017)"},"properties":{"noteIndex":0},"schema":"https://github.com/citation-style-language/schema/raw/master/csl-citation.json"}</w:instrText>
      </w:r>
      <w:r w:rsidR="00AD0DBC" w:rsidRPr="00216965">
        <w:fldChar w:fldCharType="separate"/>
      </w:r>
      <w:r w:rsidR="00C83E62" w:rsidRPr="00216965">
        <w:rPr>
          <w:noProof/>
        </w:rPr>
        <w:t>(Hongbo Li et al., 2017)</w:t>
      </w:r>
      <w:r w:rsidR="00AD0DBC" w:rsidRPr="00216965">
        <w:fldChar w:fldCharType="end"/>
      </w:r>
      <w:r w:rsidRPr="00216965">
        <w:t>, which would limit the amount of soluble Pb</w:t>
      </w:r>
      <w:r w:rsidRPr="00216965">
        <w:rPr>
          <w:vertAlign w:val="superscript"/>
        </w:rPr>
        <w:t>2+</w:t>
      </w:r>
      <w:r w:rsidRPr="00216965">
        <w:t xml:space="preserve"> that can bind with biochar.</w:t>
      </w:r>
    </w:p>
    <w:p w14:paraId="65FF192C" w14:textId="77777777" w:rsidR="005563EE" w:rsidRPr="00216965" w:rsidRDefault="005563EE" w:rsidP="008A33DA">
      <w:pPr>
        <w:pStyle w:val="Heading3"/>
      </w:pPr>
      <w:bookmarkStart w:id="127" w:name="_Toc86504650"/>
      <w:r w:rsidRPr="00216965">
        <w:t>Sorption models</w:t>
      </w:r>
      <w:bookmarkEnd w:id="127"/>
    </w:p>
    <w:p w14:paraId="06758F98" w14:textId="77777777" w:rsidR="005563EE" w:rsidRPr="00216965" w:rsidRDefault="005563EE" w:rsidP="008A33DA">
      <w:pPr>
        <w:pStyle w:val="Heading4"/>
      </w:pPr>
      <w:r w:rsidRPr="00216965">
        <w:t>Kinetic models</w:t>
      </w:r>
    </w:p>
    <w:p w14:paraId="67126F31" w14:textId="30538014" w:rsidR="005563EE" w:rsidRPr="00216965" w:rsidRDefault="005563EE" w:rsidP="008A33DA">
      <w:pPr>
        <w:spacing w:line="360" w:lineRule="auto"/>
        <w:jc w:val="both"/>
      </w:pPr>
      <w:r w:rsidRPr="00216965">
        <w:t xml:space="preserve">First-order </w:t>
      </w:r>
      <w:r w:rsidRPr="00216965">
        <w:rPr>
          <w:rFonts w:cs="Times New Roman"/>
          <w:szCs w:val="24"/>
        </w:rPr>
        <w:fldChar w:fldCharType="begin" w:fldLock="1"/>
      </w:r>
      <w:r w:rsidR="00F56BD7" w:rsidRPr="00216965">
        <w:rPr>
          <w:rFonts w:cs="Times New Roman"/>
          <w:szCs w:val="24"/>
        </w:rPr>
        <w:instrText>ADDIN CSL_CITATION {"citationItems":[{"id":"ITEM-1","itemData":{"DOI":"10.1007/BF01501332","author":[{"dropping-particle":"","family":"Lagergren","given":"Sten","non-dropping-particle":"","parse-names":false,"suffix":""}],"container-title":"Zeitschr f Chem und Ind der Kolloide","id":"ITEM-1","issue":"15","issued":{"date-parts":[["1907"]]},"title":"Zur theorie der sogenannten adsorption geloster stoffe","type":"article-journal","volume":"2"},"uris":["http://www.mendeley.com/documents/?uuid=6dbd3ff5-6a8a-4e32-96ef-99a011741440"]}],"mendeley":{"formattedCitation":"(Lagergren, 1907)","plainTextFormattedCitation":"(Lagergren, 1907)","previouslyFormattedCitation":"(Lagergren, 1907)"},"properties":{"noteIndex":0},"schema":"https://github.com/citation-style-language/schema/raw/master/csl-citation.json"}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(Lagergren, 1907)</w:t>
      </w:r>
      <w:r w:rsidRPr="00216965">
        <w:rPr>
          <w:rFonts w:cs="Times New Roman"/>
          <w:szCs w:val="24"/>
        </w:rPr>
        <w:fldChar w:fldCharType="end"/>
      </w:r>
      <w:r w:rsidRPr="00216965">
        <w:t xml:space="preserve"> and second-order </w:t>
      </w:r>
      <w:r w:rsidRPr="00216965">
        <w:rPr>
          <w:rFonts w:cs="Times New Roman"/>
          <w:szCs w:val="24"/>
        </w:rPr>
        <w:fldChar w:fldCharType="begin" w:fldLock="1"/>
      </w:r>
      <w:r w:rsidR="00F56BD7" w:rsidRPr="00216965">
        <w:rPr>
          <w:rFonts w:cs="Times New Roman"/>
          <w:szCs w:val="24"/>
        </w:rPr>
        <w:instrText>ADDIN CSL_CITATION {"citationItems":[{"id":"ITEM-1","itemData":{"DOI":"10.1016/s0923-0467(98)00076-1","ISSN":"13858947","abstract":"The sorption of two dyes, namely, Basic BIue 69 and Acid Bhre 25 onto peat has been studied in terms of pseudo-second order and first order mechanisms for chemical sorption as vrell as an intraparticle diffusion mechani!jm process. The batch sorption process, based on the assumption of a pseudo-second order mechanism, has been developed to predict the rite constant of sorption. the equ~lib~um capacity and initial sorption rate with the effect of agitation, initial dye concentration and temperature. An activation energy of sorption has also been evaluated with the pseudo-second order rate constants. A comparison of the equilibrium sorption capacity evaluated has been made from pseudo-second order model and Langmuir isotherm.","author":[{"dropping-particle":"","family":"Ho","given":"Y.S.","non-dropping-particle":"","parse-names":false,"suffix":""},{"dropping-particle":"","family":"McKay","given":"G.","non-dropping-particle":"","parse-names":false,"suffix":""}],"container-title":"Chemical Engineering Journal","id":"ITEM-1","issue":"2","issued":{"date-parts":[["1998","6","1"]]},"page":"115-124","publisher":"Elsevier BV","title":"Sorption of dye from aqueous solution by peat","type":"article-journal","volume":"70"},"uris":["http://www.mendeley.com/documents/?uuid=751854e5-ec01-302a-87d0-8aaa74ef9530"]}],"mendeley":{"formattedCitation":"(Ho and McKay, 1998)","plainTextFormattedCitation":"(Ho and McKay, 1998)","previouslyFormattedCitation":"(Ho and McKay, 1998)"},"properties":{"noteIndex":0},"schema":"https://github.com/citation-style-language/schema/raw/master/csl-citation.json"}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(Ho and McKay, 1998)</w:t>
      </w:r>
      <w:r w:rsidRPr="00216965">
        <w:rPr>
          <w:rFonts w:cs="Times New Roman"/>
          <w:szCs w:val="24"/>
        </w:rPr>
        <w:fldChar w:fldCharType="end"/>
      </w:r>
      <w:r w:rsidRPr="00216965">
        <w:t xml:space="preserve"> kinetic models presented in  </w:t>
      </w:r>
      <w:r w:rsidRPr="00216965">
        <w:rPr>
          <w:b/>
          <w:bCs/>
          <w:sz w:val="28"/>
          <w:szCs w:val="24"/>
        </w:rPr>
        <w:fldChar w:fldCharType="begin"/>
      </w:r>
      <w:r w:rsidRPr="00216965">
        <w:rPr>
          <w:b/>
          <w:bCs/>
          <w:sz w:val="28"/>
          <w:szCs w:val="24"/>
        </w:rPr>
        <w:instrText xml:space="preserve"> REF _Ref86331113 \h  \* MERGEFORMAT </w:instrText>
      </w:r>
      <w:r w:rsidRPr="00216965">
        <w:rPr>
          <w:b/>
          <w:bCs/>
          <w:sz w:val="28"/>
          <w:szCs w:val="24"/>
        </w:rPr>
      </w:r>
      <w:r w:rsidRPr="00216965">
        <w:rPr>
          <w:b/>
          <w:bCs/>
          <w:sz w:val="28"/>
          <w:szCs w:val="24"/>
        </w:rPr>
        <w:fldChar w:fldCharType="separate"/>
      </w:r>
      <w:r w:rsidR="006E23EA" w:rsidRPr="00216965">
        <w:rPr>
          <w:rFonts w:cs="Times New Roman"/>
          <w:b/>
          <w:bCs/>
          <w:szCs w:val="24"/>
        </w:rPr>
        <w:t xml:space="preserve">Eq. </w:t>
      </w:r>
      <w:r w:rsidR="006E23EA" w:rsidRPr="00216965">
        <w:rPr>
          <w:rFonts w:cs="Times New Roman"/>
          <w:b/>
          <w:bCs/>
          <w:noProof/>
          <w:szCs w:val="24"/>
        </w:rPr>
        <w:t>1</w:t>
      </w:r>
      <w:r w:rsidRPr="00216965">
        <w:rPr>
          <w:b/>
          <w:bCs/>
          <w:sz w:val="28"/>
          <w:szCs w:val="24"/>
        </w:rPr>
        <w:fldChar w:fldCharType="end"/>
      </w:r>
      <w:r w:rsidRPr="00216965">
        <w:t xml:space="preserve"> and </w:t>
      </w:r>
      <w:r w:rsidRPr="00216965">
        <w:rPr>
          <w:b/>
          <w:bCs/>
        </w:rPr>
        <w:fldChar w:fldCharType="begin"/>
      </w:r>
      <w:r w:rsidRPr="00216965">
        <w:rPr>
          <w:b/>
          <w:bCs/>
        </w:rPr>
        <w:instrText xml:space="preserve"> REF _Ref86331125 \h  \* MERGEFORMAT </w:instrText>
      </w:r>
      <w:r w:rsidRPr="00216965">
        <w:rPr>
          <w:b/>
          <w:bCs/>
        </w:rPr>
      </w:r>
      <w:r w:rsidRPr="00216965">
        <w:rPr>
          <w:b/>
          <w:bCs/>
        </w:rPr>
        <w:fldChar w:fldCharType="separate"/>
      </w:r>
      <w:r w:rsidR="006E23EA" w:rsidRPr="00216965">
        <w:rPr>
          <w:rFonts w:cs="Times New Roman"/>
          <w:b/>
          <w:bCs/>
          <w:szCs w:val="24"/>
        </w:rPr>
        <w:t xml:space="preserve">Eq. </w:t>
      </w:r>
      <w:r w:rsidR="006E23EA" w:rsidRPr="00216965">
        <w:rPr>
          <w:rFonts w:cs="Times New Roman"/>
          <w:b/>
          <w:bCs/>
          <w:noProof/>
          <w:szCs w:val="24"/>
        </w:rPr>
        <w:t>2</w:t>
      </w:r>
      <w:r w:rsidRPr="00216965">
        <w:rPr>
          <w:b/>
          <w:bCs/>
        </w:rPr>
        <w:fldChar w:fldCharType="end"/>
      </w:r>
      <w:r w:rsidRPr="00216965">
        <w:t xml:space="preserve"> respectively were fitted to the experimental data to elucidate the sorption rate and kinetic parameters, instead of the linearized versions.</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563EE" w:rsidRPr="00216965" w14:paraId="42E8B422" w14:textId="77777777" w:rsidTr="008A33DA">
        <w:tc>
          <w:tcPr>
            <w:tcW w:w="4508" w:type="dxa"/>
          </w:tcPr>
          <w:p w14:paraId="494094C0" w14:textId="40E32274" w:rsidR="005563EE" w:rsidRPr="00216965" w:rsidRDefault="00BB30F1" w:rsidP="006D2F0E">
            <w:pPr>
              <w:spacing w:line="360" w:lineRule="auto"/>
              <w:jc w:val="both"/>
            </w:pPr>
            <m:oMathPara>
              <m:oMathParaPr>
                <m:jc m:val="right"/>
              </m:oMathParaPr>
              <m:oMath>
                <m:sSub>
                  <m:sSubPr>
                    <m:ctrlPr>
                      <w:rPr>
                        <w:rFonts w:ascii="Cambria Math" w:eastAsia="Cambria Math" w:hAnsi="Cambria Math" w:cs="Cambria Math"/>
                        <w:szCs w:val="24"/>
                      </w:rPr>
                    </m:ctrlPr>
                  </m:sSubPr>
                  <m:e>
                    <w:sdt>
                      <w:sdtPr>
                        <w:rPr>
                          <w:rFonts w:ascii="Cambria Math" w:hAnsi="Cambria Math"/>
                          <w:b/>
                          <w:bCs/>
                        </w:rPr>
                        <w:tag w:val="goog_rdk_593"/>
                        <w:id w:val="1896621292"/>
                      </w:sdtPr>
                      <w:sdtEndPr/>
                      <w:sdtContent>
                        <m:r>
                          <w:rPr>
                            <w:rFonts w:ascii="Cambria Math" w:eastAsia="Cambria Math" w:hAnsi="Cambria Math" w:cs="Cambria Math"/>
                            <w:szCs w:val="24"/>
                          </w:rPr>
                          <m:t>Q</m:t>
                        </m:r>
                      </w:sdtContent>
                    </w:sdt>
                  </m:e>
                  <m:sub>
                    <m:r>
                      <w:rPr>
                        <w:rFonts w:ascii="Cambria Math" w:eastAsia="Cambria Math" w:hAnsi="Cambria Math" w:cs="Cambria Math"/>
                        <w:szCs w:val="24"/>
                      </w:rPr>
                      <m:t>t</m:t>
                    </m:r>
                  </m:sub>
                </m:sSub>
                <w:sdt>
                  <w:sdtPr>
                    <w:rPr>
                      <w:rFonts w:ascii="Cambria Math" w:hAnsi="Cambria Math"/>
                      <w:b/>
                      <w:bCs/>
                    </w:rPr>
                    <w:tag w:val="goog_rdk_594"/>
                    <w:id w:val="2055037589"/>
                  </w:sdtPr>
                  <w:sdtEndPr/>
                  <w:sdtContent>
                    <m:r>
                      <w:rPr>
                        <w:rFonts w:ascii="Cambria Math" w:eastAsia="Cambria Math" w:hAnsi="Cambria Math" w:cs="Cambria Math"/>
                        <w:szCs w:val="24"/>
                      </w:rPr>
                      <m:t xml:space="preserve">= </m:t>
                    </m:r>
                  </w:sdtContent>
                </w:sdt>
                <m:sSub>
                  <m:sSubPr>
                    <m:ctrlPr>
                      <w:rPr>
                        <w:rFonts w:ascii="Cambria Math" w:eastAsia="Cambria Math" w:hAnsi="Cambria Math" w:cs="Cambria Math"/>
                        <w:szCs w:val="24"/>
                      </w:rPr>
                    </m:ctrlPr>
                  </m:sSubPr>
                  <m:e>
                    <w:sdt>
                      <w:sdtPr>
                        <w:rPr>
                          <w:rFonts w:ascii="Cambria Math" w:hAnsi="Cambria Math"/>
                          <w:b/>
                          <w:bCs/>
                        </w:rPr>
                        <w:tag w:val="goog_rdk_595"/>
                        <w:id w:val="1323317728"/>
                      </w:sdtPr>
                      <w:sdtEndPr/>
                      <w:sdtContent>
                        <m:r>
                          <w:rPr>
                            <w:rFonts w:ascii="Cambria Math" w:eastAsia="Cambria Math" w:hAnsi="Cambria Math" w:cs="Cambria Math"/>
                            <w:szCs w:val="24"/>
                          </w:rPr>
                          <m:t>Q</m:t>
                        </m:r>
                      </w:sdtContent>
                    </w:sdt>
                  </m:e>
                  <m:sub>
                    <m:r>
                      <w:rPr>
                        <w:rFonts w:ascii="Cambria Math" w:eastAsia="Cambria Math" w:hAnsi="Cambria Math" w:cs="Cambria Math"/>
                        <w:szCs w:val="24"/>
                      </w:rPr>
                      <m:t>e</m:t>
                    </m:r>
                  </m:sub>
                </m:sSub>
                <m:d>
                  <m:dPr>
                    <m:ctrlPr>
                      <w:rPr>
                        <w:rFonts w:ascii="Cambria Math" w:eastAsia="Cambria Math" w:hAnsi="Cambria Math" w:cs="Cambria Math"/>
                        <w:szCs w:val="24"/>
                      </w:rPr>
                    </m:ctrlPr>
                  </m:dPr>
                  <m:e>
                    <w:sdt>
                      <w:sdtPr>
                        <w:rPr>
                          <w:rFonts w:ascii="Cambria Math" w:hAnsi="Cambria Math"/>
                          <w:b/>
                          <w:bCs/>
                        </w:rPr>
                        <w:tag w:val="goog_rdk_596"/>
                        <w:id w:val="-1880165191"/>
                      </w:sdtPr>
                      <w:sdtEndPr/>
                      <w:sdtContent>
                        <m:r>
                          <w:rPr>
                            <w:rFonts w:ascii="Cambria Math" w:eastAsia="Cambria Math" w:hAnsi="Cambria Math" w:cs="Cambria Math"/>
                            <w:szCs w:val="24"/>
                          </w:rPr>
                          <m:t>1-</m:t>
                        </m:r>
                      </w:sdtContent>
                    </w:sdt>
                    <m:sSup>
                      <m:sSupPr>
                        <m:ctrlPr>
                          <w:rPr>
                            <w:rFonts w:ascii="Cambria Math" w:eastAsia="Cambria Math" w:hAnsi="Cambria Math" w:cs="Cambria Math"/>
                            <w:szCs w:val="24"/>
                          </w:rPr>
                        </m:ctrlPr>
                      </m:sSupPr>
                      <m:e>
                        <w:sdt>
                          <w:sdtPr>
                            <w:rPr>
                              <w:rFonts w:ascii="Cambria Math" w:hAnsi="Cambria Math"/>
                              <w:b/>
                              <w:bCs/>
                            </w:rPr>
                            <w:tag w:val="goog_rdk_597"/>
                            <w:id w:val="-1162544583"/>
                          </w:sdtPr>
                          <w:sdtEndPr/>
                          <w:sdtContent>
                            <m:r>
                              <w:rPr>
                                <w:rFonts w:ascii="Cambria Math" w:eastAsia="Cambria Math" w:hAnsi="Cambria Math" w:cs="Cambria Math"/>
                                <w:szCs w:val="24"/>
                              </w:rPr>
                              <m:t>e</m:t>
                            </m:r>
                          </w:sdtContent>
                        </w:sdt>
                      </m:e>
                      <m:sup>
                        <m:r>
                          <w:rPr>
                            <w:rFonts w:ascii="Cambria Math" w:eastAsia="Cambria Math" w:hAnsi="Cambria Math" w:cs="Cambria Math"/>
                            <w:szCs w:val="24"/>
                          </w:rPr>
                          <m:t>-</m:t>
                        </m:r>
                        <m:sSub>
                          <m:sSubPr>
                            <m:ctrlPr>
                              <w:rPr>
                                <w:rFonts w:ascii="Cambria Math" w:eastAsia="Cambria Math" w:hAnsi="Cambria Math" w:cs="Cambria Math"/>
                                <w:i/>
                                <w:szCs w:val="24"/>
                              </w:rPr>
                            </m:ctrlPr>
                          </m:sSubPr>
                          <m:e>
                            <m:r>
                              <w:rPr>
                                <w:rFonts w:ascii="Cambria Math" w:eastAsia="Cambria Math" w:hAnsi="Cambria Math" w:cs="Cambria Math"/>
                                <w:szCs w:val="24"/>
                              </w:rPr>
                              <m:t>k</m:t>
                            </m:r>
                          </m:e>
                          <m:sub>
                            <m:r>
                              <w:rPr>
                                <w:rFonts w:ascii="Cambria Math" w:eastAsia="Cambria Math" w:hAnsi="Cambria Math" w:cs="Cambria Math"/>
                                <w:szCs w:val="24"/>
                              </w:rPr>
                              <m:t>1</m:t>
                            </m:r>
                          </m:sub>
                        </m:sSub>
                        <m:r>
                          <w:rPr>
                            <w:rFonts w:ascii="Cambria Math" w:eastAsia="Cambria Math" w:hAnsi="Cambria Math" w:cs="Cambria Math"/>
                            <w:szCs w:val="24"/>
                          </w:rPr>
                          <m:t>t</m:t>
                        </m:r>
                      </m:sup>
                    </m:sSup>
                  </m:e>
                </m:d>
              </m:oMath>
            </m:oMathPara>
          </w:p>
        </w:tc>
        <w:tc>
          <w:tcPr>
            <w:tcW w:w="4508" w:type="dxa"/>
          </w:tcPr>
          <w:p w14:paraId="4D975D72" w14:textId="61C5A261" w:rsidR="005563EE" w:rsidRPr="00216965" w:rsidRDefault="005563EE" w:rsidP="006D2F0E">
            <w:pPr>
              <w:spacing w:line="360" w:lineRule="auto"/>
              <w:rPr>
                <w:b/>
                <w:bCs/>
              </w:rPr>
            </w:pPr>
            <w:bookmarkStart w:id="128" w:name="_Ref86331113"/>
            <w:r w:rsidRPr="00216965">
              <w:rPr>
                <w:rFonts w:cs="Times New Roman"/>
                <w:b/>
                <w:bCs/>
                <w:szCs w:val="24"/>
              </w:rPr>
              <w:t xml:space="preserve">Eq. </w:t>
            </w:r>
            <w:r w:rsidRPr="00216965">
              <w:rPr>
                <w:rFonts w:cs="Times New Roman"/>
                <w:b/>
                <w:bCs/>
                <w:szCs w:val="24"/>
              </w:rPr>
              <w:fldChar w:fldCharType="begin"/>
            </w:r>
            <w:r w:rsidRPr="00216965">
              <w:rPr>
                <w:rFonts w:cs="Times New Roman"/>
                <w:b/>
                <w:bCs/>
                <w:szCs w:val="24"/>
              </w:rPr>
              <w:instrText xml:space="preserve"> SEQ Equation \* ARABIC </w:instrText>
            </w:r>
            <w:r w:rsidRPr="00216965">
              <w:rPr>
                <w:rFonts w:cs="Times New Roman"/>
                <w:b/>
                <w:bCs/>
                <w:szCs w:val="24"/>
              </w:rPr>
              <w:fldChar w:fldCharType="separate"/>
            </w:r>
            <w:r w:rsidR="006E23EA" w:rsidRPr="00216965">
              <w:rPr>
                <w:rFonts w:cs="Times New Roman"/>
                <w:b/>
                <w:bCs/>
                <w:noProof/>
                <w:szCs w:val="24"/>
              </w:rPr>
              <w:t>1</w:t>
            </w:r>
            <w:r w:rsidRPr="00216965">
              <w:rPr>
                <w:rFonts w:cs="Times New Roman"/>
                <w:b/>
                <w:bCs/>
                <w:szCs w:val="24"/>
              </w:rPr>
              <w:fldChar w:fldCharType="end"/>
            </w:r>
            <w:bookmarkEnd w:id="128"/>
          </w:p>
        </w:tc>
      </w:tr>
      <w:bookmarkStart w:id="129" w:name="_Ref52748264"/>
      <w:tr w:rsidR="005563EE" w:rsidRPr="00216965" w14:paraId="28D961DE" w14:textId="77777777" w:rsidTr="008A33DA">
        <w:tc>
          <w:tcPr>
            <w:tcW w:w="4508" w:type="dxa"/>
          </w:tcPr>
          <w:p w14:paraId="74534E65" w14:textId="77777777" w:rsidR="005563EE" w:rsidRPr="00216965" w:rsidRDefault="00BB30F1" w:rsidP="006D2F0E">
            <w:pPr>
              <w:spacing w:line="360" w:lineRule="auto"/>
              <w:jc w:val="both"/>
              <w:rPr>
                <w:rFonts w:cs="Times New Roman"/>
                <w:szCs w:val="24"/>
              </w:rPr>
            </w:pPr>
            <m:oMathPara>
              <m:oMathParaPr>
                <m:jc m:val="right"/>
              </m:oMathParaPr>
              <m:oMath>
                <m:sSub>
                  <m:sSubPr>
                    <m:ctrlPr>
                      <w:rPr>
                        <w:rFonts w:ascii="Cambria Math" w:eastAsia="Cambria Math" w:hAnsi="Cambria Math" w:cs="Cambria Math"/>
                        <w:szCs w:val="24"/>
                      </w:rPr>
                    </m:ctrlPr>
                  </m:sSubPr>
                  <m:e>
                    <w:sdt>
                      <w:sdtPr>
                        <w:rPr>
                          <w:rFonts w:ascii="Cambria Math" w:hAnsi="Cambria Math"/>
                          <w:b/>
                          <w:bCs/>
                        </w:rPr>
                        <w:tag w:val="goog_rdk_602"/>
                        <w:id w:val="-286982708"/>
                      </w:sdtPr>
                      <w:sdtEndPr/>
                      <w:sdtContent>
                        <m:r>
                          <w:rPr>
                            <w:rFonts w:ascii="Cambria Math" w:eastAsia="Cambria Math" w:hAnsi="Cambria Math" w:cs="Cambria Math"/>
                            <w:szCs w:val="24"/>
                          </w:rPr>
                          <m:t>Q</m:t>
                        </m:r>
                      </w:sdtContent>
                    </w:sdt>
                  </m:e>
                  <m:sub>
                    <m:r>
                      <w:rPr>
                        <w:rFonts w:ascii="Cambria Math" w:eastAsia="Cambria Math" w:hAnsi="Cambria Math" w:cs="Cambria Math"/>
                        <w:szCs w:val="24"/>
                      </w:rPr>
                      <m:t>t</m:t>
                    </m:r>
                  </m:sub>
                </m:sSub>
                <w:sdt>
                  <w:sdtPr>
                    <w:rPr>
                      <w:rFonts w:ascii="Cambria Math" w:hAnsi="Cambria Math"/>
                      <w:b/>
                      <w:bCs/>
                    </w:rPr>
                    <w:tag w:val="goog_rdk_603"/>
                    <w:id w:val="-1096169527"/>
                  </w:sdtPr>
                  <w:sdtEndPr/>
                  <w:sdtContent>
                    <m:r>
                      <w:rPr>
                        <w:rFonts w:ascii="Cambria Math" w:eastAsia="Cambria Math" w:hAnsi="Cambria Math" w:cs="Cambria Math"/>
                        <w:szCs w:val="24"/>
                      </w:rPr>
                      <m:t>=</m:t>
                    </m:r>
                  </w:sdtContent>
                </w:sdt>
                <m:f>
                  <m:fPr>
                    <m:ctrlPr>
                      <w:rPr>
                        <w:rFonts w:ascii="Cambria Math" w:eastAsia="Cambria Math" w:hAnsi="Cambria Math" w:cs="Cambria Math"/>
                        <w:szCs w:val="24"/>
                      </w:rPr>
                    </m:ctrlPr>
                  </m:fPr>
                  <m:num>
                    <m:sSub>
                      <m:sSubPr>
                        <m:ctrlPr>
                          <w:rPr>
                            <w:rFonts w:ascii="Cambria Math" w:eastAsia="Cambria Math" w:hAnsi="Cambria Math" w:cs="Cambria Math"/>
                            <w:szCs w:val="24"/>
                          </w:rPr>
                        </m:ctrlPr>
                      </m:sSubPr>
                      <m:e>
                        <w:sdt>
                          <w:sdtPr>
                            <w:rPr>
                              <w:rFonts w:ascii="Cambria Math" w:hAnsi="Cambria Math"/>
                              <w:b/>
                              <w:bCs/>
                            </w:rPr>
                            <w:tag w:val="goog_rdk_605"/>
                            <w:id w:val="-642576457"/>
                          </w:sdtPr>
                          <w:sdtEndPr/>
                          <w:sdtContent>
                            <m:r>
                              <w:rPr>
                                <w:rFonts w:ascii="Cambria Math" w:eastAsia="Cambria Math" w:hAnsi="Cambria Math" w:cs="Cambria Math"/>
                                <w:szCs w:val="24"/>
                              </w:rPr>
                              <m:t>k</m:t>
                            </m:r>
                          </w:sdtContent>
                        </w:sdt>
                      </m:e>
                      <m:sub>
                        <m:r>
                          <w:rPr>
                            <w:rFonts w:ascii="Cambria Math" w:eastAsia="Cambria Math" w:hAnsi="Cambria Math" w:cs="Cambria Math"/>
                            <w:szCs w:val="24"/>
                          </w:rPr>
                          <m:t>2</m:t>
                        </m:r>
                      </m:sub>
                    </m:sSub>
                    <m:sSubSup>
                      <m:sSubSupPr>
                        <m:ctrlPr>
                          <w:rPr>
                            <w:rFonts w:ascii="Cambria Math" w:eastAsia="Cambria Math" w:hAnsi="Cambria Math" w:cs="Cambria Math"/>
                            <w:szCs w:val="24"/>
                          </w:rPr>
                        </m:ctrlPr>
                      </m:sSubSupPr>
                      <m:e>
                        <w:sdt>
                          <w:sdtPr>
                            <w:rPr>
                              <w:rFonts w:ascii="Cambria Math" w:hAnsi="Cambria Math"/>
                              <w:b/>
                              <w:bCs/>
                            </w:rPr>
                            <w:tag w:val="goog_rdk_606"/>
                            <w:id w:val="-215126828"/>
                          </w:sdtPr>
                          <w:sdtEndPr/>
                          <w:sdtContent>
                            <m:r>
                              <w:rPr>
                                <w:rFonts w:ascii="Cambria Math" w:eastAsia="Cambria Math" w:hAnsi="Cambria Math" w:cs="Cambria Math"/>
                                <w:szCs w:val="24"/>
                              </w:rPr>
                              <m:t>Q</m:t>
                            </m:r>
                          </w:sdtContent>
                        </w:sdt>
                      </m:e>
                      <m:sub>
                        <m:r>
                          <w:rPr>
                            <w:rFonts w:ascii="Cambria Math" w:eastAsia="Cambria Math" w:hAnsi="Cambria Math" w:cs="Cambria Math"/>
                            <w:szCs w:val="24"/>
                          </w:rPr>
                          <m:t>e</m:t>
                        </m:r>
                      </m:sub>
                      <m:sup>
                        <m:r>
                          <w:rPr>
                            <w:rFonts w:ascii="Cambria Math" w:eastAsia="Cambria Math" w:hAnsi="Cambria Math" w:cs="Cambria Math"/>
                            <w:szCs w:val="24"/>
                          </w:rPr>
                          <m:t>2</m:t>
                        </m:r>
                      </m:sup>
                    </m:sSubSup>
                    <w:sdt>
                      <w:sdtPr>
                        <w:rPr>
                          <w:rFonts w:ascii="Cambria Math" w:hAnsi="Cambria Math"/>
                          <w:b/>
                          <w:bCs/>
                        </w:rPr>
                        <w:tag w:val="goog_rdk_607"/>
                        <w:id w:val="1130744476"/>
                      </w:sdtPr>
                      <w:sdtEndPr/>
                      <w:sdtContent>
                        <m:r>
                          <w:rPr>
                            <w:rFonts w:ascii="Cambria Math" w:eastAsia="Cambria Math" w:hAnsi="Cambria Math" w:cs="Cambria Math"/>
                            <w:szCs w:val="24"/>
                          </w:rPr>
                          <m:t>t</m:t>
                        </m:r>
                      </w:sdtContent>
                    </w:sdt>
                  </m:num>
                  <m:den>
                    <m:r>
                      <w:rPr>
                        <w:rFonts w:ascii="Cambria Math" w:eastAsia="Cambria Math" w:hAnsi="Cambria Math" w:cs="Cambria Math"/>
                        <w:szCs w:val="24"/>
                      </w:rPr>
                      <m:t>1+</m:t>
                    </m:r>
                    <m:sSub>
                      <m:sSubPr>
                        <m:ctrlPr>
                          <w:rPr>
                            <w:rFonts w:ascii="Cambria Math" w:eastAsia="Cambria Math" w:hAnsi="Cambria Math" w:cs="Cambria Math"/>
                            <w:szCs w:val="24"/>
                          </w:rPr>
                        </m:ctrlPr>
                      </m:sSubPr>
                      <m:e>
                        <w:sdt>
                          <w:sdtPr>
                            <w:rPr>
                              <w:rFonts w:ascii="Cambria Math" w:hAnsi="Cambria Math"/>
                              <w:b/>
                              <w:bCs/>
                            </w:rPr>
                            <w:tag w:val="goog_rdk_609"/>
                            <w:id w:val="630051338"/>
                          </w:sdtPr>
                          <w:sdtEndPr/>
                          <w:sdtContent>
                            <m:r>
                              <w:rPr>
                                <w:rFonts w:ascii="Cambria Math" w:eastAsia="Cambria Math" w:hAnsi="Cambria Math" w:cs="Cambria Math"/>
                                <w:szCs w:val="24"/>
                              </w:rPr>
                              <m:t>k</m:t>
                            </m:r>
                          </w:sdtContent>
                        </w:sdt>
                      </m:e>
                      <m:sub>
                        <m:r>
                          <w:rPr>
                            <w:rFonts w:ascii="Cambria Math" w:eastAsia="Cambria Math" w:hAnsi="Cambria Math" w:cs="Cambria Math"/>
                            <w:szCs w:val="24"/>
                          </w:rPr>
                          <m:t>2</m:t>
                        </m:r>
                      </m:sub>
                    </m:sSub>
                    <m:sSub>
                      <m:sSubPr>
                        <m:ctrlPr>
                          <w:rPr>
                            <w:rFonts w:ascii="Cambria Math" w:eastAsia="Cambria Math" w:hAnsi="Cambria Math" w:cs="Cambria Math"/>
                            <w:szCs w:val="24"/>
                          </w:rPr>
                        </m:ctrlPr>
                      </m:sSubPr>
                      <m:e>
                        <w:sdt>
                          <w:sdtPr>
                            <w:rPr>
                              <w:rFonts w:ascii="Cambria Math" w:hAnsi="Cambria Math"/>
                              <w:b/>
                              <w:bCs/>
                            </w:rPr>
                            <w:tag w:val="goog_rdk_610"/>
                            <w:id w:val="1054580364"/>
                          </w:sdtPr>
                          <w:sdtEndPr/>
                          <w:sdtContent>
                            <m:r>
                              <w:rPr>
                                <w:rFonts w:ascii="Cambria Math" w:eastAsia="Cambria Math" w:hAnsi="Cambria Math" w:cs="Cambria Math"/>
                                <w:szCs w:val="24"/>
                              </w:rPr>
                              <m:t>Q</m:t>
                            </m:r>
                          </w:sdtContent>
                        </w:sdt>
                      </m:e>
                      <m:sub>
                        <m:r>
                          <w:rPr>
                            <w:rFonts w:ascii="Cambria Math" w:eastAsia="Cambria Math" w:hAnsi="Cambria Math" w:cs="Cambria Math"/>
                            <w:szCs w:val="24"/>
                          </w:rPr>
                          <m:t>e</m:t>
                        </m:r>
                      </m:sub>
                    </m:sSub>
                    <m:r>
                      <w:rPr>
                        <w:rFonts w:ascii="Cambria Math" w:eastAsia="Cambria Math" w:hAnsi="Cambria Math" w:cs="Cambria Math"/>
                        <w:szCs w:val="24"/>
                      </w:rPr>
                      <m:t>t</m:t>
                    </m:r>
                  </m:den>
                </m:f>
              </m:oMath>
            </m:oMathPara>
            <w:bookmarkEnd w:id="129"/>
          </w:p>
        </w:tc>
        <w:tc>
          <w:tcPr>
            <w:tcW w:w="4508" w:type="dxa"/>
          </w:tcPr>
          <w:p w14:paraId="3AF374EC" w14:textId="238F04C0" w:rsidR="005563EE" w:rsidRPr="00216965" w:rsidRDefault="005563EE" w:rsidP="006D2F0E">
            <w:pPr>
              <w:spacing w:line="360" w:lineRule="auto"/>
              <w:jc w:val="both"/>
              <w:rPr>
                <w:rFonts w:cs="Times New Roman"/>
                <w:b/>
                <w:bCs/>
              </w:rPr>
            </w:pPr>
            <w:bookmarkStart w:id="130" w:name="_Ref86331125"/>
            <w:r w:rsidRPr="00216965">
              <w:rPr>
                <w:rFonts w:cs="Times New Roman"/>
                <w:b/>
                <w:bCs/>
                <w:szCs w:val="24"/>
              </w:rPr>
              <w:t xml:space="preserve">Eq. </w:t>
            </w:r>
            <w:r w:rsidRPr="00216965">
              <w:rPr>
                <w:rFonts w:cs="Times New Roman"/>
                <w:b/>
                <w:bCs/>
                <w:szCs w:val="24"/>
              </w:rPr>
              <w:fldChar w:fldCharType="begin"/>
            </w:r>
            <w:r w:rsidRPr="00216965">
              <w:rPr>
                <w:rFonts w:cs="Times New Roman"/>
                <w:b/>
                <w:bCs/>
                <w:szCs w:val="24"/>
              </w:rPr>
              <w:instrText xml:space="preserve"> SEQ Equation \* ARABIC </w:instrText>
            </w:r>
            <w:r w:rsidRPr="00216965">
              <w:rPr>
                <w:rFonts w:cs="Times New Roman"/>
                <w:b/>
                <w:bCs/>
                <w:szCs w:val="24"/>
              </w:rPr>
              <w:fldChar w:fldCharType="separate"/>
            </w:r>
            <w:r w:rsidR="006E23EA" w:rsidRPr="00216965">
              <w:rPr>
                <w:rFonts w:cs="Times New Roman"/>
                <w:b/>
                <w:bCs/>
                <w:noProof/>
                <w:szCs w:val="24"/>
              </w:rPr>
              <w:t>2</w:t>
            </w:r>
            <w:r w:rsidRPr="00216965">
              <w:rPr>
                <w:rFonts w:cs="Times New Roman"/>
                <w:b/>
                <w:bCs/>
                <w:szCs w:val="24"/>
              </w:rPr>
              <w:fldChar w:fldCharType="end"/>
            </w:r>
            <w:bookmarkEnd w:id="130"/>
          </w:p>
        </w:tc>
      </w:tr>
    </w:tbl>
    <w:p w14:paraId="368C5D36" w14:textId="708DE6AF" w:rsidR="005563EE" w:rsidRPr="00216965" w:rsidRDefault="005563EE" w:rsidP="008A33DA">
      <w:pPr>
        <w:spacing w:line="360" w:lineRule="auto"/>
        <w:jc w:val="both"/>
      </w:pPr>
      <w:r w:rsidRPr="00216965">
        <w:t xml:space="preserve">where </w:t>
      </w:r>
      <w:r w:rsidRPr="00216965">
        <w:rPr>
          <w:i/>
          <w:iCs/>
        </w:rPr>
        <w:t>Q</w:t>
      </w:r>
      <w:r w:rsidRPr="00216965">
        <w:rPr>
          <w:i/>
          <w:iCs/>
          <w:vertAlign w:val="subscript"/>
        </w:rPr>
        <w:t>t</w:t>
      </w:r>
      <w:r w:rsidRPr="00216965">
        <w:t xml:space="preserve"> and </w:t>
      </w:r>
      <w:r w:rsidRPr="00216965">
        <w:rPr>
          <w:i/>
          <w:iCs/>
        </w:rPr>
        <w:t>Q</w:t>
      </w:r>
      <w:r w:rsidRPr="00216965">
        <w:rPr>
          <w:i/>
          <w:iCs/>
          <w:vertAlign w:val="subscript"/>
        </w:rPr>
        <w:t>e</w:t>
      </w:r>
      <w:r w:rsidRPr="00216965">
        <w:t xml:space="preserve"> (mg.g</w:t>
      </w:r>
      <w:r w:rsidRPr="00216965">
        <w:rPr>
          <w:vertAlign w:val="superscript"/>
        </w:rPr>
        <w:t>-1</w:t>
      </w:r>
      <w:r w:rsidRPr="00216965">
        <w:t xml:space="preserve">) are adsorbed Cd, Pb and Zn at any time and at equilibrium, </w:t>
      </w:r>
      <w:r w:rsidRPr="00216965">
        <w:rPr>
          <w:i/>
          <w:iCs/>
        </w:rPr>
        <w:t>t</w:t>
      </w:r>
      <w:r w:rsidRPr="00216965">
        <w:t xml:space="preserve"> is the time (min) and </w:t>
      </w:r>
      <w:r w:rsidRPr="00216965">
        <w:rPr>
          <w:i/>
          <w:iCs/>
        </w:rPr>
        <w:t>k</w:t>
      </w:r>
      <w:r w:rsidRPr="00216965">
        <w:rPr>
          <w:i/>
          <w:iCs/>
          <w:vertAlign w:val="subscript"/>
        </w:rPr>
        <w:t>1</w:t>
      </w:r>
      <w:r w:rsidRPr="00216965">
        <w:t xml:space="preserve"> (min</w:t>
      </w:r>
      <w:r w:rsidRPr="00216965">
        <w:rPr>
          <w:vertAlign w:val="superscript"/>
        </w:rPr>
        <w:t>-1</w:t>
      </w:r>
      <w:r w:rsidRPr="00216965">
        <w:t xml:space="preserve">) and </w:t>
      </w:r>
      <w:r w:rsidRPr="00216965">
        <w:rPr>
          <w:i/>
          <w:iCs/>
        </w:rPr>
        <w:t>k</w:t>
      </w:r>
      <w:r w:rsidRPr="00216965">
        <w:rPr>
          <w:i/>
          <w:iCs/>
          <w:vertAlign w:val="subscript"/>
        </w:rPr>
        <w:t>2</w:t>
      </w:r>
      <w:r w:rsidRPr="00216965">
        <w:t xml:space="preserve"> (g.mg</w:t>
      </w:r>
      <w:r w:rsidRPr="00216965">
        <w:rPr>
          <w:vertAlign w:val="superscript"/>
        </w:rPr>
        <w:t>-1</w:t>
      </w:r>
      <w:r w:rsidRPr="00216965">
        <w:t>.min</w:t>
      </w:r>
      <w:r w:rsidRPr="00216965">
        <w:rPr>
          <w:vertAlign w:val="superscript"/>
        </w:rPr>
        <w:t>-1</w:t>
      </w:r>
      <w:r w:rsidRPr="00216965">
        <w:t xml:space="preserve">) are the rate constants. The amount of immobilized trace elements onto biochars, </w:t>
      </w:r>
      <w:r w:rsidRPr="00216965">
        <w:rPr>
          <w:i/>
          <w:iCs/>
        </w:rPr>
        <w:t>Qt</w:t>
      </w:r>
      <w:r w:rsidRPr="00216965">
        <w:t xml:space="preserve"> (mg.g</w:t>
      </w:r>
      <w:r w:rsidR="00B82FC8" w:rsidRPr="00216965">
        <w:rPr>
          <w:vertAlign w:val="superscript"/>
        </w:rPr>
        <w:t>-</w:t>
      </w:r>
      <w:r w:rsidRPr="00216965">
        <w:rPr>
          <w:vertAlign w:val="superscript"/>
        </w:rPr>
        <w:t>1</w:t>
      </w:r>
      <w:r w:rsidRPr="00216965">
        <w:t xml:space="preserve">), was calculated as described in </w:t>
      </w:r>
      <w:r w:rsidRPr="00216965">
        <w:fldChar w:fldCharType="begin"/>
      </w:r>
      <w:r w:rsidRPr="00216965">
        <w:instrText xml:space="preserve"> REF _Ref86331239 \h </w:instrText>
      </w:r>
      <w:r w:rsidR="006D2F0E" w:rsidRPr="00216965">
        <w:instrText xml:space="preserve"> \* MERGEFORMAT </w:instrText>
      </w:r>
      <w:r w:rsidRPr="00216965">
        <w:fldChar w:fldCharType="separate"/>
      </w:r>
      <w:r w:rsidR="006E23EA" w:rsidRPr="00216965">
        <w:rPr>
          <w:b/>
          <w:bCs/>
        </w:rPr>
        <w:t xml:space="preserve">Eq. </w:t>
      </w:r>
      <w:r w:rsidR="006E23EA" w:rsidRPr="00216965">
        <w:rPr>
          <w:b/>
          <w:bCs/>
          <w:noProof/>
        </w:rPr>
        <w:t>3</w:t>
      </w:r>
      <w:r w:rsidRPr="00216965">
        <w:fldChar w:fldCharType="end"/>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563EE" w:rsidRPr="00216965" w14:paraId="1E46E1B5" w14:textId="77777777" w:rsidTr="008A33DA">
        <w:tc>
          <w:tcPr>
            <w:tcW w:w="4508" w:type="dxa"/>
          </w:tcPr>
          <w:p w14:paraId="41E0B91C" w14:textId="3F177111" w:rsidR="005563EE" w:rsidRPr="00216965" w:rsidRDefault="00BB30F1" w:rsidP="006D2F0E">
            <w:pPr>
              <w:spacing w:line="360" w:lineRule="auto"/>
              <w:jc w:val="both"/>
            </w:pPr>
            <m:oMathPara>
              <m:oMathParaPr>
                <m:jc m:val="right"/>
              </m:oMathParaPr>
              <m:oMath>
                <m:sSub>
                  <m:sSubPr>
                    <m:ctrlPr>
                      <w:rPr>
                        <w:rFonts w:ascii="Cambria Math" w:eastAsia="Cambria Math" w:hAnsi="Cambria Math" w:cs="Cambria Math"/>
                        <w:i/>
                        <w:color w:val="000000"/>
                        <w:szCs w:val="24"/>
                      </w:rPr>
                    </m:ctrlPr>
                  </m:sSubPr>
                  <m:e>
                    <w:sdt>
                      <w:sdtPr>
                        <w:rPr>
                          <w:rFonts w:ascii="Cambria Math" w:hAnsi="Cambria Math"/>
                          <w:b/>
                          <w:i/>
                        </w:rPr>
                        <w:tag w:val="goog_rdk_618"/>
                        <w:id w:val="-1723439851"/>
                      </w:sdtPr>
                      <w:sdtEndPr/>
                      <w:sdtContent>
                        <m:r>
                          <w:rPr>
                            <w:rFonts w:ascii="Cambria Math" w:eastAsia="Cambria Math" w:hAnsi="Cambria Math" w:cs="Cambria Math"/>
                            <w:color w:val="000000"/>
                            <w:szCs w:val="24"/>
                          </w:rPr>
                          <m:t>Q</m:t>
                        </m:r>
                      </w:sdtContent>
                    </w:sdt>
                  </m:e>
                  <m:sub>
                    <m:r>
                      <w:rPr>
                        <w:rFonts w:ascii="Cambria Math" w:eastAsia="Cambria Math" w:hAnsi="Cambria Math" w:cs="Cambria Math"/>
                        <w:color w:val="000000"/>
                        <w:szCs w:val="24"/>
                      </w:rPr>
                      <m:t>t</m:t>
                    </m:r>
                  </m:sub>
                </m:sSub>
                <w:sdt>
                  <w:sdtPr>
                    <w:rPr>
                      <w:rFonts w:ascii="Cambria Math" w:hAnsi="Cambria Math"/>
                      <w:b/>
                      <w:iCs/>
                    </w:rPr>
                    <w:tag w:val="goog_rdk_619"/>
                    <w:id w:val="-856818598"/>
                  </w:sdtPr>
                  <w:sdtEndPr/>
                  <w:sdtContent>
                    <m:r>
                      <m:rPr>
                        <m:sty m:val="p"/>
                      </m:rPr>
                      <w:rPr>
                        <w:rFonts w:ascii="Cambria Math" w:eastAsia="Cambria Math" w:hAnsi="Cambria Math" w:cs="Cambria Math"/>
                        <w:color w:val="000000"/>
                        <w:szCs w:val="24"/>
                      </w:rPr>
                      <m:t>=</m:t>
                    </m:r>
                  </w:sdtContent>
                </w:sdt>
                <m:f>
                  <m:fPr>
                    <m:ctrlPr>
                      <w:rPr>
                        <w:rFonts w:ascii="Cambria Math" w:eastAsia="Cambria Math" w:hAnsi="Cambria Math" w:cs="Cambria Math"/>
                        <w:iCs/>
                        <w:color w:val="000000"/>
                        <w:szCs w:val="24"/>
                      </w:rPr>
                    </m:ctrlPr>
                  </m:fPr>
                  <m:num>
                    <m:sSub>
                      <m:sSubPr>
                        <m:ctrlPr>
                          <w:rPr>
                            <w:rFonts w:ascii="Cambria Math" w:eastAsia="Cambria Math" w:hAnsi="Cambria Math" w:cs="Cambria Math"/>
                            <w:i/>
                            <w:color w:val="000000"/>
                            <w:szCs w:val="24"/>
                          </w:rPr>
                        </m:ctrlPr>
                      </m:sSubPr>
                      <m:e>
                        <w:sdt>
                          <w:sdtPr>
                            <w:rPr>
                              <w:rFonts w:ascii="Cambria Math" w:hAnsi="Cambria Math"/>
                              <w:b/>
                              <w:i/>
                            </w:rPr>
                            <w:tag w:val="goog_rdk_621"/>
                            <w:id w:val="1878649720"/>
                          </w:sdtPr>
                          <w:sdtEndPr/>
                          <w:sdtContent>
                            <m:r>
                              <w:rPr>
                                <w:rFonts w:ascii="Cambria Math" w:eastAsia="Cambria Math" w:hAnsi="Cambria Math" w:cs="Cambria Math"/>
                                <w:color w:val="000000"/>
                                <w:szCs w:val="24"/>
                              </w:rPr>
                              <m:t>(C</m:t>
                            </m:r>
                          </w:sdtContent>
                        </w:sdt>
                      </m:e>
                      <m:sub>
                        <m:r>
                          <w:rPr>
                            <w:rFonts w:ascii="Cambria Math" w:eastAsia="Cambria Math" w:hAnsi="Cambria Math" w:cs="Cambria Math"/>
                            <w:color w:val="000000"/>
                            <w:szCs w:val="24"/>
                          </w:rPr>
                          <m:t>0</m:t>
                        </m:r>
                      </m:sub>
                    </m:sSub>
                    <w:sdt>
                      <w:sdtPr>
                        <w:rPr>
                          <w:rFonts w:ascii="Cambria Math" w:hAnsi="Cambria Math"/>
                          <w:b/>
                          <w:i/>
                        </w:rPr>
                        <w:tag w:val="goog_rdk_622"/>
                        <w:id w:val="357638752"/>
                      </w:sdtPr>
                      <w:sdtEndPr/>
                      <w:sdtContent>
                        <m:r>
                          <w:rPr>
                            <w:rFonts w:ascii="Cambria Math" w:eastAsia="Cambria Math" w:hAnsi="Cambria Math" w:cs="Cambria Math"/>
                            <w:color w:val="000000"/>
                            <w:szCs w:val="24"/>
                          </w:rPr>
                          <m:t>-</m:t>
                        </m:r>
                      </w:sdtContent>
                    </w:sdt>
                    <m:sSub>
                      <m:sSubPr>
                        <m:ctrlPr>
                          <w:rPr>
                            <w:rFonts w:ascii="Cambria Math" w:eastAsia="Cambria Math" w:hAnsi="Cambria Math" w:cs="Cambria Math"/>
                            <w:i/>
                            <w:color w:val="000000"/>
                            <w:szCs w:val="24"/>
                          </w:rPr>
                        </m:ctrlPr>
                      </m:sSubPr>
                      <m:e>
                        <w:sdt>
                          <w:sdtPr>
                            <w:rPr>
                              <w:rFonts w:ascii="Cambria Math" w:hAnsi="Cambria Math"/>
                              <w:b/>
                              <w:i/>
                            </w:rPr>
                            <w:tag w:val="goog_rdk_623"/>
                            <w:id w:val="379990244"/>
                          </w:sdtPr>
                          <w:sdtEndPr/>
                          <w:sdtContent>
                            <m:r>
                              <w:rPr>
                                <w:rFonts w:ascii="Cambria Math" w:eastAsia="Cambria Math" w:hAnsi="Cambria Math" w:cs="Cambria Math"/>
                                <w:color w:val="000000"/>
                                <w:szCs w:val="24"/>
                              </w:rPr>
                              <m:t>C</m:t>
                            </m:r>
                          </w:sdtContent>
                        </w:sdt>
                      </m:e>
                      <m:sub>
                        <m:r>
                          <w:rPr>
                            <w:rFonts w:ascii="Cambria Math" w:eastAsia="Cambria Math" w:hAnsi="Cambria Math" w:cs="Cambria Math"/>
                            <w:color w:val="000000"/>
                            <w:szCs w:val="24"/>
                          </w:rPr>
                          <m:t>t</m:t>
                        </m:r>
                      </m:sub>
                    </m:sSub>
                    <w:sdt>
                      <w:sdtPr>
                        <w:rPr>
                          <w:rFonts w:ascii="Cambria Math" w:hAnsi="Cambria Math"/>
                          <w:b/>
                          <w:iCs/>
                        </w:rPr>
                        <w:tag w:val="goog_rdk_624"/>
                        <w:id w:val="-1074968192"/>
                      </w:sdtPr>
                      <w:sdtEndPr/>
                      <w:sdtContent>
                        <m:r>
                          <m:rPr>
                            <m:sty m:val="p"/>
                          </m:rPr>
                          <w:rPr>
                            <w:rFonts w:ascii="Cambria Math" w:eastAsia="Cambria Math" w:hAnsi="Cambria Math" w:cs="Cambria Math"/>
                            <w:color w:val="000000"/>
                            <w:szCs w:val="24"/>
                          </w:rPr>
                          <m:t xml:space="preserve">) </m:t>
                        </m:r>
                        <m:r>
                          <w:rPr>
                            <w:rFonts w:ascii="Cambria Math" w:eastAsia="Cambria Math" w:hAnsi="Cambria Math" w:cs="Cambria Math"/>
                            <w:color w:val="000000"/>
                            <w:szCs w:val="24"/>
                          </w:rPr>
                          <m:t>V</m:t>
                        </m:r>
                      </w:sdtContent>
                    </w:sdt>
                  </m:num>
                  <m:den>
                    <m:r>
                      <w:rPr>
                        <w:rFonts w:ascii="Cambria Math" w:eastAsia="Cambria Math" w:hAnsi="Cambria Math" w:cs="Cambria Math"/>
                        <w:color w:val="000000"/>
                        <w:szCs w:val="24"/>
                      </w:rPr>
                      <m:t>m</m:t>
                    </m:r>
                  </m:den>
                </m:f>
              </m:oMath>
            </m:oMathPara>
          </w:p>
        </w:tc>
        <w:tc>
          <w:tcPr>
            <w:tcW w:w="4508" w:type="dxa"/>
          </w:tcPr>
          <w:p w14:paraId="652A2E80" w14:textId="104EE5C4" w:rsidR="005563EE" w:rsidRPr="00216965" w:rsidRDefault="005563EE" w:rsidP="006D2F0E">
            <w:pPr>
              <w:spacing w:line="360" w:lineRule="auto"/>
              <w:jc w:val="both"/>
              <w:rPr>
                <w:b/>
                <w:bCs/>
              </w:rPr>
            </w:pPr>
            <w:bookmarkStart w:id="131" w:name="_Ref86331239"/>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3</w:t>
            </w:r>
            <w:r w:rsidRPr="00216965">
              <w:rPr>
                <w:b/>
                <w:bCs/>
              </w:rPr>
              <w:fldChar w:fldCharType="end"/>
            </w:r>
            <w:bookmarkEnd w:id="131"/>
          </w:p>
        </w:tc>
      </w:tr>
    </w:tbl>
    <w:p w14:paraId="204DA43D" w14:textId="2FDC7E1E" w:rsidR="005563EE" w:rsidRPr="00216965" w:rsidRDefault="005563EE" w:rsidP="008A33DA">
      <w:pPr>
        <w:spacing w:line="360" w:lineRule="auto"/>
        <w:jc w:val="both"/>
      </w:pPr>
      <w:r w:rsidRPr="00216965">
        <w:t xml:space="preserve">where </w:t>
      </w:r>
      <w:r w:rsidRPr="00216965">
        <w:rPr>
          <w:i/>
          <w:iCs/>
        </w:rPr>
        <w:t>C</w:t>
      </w:r>
      <w:r w:rsidRPr="00216965">
        <w:rPr>
          <w:i/>
          <w:iCs/>
          <w:vertAlign w:val="subscript"/>
        </w:rPr>
        <w:t>0</w:t>
      </w:r>
      <w:r w:rsidRPr="00216965">
        <w:t xml:space="preserve"> and </w:t>
      </w:r>
      <w:r w:rsidRPr="00216965">
        <w:rPr>
          <w:i/>
          <w:iCs/>
        </w:rPr>
        <w:t>Ct</w:t>
      </w:r>
      <w:r w:rsidRPr="00216965">
        <w:t xml:space="preserve"> (mg.L</w:t>
      </w:r>
      <w:r w:rsidRPr="00216965">
        <w:rPr>
          <w:vertAlign w:val="superscript"/>
        </w:rPr>
        <w:t>-1</w:t>
      </w:r>
      <w:r w:rsidRPr="00216965">
        <w:t xml:space="preserve">) are Cd, Pb or Zn concentrations at time zero and time </w:t>
      </w:r>
      <w:r w:rsidRPr="00216965">
        <w:rPr>
          <w:i/>
          <w:iCs/>
        </w:rPr>
        <w:t>t</w:t>
      </w:r>
      <w:r w:rsidRPr="00216965">
        <w:t xml:space="preserve"> respectively, </w:t>
      </w:r>
      <w:r w:rsidRPr="00216965">
        <w:rPr>
          <w:i/>
          <w:iCs/>
        </w:rPr>
        <w:t>V</w:t>
      </w:r>
      <w:r w:rsidRPr="00216965">
        <w:t xml:space="preserve"> (L) is the volume of synthetic soil pore water solution and </w:t>
      </w:r>
      <w:r w:rsidRPr="00216965">
        <w:rPr>
          <w:i/>
          <w:iCs/>
        </w:rPr>
        <w:t>m</w:t>
      </w:r>
      <w:r w:rsidRPr="00216965">
        <w:t xml:space="preserve"> (g) is the weight of biochar used in each tube. At equilibrium </w:t>
      </w:r>
      <w:r w:rsidRPr="00216965">
        <w:rPr>
          <w:i/>
          <w:iCs/>
        </w:rPr>
        <w:t>Q</w:t>
      </w:r>
      <w:r w:rsidRPr="00216965">
        <w:rPr>
          <w:i/>
          <w:iCs/>
          <w:vertAlign w:val="subscript"/>
        </w:rPr>
        <w:t>t</w:t>
      </w:r>
      <w:r w:rsidRPr="00216965">
        <w:t xml:space="preserve"> and C</w:t>
      </w:r>
      <w:r w:rsidRPr="00216965">
        <w:rPr>
          <w:vertAlign w:val="subscript"/>
        </w:rPr>
        <w:t>t</w:t>
      </w:r>
      <w:r w:rsidRPr="00216965">
        <w:t xml:space="preserve"> are referred as </w:t>
      </w:r>
      <w:r w:rsidRPr="00216965">
        <w:rPr>
          <w:i/>
          <w:iCs/>
        </w:rPr>
        <w:t>Q</w:t>
      </w:r>
      <w:r w:rsidRPr="00216965">
        <w:rPr>
          <w:i/>
          <w:iCs/>
          <w:vertAlign w:val="subscript"/>
        </w:rPr>
        <w:t>e</w:t>
      </w:r>
      <w:r w:rsidRPr="00216965">
        <w:t xml:space="preserve"> and </w:t>
      </w:r>
      <w:r w:rsidRPr="00216965">
        <w:rPr>
          <w:i/>
          <w:iCs/>
        </w:rPr>
        <w:t>C</w:t>
      </w:r>
      <w:r w:rsidRPr="00216965">
        <w:rPr>
          <w:i/>
          <w:iCs/>
          <w:vertAlign w:val="subscript"/>
        </w:rPr>
        <w:t>e</w:t>
      </w:r>
      <w:r w:rsidRPr="00216965">
        <w:t xml:space="preserve"> respectively </w:t>
      </w:r>
      <w:r w:rsidRPr="00216965">
        <w:rPr>
          <w:rFonts w:cs="Times New Roman"/>
        </w:rPr>
        <w:fldChar w:fldCharType="begin" w:fldLock="1"/>
      </w:r>
      <w:r w:rsidR="006C06AA" w:rsidRPr="00216965">
        <w:rPr>
          <w:rFonts w:cs="Times New Roman"/>
        </w:rPr>
        <w:instrText>ADDIN CSL_CITATION {"citationItems":[{"id":"ITEM-1","itemData":{"DOI":"10.1016/j.scitotenv.2015.09.022","abstract":"• Biochars varied in physicochemical properties and adsorption capacity. • Canna indica derived biochar has a high sorption capacity for Cd 2 +. • NH 4 + and Cd 2 + sorption on biochars fits a pseudo second order and Langmuir model. • Sorption mechanism is related to com-plexation, cation exchange and precipitation. The objective of this study was to investigate the relationship between Cd 2+ /NH 4 + sorption and physicochemical properties of biochars produced from different wetland plants. Biochars from six species of wetland plants (i.e., Canna indica, Pennisetum purpureum Schum, Thalia dealbata, Zizania caduciflora, Phragmites australis and Vetiveria zizanioides) were obtained at 500 °C and characterized, and their sorption for ammonium and cadmium was determined. There were significant differences in elemental composition, functional groups and specific surface area among the biochars derived from different wetland plant species. Sorption of ammonium and cadmium on the biochars could be described by a pseudo second order kinetic model, and the simple Langmuir model fits the isotherm data better than the Freundlich or Temkin model. The C. indica derived biochar had the largest sorp-tion capacity for NH 4 + and Cd 2+ , with a maximum sorption of 13.35 and 125.8 mg g −1 , respectively. P. purpureum Schum derived biochar had a similar maximum sorption (119.3 mg g −1) for Cd 2+. Ammonium sorption was mainly controlled by cation exchange, surface complexation with oxygen-containing functional groups and the formation of magnesium ammonium phosphate compounds, whereas for Cd 2+ sorption, the formation of cadmi-um phosphate precipitates, cation exchange and binding to oxygen-containing groups were the major possible","author":[{"dropping-particle":"","family":"Cui","given":"Xiaoqiang","non-dropping-particle":"","parse-names":false,"suffix":""},{"dropping-particle":"","family":"Hao","given":"Hulin","non-dropping-particle":"","parse-names":false,"suffix":""},{"dropping-particle":"","family":"Zhang","given":"Changkuan","non-dropping-particle":"","parse-names":false,"suffix":""},{"dropping-particle":"","family":"He","given":"Zhenli","non-dropping-particle":"","parse-names":false,"suffix":""},{"dropping-particle":"","family":"Yang","given":"Xiaoe","non-dropping-particle":"","parse-names":false,"suffix":""}],"container-title":"Science of the Total Environment","id":"ITEM-1","issued":{"date-parts":[["2016"]]},"page":"566-575","title":"Capacity and mechanisms of ammonium and cadmium sorption on different wetland-plant derived biochars","type":"article-journal","volume":"539"},"uris":["http://www.mendeley.com/documents/?uuid=f9de3535-8dc2-319b-b0ad-805dab9d1ff6"]}],"mendeley":{"formattedCitation":"(Cui et al., 2016b)","plainTextFormattedCitation":"(Cui et al., 2016b)","previouslyFormattedCitation":"(Cui et al., 2016b)"},"properties":{"noteIndex":0},"schema":"https://github.com/citation-style-language/schema/raw/master/csl-citation.json"}</w:instrText>
      </w:r>
      <w:r w:rsidRPr="00216965">
        <w:rPr>
          <w:rFonts w:cs="Times New Roman"/>
        </w:rPr>
        <w:fldChar w:fldCharType="separate"/>
      </w:r>
      <w:r w:rsidR="001974AA" w:rsidRPr="00216965">
        <w:rPr>
          <w:rFonts w:cs="Times New Roman"/>
          <w:noProof/>
        </w:rPr>
        <w:t>(Cui et al., 2016b)</w:t>
      </w:r>
      <w:r w:rsidRPr="00216965">
        <w:rPr>
          <w:rFonts w:cs="Times New Roman"/>
        </w:rPr>
        <w:fldChar w:fldCharType="end"/>
      </w:r>
      <w:r w:rsidRPr="00216965">
        <w:t xml:space="preserve">. To select the best statistical model we used a penalized likelihood criterion known as Akaike Information Criterion (AIC) developed by </w:t>
      </w:r>
      <w:r w:rsidRPr="00216965">
        <w:rPr>
          <w:rFonts w:cs="Times New Roman"/>
          <w:szCs w:val="24"/>
        </w:rPr>
        <w:fldChar w:fldCharType="begin" w:fldLock="1"/>
      </w:r>
      <w:r w:rsidR="00F56BD7" w:rsidRPr="00216965">
        <w:rPr>
          <w:rFonts w:cs="Times New Roman"/>
          <w:szCs w:val="24"/>
        </w:rPr>
        <w:instrText>ADDIN CSL_CITATION {"citationItems":[{"id":"ITEM-1","itemData":{"author":[{"dropping-particle":"","family":"Akaike","given":"Hirotugo","non-dropping-particle":"","parse-names":false,"suffix":""}],"container-title":"IEEE Transactions on Automatic Control","id":"ITEM-1","issue":"6","issued":{"date-parts":[["1974"]]},"page":"716-723","title":"A new look at the statistical model identification","type":"article-journal","volume":"19"},"uris":["http://www.mendeley.com/documents/?uuid=5d19109d-c0e2-3516-82bf-7341b6711990"]}],"mendeley":{"formattedCitation":"(Akaike, 1974)","manualFormatting":"Akaike (1974)","plainTextFormattedCitation":"(Akaike, 1974)","previouslyFormattedCitation":"(Akaike, 1974)"},"properties":{"noteIndex":0},"schema":"https://github.com/citation-style-language/schema/raw/master/csl-citation.json"}</w:instrText>
      </w:r>
      <w:r w:rsidRPr="00216965">
        <w:rPr>
          <w:rFonts w:cs="Times New Roman"/>
          <w:szCs w:val="24"/>
        </w:rPr>
        <w:fldChar w:fldCharType="separate"/>
      </w:r>
      <w:r w:rsidRPr="00216965">
        <w:rPr>
          <w:rFonts w:cs="Times New Roman"/>
          <w:noProof/>
          <w:szCs w:val="24"/>
        </w:rPr>
        <w:t>Akaike (1974)</w:t>
      </w:r>
      <w:r w:rsidRPr="00216965">
        <w:rPr>
          <w:rFonts w:cs="Times New Roman"/>
          <w:szCs w:val="24"/>
        </w:rPr>
        <w:fldChar w:fldCharType="end"/>
      </w:r>
      <w:r w:rsidRPr="00216965">
        <w:t xml:space="preserve">. AIC penalizes the number of parameters of a model and allows the goodness of fit of a model to be balanced against its degrees of freedom. The model for which AIC is minimal is selected as the one that best describes the experimental data  </w:t>
      </w:r>
      <w:r w:rsidRPr="00216965">
        <w:rPr>
          <w:rFonts w:cs="Times New Roman"/>
          <w:bCs/>
          <w:szCs w:val="24"/>
        </w:rPr>
        <w:fldChar w:fldCharType="begin" w:fldLock="1"/>
      </w:r>
      <w:r w:rsidR="00F56BD7" w:rsidRPr="00216965">
        <w:rPr>
          <w:rFonts w:cs="Times New Roman"/>
          <w:bCs/>
          <w:szCs w:val="24"/>
        </w:rPr>
        <w:instrText>ADDIN CSL_CITATION {"citationItems":[{"id":"ITEM-1","itemData":{"DOI":"10.1016/j.desal.2010.12.057","ISSN":"00119164","abstract":"Ranking of seven equilibrium isotherm models with various numbers of parameters (Langmuir, Freundlich, Redlich-Peterson, Sip, Langmuir-Freundlich, Fritz-Schlunder-3 parameter and Fritz-Schlunder-4 parameter) for the adsorption of Cu2+ and Cd2+ onto Bentonite and modified Bentonite clay was done using the small-sample-corrected Akaike information criterion (AICc).It was observed that the Freundlich model ranked first among the adsorption isotherm models considered. In most cases, using the AICc, the Langmuir model was ranked the second best isotherm model. Modification of Geothite, Humic acid, and Goethite+Humic acid with increase in temperature was observed to affect the Relative Akaike Weight (RAW) which describes the performance of adsorption models relative to the adsorption model with the minimum AICc estimate. The AICc was found to rank adsorption isotherm models better than error functions because it is more sensitive to model deviations and takes into consideration the number of parameters in an equilibrium isotherm model. AICc was found to be more reliable in resolving very close performance of adsorption isotherms.This study showed that the conventional isotherm model, Freundlich, is a better model for describing experimental data from adsorption of Cu2+ and Cd2+ onto Bentonite and modified Bentonite adsorbents than models derived from them and having a higher number of parameters. © 2010 Elsevier B.V.","author":[{"dropping-particle":"","family":"Akpa","given":"Onoja M.","non-dropping-particle":"","parse-names":false,"suffix":""},{"dropping-particle":"","family":"Unuabonah","given":"Emmanuel I.","non-dropping-particle":"","parse-names":false,"suffix":""}],"container-title":"Desalination","id":"ITEM-1","issue":"1-3","issued":{"date-parts":[["2011","5","3"]]},"page":"20-26","publisher":"Elsevier","title":"Small-Sample Corrected Akaike Information Criterion: An appropriate statistical tool for ranking of adsorption isotherm models","type":"article-journal","volume":"272"},"uris":["http://www.mendeley.com/documents/?uuid=78cb4455-f29c-3df1-bd86-82930c1a6790"]}],"mendeley":{"formattedCitation":"(Akpa and Unuabonah, 2011)","plainTextFormattedCitation":"(Akpa and Unuabonah, 2011)","previouslyFormattedCitation":"(Akpa and Unuabonah, 2011)"},"properties":{"noteIndex":0},"schema":"https://github.com/citation-style-language/schema/raw/master/csl-citation.json"}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(Akpa and Unuabonah, 2011)</w:t>
      </w:r>
      <w:r w:rsidRPr="00216965">
        <w:rPr>
          <w:rFonts w:cs="Times New Roman"/>
          <w:bCs/>
          <w:szCs w:val="24"/>
        </w:rPr>
        <w:fldChar w:fldCharType="end"/>
      </w:r>
      <w:r w:rsidRPr="00216965">
        <w:t>. The general form for calculating the AIC is given in:</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913"/>
      </w:tblGrid>
      <w:tr w:rsidR="005563EE" w:rsidRPr="00216965" w14:paraId="2597CAE5" w14:textId="77777777" w:rsidTr="008A33DA">
        <w:tc>
          <w:tcPr>
            <w:tcW w:w="5103" w:type="dxa"/>
          </w:tcPr>
          <w:p w14:paraId="5DA27693" w14:textId="22C061A7" w:rsidR="005563EE" w:rsidRPr="00216965" w:rsidRDefault="00FF238A" w:rsidP="006D2F0E">
            <w:pPr>
              <w:spacing w:line="360" w:lineRule="auto"/>
              <w:jc w:val="both"/>
            </w:pPr>
            <m:oMathPara>
              <m:oMathParaPr>
                <m:jc m:val="right"/>
              </m:oMathParaPr>
              <m:oMath>
                <m:r>
                  <w:rPr>
                    <w:rFonts w:ascii="Cambria Math" w:eastAsia="Cambria Math" w:hAnsi="Cambria Math" w:cs="Cambria Math"/>
                    <w:color w:val="000000"/>
                  </w:rPr>
                  <w:lastRenderedPageBreak/>
                  <m:t>AIC= -2log</m:t>
                </m:r>
                <m:d>
                  <m:dPr>
                    <m:ctrlPr>
                      <w:rPr>
                        <w:rFonts w:ascii="Cambria Math" w:eastAsia="Cambria Math" w:hAnsi="Cambria Math" w:cs="Cambria Math"/>
                        <w:b/>
                        <w:bCs/>
                        <w:color w:val="000000"/>
                      </w:rPr>
                    </m:ctrlPr>
                  </m:dPr>
                  <m:e>
                    <w:sdt>
                      <w:sdtPr>
                        <w:rPr>
                          <w:rFonts w:ascii="Cambria Math" w:hAnsi="Cambria Math"/>
                          <w:b/>
                          <w:bCs/>
                        </w:rPr>
                        <w:tag w:val="goog_rdk_645"/>
                        <w:id w:val="356309222"/>
                      </w:sdtPr>
                      <w:sdtEndPr/>
                      <w:sdtContent>
                        <m:r>
                          <w:rPr>
                            <w:rFonts w:ascii="Cambria Math" w:eastAsia="Cambria Math" w:hAnsi="Cambria Math" w:cs="Cambria Math"/>
                            <w:color w:val="000000"/>
                          </w:rPr>
                          <m:t>L</m:t>
                        </m:r>
                      </w:sdtContent>
                    </w:sdt>
                  </m:e>
                </m:d>
                <w:sdt>
                  <w:sdtPr>
                    <w:rPr>
                      <w:rFonts w:ascii="Cambria Math" w:hAnsi="Cambria Math"/>
                      <w:b/>
                      <w:bCs/>
                    </w:rPr>
                    <w:tag w:val="goog_rdk_646"/>
                    <w:id w:val="-1493869851"/>
                  </w:sdtPr>
                  <w:sdtEndPr/>
                  <w:sdtContent>
                    <m:r>
                      <w:rPr>
                        <w:rFonts w:ascii="Cambria Math" w:eastAsia="Cambria Math" w:hAnsi="Cambria Math" w:cs="Cambria Math"/>
                        <w:color w:val="000000"/>
                      </w:rPr>
                      <m:t>+2</m:t>
                    </m:r>
                  </w:sdtContent>
                </w:sdt>
                <m:sSub>
                  <m:sSubPr>
                    <m:ctrlPr>
                      <w:rPr>
                        <w:rFonts w:ascii="Cambria Math" w:eastAsia="Cambria Math" w:hAnsi="Cambria Math" w:cs="Cambria Math"/>
                        <w:b/>
                        <w:bCs/>
                        <w:color w:val="000000"/>
                      </w:rPr>
                    </m:ctrlPr>
                  </m:sSubPr>
                  <m:e>
                    <w:sdt>
                      <w:sdtPr>
                        <w:rPr>
                          <w:rFonts w:ascii="Cambria Math" w:hAnsi="Cambria Math"/>
                          <w:b/>
                          <w:bCs/>
                        </w:rPr>
                        <w:tag w:val="goog_rdk_647"/>
                        <w:id w:val="1525903746"/>
                      </w:sdtPr>
                      <w:sdtEndPr/>
                      <w:sdtContent>
                        <m:r>
                          <w:rPr>
                            <w:rFonts w:ascii="Cambria Math" w:eastAsia="Cambria Math" w:hAnsi="Cambria Math" w:cs="Cambria Math"/>
                            <w:color w:val="000000"/>
                          </w:rPr>
                          <m:t>n</m:t>
                        </m:r>
                      </w:sdtContent>
                    </w:sdt>
                  </m:e>
                  <m:sub>
                    <m:r>
                      <w:rPr>
                        <w:rFonts w:ascii="Cambria Math" w:eastAsia="Cambria Math" w:hAnsi="Cambria Math" w:cs="Cambria Math"/>
                        <w:color w:val="000000"/>
                      </w:rPr>
                      <m:t>par</m:t>
                    </m:r>
                  </m:sub>
                </m:sSub>
              </m:oMath>
            </m:oMathPara>
          </w:p>
        </w:tc>
        <w:tc>
          <w:tcPr>
            <w:tcW w:w="3913" w:type="dxa"/>
          </w:tcPr>
          <w:p w14:paraId="3CABCB01" w14:textId="029FF249" w:rsidR="005563EE" w:rsidRPr="00216965" w:rsidRDefault="005563EE" w:rsidP="006D2F0E">
            <w:pPr>
              <w:spacing w:line="360" w:lineRule="auto"/>
              <w:jc w:val="both"/>
              <w:rPr>
                <w:b/>
                <w:bCs/>
              </w:rPr>
            </w:pPr>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4</w:t>
            </w:r>
            <w:r w:rsidRPr="00216965">
              <w:rPr>
                <w:b/>
                <w:bCs/>
              </w:rPr>
              <w:fldChar w:fldCharType="end"/>
            </w:r>
          </w:p>
        </w:tc>
      </w:tr>
    </w:tbl>
    <w:p w14:paraId="4B4F6B63" w14:textId="7608D3D4" w:rsidR="005563EE" w:rsidRPr="00216965" w:rsidRDefault="005563EE" w:rsidP="008A33DA">
      <w:pPr>
        <w:spacing w:line="360" w:lineRule="auto"/>
        <w:jc w:val="both"/>
      </w:pPr>
      <w:r w:rsidRPr="00216965">
        <w:t xml:space="preserve">where, </w:t>
      </w:r>
      <w:r w:rsidRPr="00C62FFD">
        <w:rPr>
          <w:i/>
          <w:iCs/>
        </w:rPr>
        <w:t>L</w:t>
      </w:r>
      <w:r w:rsidRPr="00216965">
        <w:t xml:space="preserve"> is the likelihood of the fitted model and </w:t>
      </w:r>
      <w:r w:rsidRPr="00C62FFD">
        <w:rPr>
          <w:i/>
          <w:iCs/>
        </w:rPr>
        <w:t>npar</w:t>
      </w:r>
      <w:r w:rsidRPr="00216965">
        <w:t xml:space="preserve"> is the total number of parameters in the model. AIC has been reported as a better criterion for ranking sorption models instead of the error functions (sum of absolute error, average relative error, sum of square error, coefficient of determination, chi-squares, etc) due to its high sensitivity to model deviations </w:t>
      </w:r>
      <w:sdt>
        <w:sdtPr>
          <w:tag w:val="goog_rdk_659"/>
          <w:id w:val="106704726"/>
        </w:sdtPr>
        <w:sdtEndPr/>
        <w:sdtContent>
          <w:r w:rsidRPr="00216965">
            <w:rPr>
              <w:rFonts w:cs="Times New Roman"/>
              <w:bCs/>
              <w:szCs w:val="24"/>
            </w:rPr>
            <w:fldChar w:fldCharType="begin" w:fldLock="1"/>
          </w:r>
          <w:r w:rsidR="00F56BD7" w:rsidRPr="00216965">
            <w:rPr>
              <w:rFonts w:cs="Times New Roman"/>
              <w:bCs/>
              <w:szCs w:val="24"/>
            </w:rPr>
            <w:instrText>ADDIN CSL_CITATION {"citationItems":[{"id":"ITEM-1","itemData":{"DOI":"10.1016/j.desal.2010.12.057","ISSN":"00119164","abstract":"Ranking of seven equilibrium isotherm models with various numbers of parameters (Langmuir, Freundlich, Redlich-Peterson, Sip, Langmuir-Freundlich, Fritz-Schlunder-3 parameter and Fritz-Schlunder-4 parameter) for the adsorption of Cu2+ and Cd2+ onto Bentonite and modified Bentonite clay was done using the small-sample-corrected Akaike information criterion (AICc).It was observed that the Freundlich model ranked first among the adsorption isotherm models considered. In most cases, using the AICc, the Langmuir model was ranked the second best isotherm model. Modification of Geothite, Humic acid, and Goethite+Humic acid with increase in temperature was observed to affect the Relative Akaike Weight (RAW) which describes the performance of adsorption models relative to the adsorption model with the minimum AICc estimate. The AICc was found to rank adsorption isotherm models better than error functions because it is more sensitive to model deviations and takes into consideration the number of parameters in an equilibrium isotherm model. AICc was found to be more reliable in resolving very close performance of adsorption isotherms.This study showed that the conventional isotherm model, Freundlich, is a better model for describing experimental data from adsorption of Cu2+ and Cd2+ onto Bentonite and modified Bentonite adsorbents than models derived from them and having a higher number of parameters. © 2010 Elsevier B.V.","author":[{"dropping-particle":"","family":"Akpa","given":"Onoja M.","non-dropping-particle":"","parse-names":false,"suffix":""},{"dropping-particle":"","family":"Unuabonah","given":"Emmanuel I.","non-dropping-particle":"","parse-names":false,"suffix":""}],"container-title":"Desalination","id":"ITEM-1","issue":"1-3","issued":{"date-parts":[["2011","5","3"]]},"page":"20-26","publisher":"Elsevier","title":"Small-Sample Corrected Akaike Information Criterion: An appropriate statistical tool for ranking of adsorption isotherm models","type":"article-journal","volume":"272"},"uris":["http://www.mendeley.com/documents/?uuid=78cb4455-f29c-3df1-bd86-82930c1a6790"]}],"mendeley":{"formattedCitation":"(Akpa and Unuabonah, 2011)","plainTextFormattedCitation":"(Akpa and Unuabonah, 2011)","previouslyFormattedCitation":"(Akpa and Unuabonah, 2011)"},"properties":{"noteIndex":0},"schema":"https://github.com/citation-style-language/schema/raw/master/csl-citation.json"}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(Akpa and Unuabonah, 2011)</w:t>
          </w:r>
          <w:r w:rsidRPr="00216965">
            <w:rPr>
              <w:rFonts w:cs="Times New Roman"/>
              <w:bCs/>
              <w:szCs w:val="24"/>
            </w:rPr>
            <w:fldChar w:fldCharType="end"/>
          </w:r>
        </w:sdtContent>
      </w:sdt>
      <w:r w:rsidRPr="00216965">
        <w:t xml:space="preserve">. The AIC values for the fitted models were estimated using the AIC function from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w:t>
      </w:r>
    </w:p>
    <w:p w14:paraId="40D797A5" w14:textId="77777777" w:rsidR="005563EE" w:rsidRPr="00216965" w:rsidRDefault="005563EE" w:rsidP="008A33DA">
      <w:pPr>
        <w:pStyle w:val="Heading4"/>
      </w:pPr>
      <w:r w:rsidRPr="00216965">
        <w:t>Adsorption isotherm models</w:t>
      </w:r>
    </w:p>
    <w:p w14:paraId="29E17740" w14:textId="3D6E0624" w:rsidR="005563EE" w:rsidRPr="00216965" w:rsidRDefault="005563EE" w:rsidP="008A33DA">
      <w:pPr>
        <w:spacing w:line="360" w:lineRule="auto"/>
        <w:jc w:val="both"/>
      </w:pPr>
      <w:r w:rsidRPr="00216965">
        <w:t xml:space="preserve">To evaluate the sorption of Cd, Pb and Zn by the studied biochars, the commonly used Langmuir </w:t>
      </w:r>
      <w:r w:rsidRPr="00216965">
        <w:rPr>
          <w:rFonts w:cs="Times New Roman"/>
          <w:bCs/>
          <w:szCs w:val="24"/>
        </w:rPr>
        <w:fldChar w:fldCharType="begin" w:fldLock="1"/>
      </w:r>
      <w:r w:rsidR="00F56BD7" w:rsidRPr="00216965">
        <w:rPr>
          <w:rFonts w:cs="Times New Roman"/>
          <w:bCs/>
          <w:szCs w:val="24"/>
        </w:rPr>
        <w:instrText>ADDIN CSL_CITATION {"citationItems":[{"id":"ITEM-1","itemData":{"DOI":"10.1021/ja02242a004","ISSN":"15205126","abstract":"According to the theory previously developed, gaseous molecules impinging on a solid or liquid surface do not in general rebound elastically from the surface, but condense on it, and are held or adsorbed on the surface by forces similar to those holding the atoms or group molecules of solid bodies. If these forces are weak the “life” of the adsorbed molecules on the surface is short, so that the number of molecules adsorbed at any time is relatively small. On the other hand, when the forces are strong the rate of evaporation of the molecules may be so slow that the surface becomes practically completely covered by a monomolecular layer of adsorbed molecules. In the present paper this theory is extended and is developed along quantitative lines. The theory requires that in typical cases of true adsorption the adsorbed film should not exceed one molecule in thickness. This is contrary to the usual viewpoint. The discrepancy is accounted for by the fact that nearly all investigators have worked with porous bodies in which the adsorbing surface is indeterminate or have used nearly saturated vapors so that condensation of liquid occurred in capillary spaces. Others have mistaken solution or absorption for true adsorption. © 1918, American Chemical Society. All rights reserved.","author":[{"dropping-particle":"","family":"Langmuir","given":"Irving","non-dropping-particle":"","parse-names":false,"suffix":""}],"container-title":"Journal of the American Chemical Society","id":"ITEM-1","issue":"9","issued":{"date-parts":[["1918"]]},"page":"1361-1403","title":"The adsorption of gases on plane surfaces of glass, mica and platinum","type":"article-journal","volume":"40"},"uris":["http://www.mendeley.com/documents/?uuid=79dde7a7-5d04-4a25-be9c-b8b0d885bff8"]}],"mendeley":{"formattedCitation":"(Langmuir, 1918)","plainTextFormattedCitation":"(Langmuir, 1918)","previouslyFormattedCitation":"(Langmuir, 1918)"},"properties":{"noteIndex":0},"schema":"https://github.com/citation-style-language/schema/raw/master/csl-citation.json"}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(Langmuir, 1918)</w:t>
      </w:r>
      <w:r w:rsidRPr="00216965">
        <w:rPr>
          <w:rFonts w:cs="Times New Roman"/>
          <w:bCs/>
          <w:szCs w:val="24"/>
        </w:rPr>
        <w:fldChar w:fldCharType="end"/>
      </w:r>
      <w:r w:rsidRPr="00216965">
        <w:t xml:space="preserve">, Freundlich </w:t>
      </w:r>
      <w:r w:rsidRPr="00216965">
        <w:rPr>
          <w:rFonts w:cs="Times New Roman"/>
          <w:bCs/>
          <w:szCs w:val="24"/>
        </w:rPr>
        <w:fldChar w:fldCharType="begin" w:fldLock="1"/>
      </w:r>
      <w:r w:rsidR="00F56BD7" w:rsidRPr="00216965">
        <w:rPr>
          <w:rFonts w:cs="Times New Roman"/>
          <w:bCs/>
          <w:szCs w:val="24"/>
        </w:rPr>
        <w:instrText>ADDIN CSL_CITATION {"citationItems":[{"id":"ITEM-1","itemData":{"DOI":"10.1515/zpch-1907-5723","ISSN":"0942-9352","abstract":"Understanding hydrogen dynamics in soil organic matter is important to predict the fate of 3H in terrestrial environments. One way to resolve hydrogen fate and to point out processes is to examine the isotopic signature of the element in soil. However, non-exchangeable hydrogen isotopic signal in soil is complex and depends on the fate of organic compounds and microbial biosyntheses that incorporate water-derived hydrogen. To decipher this complex system and to understand the close link between hydrogen and carbon cycles, we followed labeled hydrogen and labeled carbon all along natural-like soil incubations. We performed incubation experiments with three labeling conditions: 1- 13C2H double-labeled molecules in the presence of 1H2O, 2- 13C-labeled molecules in the presence of 2H2O, 3- no molecule addition in the presence of 2H2O. The preservation of substrate-derived hydrogen after one year of incubation (ca. 5 % in most cases) was lower than the preservation of substrate-derived carbon (30 % in average). We highlighted that 70 % of the C-H bonds are broken during the degradation of the molecule which permits the exchange with water hydrogen. Added molecules are used more for trophic resources. The isotopic composition of the non-exchangeable hydrogen was mainly driven by the incorporation of water hydrogen during microbial biosynthesis. It is linearly correlated with the amount of carbon that is degraded in the soil. The quantitative incorporation of water hydrogen in bulk material and lipids demonstrates that non-exchangeable hydrogen exists in both organic and mineral-bound forms. The proportion of the latter depends on soil type and minerals. This experiment quantified the processes affecting the isotopic composition of non-exchangeable hydrogen, and the results can be used to predict the fate of tritium in the ecosystem or the water deuterium signature in organic matter.","author":[{"dropping-particle":"","family":"Freundlich","given":"Herbert","non-dropping-particle":"","parse-names":false,"suffix":""}],"container-title":"Zeitschrift für Physikalische Chemie","id":"ITEM-1","issue":"1","issued":{"date-parts":[["1906","6","20"]]},"page":"385-470","publisher":"Walter de Gruyter GmbH","title":"Über die Adsorption in Lösungen","type":"article-journal","volume":"57U"},"uris":["http://www.mendeley.com/documents/?uuid=05aa183a-64de-3379-a4d3-055a13bd83da"]}],"mendeley":{"formattedCitation":"(Freundlich, 1906)","plainTextFormattedCitation":"(Freundlich, 1906)","previouslyFormattedCitation":"(Freundlich, 1906)"},"properties":{"noteIndex":0},"schema":"https://github.com/citation-style-language/schema/raw/master/csl-citation.json"}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(Freundlich, 1906)</w:t>
      </w:r>
      <w:r w:rsidRPr="00216965">
        <w:rPr>
          <w:rFonts w:cs="Times New Roman"/>
          <w:bCs/>
          <w:szCs w:val="24"/>
        </w:rPr>
        <w:fldChar w:fldCharType="end"/>
      </w:r>
      <w:r w:rsidRPr="00216965">
        <w:t xml:space="preserve">, and Temkin </w:t>
      </w:r>
      <w:r w:rsidRPr="00216965">
        <w:rPr>
          <w:rFonts w:cs="Times New Roman"/>
          <w:bCs/>
          <w:szCs w:val="24"/>
        </w:rPr>
        <w:fldChar w:fldCharType="begin" w:fldLock="1"/>
      </w:r>
      <w:r w:rsidR="00F56BD7" w:rsidRPr="00216965">
        <w:rPr>
          <w:rFonts w:cs="Times New Roman"/>
          <w:bCs/>
          <w:szCs w:val="24"/>
        </w:rPr>
        <w:instrText>ADDIN CSL_CITATION {"citationItems":[{"id":"ITEM-1","itemData":{"author":[{"dropping-particle":"","family":"Temkin","given":"MI","non-dropping-particle":"","parse-names":false,"suffix":""},{"dropping-particle":"","family":"Pyzhev","given":"V","non-dropping-particle":"","parse-names":false,"suffix":""}],"container-title":"Acta Physicochim","id":"ITEM-1","issued":{"date-parts":[["1940"]]},"page":"327-356","title":"Kinetics of ammonia synthesis on promoted iron catalysts","type":"article-journal","volume":"12"},"uris":["http://www.mendeley.com/documents/?uuid=16aba689-5f27-44cc-bf7e-0cc180f927df"]}],"mendeley":{"formattedCitation":"(Temkin and Pyzhev, 1940)","plainTextFormattedCitation":"(Temkin and Pyzhev, 1940)","previouslyFormattedCitation":"(Temkin and Pyzhev, 1940)"},"properties":{"noteIndex":0},"schema":"https://github.com/citation-style-language/schema/raw/master/csl-citation.json"}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(Temkin and Pyzhev, 1940)</w:t>
      </w:r>
      <w:r w:rsidRPr="00216965">
        <w:rPr>
          <w:rFonts w:cs="Times New Roman"/>
          <w:bCs/>
          <w:szCs w:val="24"/>
        </w:rPr>
        <w:fldChar w:fldCharType="end"/>
      </w:r>
      <w:r w:rsidRPr="00216965">
        <w:t xml:space="preserve"> sorption models presented in </w:t>
      </w:r>
      <w:r w:rsidRPr="00216965">
        <w:rPr>
          <w:b/>
          <w:bCs/>
        </w:rPr>
        <w:t>Eq. 5-7</w:t>
      </w:r>
      <w:r w:rsidRPr="00216965">
        <w:t xml:space="preserve"> were examined. </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563EE" w:rsidRPr="00216965" w14:paraId="69A80C6B" w14:textId="77777777" w:rsidTr="008A33DA">
        <w:tc>
          <w:tcPr>
            <w:tcW w:w="4508" w:type="dxa"/>
          </w:tcPr>
          <w:p w14:paraId="49A891B7" w14:textId="77777777" w:rsidR="005563EE" w:rsidRPr="00216965" w:rsidRDefault="00BB30F1" w:rsidP="006D2F0E">
            <w:pPr>
              <w:spacing w:line="360" w:lineRule="auto"/>
              <w:jc w:val="both"/>
            </w:pPr>
            <m:oMathPara>
              <m:oMathParaPr>
                <m:jc m:val="right"/>
              </m:oMathParaPr>
              <m:oMath>
                <m:sSub>
                  <m:sSubPr>
                    <m:ctrlPr>
                      <w:rPr>
                        <w:rFonts w:ascii="Cambria Math" w:hAnsi="Cambria Math"/>
                        <w:szCs w:val="24"/>
                      </w:rPr>
                    </m:ctrlPr>
                  </m:sSubPr>
                  <m:e>
                    <m:r>
                      <w:rPr>
                        <w:rFonts w:ascii="Cambria Math" w:hAnsi="Cambria Math"/>
                        <w:szCs w:val="24"/>
                      </w:rPr>
                      <m:t>Q</m:t>
                    </m:r>
                  </m:e>
                  <m:sub>
                    <m:r>
                      <w:rPr>
                        <w:rFonts w:ascii="Cambria Math" w:hAnsi="Cambria Math"/>
                        <w:szCs w:val="24"/>
                      </w:rPr>
                      <m:t>e</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K</m:t>
                        </m:r>
                      </m:e>
                      <m:sub>
                        <m:r>
                          <w:rPr>
                            <w:rFonts w:ascii="Cambria Math" w:hAnsi="Cambria Math"/>
                            <w:szCs w:val="24"/>
                          </w:rPr>
                          <m:t>l</m:t>
                        </m:r>
                      </m:sub>
                    </m:sSub>
                    <m:sSub>
                      <m:sSubPr>
                        <m:ctrlPr>
                          <w:rPr>
                            <w:rFonts w:ascii="Cambria Math" w:eastAsia="Malgun Gothic" w:hAnsi="Cambria Math" w:cs="Times New Roman"/>
                            <w:i/>
                            <w:szCs w:val="24"/>
                            <w:lang w:val="en-US"/>
                          </w:rPr>
                        </m:ctrlPr>
                      </m:sSubPr>
                      <m:e>
                        <m:r>
                          <w:rPr>
                            <w:rFonts w:ascii="Cambria Math" w:hAnsi="Cambria Math"/>
                            <w:szCs w:val="24"/>
                          </w:rPr>
                          <m:t>q</m:t>
                        </m:r>
                      </m:e>
                      <m:sub>
                        <m:r>
                          <w:rPr>
                            <w:rFonts w:ascii="Cambria Math" w:hAnsi="Cambria Math"/>
                            <w:szCs w:val="24"/>
                          </w:rPr>
                          <m:t>m</m:t>
                        </m:r>
                      </m:sub>
                    </m:sSub>
                    <m:r>
                      <w:rPr>
                        <w:rFonts w:ascii="Cambria Math" w:hAnsi="Cambria Math"/>
                        <w:szCs w:val="24"/>
                      </w:rPr>
                      <m:t>Ce</m:t>
                    </m:r>
                  </m:num>
                  <m:den>
                    <m:r>
                      <w:rPr>
                        <w:rFonts w:ascii="Cambria Math" w:hAnsi="Cambria Math"/>
                        <w:szCs w:val="24"/>
                      </w:rPr>
                      <m:t>1+</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l</m:t>
                        </m:r>
                      </m:sub>
                    </m:sSub>
                    <m:r>
                      <w:rPr>
                        <w:rFonts w:ascii="Cambria Math" w:hAnsi="Cambria Math"/>
                        <w:szCs w:val="24"/>
                      </w:rPr>
                      <m:t>Ce</m:t>
                    </m:r>
                  </m:den>
                </m:f>
              </m:oMath>
            </m:oMathPara>
          </w:p>
        </w:tc>
        <w:tc>
          <w:tcPr>
            <w:tcW w:w="4508" w:type="dxa"/>
          </w:tcPr>
          <w:p w14:paraId="62EAED8C" w14:textId="6E331D90" w:rsidR="005563EE" w:rsidRPr="00216965" w:rsidRDefault="005563EE" w:rsidP="006D2F0E">
            <w:pPr>
              <w:spacing w:line="360" w:lineRule="auto"/>
              <w:jc w:val="both"/>
              <w:rPr>
                <w:b/>
                <w:bCs/>
              </w:rPr>
            </w:pPr>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5</w:t>
            </w:r>
            <w:r w:rsidRPr="00216965">
              <w:rPr>
                <w:b/>
                <w:bCs/>
              </w:rPr>
              <w:fldChar w:fldCharType="end"/>
            </w:r>
          </w:p>
        </w:tc>
      </w:tr>
    </w:tbl>
    <w:p w14:paraId="6EF148AC" w14:textId="1CFCE6FA" w:rsidR="005563EE" w:rsidRPr="00216965" w:rsidRDefault="005563EE" w:rsidP="008A33DA">
      <w:pPr>
        <w:spacing w:line="360" w:lineRule="auto"/>
        <w:jc w:val="both"/>
      </w:pPr>
      <w:r w:rsidRPr="00216965">
        <w:t xml:space="preserve">Where, </w:t>
      </w:r>
      <w:r w:rsidRPr="00216965">
        <w:rPr>
          <w:i/>
          <w:iCs/>
        </w:rPr>
        <w:t>q</w:t>
      </w:r>
      <w:r w:rsidRPr="00216965">
        <w:rPr>
          <w:vertAlign w:val="subscript"/>
        </w:rPr>
        <w:t>m</w:t>
      </w:r>
      <w:r w:rsidRPr="00216965">
        <w:t xml:space="preserve"> (mg.g</w:t>
      </w:r>
      <w:r w:rsidRPr="00216965">
        <w:rPr>
          <w:vertAlign w:val="superscript"/>
        </w:rPr>
        <w:t>-1</w:t>
      </w:r>
      <w:r w:rsidRPr="00216965">
        <w:t xml:space="preserve">) is the maximum adsorption capacity of biochar for Cd, Pb or Zn and </w:t>
      </w:r>
      <w:r w:rsidRPr="00216965">
        <w:rPr>
          <w:i/>
          <w:iCs/>
        </w:rPr>
        <w:t>K</w:t>
      </w:r>
      <w:r w:rsidRPr="00216965">
        <w:rPr>
          <w:i/>
          <w:iCs/>
          <w:vertAlign w:val="subscript"/>
        </w:rPr>
        <w:t>l</w:t>
      </w:r>
      <w:r w:rsidRPr="00216965">
        <w:t xml:space="preserve">  (L.mg</w:t>
      </w:r>
      <w:r w:rsidRPr="00216965">
        <w:rPr>
          <w:vertAlign w:val="superscript"/>
        </w:rPr>
        <w:t>-1</w:t>
      </w:r>
      <w:r w:rsidRPr="00216965">
        <w:t xml:space="preserve">) is the Langmuir constant related to the affinity of the binding sites </w:t>
      </w:r>
      <w:r w:rsidRPr="00216965">
        <w:rPr>
          <w:rFonts w:cs="Times New Roman"/>
        </w:rPr>
        <w:fldChar w:fldCharType="begin" w:fldLock="1"/>
      </w:r>
      <w:r w:rsidR="006C06AA" w:rsidRPr="00216965">
        <w:rPr>
          <w:rFonts w:cs="Times New Roman"/>
        </w:rPr>
        <w:instrText>ADDIN CSL_CITATION {"citationItems":[{"id":"ITEM-1","itemData":{"DOI":"10.1016/j.scitotenv.2015.09.022","abstract":"• Biochars varied in physicochemical properties and adsorption capacity. • Canna indica derived biochar has a high sorption capacity for Cd 2 +. • NH 4 + and Cd 2 + sorption on biochars fits a pseudo second order and Langmuir model. • Sorption mechanism is related to com-plexation, cation exchange and precipitation. The objective of this study was to investigate the relationship between Cd 2+ /NH 4 + sorption and physicochemical properties of biochars produced from different wetland plants. Biochars from six species of wetland plants (i.e., Canna indica, Pennisetum purpureum Schum, Thalia dealbata, Zizania caduciflora, Phragmites australis and Vetiveria zizanioides) were obtained at 500 °C and characterized, and their sorption for ammonium and cadmium was determined. There were significant differences in elemental composition, functional groups and specific surface area among the biochars derived from different wetland plant species. Sorption of ammonium and cadmium on the biochars could be described by a pseudo second order kinetic model, and the simple Langmuir model fits the isotherm data better than the Freundlich or Temkin model. The C. indica derived biochar had the largest sorp-tion capacity for NH 4 + and Cd 2+ , with a maximum sorption of 13.35 and 125.8 mg g −1 , respectively. P. purpureum Schum derived biochar had a similar maximum sorption (119.3 mg g −1) for Cd 2+. Ammonium sorption was mainly controlled by cation exchange, surface complexation with oxygen-containing functional groups and the formation of magnesium ammonium phosphate compounds, whereas for Cd 2+ sorption, the formation of cadmi-um phosphate precipitates, cation exchange and binding to oxygen-containing groups were the major possible","author":[{"dropping-particle":"","family":"Cui","given":"Xiaoqiang","non-dropping-particle":"","parse-names":false,"suffix":""},{"dropping-particle":"","family":"Hao","given":"Hulin","non-dropping-particle":"","parse-names":false,"suffix":""},{"dropping-particle":"","family":"Zhang","given":"Changkuan","non-dropping-particle":"","parse-names":false,"suffix":""},{"dropping-particle":"","family":"He","given":"Zhenli","non-dropping-particle":"","parse-names":false,"suffix":""},{"dropping-particle":"","family":"Yang","given":"Xiaoe","non-dropping-particle":"","parse-names":false,"suffix":""}],"container-title":"Science of the Total Environment","id":"ITEM-1","issued":{"date-parts":[["2016"]]},"page":"566-575","title":"Capacity and mechanisms of ammonium and cadmium sorption on different wetland-plant derived biochars","type":"article-journal","volume":"539"},"uris":["http://www.mendeley.com/documents/?uuid=f9de3535-8dc2-319b-b0ad-805dab9d1ff6"]}],"mendeley":{"formattedCitation":"(Cui et al., 2016b)","plainTextFormattedCitation":"(Cui et al., 2016b)","previouslyFormattedCitation":"(Cui et al., 2016b)"},"properties":{"noteIndex":0},"schema":"https://github.com/citation-style-language/schema/raw/master/csl-citation.json"}</w:instrText>
      </w:r>
      <w:r w:rsidRPr="00216965">
        <w:rPr>
          <w:rFonts w:cs="Times New Roman"/>
        </w:rPr>
        <w:fldChar w:fldCharType="separate"/>
      </w:r>
      <w:r w:rsidR="001974AA" w:rsidRPr="00216965">
        <w:rPr>
          <w:rFonts w:cs="Times New Roman"/>
          <w:noProof/>
        </w:rPr>
        <w:t>(Cui et al., 2016b)</w:t>
      </w:r>
      <w:r w:rsidRPr="00216965">
        <w:rPr>
          <w:rFonts w:cs="Times New Roman"/>
        </w:rPr>
        <w:fldChar w:fldCharType="end"/>
      </w:r>
      <w:r w:rsidRPr="00216965">
        <w:t>.</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054"/>
      </w:tblGrid>
      <w:tr w:rsidR="005563EE" w:rsidRPr="00216965" w14:paraId="688C2FFE" w14:textId="77777777" w:rsidTr="008A33DA">
        <w:tc>
          <w:tcPr>
            <w:tcW w:w="4962" w:type="dxa"/>
          </w:tcPr>
          <w:p w14:paraId="397DEC97" w14:textId="77777777" w:rsidR="005563EE" w:rsidRPr="00216965" w:rsidRDefault="00BB30F1" w:rsidP="006D2F0E">
            <w:pPr>
              <w:spacing w:line="360" w:lineRule="auto"/>
              <w:jc w:val="both"/>
            </w:pPr>
            <m:oMathPara>
              <m:oMathParaPr>
                <m:jc m:val="right"/>
              </m:oMathParaPr>
              <m:oMath>
                <m:sSub>
                  <m:sSubPr>
                    <m:ctrlPr>
                      <w:rPr>
                        <w:rFonts w:ascii="Cambria Math" w:hAnsi="Cambria Math"/>
                        <w:szCs w:val="24"/>
                      </w:rPr>
                    </m:ctrlPr>
                  </m:sSubPr>
                  <m:e>
                    <m:r>
                      <w:rPr>
                        <w:rFonts w:ascii="Cambria Math" w:hAnsi="Cambria Math"/>
                        <w:szCs w:val="24"/>
                      </w:rPr>
                      <m:t>Q</m:t>
                    </m:r>
                  </m:e>
                  <m:sub>
                    <m:r>
                      <w:rPr>
                        <w:rFonts w:ascii="Cambria Math" w:hAnsi="Cambria Math"/>
                        <w:szCs w:val="24"/>
                      </w:rPr>
                      <m:t>e</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K</m:t>
                    </m:r>
                  </m:e>
                  <m:sub>
                    <m:r>
                      <w:rPr>
                        <w:rFonts w:ascii="Cambria Math" w:hAnsi="Cambria Math"/>
                        <w:szCs w:val="24"/>
                      </w:rPr>
                      <m:t>F</m:t>
                    </m:r>
                  </m:sub>
                </m:sSub>
                <m:sSup>
                  <m:sSupPr>
                    <m:ctrlPr>
                      <w:rPr>
                        <w:rFonts w:ascii="Cambria Math" w:hAnsi="Cambria Math"/>
                        <w:i/>
                        <w:szCs w:val="24"/>
                      </w:rPr>
                    </m:ctrlPr>
                  </m:sSupPr>
                  <m:e>
                    <m:r>
                      <w:rPr>
                        <w:rFonts w:ascii="Cambria Math" w:hAnsi="Cambria Math"/>
                        <w:szCs w:val="24"/>
                      </w:rPr>
                      <m:t>Ce</m:t>
                    </m:r>
                  </m:e>
                  <m:sup>
                    <m:f>
                      <m:fPr>
                        <m:ctrlPr>
                          <w:rPr>
                            <w:rFonts w:ascii="Cambria Math" w:hAnsi="Cambria Math"/>
                            <w:i/>
                            <w:szCs w:val="24"/>
                          </w:rPr>
                        </m:ctrlPr>
                      </m:fPr>
                      <m:num>
                        <m:r>
                          <w:rPr>
                            <w:rFonts w:ascii="Cambria Math" w:hAnsi="Cambria Math"/>
                            <w:szCs w:val="24"/>
                          </w:rPr>
                          <m:t>1</m:t>
                        </m:r>
                      </m:num>
                      <m:den>
                        <m:r>
                          <w:rPr>
                            <w:rFonts w:ascii="Cambria Math" w:hAnsi="Cambria Math"/>
                            <w:szCs w:val="24"/>
                          </w:rPr>
                          <m:t>nF</m:t>
                        </m:r>
                      </m:den>
                    </m:f>
                  </m:sup>
                </m:sSup>
              </m:oMath>
            </m:oMathPara>
          </w:p>
        </w:tc>
        <w:tc>
          <w:tcPr>
            <w:tcW w:w="4054" w:type="dxa"/>
          </w:tcPr>
          <w:p w14:paraId="2EEA2B4F" w14:textId="3E49B6F6" w:rsidR="005563EE" w:rsidRPr="00216965" w:rsidRDefault="005563EE" w:rsidP="006D2F0E">
            <w:pPr>
              <w:spacing w:line="360" w:lineRule="auto"/>
              <w:jc w:val="both"/>
              <w:rPr>
                <w:b/>
                <w:bCs/>
              </w:rPr>
            </w:pPr>
            <w:r w:rsidRPr="00216965">
              <w:rPr>
                <w:b/>
                <w:bCs/>
              </w:rPr>
              <w:t>Eq.</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6</w:t>
            </w:r>
            <w:r w:rsidRPr="00216965">
              <w:rPr>
                <w:b/>
                <w:bCs/>
              </w:rPr>
              <w:fldChar w:fldCharType="end"/>
            </w:r>
          </w:p>
        </w:tc>
      </w:tr>
    </w:tbl>
    <w:p w14:paraId="651A0940" w14:textId="23B6F5D5" w:rsidR="005563EE" w:rsidRPr="00216965" w:rsidRDefault="005563EE" w:rsidP="008A33DA">
      <w:pPr>
        <w:spacing w:line="360" w:lineRule="auto"/>
        <w:jc w:val="both"/>
      </w:pPr>
      <w:r w:rsidRPr="00216965">
        <w:t xml:space="preserve">Where, </w:t>
      </w:r>
      <w:r w:rsidRPr="00216965">
        <w:rPr>
          <w:i/>
          <w:iCs/>
        </w:rPr>
        <w:t>K</w:t>
      </w:r>
      <w:r w:rsidRPr="00216965">
        <w:rPr>
          <w:i/>
          <w:iCs/>
          <w:vertAlign w:val="subscript"/>
        </w:rPr>
        <w:t>F</w:t>
      </w:r>
      <w:r w:rsidRPr="00216965">
        <w:t xml:space="preserve"> (L.g</w:t>
      </w:r>
      <w:r w:rsidRPr="00216965">
        <w:rPr>
          <w:vertAlign w:val="superscript"/>
        </w:rPr>
        <w:t>-1</w:t>
      </w:r>
      <w:r w:rsidRPr="00216965">
        <w:t xml:space="preserve">) is the Freundlich constant and </w:t>
      </w:r>
      <w:r w:rsidRPr="00216965">
        <w:rPr>
          <w:i/>
          <w:iCs/>
        </w:rPr>
        <w:t>nF</w:t>
      </w:r>
      <w:r w:rsidRPr="00216965">
        <w:t xml:space="preserve"> is the Freundlich exponent related to adsorption intensity </w:t>
      </w:r>
      <w:r w:rsidRPr="00216965">
        <w:rPr>
          <w:rFonts w:cs="Times New Roman"/>
        </w:rPr>
        <w:fldChar w:fldCharType="begin" w:fldLock="1"/>
      </w:r>
      <w:r w:rsidR="006C06AA" w:rsidRPr="00216965">
        <w:rPr>
          <w:rFonts w:cs="Times New Roman"/>
        </w:rPr>
        <w:instrText>ADDIN CSL_CITATION {"citationItems":[{"id":"ITEM-1","itemData":{"DOI":"10.1016/j.scitotenv.2015.09.022","abstract":"• Biochars varied in physicochemical properties and adsorption capacity. • Canna indica derived biochar has a high sorption capacity for Cd 2 +. • NH 4 + and Cd 2 + sorption on biochars fits a pseudo second order and Langmuir model. • Sorption mechanism is related to com-plexation, cation exchange and precipitation. The objective of this study was to investigate the relationship between Cd 2+ /NH 4 + sorption and physicochemical properties of biochars produced from different wetland plants. Biochars from six species of wetland plants (i.e., Canna indica, Pennisetum purpureum Schum, Thalia dealbata, Zizania caduciflora, Phragmites australis and Vetiveria zizanioides) were obtained at 500 °C and characterized, and their sorption for ammonium and cadmium was determined. There were significant differences in elemental composition, functional groups and specific surface area among the biochars derived from different wetland plant species. Sorption of ammonium and cadmium on the biochars could be described by a pseudo second order kinetic model, and the simple Langmuir model fits the isotherm data better than the Freundlich or Temkin model. The C. indica derived biochar had the largest sorp-tion capacity for NH 4 + and Cd 2+ , with a maximum sorption of 13.35 and 125.8 mg g −1 , respectively. P. purpureum Schum derived biochar had a similar maximum sorption (119.3 mg g −1) for Cd 2+. Ammonium sorption was mainly controlled by cation exchange, surface complexation with oxygen-containing functional groups and the formation of magnesium ammonium phosphate compounds, whereas for Cd 2+ sorption, the formation of cadmi-um phosphate precipitates, cation exchange and binding to oxygen-containing groups were the major possible","author":[{"dropping-particle":"","family":"Cui","given":"Xiaoqiang","non-dropping-particle":"","parse-names":false,"suffix":""},{"dropping-particle":"","family":"Hao","given":"Hulin","non-dropping-particle":"","parse-names":false,"suffix":""},{"dropping-particle":"","family":"Zhang","given":"Changkuan","non-dropping-particle":"","parse-names":false,"suffix":""},{"dropping-particle":"","family":"He","given":"Zhenli","non-dropping-particle":"","parse-names":false,"suffix":""},{"dropping-particle":"","family":"Yang","given":"Xiaoe","non-dropping-particle":"","parse-names":false,"suffix":""}],"container-title":"Science of the Total Environment","id":"ITEM-1","issued":{"date-parts":[["2016"]]},"page":"566-575","title":"Capacity and mechanisms of ammonium and cadmium sorption on different wetland-plant derived biochars","type":"article-journal","volume":"539"},"uris":["http://www.mendeley.com/documents/?uuid=f9de3535-8dc2-319b-b0ad-805dab9d1ff6"]}],"mendeley":{"formattedCitation":"(Cui et al., 2016b)","plainTextFormattedCitation":"(Cui et al., 2016b)","previouslyFormattedCitation":"(Cui et al., 2016b)"},"properties":{"noteIndex":0},"schema":"https://github.com/citation-style-language/schema/raw/master/csl-citation.json"}</w:instrText>
      </w:r>
      <w:r w:rsidRPr="00216965">
        <w:rPr>
          <w:rFonts w:cs="Times New Roman"/>
        </w:rPr>
        <w:fldChar w:fldCharType="separate"/>
      </w:r>
      <w:r w:rsidR="001974AA" w:rsidRPr="00216965">
        <w:rPr>
          <w:rFonts w:cs="Times New Roman"/>
          <w:noProof/>
        </w:rPr>
        <w:t>(Cui et al., 2016b)</w:t>
      </w:r>
      <w:r w:rsidRPr="00216965">
        <w:rPr>
          <w:rFonts w:cs="Times New Roman"/>
        </w:rPr>
        <w:fldChar w:fldCharType="end"/>
      </w:r>
      <w:r w:rsidRPr="00216965">
        <w:t>.</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487"/>
      </w:tblGrid>
      <w:tr w:rsidR="005563EE" w:rsidRPr="00216965" w14:paraId="2E9F9604" w14:textId="77777777" w:rsidTr="008A33DA">
        <w:tc>
          <w:tcPr>
            <w:tcW w:w="5529" w:type="dxa"/>
          </w:tcPr>
          <w:p w14:paraId="32E1BE42" w14:textId="77777777" w:rsidR="005563EE" w:rsidRPr="00216965" w:rsidRDefault="00BB30F1" w:rsidP="006D2F0E">
            <w:pPr>
              <w:spacing w:line="360" w:lineRule="auto"/>
              <w:jc w:val="both"/>
            </w:pPr>
            <m:oMathPara>
              <m:oMathParaPr>
                <m:jc m:val="right"/>
              </m:oMathParaPr>
              <m:oMath>
                <m:sSub>
                  <m:sSubPr>
                    <m:ctrlPr>
                      <w:rPr>
                        <w:rFonts w:ascii="Cambria Math" w:hAnsi="Cambria Math"/>
                        <w:b/>
                        <w:bCs/>
                        <w:i/>
                        <w:szCs w:val="24"/>
                      </w:rPr>
                    </m:ctrlPr>
                  </m:sSubPr>
                  <m:e>
                    <m:r>
                      <w:rPr>
                        <w:rFonts w:ascii="Cambria Math" w:hAnsi="Cambria Math"/>
                        <w:szCs w:val="24"/>
                      </w:rPr>
                      <m:t>Q</m:t>
                    </m:r>
                  </m:e>
                  <m:sub>
                    <m:r>
                      <w:rPr>
                        <w:rFonts w:ascii="Cambria Math" w:hAnsi="Cambria Math"/>
                        <w:szCs w:val="24"/>
                      </w:rPr>
                      <m:t>e</m:t>
                    </m:r>
                  </m:sub>
                </m:sSub>
                <m:r>
                  <w:rPr>
                    <w:rFonts w:ascii="Cambria Math" w:hAnsi="Cambria Math"/>
                    <w:szCs w:val="24"/>
                  </w:rPr>
                  <m:t>=</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RT</m:t>
                        </m:r>
                      </m:num>
                      <m:den>
                        <m:r>
                          <w:rPr>
                            <w:rFonts w:ascii="Cambria Math" w:hAnsi="Cambria Math"/>
                            <w:szCs w:val="24"/>
                          </w:rPr>
                          <m:t>b</m:t>
                        </m:r>
                      </m:den>
                    </m:f>
                  </m:e>
                </m:d>
                <m:r>
                  <w:rPr>
                    <w:rFonts w:ascii="Cambria Math" w:hAnsi="Cambria Math"/>
                    <w:szCs w:val="24"/>
                  </w:rPr>
                  <m:t>lnA+</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RT</m:t>
                        </m:r>
                      </m:num>
                      <m:den>
                        <m:r>
                          <w:rPr>
                            <w:rFonts w:ascii="Cambria Math" w:hAnsi="Cambria Math"/>
                            <w:szCs w:val="24"/>
                          </w:rPr>
                          <m:t>b</m:t>
                        </m:r>
                      </m:den>
                    </m:f>
                  </m:e>
                </m:d>
                <m:r>
                  <w:rPr>
                    <w:rFonts w:ascii="Cambria Math" w:hAnsi="Cambria Math"/>
                    <w:szCs w:val="24"/>
                  </w:rPr>
                  <m:t>Ce</m:t>
                </m:r>
              </m:oMath>
            </m:oMathPara>
          </w:p>
        </w:tc>
        <w:tc>
          <w:tcPr>
            <w:tcW w:w="3487" w:type="dxa"/>
          </w:tcPr>
          <w:p w14:paraId="194CB3EF" w14:textId="3ECD59D2" w:rsidR="005563EE" w:rsidRPr="00216965" w:rsidRDefault="005563EE" w:rsidP="006D2F0E">
            <w:pPr>
              <w:spacing w:line="360" w:lineRule="auto"/>
              <w:jc w:val="both"/>
              <w:rPr>
                <w:b/>
                <w:bCs/>
              </w:rPr>
            </w:pPr>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7</w:t>
            </w:r>
            <w:r w:rsidRPr="00216965">
              <w:rPr>
                <w:b/>
                <w:bCs/>
              </w:rPr>
              <w:fldChar w:fldCharType="end"/>
            </w:r>
          </w:p>
        </w:tc>
      </w:tr>
    </w:tbl>
    <w:p w14:paraId="13D87BF0" w14:textId="1DEF2840" w:rsidR="008574C0" w:rsidRPr="00216965" w:rsidRDefault="005563EE" w:rsidP="008A33DA">
      <w:pPr>
        <w:spacing w:line="360" w:lineRule="auto"/>
        <w:jc w:val="both"/>
      </w:pPr>
      <w:r w:rsidRPr="00216965">
        <w:t xml:space="preserve">Where, </w:t>
      </w:r>
      <w:r w:rsidRPr="00216965">
        <w:rPr>
          <w:i/>
          <w:iCs/>
        </w:rPr>
        <w:t>A</w:t>
      </w:r>
      <w:r w:rsidRPr="00216965">
        <w:t xml:space="preserve"> (g</w:t>
      </w:r>
      <w:r w:rsidRPr="00216965">
        <w:rPr>
          <w:vertAlign w:val="superscript"/>
        </w:rPr>
        <w:t>-1</w:t>
      </w:r>
      <w:r w:rsidRPr="00216965">
        <w:t xml:space="preserve">) is the Temkin constant, </w:t>
      </w:r>
      <w:r w:rsidRPr="00216965">
        <w:rPr>
          <w:i/>
          <w:iCs/>
        </w:rPr>
        <w:t>b</w:t>
      </w:r>
      <w:r w:rsidRPr="00216965">
        <w:t xml:space="preserve"> (J.mol</w:t>
      </w:r>
      <w:r w:rsidRPr="00216965">
        <w:rPr>
          <w:vertAlign w:val="superscript"/>
        </w:rPr>
        <w:t>-1</w:t>
      </w:r>
      <w:r w:rsidRPr="00216965">
        <w:t xml:space="preserve">) is the constant related with the heat of sorption, </w:t>
      </w:r>
      <w:r w:rsidRPr="00216965">
        <w:rPr>
          <w:i/>
          <w:iCs/>
        </w:rPr>
        <w:t>R</w:t>
      </w:r>
      <w:r w:rsidRPr="00216965">
        <w:t xml:space="preserve"> is the gas constant (8.31 J.mol</w:t>
      </w:r>
      <w:r w:rsidRPr="00216965">
        <w:rPr>
          <w:vertAlign w:val="superscript"/>
        </w:rPr>
        <w:t>-1</w:t>
      </w:r>
      <w:r w:rsidRPr="00216965">
        <w:t>.K</w:t>
      </w:r>
      <w:r w:rsidRPr="00216965">
        <w:rPr>
          <w:vertAlign w:val="superscript"/>
        </w:rPr>
        <w:t>-1</w:t>
      </w:r>
      <w:r w:rsidRPr="00216965">
        <w:t>) and T (K) is the absolute temperature.</w:t>
      </w:r>
      <w:r w:rsidR="00CF3C22" w:rsidRPr="00216965">
        <w:t xml:space="preserve"> </w:t>
      </w:r>
      <w:r w:rsidR="008574C0" w:rsidRPr="00216965">
        <w:t xml:space="preserve">Additionally, models that adapt to describe S-shape isotherms, such as Dubinin-Radushkevich </w:t>
      </w:r>
      <w:r w:rsidR="008574C0" w:rsidRPr="00216965">
        <w:rPr>
          <w:rFonts w:cs="Times New Roman"/>
          <w:bCs/>
          <w:szCs w:val="24"/>
        </w:rPr>
        <w:fldChar w:fldCharType="begin" w:fldLock="1"/>
      </w:r>
      <w:r w:rsidR="008574C0" w:rsidRPr="00216965">
        <w:rPr>
          <w:rFonts w:cs="Times New Roman"/>
          <w:bCs/>
          <w:szCs w:val="24"/>
        </w:rPr>
        <w:instrText>ADDIN CSL_CITATION {"citationItems":[{"id":"ITEM-1","itemData":{"DOI":"10.1016/B978-0-12-571809-7.50006-1","ISBN":"9780125718097","author":[{"dropping-particle":"","family":"Dubinin","given":"M.","non-dropping-particle":"","parse-names":false,"suffix":""}],"editor":[{"dropping-particle":"","family":"Cadenhead","given":"D","non-dropping-particle":"","parse-names":false,"suffix":""},{"dropping-particle":"","family":"Danielli","given":"J","non-dropping-particle":"","parse-names":false,"suffix":""},{"dropping-particle":"","family":"Rosenberg","given":"M","non-dropping-particle":"","parse-names":false,"suffix":""}],"id":"ITEM-1","issued":{"date-parts":[["1975","1","1"]]},"number-of-pages":"1-70","publisher":"Elsevier","title":"Physical Adsorption of Gases and Vapors in Micropores","type":"book","volume":"9"},"uris":["http://www.mendeley.com/documents/?uuid=3610edff-a068-36df-a4aa-39cbda222ac9"]}],"mendeley":{"formattedCitation":"(Dubinin, 1975)","plainTextFormattedCitation":"(Dubinin, 1975)","previouslyFormattedCitation":"(Dubinin, 1975)"},"properties":{"noteIndex":0},"schema":"https://github.com/citation-style-language/schema/raw/master/csl-citation.json"}</w:instrText>
      </w:r>
      <w:r w:rsidR="008574C0" w:rsidRPr="00216965">
        <w:rPr>
          <w:rFonts w:cs="Times New Roman"/>
          <w:bCs/>
          <w:szCs w:val="24"/>
        </w:rPr>
        <w:fldChar w:fldCharType="separate"/>
      </w:r>
      <w:r w:rsidR="008574C0" w:rsidRPr="00216965">
        <w:rPr>
          <w:rFonts w:cs="Times New Roman"/>
          <w:bCs/>
          <w:noProof/>
          <w:szCs w:val="24"/>
        </w:rPr>
        <w:t>(Dubinin, 1975)</w:t>
      </w:r>
      <w:r w:rsidR="008574C0" w:rsidRPr="00216965">
        <w:rPr>
          <w:rFonts w:cs="Times New Roman"/>
          <w:bCs/>
          <w:szCs w:val="24"/>
        </w:rPr>
        <w:fldChar w:fldCharType="end"/>
      </w:r>
      <w:r w:rsidR="008574C0" w:rsidRPr="00216965">
        <w:t xml:space="preserve"> and Hill model </w:t>
      </w:r>
      <w:r w:rsidR="008574C0" w:rsidRPr="00216965">
        <w:rPr>
          <w:rFonts w:cs="Times New Roman"/>
          <w:bCs/>
          <w:szCs w:val="24"/>
        </w:rPr>
        <w:fldChar w:fldCharType="begin" w:fldLock="1"/>
      </w:r>
      <w:r w:rsidR="008574C0" w:rsidRPr="00216965">
        <w:rPr>
          <w:rFonts w:cs="Times New Roman"/>
          <w:bCs/>
          <w:szCs w:val="24"/>
        </w:rPr>
        <w:instrText>ADDIN CSL_CITATION {"citationItems":[{"id":"ITEM-1","itemData":{"author":[{"dropping-particle":"","family":"Hill","given":"Archibald Vivian","non-dropping-particle":"","parse-names":false,"suffix":""}],"container-title":"The Journal of Physiology","id":"ITEM-1","issued":{"date-parts":[["1910"]]},"page":"iv-vii","title":"The possible effects of the aggregation of the molecules of haemoglobin on its dissociation curves","type":"article-journal","volume":"40"},"uris":["http://www.mendeley.com/documents/?uuid=2df278a3-97e1-4a29-bb63-dab985724f7b"]}],"mendeley":{"formattedCitation":"(Hill, 1910)","plainTextFormattedCitation":"(Hill, 1910)","previouslyFormattedCitation":"(Hill, 1910)"},"properties":{"noteIndex":0},"schema":"https://github.com/citation-style-language/schema/raw/master/csl-citation.json"}</w:instrText>
      </w:r>
      <w:r w:rsidR="008574C0" w:rsidRPr="00216965">
        <w:rPr>
          <w:rFonts w:cs="Times New Roman"/>
          <w:bCs/>
          <w:szCs w:val="24"/>
        </w:rPr>
        <w:fldChar w:fldCharType="separate"/>
      </w:r>
      <w:r w:rsidR="008574C0" w:rsidRPr="00216965">
        <w:rPr>
          <w:rFonts w:cs="Times New Roman"/>
          <w:bCs/>
          <w:noProof/>
          <w:szCs w:val="24"/>
        </w:rPr>
        <w:t>(Hill, 1910)</w:t>
      </w:r>
      <w:r w:rsidR="008574C0" w:rsidRPr="00216965">
        <w:rPr>
          <w:rFonts w:cs="Times New Roman"/>
          <w:bCs/>
          <w:szCs w:val="24"/>
        </w:rPr>
        <w:fldChar w:fldCharType="end"/>
      </w:r>
      <w:r w:rsidR="008574C0" w:rsidRPr="00216965">
        <w:t xml:space="preserve"> presented in </w:t>
      </w:r>
      <w:r w:rsidR="008574C0" w:rsidRPr="00216965">
        <w:fldChar w:fldCharType="begin"/>
      </w:r>
      <w:r w:rsidR="008574C0" w:rsidRPr="00216965">
        <w:instrText xml:space="preserve"> REF _Ref86331757 \h  \* MERGEFORMAT </w:instrText>
      </w:r>
      <w:r w:rsidR="008574C0" w:rsidRPr="00216965">
        <w:fldChar w:fldCharType="separate"/>
      </w:r>
      <w:r w:rsidR="008574C0" w:rsidRPr="00216965">
        <w:rPr>
          <w:b/>
          <w:bCs/>
        </w:rPr>
        <w:t xml:space="preserve">Eq. </w:t>
      </w:r>
      <w:r w:rsidR="008574C0" w:rsidRPr="00216965">
        <w:rPr>
          <w:b/>
          <w:bCs/>
          <w:noProof/>
        </w:rPr>
        <w:t>8</w:t>
      </w:r>
      <w:r w:rsidR="008574C0" w:rsidRPr="00216965">
        <w:fldChar w:fldCharType="end"/>
      </w:r>
      <w:r w:rsidR="008574C0" w:rsidRPr="00216965">
        <w:t xml:space="preserve"> and </w:t>
      </w:r>
      <w:r w:rsidR="008574C0" w:rsidRPr="00216965">
        <w:fldChar w:fldCharType="begin"/>
      </w:r>
      <w:r w:rsidR="008574C0" w:rsidRPr="00216965">
        <w:instrText xml:space="preserve"> REF _Ref86331762 \h  \* MERGEFORMAT </w:instrText>
      </w:r>
      <w:r w:rsidR="008574C0" w:rsidRPr="00216965">
        <w:fldChar w:fldCharType="separate"/>
      </w:r>
      <w:r w:rsidR="008574C0" w:rsidRPr="00216965">
        <w:rPr>
          <w:b/>
          <w:bCs/>
        </w:rPr>
        <w:t xml:space="preserve">Eq. </w:t>
      </w:r>
      <w:r w:rsidR="008574C0" w:rsidRPr="00216965">
        <w:rPr>
          <w:b/>
          <w:bCs/>
          <w:noProof/>
        </w:rPr>
        <w:t>9</w:t>
      </w:r>
      <w:r w:rsidR="008574C0" w:rsidRPr="00216965">
        <w:fldChar w:fldCharType="end"/>
      </w:r>
      <w:r w:rsidR="008574C0" w:rsidRPr="00216965">
        <w:t>, were studied.</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5563EE" w:rsidRPr="00216965" w14:paraId="5D995153" w14:textId="77777777" w:rsidTr="008A33DA">
        <w:tc>
          <w:tcPr>
            <w:tcW w:w="5524" w:type="dxa"/>
          </w:tcPr>
          <w:p w14:paraId="43B8EBB2" w14:textId="77777777" w:rsidR="005563EE" w:rsidRPr="00216965" w:rsidRDefault="00BB30F1" w:rsidP="006D2F0E">
            <w:pPr>
              <w:spacing w:line="360" w:lineRule="auto"/>
              <w:jc w:val="both"/>
            </w:pPr>
            <m:oMathPara>
              <m:oMathParaPr>
                <m:jc m:val="right"/>
              </m:oMathParaPr>
              <m:oMath>
                <m:sSub>
                  <m:sSubPr>
                    <m:ctrlPr>
                      <w:rPr>
                        <w:rFonts w:ascii="Cambria Math" w:hAnsi="Cambria Math"/>
                        <w:b/>
                        <w:bCs/>
                        <w:i/>
                        <w:szCs w:val="24"/>
                      </w:rPr>
                    </m:ctrlPr>
                  </m:sSubPr>
                  <m:e>
                    <m:r>
                      <w:rPr>
                        <w:rFonts w:ascii="Cambria Math" w:hAnsi="Cambria Math"/>
                        <w:szCs w:val="24"/>
                      </w:rPr>
                      <m:t>Q</m:t>
                    </m:r>
                    <m:ctrlPr>
                      <w:rPr>
                        <w:rFonts w:ascii="Cambria Math" w:hAnsi="Cambria Math"/>
                        <w:i/>
                        <w:szCs w:val="24"/>
                      </w:rPr>
                    </m:ctrlPr>
                  </m:e>
                  <m:sub>
                    <m:r>
                      <w:rPr>
                        <w:rFonts w:ascii="Cambria Math" w:hAnsi="Cambria Math"/>
                        <w:szCs w:val="24"/>
                      </w:rPr>
                      <m:t>e</m:t>
                    </m:r>
                  </m:sub>
                </m:sSub>
                <m:r>
                  <w:rPr>
                    <w:rFonts w:ascii="Cambria Math" w:hAnsi="Cambria Math"/>
                    <w:szCs w:val="24"/>
                  </w:rPr>
                  <m:t>=</m:t>
                </m:r>
                <m:sSub>
                  <m:sSubPr>
                    <m:ctrlPr>
                      <w:rPr>
                        <w:rFonts w:ascii="Cambria Math" w:hAnsi="Cambria Math"/>
                        <w:b/>
                        <w:bCs/>
                        <w:i/>
                        <w:szCs w:val="24"/>
                      </w:rPr>
                    </m:ctrlPr>
                  </m:sSubPr>
                  <m:e>
                    <m:r>
                      <w:rPr>
                        <w:rFonts w:ascii="Cambria Math" w:hAnsi="Cambria Math"/>
                        <w:szCs w:val="24"/>
                      </w:rPr>
                      <m:t>q</m:t>
                    </m:r>
                    <m:ctrlPr>
                      <w:rPr>
                        <w:rFonts w:ascii="Cambria Math" w:hAnsi="Cambria Math"/>
                        <w:i/>
                        <w:szCs w:val="24"/>
                      </w:rPr>
                    </m:ctrlPr>
                  </m:e>
                  <m:sub>
                    <m:r>
                      <w:rPr>
                        <w:rFonts w:ascii="Cambria Math" w:hAnsi="Cambria Math"/>
                        <w:szCs w:val="24"/>
                      </w:rPr>
                      <m:t>m</m:t>
                    </m:r>
                  </m:sub>
                </m:sSub>
                <m:r>
                  <m:rPr>
                    <m:sty m:val="p"/>
                  </m:rPr>
                  <w:rPr>
                    <w:rFonts w:ascii="Cambria Math" w:hAnsi="Cambria Math"/>
                    <w:szCs w:val="24"/>
                  </w:rPr>
                  <m:t>ex</m:t>
                </m:r>
                <m:func>
                  <m:funcPr>
                    <m:ctrlPr>
                      <w:rPr>
                        <w:rFonts w:ascii="Cambria Math" w:hAnsi="Cambria Math"/>
                        <w:szCs w:val="24"/>
                      </w:rPr>
                    </m:ctrlPr>
                  </m:funcPr>
                  <m:fName>
                    <m:r>
                      <m:rPr>
                        <m:sty m:val="p"/>
                      </m:rPr>
                      <w:rPr>
                        <w:rFonts w:ascii="Cambria Math" w:hAnsi="Cambria Math"/>
                        <w:szCs w:val="24"/>
                      </w:rPr>
                      <m:t>p</m:t>
                    </m:r>
                  </m:fName>
                  <m:e>
                    <m:d>
                      <m:dPr>
                        <m:begChr m:val="{"/>
                        <m:endChr m:val="}"/>
                        <m:ctrlPr>
                          <w:rPr>
                            <w:rFonts w:ascii="Cambria Math" w:hAnsi="Cambria Math"/>
                            <w:i/>
                            <w:szCs w:val="24"/>
                          </w:rPr>
                        </m:ctrlPr>
                      </m:dPr>
                      <m:e>
                        <m:r>
                          <w:rPr>
                            <w:rFonts w:ascii="Cambria Math" w:hAnsi="Cambria Math"/>
                            <w:szCs w:val="24"/>
                          </w:rPr>
                          <m:t>-β</m:t>
                        </m:r>
                        <m:sSup>
                          <m:sSupPr>
                            <m:ctrlPr>
                              <w:rPr>
                                <w:rFonts w:ascii="Cambria Math" w:hAnsi="Cambria Math"/>
                                <w:i/>
                                <w:szCs w:val="24"/>
                              </w:rPr>
                            </m:ctrlPr>
                          </m:sSupPr>
                          <m:e>
                            <m:d>
                              <m:dPr>
                                <m:begChr m:val="["/>
                                <m:endChr m:val="]"/>
                                <m:ctrlPr>
                                  <w:rPr>
                                    <w:rFonts w:ascii="Cambria Math" w:hAnsi="Cambria Math"/>
                                    <w:i/>
                                    <w:szCs w:val="24"/>
                                  </w:rPr>
                                </m:ctrlPr>
                              </m:dPr>
                              <m:e>
                                <m:r>
                                  <w:rPr>
                                    <w:rFonts w:ascii="Cambria Math" w:hAnsi="Cambria Math"/>
                                    <w:szCs w:val="24"/>
                                  </w:rPr>
                                  <m:t xml:space="preserve">RT ln </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Cs</m:t>
                                        </m:r>
                                      </m:num>
                                      <m:den>
                                        <m:r>
                                          <w:rPr>
                                            <w:rFonts w:ascii="Cambria Math" w:hAnsi="Cambria Math"/>
                                            <w:szCs w:val="24"/>
                                          </w:rPr>
                                          <m:t>Ce</m:t>
                                        </m:r>
                                      </m:den>
                                    </m:f>
                                  </m:e>
                                </m:d>
                              </m:e>
                            </m:d>
                          </m:e>
                          <m:sup>
                            <m:r>
                              <w:rPr>
                                <w:rFonts w:ascii="Cambria Math" w:hAnsi="Cambria Math"/>
                                <w:szCs w:val="24"/>
                              </w:rPr>
                              <m:t>2</m:t>
                            </m:r>
                          </m:sup>
                        </m:sSup>
                      </m:e>
                    </m:d>
                  </m:e>
                </m:func>
              </m:oMath>
            </m:oMathPara>
          </w:p>
        </w:tc>
        <w:tc>
          <w:tcPr>
            <w:tcW w:w="3492" w:type="dxa"/>
          </w:tcPr>
          <w:p w14:paraId="2836E91A" w14:textId="44E18A7B" w:rsidR="005563EE" w:rsidRPr="00216965" w:rsidRDefault="005563EE" w:rsidP="006D2F0E">
            <w:pPr>
              <w:spacing w:line="360" w:lineRule="auto"/>
              <w:jc w:val="both"/>
              <w:rPr>
                <w:b/>
                <w:bCs/>
              </w:rPr>
            </w:pPr>
            <w:bookmarkStart w:id="132" w:name="_Ref86331757"/>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8</w:t>
            </w:r>
            <w:r w:rsidRPr="00216965">
              <w:rPr>
                <w:b/>
                <w:bCs/>
              </w:rPr>
              <w:fldChar w:fldCharType="end"/>
            </w:r>
            <w:bookmarkEnd w:id="132"/>
          </w:p>
        </w:tc>
      </w:tr>
    </w:tbl>
    <w:p w14:paraId="5DD1D6E9" w14:textId="1AA42E8E" w:rsidR="005563EE" w:rsidRPr="00216965" w:rsidRDefault="005563EE" w:rsidP="008A33DA">
      <w:pPr>
        <w:spacing w:line="360" w:lineRule="auto"/>
        <w:jc w:val="both"/>
      </w:pPr>
      <w:r w:rsidRPr="00216965">
        <w:t>Where, β (mol</w:t>
      </w:r>
      <w:r w:rsidRPr="00216965">
        <w:rPr>
          <w:vertAlign w:val="superscript"/>
        </w:rPr>
        <w:t>2</w:t>
      </w:r>
      <w:r w:rsidRPr="00216965">
        <w:t xml:space="preserve"> kJ</w:t>
      </w:r>
      <w:r w:rsidRPr="00216965">
        <w:rPr>
          <w:vertAlign w:val="superscript"/>
        </w:rPr>
        <w:t>−2</w:t>
      </w:r>
      <w:r w:rsidRPr="00216965">
        <w:t xml:space="preserve">) is the Dubinin- Radushkevich constant related to the adsorption energy and </w:t>
      </w:r>
      <w:r w:rsidRPr="00216965">
        <w:rPr>
          <w:i/>
          <w:iCs/>
        </w:rPr>
        <w:t>C</w:t>
      </w:r>
      <w:r w:rsidRPr="00216965">
        <w:rPr>
          <w:i/>
          <w:iCs/>
          <w:vertAlign w:val="subscript"/>
        </w:rPr>
        <w:t>s</w:t>
      </w:r>
      <w:r w:rsidRPr="00216965">
        <w:rPr>
          <w:i/>
          <w:iCs/>
        </w:rPr>
        <w:t xml:space="preserve"> </w:t>
      </w:r>
      <w:r w:rsidRPr="00216965">
        <w:t>(mg.L</w:t>
      </w:r>
      <w:r w:rsidRPr="00216965">
        <w:rPr>
          <w:vertAlign w:val="superscript"/>
        </w:rPr>
        <w:t>-1</w:t>
      </w:r>
      <w:r w:rsidRPr="00216965">
        <w:t xml:space="preserve">) is the solubility of the solute </w:t>
      </w:r>
      <w:r w:rsidRPr="00216965">
        <w:rPr>
          <w:rFonts w:cs="Times New Roman"/>
          <w:szCs w:val="24"/>
        </w:rPr>
        <w:fldChar w:fldCharType="begin" w:fldLock="1"/>
      </w:r>
      <w:r w:rsidR="00F56BD7" w:rsidRPr="00216965">
        <w:rPr>
          <w:rFonts w:cs="Times New Roman"/>
          <w:szCs w:val="24"/>
        </w:rPr>
        <w:instrText>ADDIN CSL_CITATION {"citationItems":[{"id":"ITEM-1","itemData":{"DOI":"10.1016/j.molliq.2019.01.005","ISSN":"01677322","abstract":"The Dubinin–Radushkevich (D–R) isotherm model was frequently applied in adsorption equilibrium studies. However, its mathematical characteristics with respect to the parameter β and the correct calculation of the adsorption potential ε have still not been discussed. In this work, attempts have been made to address these problems. This work indicated that the D–R isotherm model represented three types of the isotherm curves: S-, L- and H-shaped isotherm. The logarithmic term must be dimensionless in the formula of the adsorption potential. A misconception pertaining to the calculation of the adsorption potential in past publications was identified to avoid the repetition of this mistake in future publications. The author hopes that this work will help readers to better understand the D–R isotherm model.","author":[{"dropping-particle":"","family":"Hu","given":"Qili","non-dropping-particle":"","parse-names":false,"suffix":""},{"dropping-particle":"","family":"Zhang","given":"Zhenya","non-dropping-particle":"","parse-names":false,"suffix":""}],"container-title":"Journal of Molecular Liquids","id":"ITEM-1","issued":{"date-parts":[["2019","3","1"]]},"page":"646-648","publisher":"Elsevier B.V.","title":"Application of Dubinin–Radushkevich isotherm model at the solid/solution interface: A theoretical analysis","type":"article-journal","volume":"277"},"uris":["http://www.mendeley.com/documents/?uuid=dbb2baf2-87d1-3346-94e8-8e4b72146bcb"]}],"mendeley":{"formattedCitation":"(Hu and Zhang, 2019)","plainTextFormattedCitation":"(Hu and Zhang, 2019)","previouslyFormattedCitation":"(Hu and Zhang, 2019)"},"properties":{"noteIndex":0},"schema":"https://github.com/citation-style-language/schema/raw/master/csl-citation.json"}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(Hu and Zhang, 2019)</w:t>
      </w:r>
      <w:r w:rsidRPr="00216965">
        <w:rPr>
          <w:rFonts w:cs="Times New Roman"/>
          <w:szCs w:val="24"/>
        </w:rPr>
        <w:fldChar w:fldCharType="end"/>
      </w:r>
      <w:r w:rsidRPr="00216965">
        <w:t>.</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771"/>
      </w:tblGrid>
      <w:tr w:rsidR="005563EE" w:rsidRPr="00216965" w14:paraId="3A93B4F1" w14:textId="77777777" w:rsidTr="008A33DA">
        <w:tc>
          <w:tcPr>
            <w:tcW w:w="5245" w:type="dxa"/>
          </w:tcPr>
          <w:p w14:paraId="562E88DA" w14:textId="77777777" w:rsidR="005563EE" w:rsidRPr="00216965" w:rsidRDefault="00BB30F1" w:rsidP="006D2F0E">
            <w:pPr>
              <w:spacing w:line="360" w:lineRule="auto"/>
              <w:jc w:val="both"/>
            </w:pPr>
            <m:oMathPara>
              <m:oMathParaPr>
                <m:jc m:val="right"/>
              </m:oMathParaPr>
              <m:oMath>
                <m:sSub>
                  <m:sSubPr>
                    <m:ctrlPr>
                      <w:rPr>
                        <w:rFonts w:ascii="Cambria Math" w:hAnsi="Cambria Math"/>
                        <w:b/>
                        <w:bCs/>
                        <w:i/>
                        <w:szCs w:val="24"/>
                      </w:rPr>
                    </m:ctrlPr>
                  </m:sSubPr>
                  <m:e>
                    <m:r>
                      <w:rPr>
                        <w:rFonts w:ascii="Cambria Math" w:hAnsi="Cambria Math"/>
                        <w:szCs w:val="24"/>
                      </w:rPr>
                      <m:t>Q</m:t>
                    </m:r>
                  </m:e>
                  <m:sub>
                    <m:r>
                      <w:rPr>
                        <w:rFonts w:ascii="Cambria Math" w:hAnsi="Cambria Math"/>
                        <w:szCs w:val="24"/>
                      </w:rPr>
                      <m:t>e</m:t>
                    </m:r>
                  </m:sub>
                </m:sSub>
                <m:r>
                  <w:rPr>
                    <w:rFonts w:ascii="Cambria Math" w:hAnsi="Cambria Math"/>
                    <w:szCs w:val="24"/>
                  </w:rPr>
                  <m:t>=</m:t>
                </m:r>
                <m:sSub>
                  <m:sSubPr>
                    <m:ctrlPr>
                      <w:rPr>
                        <w:rFonts w:ascii="Cambria Math" w:hAnsi="Cambria Math"/>
                        <w:b/>
                        <w:bCs/>
                        <w:i/>
                        <w:szCs w:val="24"/>
                      </w:rPr>
                    </m:ctrlPr>
                  </m:sSubPr>
                  <m:e>
                    <m:r>
                      <w:rPr>
                        <w:rFonts w:ascii="Cambria Math" w:hAnsi="Cambria Math"/>
                        <w:szCs w:val="24"/>
                      </w:rPr>
                      <m:t>q</m:t>
                    </m:r>
                  </m:e>
                  <m:sub>
                    <m:r>
                      <w:rPr>
                        <w:rFonts w:ascii="Cambria Math" w:hAnsi="Cambria Math"/>
                        <w:szCs w:val="24"/>
                      </w:rPr>
                      <m:t>m</m:t>
                    </m:r>
                  </m:sub>
                </m:sSub>
                <m:f>
                  <m:fPr>
                    <m:ctrlPr>
                      <w:rPr>
                        <w:rFonts w:ascii="Cambria Math" w:hAnsi="Cambria Math"/>
                        <w:b/>
                        <w:bCs/>
                        <w:i/>
                        <w:szCs w:val="24"/>
                      </w:rPr>
                    </m:ctrlPr>
                  </m:fPr>
                  <m:num>
                    <m:sSubSup>
                      <m:sSubSupPr>
                        <m:ctrlPr>
                          <w:rPr>
                            <w:rFonts w:ascii="Cambria Math" w:hAnsi="Cambria Math"/>
                            <w:b/>
                            <w:bCs/>
                            <w:i/>
                            <w:szCs w:val="24"/>
                          </w:rPr>
                        </m:ctrlPr>
                      </m:sSubSupPr>
                      <m:e>
                        <m:r>
                          <w:rPr>
                            <w:rFonts w:ascii="Cambria Math" w:hAnsi="Cambria Math"/>
                            <w:szCs w:val="24"/>
                          </w:rPr>
                          <m:t>C</m:t>
                        </m:r>
                      </m:e>
                      <m:sub>
                        <m:r>
                          <w:rPr>
                            <w:rFonts w:ascii="Cambria Math" w:hAnsi="Cambria Math"/>
                            <w:szCs w:val="24"/>
                          </w:rPr>
                          <m:t>e</m:t>
                        </m:r>
                      </m:sub>
                      <m:sup>
                        <m:r>
                          <w:rPr>
                            <w:rFonts w:ascii="Cambria Math" w:hAnsi="Cambria Math"/>
                            <w:szCs w:val="24"/>
                          </w:rPr>
                          <m:t>n</m:t>
                        </m:r>
                      </m:sup>
                    </m:sSubSup>
                  </m:num>
                  <m:den>
                    <m:sSub>
                      <m:sSubPr>
                        <m:ctrlPr>
                          <w:rPr>
                            <w:rFonts w:ascii="Cambria Math" w:hAnsi="Cambria Math"/>
                            <w:b/>
                            <w:bCs/>
                            <w:i/>
                            <w:szCs w:val="24"/>
                          </w:rPr>
                        </m:ctrlPr>
                      </m:sSubPr>
                      <m:e>
                        <m:r>
                          <w:rPr>
                            <w:rFonts w:ascii="Cambria Math" w:hAnsi="Cambria Math"/>
                            <w:szCs w:val="24"/>
                          </w:rPr>
                          <m:t>K</m:t>
                        </m:r>
                      </m:e>
                      <m:sub>
                        <m:r>
                          <w:rPr>
                            <w:rFonts w:ascii="Cambria Math" w:hAnsi="Cambria Math"/>
                            <w:szCs w:val="24"/>
                          </w:rPr>
                          <m:t>H</m:t>
                        </m:r>
                      </m:sub>
                    </m:sSub>
                    <m:r>
                      <w:rPr>
                        <w:rFonts w:ascii="Cambria Math" w:hAnsi="Cambria Math"/>
                        <w:szCs w:val="24"/>
                      </w:rPr>
                      <m:t>+</m:t>
                    </m:r>
                    <m:sSubSup>
                      <m:sSubSupPr>
                        <m:ctrlPr>
                          <w:rPr>
                            <w:rFonts w:ascii="Cambria Math" w:hAnsi="Cambria Math"/>
                            <w:b/>
                            <w:bCs/>
                            <w:i/>
                            <w:szCs w:val="24"/>
                          </w:rPr>
                        </m:ctrlPr>
                      </m:sSubSupPr>
                      <m:e>
                        <m:r>
                          <w:rPr>
                            <w:rFonts w:ascii="Cambria Math" w:hAnsi="Cambria Math"/>
                            <w:szCs w:val="24"/>
                          </w:rPr>
                          <m:t>C</m:t>
                        </m:r>
                      </m:e>
                      <m:sub>
                        <m:r>
                          <w:rPr>
                            <w:rFonts w:ascii="Cambria Math" w:hAnsi="Cambria Math"/>
                            <w:szCs w:val="24"/>
                          </w:rPr>
                          <m:t>e</m:t>
                        </m:r>
                      </m:sub>
                      <m:sup>
                        <m:r>
                          <w:rPr>
                            <w:rFonts w:ascii="Cambria Math" w:hAnsi="Cambria Math"/>
                            <w:szCs w:val="24"/>
                          </w:rPr>
                          <m:t>n</m:t>
                        </m:r>
                      </m:sup>
                    </m:sSubSup>
                  </m:den>
                </m:f>
              </m:oMath>
            </m:oMathPara>
          </w:p>
        </w:tc>
        <w:tc>
          <w:tcPr>
            <w:tcW w:w="3771" w:type="dxa"/>
          </w:tcPr>
          <w:p w14:paraId="5244F5BA" w14:textId="062C290C" w:rsidR="005563EE" w:rsidRPr="00216965" w:rsidRDefault="005563EE" w:rsidP="006D2F0E">
            <w:pPr>
              <w:spacing w:line="360" w:lineRule="auto"/>
              <w:jc w:val="both"/>
              <w:rPr>
                <w:b/>
                <w:bCs/>
              </w:rPr>
            </w:pPr>
            <w:bookmarkStart w:id="133" w:name="_Ref86331762"/>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9</w:t>
            </w:r>
            <w:r w:rsidRPr="00216965">
              <w:rPr>
                <w:b/>
                <w:bCs/>
              </w:rPr>
              <w:fldChar w:fldCharType="end"/>
            </w:r>
            <w:bookmarkEnd w:id="133"/>
          </w:p>
        </w:tc>
      </w:tr>
    </w:tbl>
    <w:p w14:paraId="4F914942" w14:textId="6ED42E88" w:rsidR="005563EE" w:rsidRPr="00216965" w:rsidRDefault="005563EE" w:rsidP="008A33DA">
      <w:pPr>
        <w:spacing w:line="360" w:lineRule="auto"/>
        <w:jc w:val="both"/>
      </w:pPr>
      <w:r w:rsidRPr="00216965">
        <w:lastRenderedPageBreak/>
        <w:t xml:space="preserve">Where, </w:t>
      </w:r>
      <w:r w:rsidRPr="00216965">
        <w:rPr>
          <w:i/>
          <w:iCs/>
        </w:rPr>
        <w:t>K</w:t>
      </w:r>
      <w:r w:rsidRPr="00216965">
        <w:rPr>
          <w:i/>
          <w:iCs/>
          <w:vertAlign w:val="subscript"/>
        </w:rPr>
        <w:t>H</w:t>
      </w:r>
      <w:r w:rsidRPr="00216965">
        <w:t xml:space="preserve"> (mg.L</w:t>
      </w:r>
      <w:r w:rsidRPr="00216965">
        <w:rPr>
          <w:vertAlign w:val="superscript"/>
        </w:rPr>
        <w:t>-1</w:t>
      </w:r>
      <w:r w:rsidRPr="00216965">
        <w:t xml:space="preserve">) is the Hill constant that represents the concentration for which </w:t>
      </w:r>
      <w:r w:rsidRPr="00C62FFD">
        <w:rPr>
          <w:i/>
          <w:iCs/>
        </w:rPr>
        <w:t>Q</w:t>
      </w:r>
      <w:r w:rsidRPr="00C62FFD">
        <w:rPr>
          <w:i/>
          <w:iCs/>
          <w:vertAlign w:val="subscript"/>
        </w:rPr>
        <w:t>e</w:t>
      </w:r>
      <w:r w:rsidRPr="00216965">
        <w:t xml:space="preserve"> is equal to 0.5 </w:t>
      </w:r>
      <w:r w:rsidRPr="00216965">
        <w:rPr>
          <w:i/>
          <w:iCs/>
        </w:rPr>
        <w:t>q</w:t>
      </w:r>
      <w:r w:rsidRPr="00216965">
        <w:rPr>
          <w:i/>
          <w:iCs/>
          <w:vertAlign w:val="subscript"/>
        </w:rPr>
        <w:t>m</w:t>
      </w:r>
      <w:r w:rsidRPr="00216965">
        <w:t xml:space="preserve"> (hence an expression of affinity and/or sensitivity of the system </w:t>
      </w:r>
      <w:r w:rsidRPr="00216965">
        <w:rPr>
          <w:bCs/>
          <w:szCs w:val="24"/>
        </w:rPr>
        <w:fldChar w:fldCharType="begin" w:fldLock="1"/>
      </w:r>
      <w:r w:rsidR="006C06AA" w:rsidRPr="00216965">
        <w:rPr>
          <w:bCs/>
          <w:szCs w:val="24"/>
        </w:rPr>
        <w:instrText>ADDIN CSL_CITATION {"citationItems":[{"id":"ITEM-1","itemData":{"DOI":"10.1111/j.1472-8206.2008.00633.x","ISSN":"14728206","abstract":"The Hill equation was first introduced by A.V. Hill to describe the equilibrium relationship between oxygen tension and the saturation of haemoglobin. In pharmacology, the Hill equation has been extensively used to analyse quantitative drug-receptor relationships. Many pharmacokinetic- pharmacodynamic models have used the Hill equation to describe nonlinear drug dose-response relationships. Although the Hill equation is widely used, its many properties are not all well known. This article aims at reviewing the various properties of the Hill equation. The descriptive aspects of the Hill equation, in particular mathematical and graphical properties, are examined, and related to Hill's original work. The mechanistic aspect of the Hill equation, involving a strong connection with the Guldberg and Waage law of mass action, is also described. Finally, a probabilistic view of the Hill equation is examined. Here, we provide some new calculation results, such as Fisher information and Shannon entropy, and we introduce multivariate probabilistic Hill equations. The main features and potential applications of this probabilistic approach are also discussed. Thus, within the same formalism, the Hill equation has many different properties which can be of great interest for those interested in mathematical modelling in pharmacology and biosciences. © 2008 The Authors.","author":[{"dropping-particle":"","family":"Goutelle","given":"Sylvain","non-dropping-particle":"","parse-names":false,"suffix":""},{"dropping-particle":"","family":"Maurin","given":"Michel","non-dropping-particle":"","parse-names":false,"suffix":""},{"dropping-particle":"","family":"Rougier","given":"Florent","non-dropping-particle":"","parse-names":false,"suffix":""},{"dropping-particle":"","family":"Barbaut","given":"Xavier","non-dropping-particle":"","parse-names":false,"suffix":""},{"dropping-particle":"","family":"Bourguignon","given":"Laurent","non-dropping-particle":"","parse-names":false,"suffix":""},{"dropping-particle":"","family":"Ducher","given":"Michel","non-dropping-particle":"","parse-names":false,"suffix":""},{"dropping-particle":"","family":"Maire","given":"Pascal","non-dropping-particle":"","parse-names":false,"suffix":""}],"container-title":"Fundamental and Clinical Pharmacology","id":"ITEM-1","issue":"6","issued":{"date-parts":[["2008"]]},"page":"633-648","title":"The Hill equation: A review of its capabilities in pharmacological modelling","type":"article-journal","volume":"22"},"uris":["http://www.mendeley.com/documents/?uuid=58141c5b-668f-44fa-b30e-7b100f6ff584"]}],"mendeley":{"formattedCitation":"(Goutelle et al., 2008)","plainTextFormattedCitation":"(Goutelle et al., 2008)","previouslyFormattedCitation":"(Goutelle et al., 2008)"},"properties":{"noteIndex":0},"schema":"https://github.com/citation-style-language/schema/raw/master/csl-citation.json"}</w:instrText>
      </w:r>
      <w:r w:rsidRPr="00216965">
        <w:rPr>
          <w:bCs/>
          <w:szCs w:val="24"/>
        </w:rPr>
        <w:fldChar w:fldCharType="separate"/>
      </w:r>
      <w:r w:rsidR="00C83E62" w:rsidRPr="00216965">
        <w:rPr>
          <w:bCs/>
          <w:noProof/>
          <w:szCs w:val="24"/>
        </w:rPr>
        <w:t>(Goutelle et al., 2008)</w:t>
      </w:r>
      <w:r w:rsidRPr="00216965">
        <w:rPr>
          <w:bCs/>
          <w:szCs w:val="24"/>
        </w:rPr>
        <w:fldChar w:fldCharType="end"/>
      </w:r>
      <w:r w:rsidRPr="00216965">
        <w:t xml:space="preserve"> and </w:t>
      </w:r>
      <w:r w:rsidRPr="00216965">
        <w:rPr>
          <w:i/>
          <w:iCs/>
        </w:rPr>
        <w:t>n</w:t>
      </w:r>
      <w:r w:rsidRPr="00216965">
        <w:t xml:space="preserve"> (dimensionless) is the Hill coefficient of sigmoidicity which is related to the degree of cooperation between binding sites </w:t>
      </w:r>
      <w:r w:rsidRPr="00216965">
        <w:rPr>
          <w:bCs/>
          <w:szCs w:val="24"/>
        </w:rPr>
        <w:fldChar w:fldCharType="begin" w:fldLock="1"/>
      </w:r>
      <w:r w:rsidR="006C06AA" w:rsidRPr="00216965">
        <w:rPr>
          <w:bCs/>
          <w:szCs w:val="24"/>
        </w:rPr>
        <w:instrText>ADDIN CSL_CITATION {"citationItems":[{"id":"ITEM-1","itemData":{"DOI":"10.1039/c5ra15201a","ISSN":"20462069","abstract":"Ambient temperature adsorption isotherms have been determined for methyl tert-butyl ether (MTBE) in aqueous solutions on high silica ZSM-5 and Y zeolites which differ from each other in framework topology and pore window apertures. The comparison of their adsorption properties was performed to evaluate the importance of the competitive interference of water with pore size. The adsorption Henry's constants for MTBE decrease with an increase in the zeolite pore size, indicating that confinement of the adsorbate in the zeolite pores is a driving force for adsorption. On the contrary, the saturation capacity increases with an increase in the adsorbent pore size (i.e. about 95 and 250 mg g-1 for ZSM-5 and Y, respectively). These data were confirmed from Rietveld refinement, that clearly revealed the incorporation of about 8 and 32 MTBE molecules per ZSM-5 and Y unit cell respectively. X-ray diffraction and IR spectroscopy indicate that significant clustering of the guest molecules (i.e. water and MTBE) occurs in the two investigated zeolites during adsorption from both the liquid and gas phase. The clusters originate from hydrogen bonding between MTBE and water molecules and their interaction with zeolite lead to framework flexibility for both zeolites. However, the framework deformation in Y is more evident than in ZSM-5 and occurs with a change of the real symmetry. These findings could have an impact on the adsorption, separation and catalytic use of zeolites for oxygenate compounds.","author":[{"dropping-particle":"","family":"Martucci","given":"A.","non-dropping-particle":"","parse-names":false,"suffix":""},{"dropping-particle":"","family":"Braschi","given":"I.","non-dropping-particle":"","parse-names":false,"suffix":""},{"dropping-particle":"","family":"Bisio","given":"C.","non-dropping-particle":"","parse-names":false,"suffix":""},{"dropping-particle":"","family":"Sarti","given":"E.","non-dropping-particle":"","parse-names":false,"suffix":""},{"dropping-particle":"","family":"Rodeghero","given":"E.","non-dropping-particle":"","parse-names":false,"suffix":""},{"dropping-particle":"","family":"Bagatin","given":"R.","non-dropping-particle":"","parse-names":false,"suffix":""},{"dropping-particle":"","family":"Pasti","given":"L.","non-dropping-particle":"","parse-names":false,"suffix":""}],"container-title":"RSC Advances","id":"ITEM-1","issue":"106","issued":{"date-parts":[["2015"]]},"page":"86997-87006","publisher":"Royal Society of Chemistry","title":"Influence of water on the retention of methyl tertiary-butyl ether by high silica ZSM-5 and y zeolites: A multidisciplinary study on the adsorption from liquid and gas phase","type":"article-journal","volume":"5"},"uris":["http://www.mendeley.com/documents/?uuid=a8ff2383-15c1-483b-8880-de067d807663"]}],"mendeley":{"formattedCitation":"(Martucci et al., 2015)","plainTextFormattedCitation":"(Martucci et al., 2015)","previouslyFormattedCitation":"(Martucci et al., 2015)"},"properties":{"noteIndex":0},"schema":"https://github.com/citation-style-language/schema/raw/master/csl-citation.json"}</w:instrText>
      </w:r>
      <w:r w:rsidRPr="00216965">
        <w:rPr>
          <w:bCs/>
          <w:szCs w:val="24"/>
        </w:rPr>
        <w:fldChar w:fldCharType="separate"/>
      </w:r>
      <w:r w:rsidR="00C83E62" w:rsidRPr="00216965">
        <w:rPr>
          <w:bCs/>
          <w:noProof/>
          <w:szCs w:val="24"/>
        </w:rPr>
        <w:t>(Martucci et al., 2015)</w:t>
      </w:r>
      <w:r w:rsidRPr="00216965">
        <w:rPr>
          <w:bCs/>
          <w:szCs w:val="24"/>
        </w:rPr>
        <w:fldChar w:fldCharType="end"/>
      </w:r>
      <w:r w:rsidRPr="00216965">
        <w:t>.</w:t>
      </w:r>
    </w:p>
    <w:p w14:paraId="13B43C4D" w14:textId="77777777" w:rsidR="005563EE" w:rsidRPr="00216965" w:rsidRDefault="005563EE" w:rsidP="008A33DA">
      <w:pPr>
        <w:spacing w:line="360" w:lineRule="auto"/>
        <w:jc w:val="both"/>
      </w:pPr>
      <w:r w:rsidRPr="00216965">
        <w:t xml:space="preserve"> Biochar SWP550 was excluded from the model fitting as it showed little HM sorption (data not shown), possibly due to a low CEC. Instead the maximum sorption capacity determined experimentally was used for comparison. </w:t>
      </w:r>
    </w:p>
    <w:p w14:paraId="047A08DA" w14:textId="77777777" w:rsidR="005563EE" w:rsidRPr="00216965" w:rsidRDefault="005563EE" w:rsidP="008A33DA">
      <w:pPr>
        <w:pStyle w:val="Heading3"/>
      </w:pPr>
      <w:bookmarkStart w:id="134" w:name="_Toc86504651"/>
      <w:r w:rsidRPr="00216965">
        <w:t>Statistical analysis</w:t>
      </w:r>
      <w:bookmarkEnd w:id="134"/>
    </w:p>
    <w:p w14:paraId="58B2537C" w14:textId="3927B3FA" w:rsidR="005563EE" w:rsidRPr="00216965" w:rsidRDefault="005563EE" w:rsidP="008A33DA">
      <w:pPr>
        <w:spacing w:line="360" w:lineRule="auto"/>
        <w:jc w:val="both"/>
      </w:pPr>
      <w:r w:rsidRPr="00216965">
        <w:t xml:space="preserve">The data was analysed using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 xml:space="preserve">. Differences in BET, CEC and pore volume were analysed using linear regression followed by </w:t>
      </w:r>
      <w:r w:rsidR="000134E8" w:rsidRPr="00216965">
        <w:t>one-way</w:t>
      </w:r>
      <w:r w:rsidRPr="00216965">
        <w:t xml:space="preserve"> ANOVA. Differences in sorption capacities due to the contact time (kinetic study) and pH, were analysed by using linear regression followed by </w:t>
      </w:r>
      <w:r w:rsidR="00F76BA6" w:rsidRPr="00216965">
        <w:t xml:space="preserve">two-way </w:t>
      </w:r>
      <w:r w:rsidRPr="00216965">
        <w:t>ANOVA. Tukey's honestly significant difference (HSD) post hoc test was used to determine significant differences among groups in the before mentioned analysis.</w:t>
      </w:r>
    </w:p>
    <w:p w14:paraId="1678DF52" w14:textId="77777777" w:rsidR="008574C0" w:rsidRPr="00216965" w:rsidRDefault="005563EE" w:rsidP="008A33DA">
      <w:pPr>
        <w:spacing w:line="360" w:lineRule="auto"/>
        <w:jc w:val="both"/>
      </w:pPr>
      <w:r w:rsidRPr="00216965">
        <w:t xml:space="preserve">In order to determine statistical differences in the parameters obtained from nonlinear model fitting (kinetics and Hill isotherm), data were subset by element. Two non-linear regressions for each of the respective equations (second order kinetic model and Hill equation) were performed using biochar type as the grouping variable; the first non-linear regression allowed the fitted model parameters to be different for each biochar (model 1) while in the second non-linear regression the parameters were set to be the same for all biochars (model 2), as recommended by </w:t>
      </w:r>
      <w:r w:rsidRPr="00216965">
        <w:rPr>
          <w:rFonts w:cs="Times New Roman"/>
          <w:szCs w:val="24"/>
        </w:rPr>
        <w:fldChar w:fldCharType="begin" w:fldLock="1"/>
      </w:r>
      <w:r w:rsidR="00F56BD7" w:rsidRPr="00216965">
        <w:rPr>
          <w:rFonts w:cs="Times New Roman"/>
          <w:szCs w:val="24"/>
        </w:rPr>
        <w:instrText>ADDIN CSL_CITATION {"citationItems":[{"id":"ITEM-1","itemData":{"DOI":"10.18637/jss.v029.b06","ISBN":"9780387096155","ISSN":"1548-7660","abstract":"The more commonly known statistical procedures, such as the t-test, analysis of variance, or chi-squared test, can handle only one dependent variable (DV) at a time. Two types of problems can arise when there is more than one DV: 1. a greater probability of erroneously concluding that there is a significant difference between the groups when in fact there is none (a Type I error); and 2. failure to detect differences between the groups in terms of the patterns of DVs (a Type II error). Multivariate statistics are designed to overcome both of these problems. However, there are costs associated with these benefits, such as increased complexity, decreased power, multiple ways of answering the same question, and ambiguity in the allocation of shared variance. This is the first of a series of articles on multivariate statistical tests which will address these issues and explain their possible uses.","author":[{"dropping-particle":"","family":"Ritz","given":"Christian","non-dropping-particle":"","parse-names":false,"suffix":""},{"dropping-particle":"","family":"Streibig","given":"Jens Carl","non-dropping-particle":"","parse-names":false,"suffix":""}],"container-title":"Journal of Statistical Software","id":"ITEM-1","issue":"Book Review 6","issued":{"date-parts":[["2009"]]},"title":"Nonlinear Regression with R","type":"book","volume":"29"},"uris":["http://www.mendeley.com/documents/?uuid=b9aa4b71-84a2-40e6-8ffe-b0335d673157"]}],"mendeley":{"formattedCitation":"(Ritz and Streibig, 2009)","manualFormatting":"Ritz and Streibig (2009)","plainTextFormattedCitation":"(Ritz and Streibig, 2009)","previouslyFormattedCitation":"(Ritz and Streibig, 2009)"},"properties":{"noteIndex":0},"schema":"https://github.com/citation-style-language/schema/raw/master/csl-citation.json"}</w:instrText>
      </w:r>
      <w:r w:rsidRPr="00216965">
        <w:rPr>
          <w:rFonts w:cs="Times New Roman"/>
          <w:szCs w:val="24"/>
        </w:rPr>
        <w:fldChar w:fldCharType="separate"/>
      </w:r>
      <w:r w:rsidRPr="00216965">
        <w:rPr>
          <w:rFonts w:cs="Times New Roman"/>
          <w:noProof/>
          <w:szCs w:val="24"/>
        </w:rPr>
        <w:t>Ritz and Streibig (2009)</w:t>
      </w:r>
      <w:r w:rsidRPr="00216965">
        <w:rPr>
          <w:rFonts w:cs="Times New Roman"/>
          <w:szCs w:val="24"/>
        </w:rPr>
        <w:fldChar w:fldCharType="end"/>
      </w:r>
      <w:r w:rsidRPr="00216965">
        <w:t xml:space="preserve">. </w:t>
      </w:r>
    </w:p>
    <w:p w14:paraId="4C39900B" w14:textId="29438514" w:rsidR="005563EE" w:rsidRPr="00216965" w:rsidRDefault="005563EE" w:rsidP="008A33DA">
      <w:pPr>
        <w:spacing w:line="360" w:lineRule="auto"/>
        <w:jc w:val="both"/>
      </w:pPr>
      <w:r w:rsidRPr="00216965">
        <w:t xml:space="preserve">Thereafter a </w:t>
      </w:r>
      <w:r w:rsidR="000134E8" w:rsidRPr="00216965">
        <w:t xml:space="preserve">one-way </w:t>
      </w:r>
      <w:r w:rsidRPr="00216965">
        <w:t xml:space="preserve">ANOVA comparing model 1 against model 2 was conducted as a pairwise comparison between biochars for each of the fitted parameters to establish significant differences between biochars. The raw data and the coding (R script) for fitting the Hill and Langmuir adsorption isotherm models as well as the code to analyse statistical differences in the parameters derived from the Hill model between biochars can be accessed at </w:t>
      </w:r>
      <w:r w:rsidR="00CF3C22" w:rsidRPr="00216965">
        <w:fldChar w:fldCharType="begin" w:fldLock="1"/>
      </w:r>
      <w:r w:rsidR="008E0CEC" w:rsidRPr="00216965">
        <w:instrText>ADDIN CSL_CITATION {"citationItems":[{"id":"ITEM-1","itemData":{"DOI":"10.17632/WK8M4T64DH.1","author":[{"dropping-particle":"","family":"Soria P.","given":"Rosa Isabel","non-dropping-particle":"","parse-names":false,"suffix":""},{"dropping-particle":"","family":"Rolfe","given":"Stephen","non-dropping-particle":"","parse-names":false,"suffix":""},{"dropping-particle":"","family":"Pazmiño Betancourth","given":"Mauro","non-dropping-particle":"","parse-names":false,"suffix":""},{"dropping-particle":"","family":"Thornton","given":"Steven F.","non-dropping-particle":"","parse-names":false,"suffix":""}],"id":"ITEM-1","issued":{"date-parts":[["2020"]]},"publisher":"Mendeley","title":"Dataset: The relationship between properties of plant-based biochars and sorption of Cd(II), Pb(II) and Zn(II) in soil model systems","type":"article"},"uris":["http://www.mendeley.com/documents/?uuid=2108cc51-1f5e-3ccd-b2a8-7400daf9059f"]}],"mendeley":{"formattedCitation":"(Soria P. et al., 2020)","plainTextFormattedCitation":"(Soria P. et al., 2020)","previouslyFormattedCitation":"(Soria P. et al., 2020)"},"properties":{"noteIndex":0},"schema":"https://github.com/citation-style-language/schema/raw/master/csl-citation.json"}</w:instrText>
      </w:r>
      <w:r w:rsidR="00CF3C22" w:rsidRPr="00216965">
        <w:fldChar w:fldCharType="separate"/>
      </w:r>
      <w:r w:rsidR="00CF3C22" w:rsidRPr="00216965">
        <w:rPr>
          <w:noProof/>
        </w:rPr>
        <w:t>(Soria P. et al., 2020)</w:t>
      </w:r>
      <w:r w:rsidR="00CF3C22" w:rsidRPr="00216965">
        <w:fldChar w:fldCharType="end"/>
      </w:r>
      <w:r w:rsidRPr="00216965">
        <w:t xml:space="preserve">.  </w:t>
      </w:r>
    </w:p>
    <w:p w14:paraId="5757C139" w14:textId="77777777" w:rsidR="005563EE" w:rsidRPr="00216965" w:rsidRDefault="005563EE" w:rsidP="008A33DA">
      <w:pPr>
        <w:pStyle w:val="Heading4"/>
      </w:pPr>
      <w:bookmarkStart w:id="135" w:name="_Ref86492840"/>
      <w:r w:rsidRPr="00216965">
        <w:t>Correlation analysis</w:t>
      </w:r>
      <w:bookmarkEnd w:id="135"/>
    </w:p>
    <w:p w14:paraId="5C9C8FA2" w14:textId="0ACE192A" w:rsidR="005563EE" w:rsidRPr="00216965" w:rsidRDefault="005563EE" w:rsidP="008A33DA">
      <w:pPr>
        <w:spacing w:line="360" w:lineRule="auto"/>
        <w:jc w:val="both"/>
      </w:pPr>
      <w:r w:rsidRPr="00216965">
        <w:t>A Pearson correlation analysis was conducted to understand the relationship between biochar maximum sorption capacities (</w:t>
      </w:r>
      <w:r w:rsidRPr="00216965">
        <w:rPr>
          <w:i/>
          <w:iCs/>
        </w:rPr>
        <w:t>q</w:t>
      </w:r>
      <w:r w:rsidRPr="00216965">
        <w:rPr>
          <w:i/>
          <w:iCs/>
          <w:vertAlign w:val="subscript"/>
        </w:rPr>
        <w:t>m</w:t>
      </w:r>
      <w:r w:rsidRPr="00216965">
        <w:t xml:space="preserve">) for Cd, Pb and Zn and biochar physical and chemical properties. The </w:t>
      </w:r>
      <w:r w:rsidRPr="00216965">
        <w:rPr>
          <w:i/>
          <w:iCs/>
        </w:rPr>
        <w:t>q</w:t>
      </w:r>
      <w:r w:rsidRPr="00216965">
        <w:rPr>
          <w:i/>
          <w:iCs/>
          <w:vertAlign w:val="subscript"/>
        </w:rPr>
        <w:t>m</w:t>
      </w:r>
      <w:r w:rsidRPr="00216965">
        <w:t xml:space="preserve"> (mg.g</w:t>
      </w:r>
      <w:r w:rsidRPr="00216965">
        <w:rPr>
          <w:vertAlign w:val="superscript"/>
        </w:rPr>
        <w:t>-1</w:t>
      </w:r>
      <w:r w:rsidRPr="00216965">
        <w:t xml:space="preserve">) values were derived from the Hill isotherm; however in the case of </w:t>
      </w:r>
      <w:r w:rsidRPr="00216965">
        <w:lastRenderedPageBreak/>
        <w:t>SWP550 the highest experimentally-determined sorption capacity was used. The biochar properties used in the analysis were CEC [cmol.kg</w:t>
      </w:r>
      <w:r w:rsidRPr="00216965">
        <w:rPr>
          <w:vertAlign w:val="superscript"/>
        </w:rPr>
        <w:t>-1</w:t>
      </w:r>
      <w:r w:rsidRPr="00216965">
        <w:t>], BET [m</w:t>
      </w:r>
      <w:r w:rsidRPr="00216965">
        <w:rPr>
          <w:vertAlign w:val="superscript"/>
        </w:rPr>
        <w:t>2</w:t>
      </w:r>
      <w:r w:rsidRPr="00216965">
        <w:t>.g</w:t>
      </w:r>
      <w:r w:rsidRPr="00216965">
        <w:rPr>
          <w:vertAlign w:val="superscript"/>
        </w:rPr>
        <w:t>-1</w:t>
      </w:r>
      <w:r w:rsidRPr="00216965">
        <w:t xml:space="preserve">], </w:t>
      </w:r>
      <w:r w:rsidR="008563DC" w:rsidRPr="00216965">
        <w:t xml:space="preserve"> </w:t>
      </w:r>
      <w:r w:rsidRPr="00216965">
        <w:t>total pore</w:t>
      </w:r>
      <w:r w:rsidR="008563DC" w:rsidRPr="00216965">
        <w:t xml:space="preserve">  </w:t>
      </w:r>
      <w:r w:rsidRPr="00216965">
        <w:t xml:space="preserve"> volume </w:t>
      </w:r>
      <w:r w:rsidR="008563DC" w:rsidRPr="00216965">
        <w:t xml:space="preserve"> </w:t>
      </w:r>
      <w:r w:rsidRPr="00216965">
        <w:t xml:space="preserve"> [cm</w:t>
      </w:r>
      <w:r w:rsidRPr="00216965">
        <w:rPr>
          <w:vertAlign w:val="superscript"/>
        </w:rPr>
        <w:t>3</w:t>
      </w:r>
      <w:r w:rsidRPr="00216965">
        <w:t>.g</w:t>
      </w:r>
      <w:r w:rsidRPr="00216965">
        <w:rPr>
          <w:vertAlign w:val="superscript"/>
        </w:rPr>
        <w:t>-1</w:t>
      </w:r>
      <w:r w:rsidRPr="00216965">
        <w:t>], total K [wt%], total P [wt%], total N [wt%], EC [dS.m</w:t>
      </w:r>
      <w:r w:rsidRPr="00216965">
        <w:rPr>
          <w:vertAlign w:val="superscript"/>
        </w:rPr>
        <w:t>-1</w:t>
      </w:r>
      <w:r w:rsidRPr="00216965">
        <w:t>], O:Ctot (molar ratio), H:Ctot (molar ratio) and pH (</w:t>
      </w:r>
      <w:r w:rsidR="002F6C45" w:rsidRPr="00216965">
        <w:fldChar w:fldCharType="begin"/>
      </w:r>
      <w:r w:rsidR="002F6C45" w:rsidRPr="00216965">
        <w:instrText xml:space="preserve"> REF _Ref52748787 \h </w:instrText>
      </w:r>
      <w:r w:rsidR="00216965" w:rsidRPr="00216965">
        <w:instrText xml:space="preserve"> \* MERGEFORMAT </w:instrText>
      </w:r>
      <w:r w:rsidR="002F6C45" w:rsidRPr="00216965">
        <w:fldChar w:fldCharType="separate"/>
      </w:r>
      <w:r w:rsidR="006E23EA" w:rsidRPr="00216965">
        <w:rPr>
          <w:rFonts w:cs="Times New Roman"/>
          <w:b/>
          <w:szCs w:val="24"/>
        </w:rPr>
        <w:t xml:space="preserve">Fig. </w:t>
      </w:r>
      <w:r w:rsidR="006E23EA" w:rsidRPr="00216965">
        <w:rPr>
          <w:rFonts w:cs="Times New Roman"/>
          <w:b/>
          <w:bCs/>
          <w:noProof/>
          <w:szCs w:val="24"/>
        </w:rPr>
        <w:t>3</w:t>
      </w:r>
      <w:r w:rsidR="006E23EA" w:rsidRPr="00216965">
        <w:rPr>
          <w:rFonts w:cs="Times New Roman"/>
          <w:b/>
          <w:szCs w:val="24"/>
        </w:rPr>
        <w:noBreakHyphen/>
      </w:r>
      <w:r w:rsidR="006E23EA" w:rsidRPr="00216965">
        <w:rPr>
          <w:rFonts w:cs="Times New Roman"/>
          <w:b/>
          <w:bCs/>
          <w:noProof/>
          <w:szCs w:val="24"/>
        </w:rPr>
        <w:t>1</w:t>
      </w:r>
      <w:r w:rsidR="002F6C45" w:rsidRPr="00216965">
        <w:fldChar w:fldCharType="end"/>
      </w:r>
      <w:r w:rsidRPr="00216965">
        <w:t xml:space="preserve">). Also, the functional groups Si ̶ O, C ̶ H, C ̶ O, COH and COOH from the ATR-FTIR analysis were included using the absorbance values from normalized spectra of raw biochars. The correlation was conducted at 95% confidence using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 xml:space="preserve"> and the results were presented as a heat map</w:t>
      </w:r>
      <w:r w:rsidR="00FF238A" w:rsidRPr="00216965">
        <w:rPr>
          <w:rStyle w:val="FootnoteReference"/>
        </w:rPr>
        <w:footnoteReference w:id="3"/>
      </w:r>
      <w:r w:rsidRPr="00216965">
        <w:t>.</w:t>
      </w:r>
    </w:p>
    <w:p w14:paraId="7D3F1137" w14:textId="77777777" w:rsidR="005563EE" w:rsidRPr="00216965" w:rsidRDefault="005563EE" w:rsidP="008A33DA">
      <w:pPr>
        <w:pStyle w:val="Heading4"/>
      </w:pPr>
      <w:r w:rsidRPr="00216965">
        <w:t>Linear models to describe biochar sorption capacity</w:t>
      </w:r>
    </w:p>
    <w:p w14:paraId="7784633D" w14:textId="7A642AA5" w:rsidR="005563EE" w:rsidRPr="00216965" w:rsidRDefault="005563EE" w:rsidP="008A33DA">
      <w:pPr>
        <w:spacing w:line="360" w:lineRule="auto"/>
        <w:jc w:val="both"/>
      </w:pPr>
      <w:r w:rsidRPr="00216965">
        <w:t>Linear regression analysis was conducted to determine if biochar sorption capacity for Cd, Pb and Zn can be described as a function of its physico-chemical properties. The regression considered the same biochar physico-chemical properties used in the correlation analysis (</w:t>
      </w:r>
      <w:r w:rsidRPr="00216965">
        <w:rPr>
          <w:b/>
          <w:bCs/>
        </w:rPr>
        <w:t>section</w:t>
      </w:r>
      <w:r w:rsidR="00CA2A59" w:rsidRPr="00216965">
        <w:rPr>
          <w:b/>
          <w:bCs/>
        </w:rPr>
        <w:t xml:space="preserve"> </w:t>
      </w:r>
      <w:r w:rsidR="00D86561" w:rsidRPr="00216965">
        <w:rPr>
          <w:b/>
          <w:bCs/>
        </w:rPr>
        <w:fldChar w:fldCharType="begin"/>
      </w:r>
      <w:r w:rsidR="00D86561" w:rsidRPr="00216965">
        <w:rPr>
          <w:b/>
          <w:bCs/>
        </w:rPr>
        <w:instrText xml:space="preserve"> REF _Ref86492840 \r \h  \* MERGEFORMAT </w:instrText>
      </w:r>
      <w:r w:rsidR="00D86561" w:rsidRPr="00216965">
        <w:rPr>
          <w:b/>
          <w:bCs/>
        </w:rPr>
      </w:r>
      <w:r w:rsidR="00D86561" w:rsidRPr="00216965">
        <w:rPr>
          <w:b/>
          <w:bCs/>
        </w:rPr>
        <w:fldChar w:fldCharType="separate"/>
      </w:r>
      <w:r w:rsidR="006E23EA" w:rsidRPr="00216965">
        <w:rPr>
          <w:b/>
          <w:bCs/>
        </w:rPr>
        <w:t>3.2.5.1</w:t>
      </w:r>
      <w:r w:rsidR="00D86561" w:rsidRPr="00216965">
        <w:rPr>
          <w:b/>
          <w:bCs/>
        </w:rPr>
        <w:fldChar w:fldCharType="end"/>
      </w:r>
      <w:r w:rsidRPr="00216965">
        <w:t>) as single predictor variables and when there was poor linearity (r</w:t>
      </w:r>
      <w:r w:rsidRPr="00216965">
        <w:rPr>
          <w:vertAlign w:val="superscript"/>
        </w:rPr>
        <w:t>2</w:t>
      </w:r>
      <w:r w:rsidRPr="00216965">
        <w:t xml:space="preserve"> &lt; 0.8), a second variable was introduced. The maximum sorption capacities (</w:t>
      </w:r>
      <w:r w:rsidRPr="00216965">
        <w:rPr>
          <w:i/>
          <w:iCs/>
        </w:rPr>
        <w:t>q</w:t>
      </w:r>
      <w:r w:rsidRPr="00216965">
        <w:rPr>
          <w:i/>
          <w:iCs/>
          <w:vertAlign w:val="subscript"/>
        </w:rPr>
        <w:t>m</w:t>
      </w:r>
      <w:r w:rsidRPr="00216965">
        <w:t>) of the biochars for Cd, Pb and Zn estimated with the Hill model were used as the response variable. The AIC criterion determined the parameters that produce the most suitable model describing the sorption capacity for each element.</w:t>
      </w:r>
    </w:p>
    <w:p w14:paraId="2CE00988" w14:textId="77777777" w:rsidR="005563EE" w:rsidRPr="00216965" w:rsidRDefault="005563EE" w:rsidP="008A33DA">
      <w:pPr>
        <w:pStyle w:val="Heading2"/>
      </w:pPr>
      <w:bookmarkStart w:id="136" w:name="_Toc86504652"/>
      <w:r w:rsidRPr="00216965">
        <w:t>Results and discussion</w:t>
      </w:r>
      <w:bookmarkEnd w:id="136"/>
    </w:p>
    <w:p w14:paraId="29DA6F50" w14:textId="77777777" w:rsidR="005563EE" w:rsidRPr="00216965" w:rsidRDefault="005563EE" w:rsidP="008A33DA">
      <w:pPr>
        <w:pStyle w:val="Heading3"/>
      </w:pPr>
      <w:bookmarkStart w:id="137" w:name="_Toc86504653"/>
      <w:r w:rsidRPr="00216965">
        <w:t>Biochar characterization</w:t>
      </w:r>
      <w:bookmarkEnd w:id="137"/>
    </w:p>
    <w:p w14:paraId="3BED1FC9" w14:textId="1FA818AE" w:rsidR="005563EE" w:rsidRPr="00216965" w:rsidRDefault="005563EE" w:rsidP="008A33DA">
      <w:pPr>
        <w:spacing w:line="360" w:lineRule="auto"/>
        <w:jc w:val="both"/>
      </w:pPr>
      <w:r w:rsidRPr="00216965">
        <w:t>The physico-chemical properties of the biochars are presented in</w:t>
      </w:r>
      <w:r w:rsidR="00D86561" w:rsidRPr="00216965">
        <w:t xml:space="preserve"> </w:t>
      </w:r>
      <w:r w:rsidR="00D86561" w:rsidRPr="00216965">
        <w:fldChar w:fldCharType="begin"/>
      </w:r>
      <w:r w:rsidR="00D86561" w:rsidRPr="00216965">
        <w:instrText xml:space="preserve"> REF _Ref86492902 \h </w:instrText>
      </w:r>
      <w:r w:rsidR="00216965" w:rsidRPr="00216965">
        <w:instrText xml:space="preserve"> \* MERGEFORMAT </w:instrText>
      </w:r>
      <w:r w:rsidR="00D86561"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1</w:t>
      </w:r>
      <w:r w:rsidR="00D86561" w:rsidRPr="00216965">
        <w:fldChar w:fldCharType="end"/>
      </w:r>
      <w:r w:rsidRPr="00216965">
        <w:t>. The BET surface area varied depending on the feedstock used, the highest was MSP550 (490 m</w:t>
      </w:r>
      <w:r w:rsidRPr="00216965">
        <w:rPr>
          <w:vertAlign w:val="superscript"/>
        </w:rPr>
        <w:t>2</w:t>
      </w:r>
      <w:r w:rsidRPr="00216965">
        <w:t>.g</w:t>
      </w:r>
      <w:r w:rsidRPr="00216965">
        <w:rPr>
          <w:vertAlign w:val="superscript"/>
        </w:rPr>
        <w:t>-1</w:t>
      </w:r>
      <w:r w:rsidRPr="00216965">
        <w:t>) and the lowest was WSP550 (299 m</w:t>
      </w:r>
      <w:r w:rsidRPr="00216965">
        <w:rPr>
          <w:vertAlign w:val="superscript"/>
        </w:rPr>
        <w:t>2</w:t>
      </w:r>
      <w:r w:rsidRPr="00216965">
        <w:t>.g</w:t>
      </w:r>
      <w:r w:rsidRPr="00216965">
        <w:rPr>
          <w:vertAlign w:val="superscript"/>
        </w:rPr>
        <w:t>-1</w:t>
      </w:r>
      <w:r w:rsidRPr="00216965">
        <w:t>). These BET areas were correlated with the total pore volume, in the order: MSP550&gt;OSR700&gt;OSR550&gt;SWP550&gt;WSP550.</w:t>
      </w:r>
    </w:p>
    <w:p w14:paraId="12E9460D" w14:textId="3C25D074" w:rsidR="005563EE" w:rsidRPr="00216965" w:rsidRDefault="005563EE" w:rsidP="008A33DA">
      <w:pPr>
        <w:spacing w:line="360" w:lineRule="auto"/>
        <w:jc w:val="both"/>
      </w:pPr>
      <w:r w:rsidRPr="00216965">
        <w:t>Biochars produced from herbaceous biomass (WSP550, MWSP550 and OSRs) had a significantly higher CEC (p &lt; 0.001), from 20.65 to 23.29 cmol.kg</w:t>
      </w:r>
      <w:r w:rsidRPr="00216965">
        <w:rPr>
          <w:vertAlign w:val="superscript"/>
        </w:rPr>
        <w:t>-1</w:t>
      </w:r>
      <w:r w:rsidRPr="00216965">
        <w:t>, than biochar SWP550 produced from the wood feedstock, with a CEC of 11.23 cmol.kg</w:t>
      </w:r>
      <w:r w:rsidRPr="00216965">
        <w:rPr>
          <w:vertAlign w:val="superscript"/>
        </w:rPr>
        <w:t>-1</w:t>
      </w:r>
      <w:r w:rsidRPr="00216965">
        <w:t>. The CEC of SWP550 was similar to that of a biochar obtained from pinewood produced at 650 °C (from 7.0 to 11.9 cmol.kg</w:t>
      </w:r>
      <w:r w:rsidRPr="00216965">
        <w:rPr>
          <w:vertAlign w:val="superscript"/>
        </w:rPr>
        <w:t>-1</w:t>
      </w:r>
      <w:r w:rsidRPr="00216965">
        <w:t xml:space="preserve"> at different pH) reported by </w:t>
      </w:r>
      <w:r w:rsidRPr="00216965">
        <w:rPr>
          <w:rFonts w:cs="Times New Roman"/>
          <w:szCs w:val="24"/>
        </w:rPr>
        <w:fldChar w:fldCharType="begin" w:fldLock="1"/>
      </w:r>
      <w:r w:rsidR="006C06AA" w:rsidRPr="00216965">
        <w:rPr>
          <w:rFonts w:cs="Times New Roman"/>
          <w:szCs w:val="24"/>
        </w:rPr>
        <w:instrText>ADDIN CSL_CITATION {"citationItems":[{"id":"ITEM-1","itemData":{"DOI":"10.1016/j.geoderma.2011.04.021","ISSN":"00167061","abstract":"While the idea that adding pyrogenic carbon (referred to as 'biochar' when used as a soil amendment) will enhance soil fertility and carbon sequestration has gained widespread attention, understanding of its chemical and physical characteristics and the methods most appropriate to determine them have lagged behind. This type of information is needed to optimize the properties of biochar for specific purposes such as nutrient retention, pH amelioration or contaminant remediation. A number of surface properties of a range of biochar types were examined to better understand how these properties were related to biochar production conditions, as well as to each other. Among biochars made from oak (Quercus lobata), pine (Pinus taeda) and grass (Tripsacum floridanum) at 250°C in air and 400 and 650°C under N2, micropore surface area (measured by CO2 sorptometry) increased with production temperature as volatile matter (VM) decreased, indicating that VM was released from pore-infillings. The CEC, determined using K+ exchange, was about 10cmolckg-1 for 400 and 650°C chars and did not show any pH dependency, whereas 250°C biochar CECs were pH-dependant and rose to as much as 70cmolckg-1 at pH 7. Measurements of surface charge on biochar particles indicated a zeta potential of -9 to -4mV at neutral pH and an iso-electric point of pH 2-3. However, a colloidal or dissolved biochar component was 4-5 times more electronegative. Total acid functional group concentration ranged 4.4-8.1mmolg-1 (measured by Boehm titration), decreased with production temperature, and was directly related to VM content. Together, these findings suggest that the VM component of biochar carries its acidity, negative charge, and thus, complexation ability. However, not all acid functional groups exchanged cations as the number of cation exchanging sites (CEC) was about 10 times less than the number of acid functional groups present on biochar surfaces and varied with biomass type. These findings suggest that lower temperature biochars will be better used to increase soil CEC while high temperature biochars will raise soil pH. Although no anion exchange capacity was measured in the biochars, they may sorb phosphate and nitrate by divalent cation bridging. © 2011 Elsevier B.V.","author":[{"dropping-particle":"","family":"Mukherjee","given":"A.","non-dropping-particle":"","parse-names":false,"suffix":""},{"dropping-particle":"","family":"Zimmerman","given":"A. R.","non-dropping-particle":"","parse-names":false,"suffix":""},{"dropping-particle":"","family":"Harris","given":"W.","non-dropping-particle":"","parse-names":false,"suffix":""}],"container-title":"Geoderma","id":"ITEM-1","issue":"3-4","issued":{"date-parts":[["2011","7","15"]]},"page":"247-255","title":"Surface chemistry variations among a series of laboratory-produced biochars","type":"article-journal","volume":"163"},"uris":["http://www.mendeley.com/documents/?uuid=4a6c4e90-6792-387a-b004-3176c316c9aa"]}],"mendeley":{"formattedCitation":"(Mukherjee et al., 2011)","manualFormatting":"Mukherjee et al. (2011)","plainTextFormattedCitation":"(Mukherjee et al., 2011)","previouslyFormattedCitation":"(Mukherjee et al., 2011)"},"properties":{"noteIndex":0},"schema":"https://github.com/citation-style-language/schema/raw/master/csl-citation.json"}</w:instrText>
      </w:r>
      <w:r w:rsidRPr="00216965">
        <w:rPr>
          <w:rFonts w:cs="Times New Roman"/>
          <w:szCs w:val="24"/>
        </w:rPr>
        <w:fldChar w:fldCharType="separate"/>
      </w:r>
      <w:r w:rsidRPr="00216965">
        <w:rPr>
          <w:rFonts w:cs="Times New Roman"/>
          <w:noProof/>
          <w:szCs w:val="24"/>
        </w:rPr>
        <w:t xml:space="preserve">Mukherjee </w:t>
      </w:r>
      <w:r w:rsidR="009B2252" w:rsidRPr="00216965">
        <w:rPr>
          <w:rFonts w:cs="Times New Roman"/>
          <w:iCs/>
          <w:noProof/>
          <w:szCs w:val="24"/>
        </w:rPr>
        <w:t>et al</w:t>
      </w:r>
      <w:r w:rsidRPr="00216965">
        <w:rPr>
          <w:rFonts w:cs="Times New Roman"/>
          <w:noProof/>
          <w:szCs w:val="24"/>
        </w:rPr>
        <w:t>. (2011)</w:t>
      </w:r>
      <w:r w:rsidRPr="00216965">
        <w:rPr>
          <w:rFonts w:cs="Times New Roman"/>
          <w:szCs w:val="24"/>
        </w:rPr>
        <w:fldChar w:fldCharType="end"/>
      </w:r>
      <w:r w:rsidRPr="00216965">
        <w:t xml:space="preserve">. Similarly, </w:t>
      </w:r>
      <w:r w:rsidR="008E0CEC" w:rsidRPr="00216965">
        <w:fldChar w:fldCharType="begin" w:fldLock="1"/>
      </w:r>
      <w:r w:rsidR="008E0CEC" w:rsidRPr="00216965">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benefits","type":"article-journal","volume":"12"},"uris":["http://www.mendeley.com/documents/?uuid=ca76da3f-ee2b-3484-b359-2d2ed0c558ad"]}],"mendeley":{"formattedCitation":"(Domingues et al., 2017)","manualFormatting":"Domingues et al.  (2017)","plainTextFormattedCitation":"(Domingues et al., 2017)","previouslyFormattedCitation":"(Domingues et al., 2017)"},"properties":{"noteIndex":0},"schema":"https://github.com/citation-style-language/schema/raw/master/csl-citation.json"}</w:instrText>
      </w:r>
      <w:r w:rsidR="008E0CEC" w:rsidRPr="00216965">
        <w:fldChar w:fldCharType="separate"/>
      </w:r>
      <w:r w:rsidR="008E0CEC" w:rsidRPr="00216965">
        <w:rPr>
          <w:noProof/>
          <w:lang w:val="fr-FR"/>
        </w:rPr>
        <w:t>Domingues et al.  (2017)</w:t>
      </w:r>
      <w:r w:rsidR="008E0CEC" w:rsidRPr="00216965">
        <w:fldChar w:fldCharType="end"/>
      </w:r>
      <w:r w:rsidRPr="00216965">
        <w:fldChar w:fldCharType="begin" w:fldLock="1"/>
      </w:r>
      <w:r w:rsidR="008E0CEC" w:rsidRPr="00216965">
        <w:rPr>
          <w:lang w:val="fr-FR"/>
        </w:rPr>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w:instrText>
      </w:r>
      <w:r w:rsidR="008E0CEC" w:rsidRPr="00216965">
        <w:instrText>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benefits","type":"article-journal","volume":"12"},"uris":["http://www.mendeley.com/documents/?uuid=ca76da3f-ee2b-3484-b359-2d2ed0c558ad"]}],"mendeley":{"formattedCitation":"(Domingues et al., 2017)","plainTextFormattedCitation":"(Domingues et al., 2017)","previouslyFormattedCitation":"(Domingues et al., 2017)"},"properties":{"noteIndex":0},"schema":"https://github.com/citation-style-language/schema/raw/master/csl-citation.json"}</w:instrText>
      </w:r>
      <w:r w:rsidRPr="00216965">
        <w:fldChar w:fldCharType="separate"/>
      </w:r>
      <w:r w:rsidR="008E0CEC" w:rsidRPr="00216965">
        <w:rPr>
          <w:noProof/>
        </w:rPr>
        <w:t>(Domingues et al., 2017)</w:t>
      </w:r>
      <w:r w:rsidRPr="00216965">
        <w:fldChar w:fldCharType="end"/>
      </w:r>
      <w:r w:rsidRPr="00216965">
        <w:t xml:space="preserve"> reported lower CEC values (2.4 to 10.8 cmol.kg</w:t>
      </w:r>
      <w:r w:rsidRPr="00216965">
        <w:rPr>
          <w:vertAlign w:val="superscript"/>
        </w:rPr>
        <w:t>-1</w:t>
      </w:r>
      <w:r w:rsidRPr="00216965">
        <w:t xml:space="preserve">) for three </w:t>
      </w:r>
      <w:r w:rsidRPr="00216965">
        <w:lastRenderedPageBreak/>
        <w:t>wood-derived biochars relative to coffee husk biochar (69-72 cmol.kg</w:t>
      </w:r>
      <w:r w:rsidRPr="00216965">
        <w:rPr>
          <w:vertAlign w:val="superscript"/>
        </w:rPr>
        <w:t>-1</w:t>
      </w:r>
      <w:r w:rsidRPr="00216965">
        <w:t>) and chicken manure biochar (23 cmol.kg</w:t>
      </w:r>
      <w:r w:rsidRPr="00216965">
        <w:rPr>
          <w:vertAlign w:val="superscript"/>
        </w:rPr>
        <w:t>-1</w:t>
      </w:r>
      <w:r w:rsidRPr="00216965">
        <w:t xml:space="preserve">). </w:t>
      </w:r>
    </w:p>
    <w:p w14:paraId="1A312702" w14:textId="77777777" w:rsidR="005563EE" w:rsidRPr="00216965" w:rsidRDefault="005563EE" w:rsidP="008A33DA">
      <w:pPr>
        <w:pStyle w:val="Heading3"/>
      </w:pPr>
      <w:bookmarkStart w:id="138" w:name="_Toc86504654"/>
      <w:r w:rsidRPr="00216965">
        <w:t>HMs sorption experiments</w:t>
      </w:r>
      <w:bookmarkEnd w:id="138"/>
    </w:p>
    <w:p w14:paraId="6AB239BC" w14:textId="77777777" w:rsidR="005563EE" w:rsidRPr="00216965" w:rsidRDefault="005563EE" w:rsidP="008A33DA">
      <w:pPr>
        <w:pStyle w:val="Heading4"/>
      </w:pPr>
      <w:r w:rsidRPr="00216965">
        <w:t>Kinetics</w:t>
      </w:r>
    </w:p>
    <w:p w14:paraId="525DE279" w14:textId="20B23653" w:rsidR="005563EE" w:rsidRPr="00216965" w:rsidRDefault="005563EE" w:rsidP="008A33DA">
      <w:pPr>
        <w:spacing w:line="360" w:lineRule="auto"/>
        <w:jc w:val="both"/>
      </w:pPr>
      <w:r w:rsidRPr="00216965">
        <w:t xml:space="preserve">The effect of contact time on Zn, Cd and Pb sorption by the biochars is presented in </w:t>
      </w:r>
      <w:r w:rsidRPr="00216965">
        <w:rPr>
          <w:b/>
          <w:bCs/>
        </w:rPr>
        <w:fldChar w:fldCharType="begin"/>
      </w:r>
      <w:r w:rsidRPr="00216965">
        <w:rPr>
          <w:b/>
          <w:bCs/>
        </w:rPr>
        <w:instrText xml:space="preserve"> REF _Ref52748787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w:t>
      </w:r>
      <w:r w:rsidRPr="00216965">
        <w:rPr>
          <w:b/>
          <w:bCs/>
        </w:rPr>
        <w:fldChar w:fldCharType="end"/>
      </w:r>
      <w:r w:rsidRPr="00216965">
        <w:rPr>
          <w:b/>
          <w:bCs/>
        </w:rPr>
        <w:t>A</w:t>
      </w:r>
      <w:r w:rsidRPr="00216965">
        <w:t>. HM adsorption was fast during the first 4 hours (90-95 % of trace elements sorption) and complete by 24 hours. Therefore, 24 hours was selected as the equilibrium time.</w:t>
      </w:r>
    </w:p>
    <w:p w14:paraId="6A9F29BF" w14:textId="1AC92445" w:rsidR="008574C0" w:rsidRPr="00216965" w:rsidRDefault="005563EE" w:rsidP="008A33DA">
      <w:pPr>
        <w:spacing w:line="360" w:lineRule="auto"/>
        <w:jc w:val="both"/>
      </w:pPr>
      <w:r w:rsidRPr="00216965">
        <w:t>Calculation of AIC coefficients (</w:t>
      </w:r>
      <w:r w:rsidR="00D86561" w:rsidRPr="00216965">
        <w:fldChar w:fldCharType="begin"/>
      </w:r>
      <w:r w:rsidR="00D86561" w:rsidRPr="00216965">
        <w:instrText xml:space="preserve"> REF _Ref86492950 \h </w:instrText>
      </w:r>
      <w:r w:rsidR="00216965" w:rsidRPr="00216965">
        <w:instrText xml:space="preserve"> \* MERGEFORMAT </w:instrText>
      </w:r>
      <w:r w:rsidR="00D86561"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2</w:t>
      </w:r>
      <w:r w:rsidR="00D86561" w:rsidRPr="00216965">
        <w:fldChar w:fldCharType="end"/>
      </w:r>
      <w:r w:rsidRPr="00216965">
        <w:t xml:space="preserve">) indicated that the second order kinetic model best described the data. At equilibrium the value of </w:t>
      </w:r>
      <w:r w:rsidRPr="00216965">
        <w:rPr>
          <w:i/>
          <w:iCs/>
        </w:rPr>
        <w:t>k</w:t>
      </w:r>
      <w:r w:rsidRPr="00216965">
        <w:rPr>
          <w:i/>
          <w:iCs/>
          <w:vertAlign w:val="subscript"/>
        </w:rPr>
        <w:t>2</w:t>
      </w:r>
      <w:r w:rsidRPr="00216965">
        <w:t xml:space="preserve"> indicated that sorption occurred in the following rate order: Pb &gt;Zn &gt;Cd for biochars MSP550 and WSP550, Zn &gt;Pb &gt;Cd for biochars OSR550 and OSR700, and Cd &gt;Pb &gt;Zn for biochar SWP550. The sorption capacity (</w:t>
      </w:r>
      <w:r w:rsidRPr="00216965">
        <w:rPr>
          <w:i/>
          <w:iCs/>
        </w:rPr>
        <w:t>Q</w:t>
      </w:r>
      <w:r w:rsidRPr="00216965">
        <w:rPr>
          <w:i/>
          <w:iCs/>
          <w:vertAlign w:val="subscript"/>
        </w:rPr>
        <w:t>e</w:t>
      </w:r>
      <w:r w:rsidRPr="00216965">
        <w:t>) for Pb was lower than that for Cd and Zn for all the biochars except SWP550, whose performance was significantly lower (p &lt; 0.05) than the rest of biochars for all metals tested (</w:t>
      </w:r>
      <w:r w:rsidR="00D86561" w:rsidRPr="00216965">
        <w:rPr>
          <w:b/>
          <w:bCs/>
        </w:rPr>
        <w:fldChar w:fldCharType="begin"/>
      </w:r>
      <w:r w:rsidR="00D86561" w:rsidRPr="00216965">
        <w:instrText xml:space="preserve"> REF _Ref86492962 \h </w:instrText>
      </w:r>
      <w:r w:rsidR="00D86561" w:rsidRPr="00216965">
        <w:rPr>
          <w:b/>
          <w:bCs/>
        </w:rPr>
      </w:r>
      <w:r w:rsidR="00216965" w:rsidRPr="00216965">
        <w:rPr>
          <w:b/>
          <w:bCs/>
        </w:rPr>
        <w:instrText xml:space="preserve"> \* MERGEFORMAT </w:instrText>
      </w:r>
      <w:r w:rsidR="00D86561" w:rsidRPr="00216965">
        <w:rPr>
          <w:b/>
          <w:bCs/>
        </w:rPr>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3</w:t>
      </w:r>
      <w:r w:rsidR="00D86561" w:rsidRPr="00216965">
        <w:rPr>
          <w:b/>
          <w:bCs/>
        </w:rPr>
        <w:fldChar w:fldCharType="end"/>
      </w:r>
      <w:r w:rsidRPr="00216965">
        <w:t xml:space="preserve">). </w:t>
      </w:r>
    </w:p>
    <w:p w14:paraId="76C61B7D" w14:textId="148145F7" w:rsidR="005563EE" w:rsidRPr="00216965" w:rsidRDefault="005563EE" w:rsidP="008A33DA">
      <w:pPr>
        <w:spacing w:line="360" w:lineRule="auto"/>
        <w:jc w:val="both"/>
      </w:pPr>
      <w:r w:rsidRPr="00216965">
        <w:t>The lower sorption capacity for Pb is attributed to the initial pH of the solution (pH 7). In natural systems Pb is present mainly as soluble species Pb</w:t>
      </w:r>
      <w:r w:rsidRPr="00216965">
        <w:rPr>
          <w:vertAlign w:val="superscript"/>
        </w:rPr>
        <w:t>2+</w:t>
      </w:r>
      <w:r w:rsidRPr="00216965">
        <w:t xml:space="preserve"> and Pb(OH)</w:t>
      </w:r>
      <w:r w:rsidRPr="00216965">
        <w:rPr>
          <w:vertAlign w:val="superscript"/>
        </w:rPr>
        <w:t>+</w:t>
      </w:r>
      <w:r w:rsidRPr="00216965">
        <w:t xml:space="preserve"> at pH &lt; 5.5, but as insoluble forms, Pb(OH)</w:t>
      </w:r>
      <w:r w:rsidRPr="00216965">
        <w:rPr>
          <w:vertAlign w:val="subscript"/>
        </w:rPr>
        <w:t>2</w:t>
      </w:r>
      <w:r w:rsidRPr="00216965">
        <w:t>, at pH 5.5-12.5 and Pb(OH</w:t>
      </w:r>
      <w:r w:rsidRPr="00216965">
        <w:rPr>
          <w:vertAlign w:val="subscript"/>
        </w:rPr>
        <w:t>4</w:t>
      </w:r>
      <w:r w:rsidRPr="00216965">
        <w:t>)</w:t>
      </w:r>
      <w:r w:rsidRPr="00216965">
        <w:rPr>
          <w:vertAlign w:val="subscript"/>
        </w:rPr>
        <w:t>2</w:t>
      </w:r>
      <w:r w:rsidRPr="00216965">
        <w:t xml:space="preserve">- at pH &gt; 12.5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modifications","type":"article-journal","volume":"178"},"uris":["http://www.mendeley.com/documents/?uuid=86ada9eb-8f5a-356c-ba86-8ed24fd91759"]}],"mendeley":{"formattedCitation":"(Hongbo Li et al., 2017)","plainTextFormattedCitation":"(Hongbo Li et al., 2017)","previouslyFormattedCitation":"(Hongbo Li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(Hongbo Li et al., 2017)</w:t>
      </w:r>
      <w:r w:rsidRPr="00216965">
        <w:rPr>
          <w:rFonts w:cs="Times New Roman"/>
          <w:bCs/>
          <w:szCs w:val="24"/>
        </w:rPr>
        <w:fldChar w:fldCharType="end"/>
      </w:r>
      <w:r w:rsidRPr="00216965">
        <w:t xml:space="preserve">. This is consistent with other biochar sorption studies which describe the formation of Pb metal hydroxide precipitates at pH &gt;5 </w:t>
      </w:r>
      <w:r w:rsidRPr="00216965">
        <w:rPr>
          <w:rFonts w:cs="Times New Roman"/>
          <w:bCs/>
          <w:szCs w:val="24"/>
        </w:rPr>
        <w:fldChar w:fldCharType="begin" w:fldLock="1"/>
      </w:r>
      <w:r w:rsidR="006C06AA" w:rsidRPr="00216965">
        <w:rPr>
          <w:rFonts w:cs="Times New Roman"/>
          <w:bCs/>
          <w:szCs w:val="24"/>
        </w:rPr>
        <w:instrText>ADDIN CSL_CITATION {"citationItems":[{"id":"ITEM-1","itemData":{"author":[{"dropping-particle":"","family":"Naidu","given":"D A","non-dropping-particle":"","parse-names":false,"suffix":""},{"dropping-particle":"","family":"King","given":"P","non-dropping-particle":"","parse-names":false,"suffix":""},{"dropping-particle":"","family":"Saibaba K.V","given":"Narayana","non-dropping-particle":"","parse-names":false,"suffix":""},{"dropping-particle":"","family":"Prasad","given":"V S R K","non-dropping-particle":"","parse-names":false,"suffix":""}],"container-title":"International Journal of Research in Engineering &amp; Technology","id":"ITEM-1","issue":"2","issued":{"date-parts":[["2013"]]},"page":"35-48","title":"Equilibrium, kinetic and thermodynamic studies on lead removal from aqueous solution by Tectona grandis L. f","type":"article-journal","volume":"1"},"uris":["http://www.mendeley.com/documents/?uuid=a76941e3-49eb-42dc-9a2c-0b9a2376a16f"]},{"id":"ITEM-2","itemData":{"DOI":"10.1016/j.ecoenv.2016.06.008","ISSN":"10902414","abstract":"In this study, a high efficiency and low cost biochar-supported nano-hydroxyapatite (nHAP@BC) material was used in the remediation of lead (Pb)-contaminated soil. The remediation effect of nHAP@BC on Pb-contaminated soil was evaluated through batch experiments. The stability, bioaccessibility of Pb in the soil and the change in soil characteristics are discussed. Furthermore, the effects of the amendments on the growth of cabbage mustard seedlings and the accumulation of Pb were studied. The results showed that the immobilization rates of Pb in the soil were 71.9% and 56.8%, respectively, after a 28 day remediation using 8% nHAP and nHAP@BC materials, and the unit immobilization amount of nHAP@BC was 5.6 times that of nHAP, indicating that nHAP@BC can greatly reduce the cost of remediation of Pb in soil. After the nHAP@BC remediation, the residual fraction Pb increased by 61.4%, which greatly reduced the bioaccessibility of Pb in the soil. Moreover, nHAP@BC could effectively reduce the accumulation of Pb in plants by 31.4%. Overall, nHAP@BC can effectively remediate Pb-contaminated soil and accelerate the recovery of soil fertility.","author":[{"dropping-particle":"","family":"Yang","given":"Zhangmei","non-dropping-particle":"","parse-names":false,"suffix":""},{"dropping-particle":"","family":"Fang","given":"Zhanqiang","non-dropping-particle":"","parse-names":false,"suffix":""},{"dropping-particle":"","family":"Zheng","given":"Liuchun","non-dropping-particle":"","parse-names":false,"suffix":""},{"dropping-particle":"","family":"Cheng","given":"Wen","non-dropping-particle":"","parse-names":false,"suffix":""},{"dropping-particle":"","family":"Tsang","given":"Pokeung Eric","non-dropping-particle":"","parse-names":false,"suffix":""},{"dropping-particle":"","family":"Fang","given":"Jianzhang","non-dropping-particle":"","parse-names":false,"suffix":""},{"dropping-particle":"","family":"Zhao","given":"Dongye","non-dropping-particle":"","parse-names":false,"suffix":""}],"container-title":"Ecotoxicology and Environmental Safety","id":"ITEM-2","issued":{"date-parts":[["2016"]]},"page":"224-230","publisher":"Elsevier","title":"Remediation of lead contaminated soil by biochar-supported nano-hydroxyapatite","type":"article-journal","volume":"132"},"uris":["http://www.mendeley.com/documents/?uuid=df7831cc-7ae2-4d4d-892b-aa2ed95e15a6"]}],"mendeley":{"formattedCitation":"(Naidu et al., 2013; Z. Yang et al., 2016)","plainTextFormattedCitation":"(Naidu et al., 2013; Z. Yang et al., 2016)","previouslyFormattedCitation":"(Naidu et al., 2013; Z. Yang et al., 2016)"},"properties":{"noteIndex":0},"schema":"https://github.com/citation-style-language/schema/raw/master/csl-citation.json"}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(Naidu et al., 2013; Z. Yang et al., 2016)</w:t>
      </w:r>
      <w:r w:rsidRPr="00216965">
        <w:rPr>
          <w:rFonts w:cs="Times New Roman"/>
          <w:bCs/>
          <w:szCs w:val="24"/>
        </w:rPr>
        <w:fldChar w:fldCharType="end"/>
      </w:r>
      <w:r w:rsidRPr="00216965">
        <w:t>. The formation of Pb precipitates reduces the amount of soluble Pb forms that can interact with biochar surface binding sites. Therefore, in soil pore water with pH &gt;5, Pb immobilization by biochar will be restricted by the amount of Pb soluble species.</w:t>
      </w:r>
    </w:p>
    <w:p w14:paraId="29197AF4" w14:textId="77777777" w:rsidR="005563EE" w:rsidRPr="00216965" w:rsidRDefault="005563EE" w:rsidP="008A33DA">
      <w:pPr>
        <w:spacing w:line="480" w:lineRule="auto"/>
        <w:jc w:val="both"/>
      </w:pPr>
      <w:r w:rsidRPr="00216965">
        <w:lastRenderedPageBreak/>
        <w:t xml:space="preserve"> </w:t>
      </w:r>
      <w:r w:rsidRPr="00216965">
        <w:rPr>
          <w:noProof/>
        </w:rPr>
        <w:drawing>
          <wp:inline distT="0" distB="0" distL="0" distR="0" wp14:anchorId="074C451A" wp14:editId="0CC812B3">
            <wp:extent cx="5632057" cy="4085408"/>
            <wp:effectExtent l="0" t="0" r="0" b="0"/>
            <wp:docPr id="15" name="Picture 1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639235" cy="4090615"/>
                    </a:xfrm>
                    <a:prstGeom prst="rect">
                      <a:avLst/>
                    </a:prstGeom>
                  </pic:spPr>
                </pic:pic>
              </a:graphicData>
            </a:graphic>
          </wp:inline>
        </w:drawing>
      </w:r>
    </w:p>
    <w:p w14:paraId="518EB5E3" w14:textId="786959E0" w:rsidR="005563EE" w:rsidRPr="00216965" w:rsidRDefault="005563EE" w:rsidP="008A33DA">
      <w:pPr>
        <w:pStyle w:val="Caption"/>
        <w:spacing w:line="276" w:lineRule="auto"/>
        <w:ind w:right="282"/>
        <w:jc w:val="both"/>
        <w:rPr>
          <w:rFonts w:eastAsia="Times New Roman" w:cs="Times New Roman"/>
          <w:b/>
          <w:bCs w:val="0"/>
          <w:color w:val="000000"/>
          <w:szCs w:val="24"/>
        </w:rPr>
      </w:pPr>
      <w:bookmarkStart w:id="139" w:name="_Ref52748787"/>
      <w:bookmarkStart w:id="140" w:name="_Toc86439352"/>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1</w:t>
      </w:r>
      <w:r w:rsidR="00BF3EBE" w:rsidRPr="00216965">
        <w:rPr>
          <w:rFonts w:cs="Times New Roman"/>
          <w:b/>
          <w:bCs w:val="0"/>
          <w:szCs w:val="24"/>
        </w:rPr>
        <w:fldChar w:fldCharType="end"/>
      </w:r>
      <w:bookmarkEnd w:id="139"/>
      <w:r w:rsidRPr="00216965">
        <w:rPr>
          <w:rFonts w:cs="Times New Roman"/>
          <w:b/>
          <w:bCs w:val="0"/>
          <w:szCs w:val="24"/>
        </w:rPr>
        <w:t>.</w:t>
      </w:r>
      <w:r w:rsidRPr="00216965">
        <w:rPr>
          <w:rFonts w:eastAsia="Times New Roman" w:cs="Times New Roman"/>
          <w:b/>
          <w:bCs w:val="0"/>
          <w:color w:val="000000"/>
          <w:szCs w:val="24"/>
        </w:rPr>
        <w:t xml:space="preserve"> Effect of contact time and solution pH on sorption capacity</w:t>
      </w:r>
      <w:r w:rsidRPr="00216965">
        <w:rPr>
          <w:rFonts w:eastAsia="Times New Roman" w:cs="Times New Roman"/>
          <w:color w:val="000000"/>
          <w:szCs w:val="24"/>
        </w:rPr>
        <w:t xml:space="preserve"> </w:t>
      </w:r>
      <w:r w:rsidRPr="00216965">
        <w:rPr>
          <w:rFonts w:eastAsia="Times New Roman" w:cs="Times New Roman"/>
          <w:b/>
          <w:bCs w:val="0"/>
          <w:color w:val="000000"/>
          <w:szCs w:val="24"/>
        </w:rPr>
        <w:t>of Cd, Pb and Zn</w:t>
      </w:r>
      <w:r w:rsidRPr="00216965">
        <w:rPr>
          <w:rFonts w:eastAsia="Times New Roman" w:cs="Times New Roman"/>
          <w:color w:val="000000"/>
          <w:szCs w:val="24"/>
        </w:rPr>
        <w:t>.</w:t>
      </w:r>
      <w:r w:rsidRPr="00216965">
        <w:rPr>
          <w:rFonts w:eastAsia="Times New Roman" w:cs="Times New Roman"/>
          <w:bCs w:val="0"/>
          <w:color w:val="000000"/>
          <w:szCs w:val="24"/>
        </w:rPr>
        <w:t xml:space="preserve"> A) Sorption kinetics during the first 24 hours using a background solution with initial pH 7</w:t>
      </w:r>
      <w:sdt>
        <w:sdtPr>
          <w:rPr>
            <w:rFonts w:cs="Times New Roman"/>
            <w:b/>
            <w:bCs w:val="0"/>
            <w:szCs w:val="24"/>
          </w:rPr>
          <w:tag w:val="goog_rdk_906"/>
          <w:id w:val="1707760670"/>
        </w:sdtPr>
        <w:sdtEndPr/>
        <w:sdtContent>
          <w:r w:rsidRPr="00216965">
            <w:rPr>
              <w:rFonts w:eastAsia="Times New Roman" w:cs="Times New Roman"/>
              <w:bCs w:val="0"/>
              <w:color w:val="000000"/>
              <w:szCs w:val="24"/>
            </w:rPr>
            <w:t xml:space="preserve">, t= 22 ± 2 °C, </w:t>
          </w:r>
        </w:sdtContent>
      </w:sdt>
      <w:sdt>
        <w:sdtPr>
          <w:rPr>
            <w:rFonts w:cs="Times New Roman"/>
            <w:b/>
            <w:bCs w:val="0"/>
            <w:szCs w:val="24"/>
          </w:rPr>
          <w:tag w:val="goog_rdk_908"/>
          <w:id w:val="-1518921752"/>
        </w:sdtPr>
        <w:sdtEndPr/>
        <w:sdtContent>
          <w:r w:rsidRPr="00216965">
            <w:rPr>
              <w:rFonts w:eastAsia="Times New Roman" w:cs="Times New Roman"/>
              <w:bCs w:val="0"/>
              <w:color w:val="000000"/>
              <w:szCs w:val="24"/>
            </w:rPr>
            <w:t>the</w:t>
          </w:r>
        </w:sdtContent>
      </w:sdt>
      <w:r w:rsidRPr="00216965">
        <w:rPr>
          <w:rFonts w:eastAsia="Times New Roman" w:cs="Times New Roman"/>
          <w:bCs w:val="0"/>
          <w:color w:val="000000"/>
          <w:szCs w:val="24"/>
        </w:rPr>
        <w:t xml:space="preserve"> line is a second order kinetic model fit. B) Effect of background solution pH on sorption capacity (means ± standard deviation)</w:t>
      </w:r>
      <w:sdt>
        <w:sdtPr>
          <w:rPr>
            <w:rFonts w:cs="Times New Roman"/>
            <w:b/>
            <w:bCs w:val="0"/>
            <w:szCs w:val="24"/>
          </w:rPr>
          <w:tag w:val="goog_rdk_910"/>
          <w:id w:val="751932870"/>
        </w:sdtPr>
        <w:sdtEndPr/>
        <w:sdtContent>
          <w:r w:rsidRPr="00216965">
            <w:rPr>
              <w:rFonts w:eastAsia="Times New Roman" w:cs="Times New Roman"/>
              <w:bCs w:val="0"/>
              <w:color w:val="000000"/>
              <w:szCs w:val="24"/>
            </w:rPr>
            <w:t xml:space="preserve">, </w:t>
          </w:r>
        </w:sdtContent>
      </w:sdt>
      <w:r w:rsidRPr="00216965">
        <w:rPr>
          <w:rFonts w:eastAsia="Times New Roman" w:cs="Times New Roman"/>
          <w:bCs w:val="0"/>
          <w:color w:val="000000"/>
          <w:szCs w:val="24"/>
        </w:rPr>
        <w:t>contact time</w:t>
      </w:r>
      <w:sdt>
        <w:sdtPr>
          <w:rPr>
            <w:rFonts w:cs="Times New Roman"/>
            <w:b/>
            <w:bCs w:val="0"/>
            <w:szCs w:val="24"/>
          </w:rPr>
          <w:tag w:val="goog_rdk_912"/>
          <w:id w:val="1608842675"/>
        </w:sdtPr>
        <w:sdtEndPr/>
        <w:sdtContent>
          <w:r w:rsidRPr="00216965">
            <w:rPr>
              <w:rFonts w:eastAsia="Times New Roman" w:cs="Times New Roman"/>
              <w:bCs w:val="0"/>
              <w:color w:val="000000"/>
              <w:szCs w:val="24"/>
            </w:rPr>
            <w:t xml:space="preserve"> = 24 hours, t= 22 ± 2 °C.</w:t>
          </w:r>
        </w:sdtContent>
      </w:sdt>
      <w:bookmarkEnd w:id="140"/>
      <w:r w:rsidRPr="00216965">
        <w:rPr>
          <w:rFonts w:eastAsia="Times New Roman" w:cs="Times New Roman"/>
          <w:bCs w:val="0"/>
          <w:color w:val="000000"/>
          <w:szCs w:val="24"/>
        </w:rPr>
        <w:t xml:space="preserve"> </w:t>
      </w:r>
    </w:p>
    <w:p w14:paraId="6AE497BC" w14:textId="77777777" w:rsidR="005563EE" w:rsidRPr="00216965" w:rsidRDefault="005563EE" w:rsidP="008A33DA">
      <w:pPr>
        <w:spacing w:line="480" w:lineRule="auto"/>
        <w:jc w:val="both"/>
      </w:pPr>
    </w:p>
    <w:p w14:paraId="5E9DF211" w14:textId="77777777" w:rsidR="005563EE" w:rsidRPr="00216965" w:rsidRDefault="005563EE" w:rsidP="008A33DA">
      <w:pPr>
        <w:spacing w:line="480" w:lineRule="auto"/>
        <w:jc w:val="both"/>
      </w:pPr>
    </w:p>
    <w:p w14:paraId="6C5C703B" w14:textId="77777777" w:rsidR="005563EE" w:rsidRPr="00216965" w:rsidRDefault="005563EE" w:rsidP="008A33DA">
      <w:pPr>
        <w:spacing w:line="480" w:lineRule="auto"/>
        <w:jc w:val="both"/>
      </w:pPr>
    </w:p>
    <w:p w14:paraId="314A8384" w14:textId="77777777" w:rsidR="005563EE" w:rsidRPr="00216965" w:rsidRDefault="005563EE" w:rsidP="008A33DA">
      <w:pPr>
        <w:spacing w:line="480" w:lineRule="auto"/>
        <w:jc w:val="both"/>
        <w:sectPr w:rsidR="005563EE" w:rsidRPr="00216965" w:rsidSect="00A0457B">
          <w:pgSz w:w="11906" w:h="16838"/>
          <w:pgMar w:top="1440" w:right="1440" w:bottom="1440" w:left="1440" w:header="708" w:footer="708" w:gutter="0"/>
          <w:cols w:space="708"/>
          <w:docGrid w:linePitch="360"/>
        </w:sectPr>
      </w:pPr>
    </w:p>
    <w:p w14:paraId="12A43101" w14:textId="00C8DA46" w:rsidR="005563EE" w:rsidRPr="00216965" w:rsidRDefault="00C6120A" w:rsidP="008A33DA">
      <w:pPr>
        <w:pStyle w:val="Caption"/>
        <w:rPr>
          <w:b/>
          <w:bCs w:val="0"/>
        </w:rPr>
      </w:pPr>
      <w:bookmarkStart w:id="141" w:name="_Ref86492950"/>
      <w:bookmarkStart w:id="142" w:name="_Ref86493396"/>
      <w:bookmarkStart w:id="143" w:name="_Toc86440365"/>
      <w:bookmarkStart w:id="144" w:name="_Hlk86426301"/>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3</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2</w:t>
      </w:r>
      <w:r w:rsidR="00E569FA" w:rsidRPr="00216965">
        <w:rPr>
          <w:b/>
          <w:bCs w:val="0"/>
        </w:rPr>
        <w:fldChar w:fldCharType="end"/>
      </w:r>
      <w:bookmarkEnd w:id="141"/>
      <w:bookmarkEnd w:id="142"/>
      <w:r w:rsidRPr="00216965">
        <w:rPr>
          <w:b/>
          <w:bCs w:val="0"/>
        </w:rPr>
        <w:t xml:space="preserve"> AIC values for kinetic and adsorption isotherm models</w:t>
      </w:r>
      <w:bookmarkEnd w:id="143"/>
    </w:p>
    <w:tbl>
      <w:tblPr>
        <w:tblW w:w="10343"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418"/>
        <w:gridCol w:w="1418"/>
        <w:gridCol w:w="1695"/>
        <w:gridCol w:w="1843"/>
        <w:gridCol w:w="284"/>
        <w:gridCol w:w="1701"/>
        <w:gridCol w:w="1984"/>
      </w:tblGrid>
      <w:tr w:rsidR="005563EE" w:rsidRPr="00216965" w14:paraId="6757A518" w14:textId="77777777" w:rsidTr="008A33DA">
        <w:trPr>
          <w:trHeight w:hRule="exact" w:val="284"/>
        </w:trPr>
        <w:tc>
          <w:tcPr>
            <w:tcW w:w="1418" w:type="dxa"/>
            <w:tcBorders>
              <w:top w:val="single" w:sz="4" w:space="0" w:color="auto"/>
              <w:bottom w:val="nil"/>
            </w:tcBorders>
            <w:shd w:val="clear" w:color="auto" w:fill="A8D08D" w:themeFill="accent6" w:themeFillTint="99"/>
            <w:noWrap/>
            <w:vAlign w:val="center"/>
          </w:tcPr>
          <w:p w14:paraId="408CFEA2" w14:textId="77777777" w:rsidR="005563EE" w:rsidRPr="00216965" w:rsidRDefault="005563EE" w:rsidP="00A0457B">
            <w:pPr>
              <w:spacing w:after="0" w:line="480" w:lineRule="auto"/>
              <w:rPr>
                <w:rFonts w:eastAsia="Times New Roman"/>
                <w:color w:val="000000"/>
                <w:szCs w:val="24"/>
                <w:lang w:eastAsia="es-ES"/>
              </w:rPr>
            </w:pPr>
            <w:bookmarkStart w:id="145" w:name="_Hlk86426184"/>
            <w:bookmarkStart w:id="146" w:name="_Hlk86426241"/>
          </w:p>
        </w:tc>
        <w:tc>
          <w:tcPr>
            <w:tcW w:w="1418" w:type="dxa"/>
            <w:tcBorders>
              <w:top w:val="single" w:sz="4" w:space="0" w:color="auto"/>
              <w:bottom w:val="nil"/>
            </w:tcBorders>
            <w:shd w:val="clear" w:color="auto" w:fill="A8D08D" w:themeFill="accent6" w:themeFillTint="99"/>
            <w:noWrap/>
            <w:vAlign w:val="center"/>
          </w:tcPr>
          <w:p w14:paraId="7C115A79" w14:textId="77777777" w:rsidR="005563EE" w:rsidRPr="00216965" w:rsidRDefault="005563EE" w:rsidP="00A0457B">
            <w:pPr>
              <w:spacing w:after="0" w:line="480" w:lineRule="auto"/>
              <w:rPr>
                <w:rFonts w:eastAsia="Times New Roman"/>
                <w:color w:val="000000"/>
                <w:szCs w:val="24"/>
                <w:lang w:eastAsia="es-ES"/>
              </w:rPr>
            </w:pPr>
          </w:p>
        </w:tc>
        <w:tc>
          <w:tcPr>
            <w:tcW w:w="3538" w:type="dxa"/>
            <w:gridSpan w:val="2"/>
            <w:tcBorders>
              <w:top w:val="single" w:sz="4" w:space="0" w:color="auto"/>
              <w:bottom w:val="nil"/>
            </w:tcBorders>
            <w:shd w:val="clear" w:color="auto" w:fill="A8D08D" w:themeFill="accent6" w:themeFillTint="99"/>
            <w:vAlign w:val="center"/>
          </w:tcPr>
          <w:p w14:paraId="40C8DB0E"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Kinetic models</w:t>
            </w:r>
          </w:p>
        </w:tc>
        <w:tc>
          <w:tcPr>
            <w:tcW w:w="284" w:type="dxa"/>
            <w:tcBorders>
              <w:top w:val="single" w:sz="4" w:space="0" w:color="auto"/>
              <w:bottom w:val="nil"/>
            </w:tcBorders>
            <w:shd w:val="clear" w:color="auto" w:fill="A8D08D" w:themeFill="accent6" w:themeFillTint="99"/>
          </w:tcPr>
          <w:p w14:paraId="74886EBE" w14:textId="77777777" w:rsidR="005563EE" w:rsidRPr="00216965" w:rsidRDefault="005563EE" w:rsidP="00A0457B">
            <w:pPr>
              <w:spacing w:after="0" w:line="480" w:lineRule="auto"/>
              <w:jc w:val="center"/>
              <w:rPr>
                <w:rFonts w:eastAsia="Times New Roman"/>
                <w:color w:val="000000"/>
                <w:szCs w:val="24"/>
                <w:lang w:eastAsia="es-ES"/>
              </w:rPr>
            </w:pPr>
          </w:p>
        </w:tc>
        <w:tc>
          <w:tcPr>
            <w:tcW w:w="3685" w:type="dxa"/>
            <w:gridSpan w:val="2"/>
            <w:tcBorders>
              <w:top w:val="single" w:sz="4" w:space="0" w:color="auto"/>
              <w:bottom w:val="nil"/>
            </w:tcBorders>
            <w:shd w:val="clear" w:color="auto" w:fill="A8D08D" w:themeFill="accent6" w:themeFillTint="99"/>
            <w:noWrap/>
            <w:vAlign w:val="center"/>
          </w:tcPr>
          <w:p w14:paraId="310D53E1"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Adsorption isotherm models</w:t>
            </w:r>
          </w:p>
        </w:tc>
      </w:tr>
      <w:tr w:rsidR="005563EE" w:rsidRPr="00216965" w14:paraId="491035F0" w14:textId="77777777" w:rsidTr="008A33DA">
        <w:trPr>
          <w:trHeight w:hRule="exact" w:val="284"/>
        </w:trPr>
        <w:tc>
          <w:tcPr>
            <w:tcW w:w="1418" w:type="dxa"/>
            <w:tcBorders>
              <w:top w:val="nil"/>
              <w:bottom w:val="single" w:sz="4" w:space="0" w:color="auto"/>
            </w:tcBorders>
            <w:shd w:val="clear" w:color="auto" w:fill="A8D08D" w:themeFill="accent6" w:themeFillTint="99"/>
            <w:noWrap/>
            <w:vAlign w:val="center"/>
            <w:hideMark/>
          </w:tcPr>
          <w:p w14:paraId="28657910"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Element</w:t>
            </w:r>
          </w:p>
        </w:tc>
        <w:tc>
          <w:tcPr>
            <w:tcW w:w="1418" w:type="dxa"/>
            <w:tcBorders>
              <w:top w:val="nil"/>
              <w:bottom w:val="single" w:sz="4" w:space="0" w:color="auto"/>
            </w:tcBorders>
            <w:shd w:val="clear" w:color="auto" w:fill="A8D08D" w:themeFill="accent6" w:themeFillTint="99"/>
            <w:noWrap/>
            <w:vAlign w:val="center"/>
            <w:hideMark/>
          </w:tcPr>
          <w:p w14:paraId="57E23181"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Biochar</w:t>
            </w:r>
          </w:p>
        </w:tc>
        <w:tc>
          <w:tcPr>
            <w:tcW w:w="1695" w:type="dxa"/>
            <w:tcBorders>
              <w:top w:val="nil"/>
              <w:bottom w:val="single" w:sz="4" w:space="0" w:color="auto"/>
            </w:tcBorders>
            <w:shd w:val="clear" w:color="auto" w:fill="A8D08D" w:themeFill="accent6" w:themeFillTint="99"/>
            <w:vAlign w:val="center"/>
          </w:tcPr>
          <w:p w14:paraId="1B9201C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 xml:space="preserve">Second order </w:t>
            </w:r>
          </w:p>
        </w:tc>
        <w:tc>
          <w:tcPr>
            <w:tcW w:w="1843" w:type="dxa"/>
            <w:tcBorders>
              <w:top w:val="nil"/>
              <w:bottom w:val="single" w:sz="4" w:space="0" w:color="auto"/>
            </w:tcBorders>
            <w:shd w:val="clear" w:color="auto" w:fill="A8D08D" w:themeFill="accent6" w:themeFillTint="99"/>
          </w:tcPr>
          <w:p w14:paraId="4B5ACF96" w14:textId="77777777" w:rsidR="005563EE" w:rsidRPr="00216965" w:rsidRDefault="005563EE" w:rsidP="00A0457B">
            <w:pPr>
              <w:spacing w:after="0" w:line="480" w:lineRule="auto"/>
              <w:ind w:firstLine="68"/>
              <w:jc w:val="center"/>
              <w:rPr>
                <w:rFonts w:eastAsia="Times New Roman"/>
                <w:color w:val="000000"/>
                <w:szCs w:val="24"/>
                <w:lang w:eastAsia="es-ES"/>
              </w:rPr>
            </w:pPr>
            <w:r w:rsidRPr="00216965">
              <w:rPr>
                <w:rFonts w:eastAsia="Times New Roman"/>
                <w:color w:val="000000"/>
                <w:szCs w:val="24"/>
                <w:lang w:eastAsia="es-ES"/>
              </w:rPr>
              <w:t xml:space="preserve">First order </w:t>
            </w:r>
          </w:p>
        </w:tc>
        <w:tc>
          <w:tcPr>
            <w:tcW w:w="284" w:type="dxa"/>
            <w:tcBorders>
              <w:top w:val="nil"/>
              <w:bottom w:val="single" w:sz="4" w:space="0" w:color="auto"/>
            </w:tcBorders>
            <w:shd w:val="clear" w:color="auto" w:fill="A8D08D" w:themeFill="accent6" w:themeFillTint="99"/>
          </w:tcPr>
          <w:p w14:paraId="75DA9258"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nil"/>
              <w:bottom w:val="single" w:sz="4" w:space="0" w:color="auto"/>
            </w:tcBorders>
            <w:shd w:val="clear" w:color="auto" w:fill="A8D08D" w:themeFill="accent6" w:themeFillTint="99"/>
            <w:noWrap/>
            <w:vAlign w:val="center"/>
          </w:tcPr>
          <w:p w14:paraId="5D2D268A" w14:textId="77777777" w:rsidR="005563EE" w:rsidRPr="00216965" w:rsidRDefault="005563EE" w:rsidP="00A0457B">
            <w:pPr>
              <w:spacing w:after="0" w:line="480" w:lineRule="auto"/>
              <w:ind w:firstLine="72"/>
              <w:jc w:val="center"/>
              <w:rPr>
                <w:rFonts w:eastAsia="Times New Roman"/>
                <w:color w:val="000000"/>
                <w:szCs w:val="24"/>
                <w:lang w:eastAsia="es-ES"/>
              </w:rPr>
            </w:pPr>
            <w:r w:rsidRPr="00216965">
              <w:rPr>
                <w:rFonts w:eastAsia="Times New Roman"/>
                <w:color w:val="000000"/>
                <w:szCs w:val="24"/>
                <w:lang w:eastAsia="es-ES"/>
              </w:rPr>
              <w:t>Hill model</w:t>
            </w:r>
          </w:p>
        </w:tc>
        <w:tc>
          <w:tcPr>
            <w:tcW w:w="1984" w:type="dxa"/>
            <w:tcBorders>
              <w:top w:val="nil"/>
              <w:bottom w:val="single" w:sz="4" w:space="0" w:color="auto"/>
            </w:tcBorders>
            <w:shd w:val="clear" w:color="auto" w:fill="A8D08D" w:themeFill="accent6" w:themeFillTint="99"/>
            <w:vAlign w:val="center"/>
          </w:tcPr>
          <w:p w14:paraId="282C5D9E" w14:textId="77777777" w:rsidR="005563EE" w:rsidRPr="00216965" w:rsidRDefault="005563EE" w:rsidP="00A0457B">
            <w:pPr>
              <w:spacing w:after="0" w:line="480" w:lineRule="auto"/>
              <w:ind w:firstLine="25"/>
              <w:jc w:val="center"/>
              <w:rPr>
                <w:rFonts w:eastAsia="Times New Roman"/>
                <w:color w:val="000000"/>
                <w:szCs w:val="24"/>
                <w:lang w:eastAsia="es-ES"/>
              </w:rPr>
            </w:pPr>
            <w:r w:rsidRPr="00216965">
              <w:rPr>
                <w:rFonts w:eastAsia="Times New Roman"/>
                <w:color w:val="000000"/>
                <w:szCs w:val="24"/>
                <w:lang w:eastAsia="es-ES"/>
              </w:rPr>
              <w:t>Langmuir model</w:t>
            </w:r>
          </w:p>
        </w:tc>
      </w:tr>
      <w:tr w:rsidR="005563EE" w:rsidRPr="00216965" w14:paraId="05D69FC1" w14:textId="77777777" w:rsidTr="008A33DA">
        <w:trPr>
          <w:trHeight w:hRule="exact" w:val="284"/>
        </w:trPr>
        <w:tc>
          <w:tcPr>
            <w:tcW w:w="1418" w:type="dxa"/>
            <w:vMerge w:val="restart"/>
            <w:tcBorders>
              <w:top w:val="single" w:sz="4" w:space="0" w:color="auto"/>
              <w:bottom w:val="single" w:sz="4" w:space="0" w:color="auto"/>
            </w:tcBorders>
            <w:shd w:val="clear" w:color="auto" w:fill="auto"/>
            <w:noWrap/>
            <w:vAlign w:val="center"/>
            <w:hideMark/>
          </w:tcPr>
          <w:p w14:paraId="0DF2133B" w14:textId="77777777" w:rsidR="005563EE" w:rsidRPr="00216965" w:rsidRDefault="005563EE" w:rsidP="00A0457B">
            <w:pPr>
              <w:spacing w:after="0" w:line="480" w:lineRule="auto"/>
              <w:rPr>
                <w:rFonts w:eastAsia="Times New Roman"/>
                <w:color w:val="000000"/>
                <w:szCs w:val="24"/>
                <w:lang w:eastAsia="es-ES"/>
              </w:rPr>
            </w:pPr>
            <w:r w:rsidRPr="00216965">
              <w:rPr>
                <w:rFonts w:eastAsia="Times New Roman"/>
                <w:color w:val="000000"/>
                <w:szCs w:val="24"/>
                <w:lang w:eastAsia="es-ES"/>
              </w:rPr>
              <w:t>Pb</w:t>
            </w:r>
          </w:p>
        </w:tc>
        <w:tc>
          <w:tcPr>
            <w:tcW w:w="1418" w:type="dxa"/>
            <w:tcBorders>
              <w:top w:val="single" w:sz="4" w:space="0" w:color="auto"/>
            </w:tcBorders>
            <w:shd w:val="clear" w:color="auto" w:fill="auto"/>
            <w:noWrap/>
            <w:vAlign w:val="center"/>
          </w:tcPr>
          <w:p w14:paraId="1AD86626"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MSP550</w:t>
            </w:r>
          </w:p>
        </w:tc>
        <w:tc>
          <w:tcPr>
            <w:tcW w:w="1695" w:type="dxa"/>
            <w:tcBorders>
              <w:top w:val="single" w:sz="4" w:space="0" w:color="auto"/>
            </w:tcBorders>
          </w:tcPr>
          <w:p w14:paraId="7AD37D9E"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-118.678</w:t>
            </w:r>
          </w:p>
        </w:tc>
        <w:tc>
          <w:tcPr>
            <w:tcW w:w="1843" w:type="dxa"/>
            <w:tcBorders>
              <w:top w:val="single" w:sz="4" w:space="0" w:color="auto"/>
            </w:tcBorders>
          </w:tcPr>
          <w:p w14:paraId="1E8710FC" w14:textId="77777777" w:rsidR="005563EE" w:rsidRPr="00216965" w:rsidRDefault="005563EE" w:rsidP="00A0457B">
            <w:pPr>
              <w:spacing w:after="0" w:line="480" w:lineRule="auto"/>
              <w:ind w:hanging="97"/>
              <w:jc w:val="center"/>
              <w:rPr>
                <w:rFonts w:eastAsia="Times New Roman"/>
                <w:color w:val="000000"/>
                <w:szCs w:val="24"/>
                <w:lang w:eastAsia="es-ES"/>
              </w:rPr>
            </w:pPr>
            <w:r w:rsidRPr="00216965">
              <w:rPr>
                <w:rFonts w:eastAsia="Times New Roman"/>
                <w:color w:val="000000"/>
                <w:szCs w:val="24"/>
                <w:lang w:eastAsia="es-ES"/>
              </w:rPr>
              <w:t>-128.926</w:t>
            </w:r>
          </w:p>
        </w:tc>
        <w:tc>
          <w:tcPr>
            <w:tcW w:w="284" w:type="dxa"/>
            <w:tcBorders>
              <w:top w:val="single" w:sz="4" w:space="0" w:color="auto"/>
            </w:tcBorders>
          </w:tcPr>
          <w:p w14:paraId="3EA34D51"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single" w:sz="4" w:space="0" w:color="auto"/>
            </w:tcBorders>
            <w:shd w:val="clear" w:color="auto" w:fill="auto"/>
            <w:noWrap/>
            <w:vAlign w:val="center"/>
          </w:tcPr>
          <w:p w14:paraId="19D9F7FE"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157.149</w:t>
            </w:r>
          </w:p>
        </w:tc>
        <w:tc>
          <w:tcPr>
            <w:tcW w:w="1984" w:type="dxa"/>
            <w:tcBorders>
              <w:top w:val="single" w:sz="4" w:space="0" w:color="auto"/>
            </w:tcBorders>
          </w:tcPr>
          <w:p w14:paraId="5A0B7D6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157.760</w:t>
            </w:r>
          </w:p>
        </w:tc>
      </w:tr>
      <w:tr w:rsidR="005563EE" w:rsidRPr="00216965" w14:paraId="240F5026" w14:textId="77777777" w:rsidTr="008A33DA">
        <w:trPr>
          <w:trHeight w:hRule="exact" w:val="284"/>
        </w:trPr>
        <w:tc>
          <w:tcPr>
            <w:tcW w:w="1418" w:type="dxa"/>
            <w:vMerge/>
            <w:tcBorders>
              <w:top w:val="nil"/>
              <w:bottom w:val="single" w:sz="4" w:space="0" w:color="auto"/>
            </w:tcBorders>
            <w:vAlign w:val="center"/>
            <w:hideMark/>
          </w:tcPr>
          <w:p w14:paraId="15BB5F98"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504F11B3"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OSR550</w:t>
            </w:r>
          </w:p>
        </w:tc>
        <w:tc>
          <w:tcPr>
            <w:tcW w:w="1695" w:type="dxa"/>
          </w:tcPr>
          <w:p w14:paraId="0466E4CF"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-123.799</w:t>
            </w:r>
          </w:p>
        </w:tc>
        <w:tc>
          <w:tcPr>
            <w:tcW w:w="1843" w:type="dxa"/>
          </w:tcPr>
          <w:p w14:paraId="7A64986F"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-111.672</w:t>
            </w:r>
          </w:p>
        </w:tc>
        <w:tc>
          <w:tcPr>
            <w:tcW w:w="284" w:type="dxa"/>
          </w:tcPr>
          <w:p w14:paraId="0038E638"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21E4AA9E"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167.402</w:t>
            </w:r>
          </w:p>
        </w:tc>
        <w:tc>
          <w:tcPr>
            <w:tcW w:w="1984" w:type="dxa"/>
          </w:tcPr>
          <w:p w14:paraId="5C7232AF"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175.854</w:t>
            </w:r>
          </w:p>
        </w:tc>
      </w:tr>
      <w:tr w:rsidR="005563EE" w:rsidRPr="00216965" w14:paraId="1D982B9B" w14:textId="77777777" w:rsidTr="008A33DA">
        <w:trPr>
          <w:trHeight w:hRule="exact" w:val="284"/>
        </w:trPr>
        <w:tc>
          <w:tcPr>
            <w:tcW w:w="1418" w:type="dxa"/>
            <w:vMerge/>
            <w:tcBorders>
              <w:top w:val="nil"/>
              <w:bottom w:val="single" w:sz="4" w:space="0" w:color="auto"/>
            </w:tcBorders>
            <w:vAlign w:val="center"/>
            <w:hideMark/>
          </w:tcPr>
          <w:p w14:paraId="7A827CD8"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7AFC6FC3"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OSR700</w:t>
            </w:r>
          </w:p>
        </w:tc>
        <w:tc>
          <w:tcPr>
            <w:tcW w:w="1695" w:type="dxa"/>
          </w:tcPr>
          <w:p w14:paraId="41589170"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-97.746</w:t>
            </w:r>
          </w:p>
        </w:tc>
        <w:tc>
          <w:tcPr>
            <w:tcW w:w="1843" w:type="dxa"/>
          </w:tcPr>
          <w:p w14:paraId="7DD04A6E"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-108.825</w:t>
            </w:r>
          </w:p>
        </w:tc>
        <w:tc>
          <w:tcPr>
            <w:tcW w:w="284" w:type="dxa"/>
          </w:tcPr>
          <w:p w14:paraId="3AC44882"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171E8875"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150.232</w:t>
            </w:r>
          </w:p>
        </w:tc>
        <w:tc>
          <w:tcPr>
            <w:tcW w:w="1984" w:type="dxa"/>
          </w:tcPr>
          <w:p w14:paraId="0965B33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195.784</w:t>
            </w:r>
          </w:p>
        </w:tc>
      </w:tr>
      <w:tr w:rsidR="005563EE" w:rsidRPr="00216965" w14:paraId="4AC3FD38" w14:textId="77777777" w:rsidTr="008A33DA">
        <w:trPr>
          <w:trHeight w:hRule="exact" w:val="284"/>
        </w:trPr>
        <w:tc>
          <w:tcPr>
            <w:tcW w:w="1418" w:type="dxa"/>
            <w:vMerge/>
            <w:tcBorders>
              <w:top w:val="nil"/>
              <w:bottom w:val="single" w:sz="4" w:space="0" w:color="auto"/>
            </w:tcBorders>
            <w:vAlign w:val="center"/>
          </w:tcPr>
          <w:p w14:paraId="71CD93C0" w14:textId="77777777" w:rsidR="005563EE" w:rsidRPr="00216965" w:rsidRDefault="005563EE" w:rsidP="00A0457B">
            <w:pPr>
              <w:spacing w:after="0" w:line="480" w:lineRule="auto"/>
              <w:rPr>
                <w:rFonts w:eastAsia="Times New Roman"/>
                <w:color w:val="000000"/>
                <w:szCs w:val="24"/>
                <w:lang w:eastAsia="es-ES"/>
              </w:rPr>
            </w:pPr>
          </w:p>
        </w:tc>
        <w:tc>
          <w:tcPr>
            <w:tcW w:w="1418" w:type="dxa"/>
            <w:tcBorders>
              <w:bottom w:val="nil"/>
            </w:tcBorders>
            <w:shd w:val="clear" w:color="auto" w:fill="auto"/>
            <w:noWrap/>
            <w:vAlign w:val="center"/>
          </w:tcPr>
          <w:p w14:paraId="76AA20A9"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SWP550</w:t>
            </w:r>
          </w:p>
        </w:tc>
        <w:tc>
          <w:tcPr>
            <w:tcW w:w="1695" w:type="dxa"/>
            <w:tcBorders>
              <w:bottom w:val="nil"/>
            </w:tcBorders>
          </w:tcPr>
          <w:p w14:paraId="77B3F398"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-86.932</w:t>
            </w:r>
          </w:p>
        </w:tc>
        <w:tc>
          <w:tcPr>
            <w:tcW w:w="1843" w:type="dxa"/>
            <w:tcBorders>
              <w:bottom w:val="nil"/>
            </w:tcBorders>
          </w:tcPr>
          <w:p w14:paraId="4D950654"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-74.059</w:t>
            </w:r>
          </w:p>
        </w:tc>
        <w:tc>
          <w:tcPr>
            <w:tcW w:w="284" w:type="dxa"/>
            <w:tcBorders>
              <w:bottom w:val="nil"/>
            </w:tcBorders>
          </w:tcPr>
          <w:p w14:paraId="6920A4F2"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bottom w:val="nil"/>
            </w:tcBorders>
            <w:shd w:val="clear" w:color="auto" w:fill="auto"/>
            <w:noWrap/>
            <w:vAlign w:val="bottom"/>
          </w:tcPr>
          <w:p w14:paraId="2464CF5A"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c>
          <w:tcPr>
            <w:tcW w:w="1984" w:type="dxa"/>
            <w:tcBorders>
              <w:bottom w:val="nil"/>
            </w:tcBorders>
          </w:tcPr>
          <w:p w14:paraId="4A7377B3"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r>
      <w:tr w:rsidR="005563EE" w:rsidRPr="00216965" w14:paraId="5C7CBB6C" w14:textId="77777777" w:rsidTr="008A33DA">
        <w:trPr>
          <w:trHeight w:hRule="exact" w:val="284"/>
        </w:trPr>
        <w:tc>
          <w:tcPr>
            <w:tcW w:w="1418" w:type="dxa"/>
            <w:vMerge/>
            <w:tcBorders>
              <w:top w:val="nil"/>
              <w:bottom w:val="single" w:sz="4" w:space="0" w:color="auto"/>
            </w:tcBorders>
            <w:vAlign w:val="center"/>
            <w:hideMark/>
          </w:tcPr>
          <w:p w14:paraId="5BD63C76" w14:textId="77777777" w:rsidR="005563EE" w:rsidRPr="00216965" w:rsidRDefault="005563EE" w:rsidP="00A0457B">
            <w:pPr>
              <w:spacing w:after="0" w:line="480" w:lineRule="auto"/>
              <w:rPr>
                <w:rFonts w:eastAsia="Times New Roman"/>
                <w:color w:val="000000"/>
                <w:szCs w:val="24"/>
                <w:lang w:eastAsia="es-ES"/>
              </w:rPr>
            </w:pPr>
          </w:p>
        </w:tc>
        <w:tc>
          <w:tcPr>
            <w:tcW w:w="1418" w:type="dxa"/>
            <w:tcBorders>
              <w:top w:val="nil"/>
              <w:bottom w:val="single" w:sz="4" w:space="0" w:color="auto"/>
            </w:tcBorders>
            <w:shd w:val="clear" w:color="auto" w:fill="auto"/>
            <w:noWrap/>
            <w:vAlign w:val="center"/>
          </w:tcPr>
          <w:p w14:paraId="44DA6304"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WSP550</w:t>
            </w:r>
          </w:p>
        </w:tc>
        <w:tc>
          <w:tcPr>
            <w:tcW w:w="1695" w:type="dxa"/>
            <w:tcBorders>
              <w:top w:val="nil"/>
              <w:bottom w:val="single" w:sz="4" w:space="0" w:color="auto"/>
            </w:tcBorders>
          </w:tcPr>
          <w:p w14:paraId="09157CBA"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-137.935</w:t>
            </w:r>
          </w:p>
        </w:tc>
        <w:tc>
          <w:tcPr>
            <w:tcW w:w="1843" w:type="dxa"/>
            <w:tcBorders>
              <w:top w:val="nil"/>
              <w:bottom w:val="single" w:sz="4" w:space="0" w:color="auto"/>
            </w:tcBorders>
          </w:tcPr>
          <w:p w14:paraId="185EB11B"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-134.369</w:t>
            </w:r>
          </w:p>
        </w:tc>
        <w:tc>
          <w:tcPr>
            <w:tcW w:w="284" w:type="dxa"/>
            <w:tcBorders>
              <w:top w:val="nil"/>
              <w:bottom w:val="single" w:sz="4" w:space="0" w:color="auto"/>
            </w:tcBorders>
          </w:tcPr>
          <w:p w14:paraId="03BD21DE"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nil"/>
              <w:bottom w:val="single" w:sz="4" w:space="0" w:color="auto"/>
            </w:tcBorders>
            <w:shd w:val="clear" w:color="auto" w:fill="auto"/>
            <w:noWrap/>
            <w:vAlign w:val="bottom"/>
          </w:tcPr>
          <w:p w14:paraId="09C8F8F3"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174.766</w:t>
            </w:r>
          </w:p>
        </w:tc>
        <w:tc>
          <w:tcPr>
            <w:tcW w:w="1984" w:type="dxa"/>
            <w:tcBorders>
              <w:top w:val="nil"/>
              <w:bottom w:val="single" w:sz="4" w:space="0" w:color="auto"/>
            </w:tcBorders>
          </w:tcPr>
          <w:p w14:paraId="7E0337B3"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183.262</w:t>
            </w:r>
          </w:p>
        </w:tc>
      </w:tr>
      <w:tr w:rsidR="005563EE" w:rsidRPr="00216965" w14:paraId="6198C7A4" w14:textId="77777777" w:rsidTr="008A33DA">
        <w:trPr>
          <w:trHeight w:hRule="exact" w:val="284"/>
        </w:trPr>
        <w:tc>
          <w:tcPr>
            <w:tcW w:w="1418" w:type="dxa"/>
            <w:vMerge w:val="restart"/>
            <w:tcBorders>
              <w:top w:val="single" w:sz="4" w:space="0" w:color="auto"/>
              <w:bottom w:val="single" w:sz="4" w:space="0" w:color="auto"/>
            </w:tcBorders>
            <w:shd w:val="clear" w:color="auto" w:fill="auto"/>
            <w:noWrap/>
            <w:vAlign w:val="center"/>
            <w:hideMark/>
          </w:tcPr>
          <w:p w14:paraId="382EFF91" w14:textId="77777777" w:rsidR="005563EE" w:rsidRPr="00216965" w:rsidRDefault="005563EE" w:rsidP="00A0457B">
            <w:pPr>
              <w:spacing w:after="0" w:line="480" w:lineRule="auto"/>
              <w:rPr>
                <w:rFonts w:eastAsia="Times New Roman"/>
                <w:color w:val="000000"/>
                <w:szCs w:val="24"/>
                <w:lang w:eastAsia="es-ES"/>
              </w:rPr>
            </w:pPr>
            <w:r w:rsidRPr="00216965">
              <w:rPr>
                <w:rFonts w:eastAsia="Times New Roman"/>
                <w:color w:val="000000"/>
                <w:szCs w:val="24"/>
                <w:lang w:eastAsia="es-ES"/>
              </w:rPr>
              <w:t>Cd</w:t>
            </w:r>
          </w:p>
        </w:tc>
        <w:tc>
          <w:tcPr>
            <w:tcW w:w="1418" w:type="dxa"/>
            <w:tcBorders>
              <w:top w:val="single" w:sz="4" w:space="0" w:color="auto"/>
            </w:tcBorders>
            <w:shd w:val="clear" w:color="auto" w:fill="auto"/>
            <w:noWrap/>
            <w:vAlign w:val="center"/>
          </w:tcPr>
          <w:p w14:paraId="7E0F35A3"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MSP550</w:t>
            </w:r>
          </w:p>
        </w:tc>
        <w:tc>
          <w:tcPr>
            <w:tcW w:w="1695" w:type="dxa"/>
            <w:tcBorders>
              <w:top w:val="single" w:sz="4" w:space="0" w:color="auto"/>
            </w:tcBorders>
          </w:tcPr>
          <w:p w14:paraId="2889B7DC"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-82.747</w:t>
            </w:r>
          </w:p>
        </w:tc>
        <w:tc>
          <w:tcPr>
            <w:tcW w:w="1843" w:type="dxa"/>
            <w:tcBorders>
              <w:top w:val="single" w:sz="4" w:space="0" w:color="auto"/>
            </w:tcBorders>
          </w:tcPr>
          <w:p w14:paraId="465F4053"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-61.051</w:t>
            </w:r>
          </w:p>
        </w:tc>
        <w:tc>
          <w:tcPr>
            <w:tcW w:w="284" w:type="dxa"/>
            <w:tcBorders>
              <w:top w:val="single" w:sz="4" w:space="0" w:color="auto"/>
            </w:tcBorders>
          </w:tcPr>
          <w:p w14:paraId="4F337BFB"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single" w:sz="4" w:space="0" w:color="auto"/>
            </w:tcBorders>
            <w:shd w:val="clear" w:color="auto" w:fill="auto"/>
            <w:noWrap/>
            <w:vAlign w:val="bottom"/>
          </w:tcPr>
          <w:p w14:paraId="05281F2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76.527</w:t>
            </w:r>
          </w:p>
        </w:tc>
        <w:tc>
          <w:tcPr>
            <w:tcW w:w="1984" w:type="dxa"/>
            <w:tcBorders>
              <w:top w:val="single" w:sz="4" w:space="0" w:color="auto"/>
            </w:tcBorders>
          </w:tcPr>
          <w:p w14:paraId="6F3F11BF"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76.990</w:t>
            </w:r>
          </w:p>
        </w:tc>
      </w:tr>
      <w:tr w:rsidR="005563EE" w:rsidRPr="00216965" w14:paraId="2EFF1D07" w14:textId="77777777" w:rsidTr="008A33DA">
        <w:trPr>
          <w:trHeight w:hRule="exact" w:val="284"/>
        </w:trPr>
        <w:tc>
          <w:tcPr>
            <w:tcW w:w="1418" w:type="dxa"/>
            <w:vMerge/>
            <w:tcBorders>
              <w:top w:val="nil"/>
              <w:bottom w:val="single" w:sz="4" w:space="0" w:color="auto"/>
            </w:tcBorders>
            <w:vAlign w:val="center"/>
            <w:hideMark/>
          </w:tcPr>
          <w:p w14:paraId="3D2FD723"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6F5D3D84"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OSR550</w:t>
            </w:r>
          </w:p>
        </w:tc>
        <w:tc>
          <w:tcPr>
            <w:tcW w:w="1695" w:type="dxa"/>
          </w:tcPr>
          <w:p w14:paraId="670DEF0E"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-106.998</w:t>
            </w:r>
          </w:p>
        </w:tc>
        <w:tc>
          <w:tcPr>
            <w:tcW w:w="1843" w:type="dxa"/>
          </w:tcPr>
          <w:p w14:paraId="1C98E0E7"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-82.130</w:t>
            </w:r>
          </w:p>
        </w:tc>
        <w:tc>
          <w:tcPr>
            <w:tcW w:w="284" w:type="dxa"/>
          </w:tcPr>
          <w:p w14:paraId="2FF8B837"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73BFD597"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119.097</w:t>
            </w:r>
          </w:p>
        </w:tc>
        <w:tc>
          <w:tcPr>
            <w:tcW w:w="1984" w:type="dxa"/>
          </w:tcPr>
          <w:p w14:paraId="21720A3A"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131.950</w:t>
            </w:r>
          </w:p>
        </w:tc>
      </w:tr>
      <w:tr w:rsidR="005563EE" w:rsidRPr="00216965" w14:paraId="71802DB0" w14:textId="77777777" w:rsidTr="008A33DA">
        <w:trPr>
          <w:trHeight w:hRule="exact" w:val="284"/>
        </w:trPr>
        <w:tc>
          <w:tcPr>
            <w:tcW w:w="1418" w:type="dxa"/>
            <w:vMerge/>
            <w:tcBorders>
              <w:top w:val="nil"/>
              <w:bottom w:val="single" w:sz="4" w:space="0" w:color="auto"/>
            </w:tcBorders>
            <w:vAlign w:val="center"/>
            <w:hideMark/>
          </w:tcPr>
          <w:p w14:paraId="0C0953BD"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5CDE23FE"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OSR700</w:t>
            </w:r>
          </w:p>
        </w:tc>
        <w:tc>
          <w:tcPr>
            <w:tcW w:w="1695" w:type="dxa"/>
          </w:tcPr>
          <w:p w14:paraId="5117B92A"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-80.193</w:t>
            </w:r>
          </w:p>
        </w:tc>
        <w:tc>
          <w:tcPr>
            <w:tcW w:w="1843" w:type="dxa"/>
          </w:tcPr>
          <w:p w14:paraId="16275DB2"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-67.331</w:t>
            </w:r>
          </w:p>
        </w:tc>
        <w:tc>
          <w:tcPr>
            <w:tcW w:w="284" w:type="dxa"/>
          </w:tcPr>
          <w:p w14:paraId="7F423C8B"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2B199A4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79.58973</w:t>
            </w:r>
          </w:p>
        </w:tc>
        <w:tc>
          <w:tcPr>
            <w:tcW w:w="1984" w:type="dxa"/>
          </w:tcPr>
          <w:p w14:paraId="103F8FE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145.806</w:t>
            </w:r>
          </w:p>
        </w:tc>
      </w:tr>
      <w:tr w:rsidR="005563EE" w:rsidRPr="00216965" w14:paraId="33F5138F" w14:textId="77777777" w:rsidTr="008A33DA">
        <w:trPr>
          <w:trHeight w:hRule="exact" w:val="284"/>
        </w:trPr>
        <w:tc>
          <w:tcPr>
            <w:tcW w:w="1418" w:type="dxa"/>
            <w:vMerge/>
            <w:tcBorders>
              <w:top w:val="nil"/>
              <w:bottom w:val="single" w:sz="4" w:space="0" w:color="auto"/>
            </w:tcBorders>
            <w:vAlign w:val="center"/>
          </w:tcPr>
          <w:p w14:paraId="5D65AF8C" w14:textId="77777777" w:rsidR="005563EE" w:rsidRPr="00216965" w:rsidRDefault="005563EE" w:rsidP="00A0457B">
            <w:pPr>
              <w:spacing w:after="0" w:line="480" w:lineRule="auto"/>
              <w:rPr>
                <w:rFonts w:eastAsia="Times New Roman"/>
                <w:color w:val="000000"/>
                <w:szCs w:val="24"/>
                <w:lang w:eastAsia="es-ES"/>
              </w:rPr>
            </w:pPr>
          </w:p>
        </w:tc>
        <w:tc>
          <w:tcPr>
            <w:tcW w:w="1418" w:type="dxa"/>
            <w:tcBorders>
              <w:bottom w:val="nil"/>
            </w:tcBorders>
            <w:shd w:val="clear" w:color="auto" w:fill="auto"/>
            <w:noWrap/>
            <w:vAlign w:val="center"/>
          </w:tcPr>
          <w:p w14:paraId="210C7C61"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SWP550</w:t>
            </w:r>
          </w:p>
        </w:tc>
        <w:tc>
          <w:tcPr>
            <w:tcW w:w="1695" w:type="dxa"/>
            <w:tcBorders>
              <w:bottom w:val="nil"/>
            </w:tcBorders>
          </w:tcPr>
          <w:p w14:paraId="770C6C01"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-89.405</w:t>
            </w:r>
          </w:p>
        </w:tc>
        <w:tc>
          <w:tcPr>
            <w:tcW w:w="1843" w:type="dxa"/>
            <w:tcBorders>
              <w:bottom w:val="nil"/>
            </w:tcBorders>
          </w:tcPr>
          <w:p w14:paraId="3298493E"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-89.728</w:t>
            </w:r>
          </w:p>
        </w:tc>
        <w:tc>
          <w:tcPr>
            <w:tcW w:w="284" w:type="dxa"/>
            <w:tcBorders>
              <w:bottom w:val="nil"/>
            </w:tcBorders>
          </w:tcPr>
          <w:p w14:paraId="173E9223"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bottom w:val="nil"/>
            </w:tcBorders>
            <w:shd w:val="clear" w:color="auto" w:fill="auto"/>
            <w:noWrap/>
            <w:vAlign w:val="bottom"/>
          </w:tcPr>
          <w:p w14:paraId="56790E8C"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c>
          <w:tcPr>
            <w:tcW w:w="1984" w:type="dxa"/>
            <w:tcBorders>
              <w:bottom w:val="nil"/>
            </w:tcBorders>
          </w:tcPr>
          <w:p w14:paraId="7D2FF5C9"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r>
      <w:tr w:rsidR="005563EE" w:rsidRPr="00216965" w14:paraId="10A19DA8" w14:textId="77777777" w:rsidTr="008A33DA">
        <w:trPr>
          <w:trHeight w:hRule="exact" w:val="284"/>
        </w:trPr>
        <w:tc>
          <w:tcPr>
            <w:tcW w:w="1418" w:type="dxa"/>
            <w:vMerge/>
            <w:tcBorders>
              <w:top w:val="nil"/>
              <w:bottom w:val="single" w:sz="4" w:space="0" w:color="auto"/>
            </w:tcBorders>
            <w:vAlign w:val="center"/>
            <w:hideMark/>
          </w:tcPr>
          <w:p w14:paraId="5BFC3262" w14:textId="77777777" w:rsidR="005563EE" w:rsidRPr="00216965" w:rsidRDefault="005563EE" w:rsidP="00A0457B">
            <w:pPr>
              <w:spacing w:after="0" w:line="480" w:lineRule="auto"/>
              <w:rPr>
                <w:rFonts w:eastAsia="Times New Roman"/>
                <w:color w:val="000000"/>
                <w:szCs w:val="24"/>
                <w:lang w:eastAsia="es-ES"/>
              </w:rPr>
            </w:pPr>
          </w:p>
        </w:tc>
        <w:tc>
          <w:tcPr>
            <w:tcW w:w="1418" w:type="dxa"/>
            <w:tcBorders>
              <w:top w:val="nil"/>
              <w:bottom w:val="single" w:sz="4" w:space="0" w:color="auto"/>
            </w:tcBorders>
            <w:shd w:val="clear" w:color="auto" w:fill="auto"/>
            <w:noWrap/>
            <w:vAlign w:val="center"/>
          </w:tcPr>
          <w:p w14:paraId="7525C6D8"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WSP550</w:t>
            </w:r>
          </w:p>
        </w:tc>
        <w:tc>
          <w:tcPr>
            <w:tcW w:w="1695" w:type="dxa"/>
            <w:tcBorders>
              <w:top w:val="nil"/>
              <w:bottom w:val="single" w:sz="4" w:space="0" w:color="auto"/>
            </w:tcBorders>
          </w:tcPr>
          <w:p w14:paraId="454A463A"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-83.848</w:t>
            </w:r>
          </w:p>
        </w:tc>
        <w:tc>
          <w:tcPr>
            <w:tcW w:w="1843" w:type="dxa"/>
            <w:tcBorders>
              <w:top w:val="nil"/>
              <w:bottom w:val="single" w:sz="4" w:space="0" w:color="auto"/>
            </w:tcBorders>
          </w:tcPr>
          <w:p w14:paraId="4D74FF5A"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-66.698</w:t>
            </w:r>
          </w:p>
        </w:tc>
        <w:tc>
          <w:tcPr>
            <w:tcW w:w="284" w:type="dxa"/>
            <w:tcBorders>
              <w:top w:val="nil"/>
              <w:bottom w:val="single" w:sz="4" w:space="0" w:color="auto"/>
            </w:tcBorders>
          </w:tcPr>
          <w:p w14:paraId="1C750932"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nil"/>
              <w:bottom w:val="single" w:sz="4" w:space="0" w:color="auto"/>
            </w:tcBorders>
            <w:shd w:val="clear" w:color="auto" w:fill="auto"/>
            <w:noWrap/>
            <w:vAlign w:val="bottom"/>
          </w:tcPr>
          <w:p w14:paraId="50EE9369"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111.449</w:t>
            </w:r>
          </w:p>
        </w:tc>
        <w:tc>
          <w:tcPr>
            <w:tcW w:w="1984" w:type="dxa"/>
            <w:tcBorders>
              <w:top w:val="nil"/>
              <w:bottom w:val="single" w:sz="4" w:space="0" w:color="auto"/>
            </w:tcBorders>
          </w:tcPr>
          <w:p w14:paraId="6B9A119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125.145</w:t>
            </w:r>
          </w:p>
        </w:tc>
      </w:tr>
      <w:tr w:rsidR="005563EE" w:rsidRPr="00216965" w14:paraId="2E84CF76" w14:textId="77777777" w:rsidTr="008A33DA">
        <w:trPr>
          <w:trHeight w:hRule="exact" w:val="284"/>
        </w:trPr>
        <w:tc>
          <w:tcPr>
            <w:tcW w:w="1418" w:type="dxa"/>
            <w:vMerge w:val="restart"/>
            <w:tcBorders>
              <w:top w:val="single" w:sz="4" w:space="0" w:color="auto"/>
            </w:tcBorders>
            <w:shd w:val="clear" w:color="auto" w:fill="auto"/>
            <w:noWrap/>
            <w:vAlign w:val="center"/>
            <w:hideMark/>
          </w:tcPr>
          <w:p w14:paraId="2329FABE" w14:textId="77777777" w:rsidR="005563EE" w:rsidRPr="00216965" w:rsidRDefault="005563EE" w:rsidP="00A0457B">
            <w:pPr>
              <w:spacing w:after="0" w:line="480" w:lineRule="auto"/>
              <w:rPr>
                <w:rFonts w:eastAsia="Times New Roman"/>
                <w:color w:val="000000"/>
                <w:szCs w:val="24"/>
                <w:lang w:eastAsia="es-ES"/>
              </w:rPr>
            </w:pPr>
            <w:r w:rsidRPr="00216965">
              <w:rPr>
                <w:rFonts w:eastAsia="Times New Roman"/>
                <w:color w:val="000000"/>
                <w:szCs w:val="24"/>
                <w:lang w:eastAsia="es-ES"/>
              </w:rPr>
              <w:t>Zn</w:t>
            </w:r>
          </w:p>
        </w:tc>
        <w:tc>
          <w:tcPr>
            <w:tcW w:w="1418" w:type="dxa"/>
            <w:tcBorders>
              <w:top w:val="single" w:sz="4" w:space="0" w:color="auto"/>
            </w:tcBorders>
            <w:shd w:val="clear" w:color="auto" w:fill="auto"/>
            <w:noWrap/>
            <w:vAlign w:val="center"/>
          </w:tcPr>
          <w:p w14:paraId="1C851428"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MSP550</w:t>
            </w:r>
          </w:p>
        </w:tc>
        <w:tc>
          <w:tcPr>
            <w:tcW w:w="1695" w:type="dxa"/>
            <w:tcBorders>
              <w:top w:val="single" w:sz="4" w:space="0" w:color="auto"/>
            </w:tcBorders>
          </w:tcPr>
          <w:p w14:paraId="386300CC"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-93.397</w:t>
            </w:r>
          </w:p>
        </w:tc>
        <w:tc>
          <w:tcPr>
            <w:tcW w:w="1843" w:type="dxa"/>
            <w:tcBorders>
              <w:top w:val="single" w:sz="4" w:space="0" w:color="auto"/>
            </w:tcBorders>
          </w:tcPr>
          <w:p w14:paraId="492269C6"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-87.825</w:t>
            </w:r>
          </w:p>
        </w:tc>
        <w:tc>
          <w:tcPr>
            <w:tcW w:w="284" w:type="dxa"/>
            <w:tcBorders>
              <w:top w:val="single" w:sz="4" w:space="0" w:color="auto"/>
            </w:tcBorders>
          </w:tcPr>
          <w:p w14:paraId="4840BEB3"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tcBorders>
              <w:top w:val="single" w:sz="4" w:space="0" w:color="auto"/>
            </w:tcBorders>
            <w:shd w:val="clear" w:color="auto" w:fill="auto"/>
            <w:noWrap/>
            <w:vAlign w:val="bottom"/>
          </w:tcPr>
          <w:p w14:paraId="76E0B6D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56.463</w:t>
            </w:r>
          </w:p>
        </w:tc>
        <w:tc>
          <w:tcPr>
            <w:tcW w:w="1984" w:type="dxa"/>
            <w:tcBorders>
              <w:top w:val="single" w:sz="4" w:space="0" w:color="auto"/>
            </w:tcBorders>
          </w:tcPr>
          <w:p w14:paraId="25D31978"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54.486</w:t>
            </w:r>
          </w:p>
        </w:tc>
      </w:tr>
      <w:tr w:rsidR="005563EE" w:rsidRPr="00216965" w14:paraId="0463B505" w14:textId="77777777" w:rsidTr="008A33DA">
        <w:trPr>
          <w:trHeight w:hRule="exact" w:val="284"/>
        </w:trPr>
        <w:tc>
          <w:tcPr>
            <w:tcW w:w="1418" w:type="dxa"/>
            <w:vMerge/>
            <w:vAlign w:val="center"/>
            <w:hideMark/>
          </w:tcPr>
          <w:p w14:paraId="3817A48E"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7E10A862"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OSR550</w:t>
            </w:r>
          </w:p>
        </w:tc>
        <w:tc>
          <w:tcPr>
            <w:tcW w:w="1695" w:type="dxa"/>
          </w:tcPr>
          <w:p w14:paraId="6018BEC5"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-114.667</w:t>
            </w:r>
          </w:p>
        </w:tc>
        <w:tc>
          <w:tcPr>
            <w:tcW w:w="1843" w:type="dxa"/>
          </w:tcPr>
          <w:p w14:paraId="305B7F7B"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-98.404</w:t>
            </w:r>
          </w:p>
        </w:tc>
        <w:tc>
          <w:tcPr>
            <w:tcW w:w="284" w:type="dxa"/>
          </w:tcPr>
          <w:p w14:paraId="41366B73"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5FC4E57B"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58.295</w:t>
            </w:r>
          </w:p>
        </w:tc>
        <w:tc>
          <w:tcPr>
            <w:tcW w:w="1984" w:type="dxa"/>
          </w:tcPr>
          <w:p w14:paraId="1FA47D3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67.439</w:t>
            </w:r>
          </w:p>
        </w:tc>
      </w:tr>
      <w:tr w:rsidR="005563EE" w:rsidRPr="00216965" w14:paraId="090489D9" w14:textId="77777777" w:rsidTr="008A33DA">
        <w:trPr>
          <w:trHeight w:hRule="exact" w:val="284"/>
        </w:trPr>
        <w:tc>
          <w:tcPr>
            <w:tcW w:w="1418" w:type="dxa"/>
            <w:vMerge/>
            <w:vAlign w:val="center"/>
            <w:hideMark/>
          </w:tcPr>
          <w:p w14:paraId="002429BB"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0661A528"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OSR700</w:t>
            </w:r>
          </w:p>
        </w:tc>
        <w:tc>
          <w:tcPr>
            <w:tcW w:w="1695" w:type="dxa"/>
          </w:tcPr>
          <w:p w14:paraId="6B09A82D"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-105.267</w:t>
            </w:r>
          </w:p>
        </w:tc>
        <w:tc>
          <w:tcPr>
            <w:tcW w:w="1843" w:type="dxa"/>
          </w:tcPr>
          <w:p w14:paraId="6C85BAD8"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-95.211</w:t>
            </w:r>
          </w:p>
        </w:tc>
        <w:tc>
          <w:tcPr>
            <w:tcW w:w="284" w:type="dxa"/>
          </w:tcPr>
          <w:p w14:paraId="615DEB20"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6B1211CD"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74.830</w:t>
            </w:r>
          </w:p>
        </w:tc>
        <w:tc>
          <w:tcPr>
            <w:tcW w:w="1984" w:type="dxa"/>
          </w:tcPr>
          <w:p w14:paraId="2F41C3E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100.986</w:t>
            </w:r>
          </w:p>
        </w:tc>
      </w:tr>
      <w:tr w:rsidR="005563EE" w:rsidRPr="00216965" w14:paraId="372CCB85" w14:textId="77777777" w:rsidTr="008A33DA">
        <w:trPr>
          <w:trHeight w:hRule="exact" w:val="284"/>
        </w:trPr>
        <w:tc>
          <w:tcPr>
            <w:tcW w:w="1418" w:type="dxa"/>
            <w:vMerge/>
            <w:vAlign w:val="center"/>
          </w:tcPr>
          <w:p w14:paraId="0E290E05"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580B9488"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SWP550</w:t>
            </w:r>
          </w:p>
        </w:tc>
        <w:tc>
          <w:tcPr>
            <w:tcW w:w="1695" w:type="dxa"/>
          </w:tcPr>
          <w:p w14:paraId="4F4E0085"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-42.776</w:t>
            </w:r>
          </w:p>
        </w:tc>
        <w:tc>
          <w:tcPr>
            <w:tcW w:w="1843" w:type="dxa"/>
          </w:tcPr>
          <w:p w14:paraId="7E76C35B"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-39.922</w:t>
            </w:r>
          </w:p>
        </w:tc>
        <w:tc>
          <w:tcPr>
            <w:tcW w:w="284" w:type="dxa"/>
          </w:tcPr>
          <w:p w14:paraId="2D31807B"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bottom"/>
          </w:tcPr>
          <w:p w14:paraId="5F1AC36D"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c>
          <w:tcPr>
            <w:tcW w:w="1984" w:type="dxa"/>
          </w:tcPr>
          <w:p w14:paraId="20C81726"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w:t>
            </w:r>
          </w:p>
        </w:tc>
      </w:tr>
      <w:tr w:rsidR="005563EE" w:rsidRPr="00216965" w14:paraId="3AE31761" w14:textId="77777777" w:rsidTr="008A33DA">
        <w:trPr>
          <w:trHeight w:hRule="exact" w:val="284"/>
        </w:trPr>
        <w:tc>
          <w:tcPr>
            <w:tcW w:w="1418" w:type="dxa"/>
            <w:vMerge/>
            <w:vAlign w:val="center"/>
            <w:hideMark/>
          </w:tcPr>
          <w:p w14:paraId="4C88886E" w14:textId="77777777" w:rsidR="005563EE" w:rsidRPr="00216965" w:rsidRDefault="005563EE" w:rsidP="00A0457B">
            <w:pPr>
              <w:spacing w:after="0" w:line="480" w:lineRule="auto"/>
              <w:rPr>
                <w:rFonts w:eastAsia="Times New Roman"/>
                <w:color w:val="000000"/>
                <w:szCs w:val="24"/>
                <w:lang w:eastAsia="es-ES"/>
              </w:rPr>
            </w:pPr>
          </w:p>
        </w:tc>
        <w:tc>
          <w:tcPr>
            <w:tcW w:w="1418" w:type="dxa"/>
            <w:shd w:val="clear" w:color="auto" w:fill="auto"/>
            <w:noWrap/>
            <w:vAlign w:val="center"/>
          </w:tcPr>
          <w:p w14:paraId="2CE6B902" w14:textId="77777777" w:rsidR="005563EE" w:rsidRPr="00216965" w:rsidRDefault="005563EE" w:rsidP="00A0457B">
            <w:pPr>
              <w:spacing w:after="0" w:line="480" w:lineRule="auto"/>
              <w:ind w:hanging="29"/>
              <w:jc w:val="center"/>
              <w:rPr>
                <w:rFonts w:eastAsia="Times New Roman"/>
                <w:color w:val="000000"/>
                <w:szCs w:val="24"/>
                <w:lang w:eastAsia="es-ES"/>
              </w:rPr>
            </w:pPr>
            <w:r w:rsidRPr="00216965">
              <w:rPr>
                <w:rFonts w:eastAsia="Times New Roman"/>
                <w:color w:val="000000"/>
                <w:szCs w:val="24"/>
                <w:lang w:eastAsia="es-ES"/>
              </w:rPr>
              <w:t>WSP550</w:t>
            </w:r>
          </w:p>
        </w:tc>
        <w:tc>
          <w:tcPr>
            <w:tcW w:w="1695" w:type="dxa"/>
          </w:tcPr>
          <w:p w14:paraId="2A543B6C" w14:textId="77777777" w:rsidR="005563EE" w:rsidRPr="00216965" w:rsidRDefault="005563EE" w:rsidP="00A0457B">
            <w:pPr>
              <w:spacing w:after="0" w:line="480" w:lineRule="auto"/>
              <w:ind w:hanging="43"/>
              <w:jc w:val="center"/>
              <w:rPr>
                <w:rFonts w:eastAsia="Times New Roman"/>
                <w:color w:val="000000"/>
                <w:szCs w:val="24"/>
                <w:lang w:eastAsia="es-ES"/>
              </w:rPr>
            </w:pPr>
            <w:r w:rsidRPr="00216965">
              <w:rPr>
                <w:rFonts w:eastAsia="Times New Roman"/>
                <w:color w:val="000000"/>
                <w:szCs w:val="24"/>
                <w:lang w:eastAsia="es-ES"/>
              </w:rPr>
              <w:t>-89.543</w:t>
            </w:r>
          </w:p>
        </w:tc>
        <w:tc>
          <w:tcPr>
            <w:tcW w:w="1843" w:type="dxa"/>
          </w:tcPr>
          <w:p w14:paraId="7C7872D3" w14:textId="77777777" w:rsidR="005563EE" w:rsidRPr="00216965" w:rsidRDefault="005563EE" w:rsidP="00A0457B">
            <w:pPr>
              <w:spacing w:after="0" w:line="480" w:lineRule="auto"/>
              <w:ind w:firstLine="45"/>
              <w:jc w:val="center"/>
              <w:rPr>
                <w:rFonts w:eastAsia="Times New Roman"/>
                <w:color w:val="000000"/>
                <w:szCs w:val="24"/>
                <w:lang w:eastAsia="es-ES"/>
              </w:rPr>
            </w:pPr>
            <w:r w:rsidRPr="00216965">
              <w:rPr>
                <w:rFonts w:eastAsia="Times New Roman"/>
                <w:color w:val="000000"/>
                <w:szCs w:val="24"/>
                <w:lang w:eastAsia="es-ES"/>
              </w:rPr>
              <w:t>-81.0505</w:t>
            </w:r>
          </w:p>
        </w:tc>
        <w:tc>
          <w:tcPr>
            <w:tcW w:w="284" w:type="dxa"/>
          </w:tcPr>
          <w:p w14:paraId="33DA0BA1" w14:textId="77777777" w:rsidR="005563EE" w:rsidRPr="00216965" w:rsidRDefault="005563EE" w:rsidP="00A0457B">
            <w:pPr>
              <w:spacing w:after="0" w:line="480" w:lineRule="auto"/>
              <w:jc w:val="center"/>
              <w:rPr>
                <w:rFonts w:eastAsia="Times New Roman"/>
                <w:color w:val="000000"/>
                <w:szCs w:val="24"/>
                <w:lang w:eastAsia="es-ES"/>
              </w:rPr>
            </w:pPr>
          </w:p>
        </w:tc>
        <w:tc>
          <w:tcPr>
            <w:tcW w:w="1701" w:type="dxa"/>
            <w:shd w:val="clear" w:color="auto" w:fill="auto"/>
            <w:noWrap/>
            <w:vAlign w:val="center"/>
          </w:tcPr>
          <w:p w14:paraId="4EFCE672"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94.719</w:t>
            </w:r>
          </w:p>
        </w:tc>
        <w:tc>
          <w:tcPr>
            <w:tcW w:w="1984" w:type="dxa"/>
          </w:tcPr>
          <w:p w14:paraId="57217DC7" w14:textId="77777777" w:rsidR="005563EE" w:rsidRPr="00216965" w:rsidRDefault="005563EE" w:rsidP="00A0457B">
            <w:pPr>
              <w:spacing w:after="0" w:line="480" w:lineRule="auto"/>
              <w:jc w:val="center"/>
              <w:rPr>
                <w:rFonts w:eastAsia="Times New Roman"/>
                <w:color w:val="000000"/>
                <w:szCs w:val="24"/>
                <w:lang w:eastAsia="es-ES"/>
              </w:rPr>
            </w:pPr>
            <w:r w:rsidRPr="00216965">
              <w:rPr>
                <w:rFonts w:eastAsia="Times New Roman"/>
                <w:color w:val="000000"/>
                <w:szCs w:val="24"/>
                <w:lang w:eastAsia="es-ES"/>
              </w:rPr>
              <w:t>101.688</w:t>
            </w:r>
          </w:p>
        </w:tc>
      </w:tr>
    </w:tbl>
    <w:p w14:paraId="3504C725" w14:textId="77777777" w:rsidR="005563EE" w:rsidRPr="00216965" w:rsidRDefault="005563EE" w:rsidP="008A33DA">
      <w:pPr>
        <w:pStyle w:val="Caption"/>
        <w:ind w:right="1558"/>
        <w:rPr>
          <w:rFonts w:cs="Times New Roman"/>
          <w:b/>
          <w:bCs w:val="0"/>
          <w:sz w:val="22"/>
          <w:szCs w:val="22"/>
        </w:rPr>
      </w:pPr>
      <w:r w:rsidRPr="00216965">
        <w:rPr>
          <w:rFonts w:cs="Times New Roman"/>
          <w:bCs w:val="0"/>
          <w:sz w:val="22"/>
          <w:szCs w:val="22"/>
        </w:rPr>
        <w:t>Note: the model for which AIC is minimal is the one that best describes the experimental data</w:t>
      </w:r>
      <w:bookmarkEnd w:id="145"/>
    </w:p>
    <w:bookmarkEnd w:id="144"/>
    <w:bookmarkEnd w:id="146"/>
    <w:p w14:paraId="1358A74B" w14:textId="77777777" w:rsidR="005563EE" w:rsidRPr="00216965" w:rsidRDefault="005563EE" w:rsidP="008A33DA">
      <w:pPr>
        <w:tabs>
          <w:tab w:val="left" w:pos="1452"/>
        </w:tabs>
        <w:spacing w:line="480" w:lineRule="auto"/>
      </w:pPr>
    </w:p>
    <w:p w14:paraId="4B169B59" w14:textId="68832835" w:rsidR="005563EE" w:rsidRPr="00216965" w:rsidRDefault="005563EE" w:rsidP="008A33DA">
      <w:pPr>
        <w:tabs>
          <w:tab w:val="left" w:pos="1452"/>
        </w:tabs>
        <w:spacing w:line="480" w:lineRule="auto"/>
      </w:pPr>
      <w:r w:rsidRPr="00216965">
        <w:tab/>
      </w:r>
    </w:p>
    <w:p w14:paraId="0AAA55A5" w14:textId="77777777" w:rsidR="00C6120A" w:rsidRPr="00216965" w:rsidRDefault="00C6120A" w:rsidP="008A33DA">
      <w:pPr>
        <w:tabs>
          <w:tab w:val="left" w:pos="1452"/>
        </w:tabs>
        <w:spacing w:line="480" w:lineRule="auto"/>
      </w:pPr>
    </w:p>
    <w:p w14:paraId="295641F7" w14:textId="6D2D67D6" w:rsidR="00C6120A" w:rsidRPr="00216965" w:rsidRDefault="00C6120A" w:rsidP="008A33DA">
      <w:pPr>
        <w:tabs>
          <w:tab w:val="left" w:pos="1452"/>
        </w:tabs>
        <w:spacing w:line="480" w:lineRule="auto"/>
      </w:pPr>
    </w:p>
    <w:p w14:paraId="01F5650C" w14:textId="264C0A2A" w:rsidR="00C6120A" w:rsidRPr="00216965" w:rsidRDefault="00C6120A" w:rsidP="008A33DA">
      <w:pPr>
        <w:pStyle w:val="Caption"/>
        <w:jc w:val="both"/>
      </w:pPr>
      <w:bookmarkStart w:id="147" w:name="_Ref86492962"/>
      <w:bookmarkStart w:id="148" w:name="_Toc86440366"/>
      <w:bookmarkStart w:id="149" w:name="_Hlk86426366"/>
      <w:r w:rsidRPr="00216965">
        <w:rPr>
          <w:b/>
          <w:bCs w:val="0"/>
        </w:rPr>
        <w:lastRenderedPageBreak/>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3</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3</w:t>
      </w:r>
      <w:r w:rsidR="00E569FA" w:rsidRPr="00216965">
        <w:rPr>
          <w:b/>
          <w:bCs w:val="0"/>
        </w:rPr>
        <w:fldChar w:fldCharType="end"/>
      </w:r>
      <w:bookmarkEnd w:id="147"/>
      <w:r w:rsidRPr="00216965">
        <w:rPr>
          <w:b/>
          <w:bCs w:val="0"/>
        </w:rPr>
        <w:t xml:space="preserve"> Second order kinetic model and Hill sorption model parameters for the adsorption of Cd, Pb and Zn onto biochars.</w:t>
      </w:r>
      <w:r w:rsidRPr="00216965">
        <w:t xml:space="preserve"> Kinetics conducted at initial concentration 5 mg.L</w:t>
      </w:r>
      <w:r w:rsidRPr="00216965">
        <w:rPr>
          <w:vertAlign w:val="superscript"/>
        </w:rPr>
        <w:t>-1</w:t>
      </w:r>
      <w:r w:rsidRPr="00216965">
        <w:t xml:space="preserve"> and pH 7. Sorption isotherm with concentrations starting at 0.05 mg.L</w:t>
      </w:r>
      <w:r w:rsidRPr="00216965">
        <w:rPr>
          <w:vertAlign w:val="superscript"/>
        </w:rPr>
        <w:t>-1</w:t>
      </w:r>
      <w:r w:rsidRPr="00216965">
        <w:t xml:space="preserve"> to 50 mg.L</w:t>
      </w:r>
      <w:r w:rsidRPr="00216965">
        <w:rPr>
          <w:vertAlign w:val="superscript"/>
        </w:rPr>
        <w:t>-1</w:t>
      </w:r>
      <w:r w:rsidRPr="00216965">
        <w:t xml:space="preserve"> (Zn with pH 7.5  and Cd with pH of 6.5) and up to 85 mg.L</w:t>
      </w:r>
      <w:r w:rsidRPr="00216965">
        <w:rPr>
          <w:vertAlign w:val="superscript"/>
        </w:rPr>
        <w:t>-1</w:t>
      </w:r>
      <w:r w:rsidRPr="00216965">
        <w:t xml:space="preserve"> for Pb (pH 5), contact time = 24 hours, t= 22 ± 2 °C. Values are parameters means ± standard deviation; different letters indicate significant differences in parameters between biochars grouped by meta (p &lt; 0.05; pairwise </w:t>
      </w:r>
      <w:r w:rsidR="000134E8" w:rsidRPr="00216965">
        <w:t xml:space="preserve">one-way </w:t>
      </w:r>
      <w:r w:rsidRPr="00216965">
        <w:t>ANOVA).</w:t>
      </w:r>
      <w:bookmarkEnd w:id="148"/>
    </w:p>
    <w:tbl>
      <w:tblPr>
        <w:tblW w:w="11902"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014"/>
        <w:gridCol w:w="1283"/>
        <w:gridCol w:w="1951"/>
        <w:gridCol w:w="1984"/>
        <w:gridCol w:w="160"/>
        <w:gridCol w:w="1541"/>
        <w:gridCol w:w="1701"/>
        <w:gridCol w:w="2268"/>
      </w:tblGrid>
      <w:tr w:rsidR="005563EE" w:rsidRPr="00216965" w14:paraId="4B47E65E" w14:textId="77777777" w:rsidTr="008A33DA">
        <w:trPr>
          <w:trHeight w:val="300"/>
          <w:jc w:val="center"/>
        </w:trPr>
        <w:tc>
          <w:tcPr>
            <w:tcW w:w="1014" w:type="dxa"/>
            <w:tcBorders>
              <w:top w:val="single" w:sz="4" w:space="0" w:color="auto"/>
            </w:tcBorders>
            <w:shd w:val="clear" w:color="auto" w:fill="A8D08D" w:themeFill="accent6" w:themeFillTint="99"/>
            <w:noWrap/>
            <w:vAlign w:val="bottom"/>
          </w:tcPr>
          <w:p w14:paraId="10ECAAE4" w14:textId="77777777" w:rsidR="005563EE" w:rsidRPr="00216965" w:rsidRDefault="005563EE" w:rsidP="00A0457B">
            <w:pPr>
              <w:spacing w:after="0" w:line="480" w:lineRule="auto"/>
              <w:jc w:val="center"/>
              <w:rPr>
                <w:rFonts w:eastAsia="Times New Roman" w:cs="Times New Roman"/>
                <w:bCs/>
                <w:lang w:eastAsia="es-ES"/>
              </w:rPr>
            </w:pPr>
          </w:p>
        </w:tc>
        <w:tc>
          <w:tcPr>
            <w:tcW w:w="1283" w:type="dxa"/>
            <w:tcBorders>
              <w:top w:val="single" w:sz="4" w:space="0" w:color="auto"/>
              <w:bottom w:val="single" w:sz="4" w:space="0" w:color="auto"/>
            </w:tcBorders>
            <w:shd w:val="clear" w:color="auto" w:fill="A8D08D" w:themeFill="accent6" w:themeFillTint="99"/>
            <w:noWrap/>
            <w:vAlign w:val="bottom"/>
          </w:tcPr>
          <w:p w14:paraId="6264ACE4" w14:textId="77777777" w:rsidR="005563EE" w:rsidRPr="00216965" w:rsidRDefault="005563EE" w:rsidP="00C84F12">
            <w:pPr>
              <w:spacing w:after="0" w:line="240" w:lineRule="auto"/>
              <w:jc w:val="center"/>
              <w:rPr>
                <w:rFonts w:eastAsia="Times New Roman" w:cs="Times New Roman"/>
                <w:bCs/>
                <w:lang w:eastAsia="es-ES"/>
              </w:rPr>
            </w:pPr>
          </w:p>
        </w:tc>
        <w:tc>
          <w:tcPr>
            <w:tcW w:w="3935" w:type="dxa"/>
            <w:gridSpan w:val="2"/>
            <w:tcBorders>
              <w:top w:val="single" w:sz="4" w:space="0" w:color="auto"/>
              <w:bottom w:val="single" w:sz="4" w:space="0" w:color="auto"/>
            </w:tcBorders>
            <w:shd w:val="clear" w:color="auto" w:fill="A8D08D" w:themeFill="accent6" w:themeFillTint="99"/>
            <w:noWrap/>
            <w:vAlign w:val="center"/>
            <w:hideMark/>
          </w:tcPr>
          <w:p w14:paraId="4B498C48" w14:textId="550A3FBA" w:rsidR="005563EE" w:rsidRPr="00216965" w:rsidRDefault="005563EE" w:rsidP="00C84F12">
            <w:pPr>
              <w:spacing w:after="0" w:line="240" w:lineRule="auto"/>
              <w:jc w:val="center"/>
              <w:rPr>
                <w:rFonts w:eastAsia="Times New Roman" w:cs="Times New Roman"/>
                <w:bCs/>
                <w:lang w:val="es-ES" w:eastAsia="es-ES"/>
              </w:rPr>
            </w:pPr>
            <w:r w:rsidRPr="00216965">
              <w:rPr>
                <w:rFonts w:eastAsia="Times New Roman" w:cs="Times New Roman"/>
                <w:bCs/>
                <w:lang w:val="es-ES" w:eastAsia="es-ES"/>
              </w:rPr>
              <w:t>Second order kinetic model</w:t>
            </w:r>
          </w:p>
        </w:tc>
        <w:tc>
          <w:tcPr>
            <w:tcW w:w="160" w:type="dxa"/>
            <w:tcBorders>
              <w:top w:val="single" w:sz="4" w:space="0" w:color="auto"/>
              <w:bottom w:val="nil"/>
            </w:tcBorders>
            <w:shd w:val="clear" w:color="auto" w:fill="A8D08D" w:themeFill="accent6" w:themeFillTint="99"/>
          </w:tcPr>
          <w:p w14:paraId="5F977DBF" w14:textId="77777777" w:rsidR="005563EE" w:rsidRPr="00216965" w:rsidRDefault="005563EE" w:rsidP="00C84F12">
            <w:pPr>
              <w:spacing w:after="0" w:line="240" w:lineRule="auto"/>
              <w:jc w:val="center"/>
              <w:rPr>
                <w:rFonts w:eastAsia="Times New Roman"/>
                <w:bCs/>
                <w:lang w:val="es-ES" w:eastAsia="es-ES"/>
              </w:rPr>
            </w:pPr>
          </w:p>
        </w:tc>
        <w:tc>
          <w:tcPr>
            <w:tcW w:w="5510" w:type="dxa"/>
            <w:gridSpan w:val="3"/>
            <w:tcBorders>
              <w:top w:val="single" w:sz="4" w:space="0" w:color="auto"/>
              <w:bottom w:val="single" w:sz="4" w:space="0" w:color="auto"/>
            </w:tcBorders>
            <w:shd w:val="clear" w:color="auto" w:fill="A8D08D" w:themeFill="accent6" w:themeFillTint="99"/>
            <w:vAlign w:val="center"/>
            <w:hideMark/>
          </w:tcPr>
          <w:p w14:paraId="51BFEF30" w14:textId="77777777" w:rsidR="005563EE" w:rsidRPr="00216965" w:rsidRDefault="005563EE" w:rsidP="00C84F12">
            <w:pPr>
              <w:spacing w:after="0" w:line="240" w:lineRule="auto"/>
              <w:jc w:val="center"/>
              <w:rPr>
                <w:rFonts w:eastAsia="Times New Roman" w:cs="Times New Roman"/>
                <w:bCs/>
                <w:lang w:val="es-ES" w:eastAsia="es-ES"/>
              </w:rPr>
            </w:pPr>
            <w:r w:rsidRPr="00216965">
              <w:rPr>
                <w:rFonts w:eastAsia="Times New Roman" w:cs="Times New Roman"/>
                <w:bCs/>
                <w:lang w:val="es-ES" w:eastAsia="es-ES"/>
              </w:rPr>
              <w:t>Hill sorption model</w:t>
            </w:r>
          </w:p>
        </w:tc>
      </w:tr>
      <w:tr w:rsidR="005563EE" w:rsidRPr="00216965" w14:paraId="0B88CC76" w14:textId="77777777" w:rsidTr="008A33DA">
        <w:trPr>
          <w:trHeight w:val="300"/>
          <w:jc w:val="center"/>
        </w:trPr>
        <w:tc>
          <w:tcPr>
            <w:tcW w:w="1014" w:type="dxa"/>
            <w:tcBorders>
              <w:bottom w:val="single" w:sz="4" w:space="0" w:color="auto"/>
            </w:tcBorders>
            <w:shd w:val="clear" w:color="auto" w:fill="A8D08D" w:themeFill="accent6" w:themeFillTint="99"/>
            <w:noWrap/>
            <w:vAlign w:val="center"/>
            <w:hideMark/>
          </w:tcPr>
          <w:p w14:paraId="205D8D80"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Element</w:t>
            </w:r>
          </w:p>
        </w:tc>
        <w:tc>
          <w:tcPr>
            <w:tcW w:w="1283" w:type="dxa"/>
            <w:tcBorders>
              <w:top w:val="single" w:sz="4" w:space="0" w:color="auto"/>
              <w:bottom w:val="single" w:sz="4" w:space="0" w:color="auto"/>
            </w:tcBorders>
            <w:shd w:val="clear" w:color="auto" w:fill="A8D08D" w:themeFill="accent6" w:themeFillTint="99"/>
            <w:noWrap/>
            <w:vAlign w:val="center"/>
            <w:hideMark/>
          </w:tcPr>
          <w:p w14:paraId="400A29D0" w14:textId="77777777" w:rsidR="005563EE" w:rsidRPr="00216965" w:rsidRDefault="005563EE" w:rsidP="00C84F12">
            <w:pPr>
              <w:spacing w:after="0" w:line="240" w:lineRule="auto"/>
              <w:jc w:val="center"/>
              <w:rPr>
                <w:rFonts w:eastAsia="Times New Roman" w:cs="Times New Roman"/>
                <w:bCs/>
                <w:lang w:val="es-ES" w:eastAsia="es-ES"/>
              </w:rPr>
            </w:pPr>
            <w:r w:rsidRPr="00216965">
              <w:rPr>
                <w:rFonts w:eastAsia="Times New Roman" w:cs="Times New Roman"/>
                <w:bCs/>
                <w:lang w:val="es-ES" w:eastAsia="es-ES"/>
              </w:rPr>
              <w:t>Biochar</w:t>
            </w:r>
          </w:p>
        </w:tc>
        <w:tc>
          <w:tcPr>
            <w:tcW w:w="1951" w:type="dxa"/>
            <w:tcBorders>
              <w:top w:val="single" w:sz="4" w:space="0" w:color="auto"/>
              <w:bottom w:val="single" w:sz="4" w:space="0" w:color="auto"/>
            </w:tcBorders>
            <w:shd w:val="clear" w:color="auto" w:fill="A8D08D" w:themeFill="accent6" w:themeFillTint="99"/>
            <w:noWrap/>
            <w:vAlign w:val="center"/>
            <w:hideMark/>
          </w:tcPr>
          <w:p w14:paraId="60F2E0E2" w14:textId="77777777" w:rsidR="005563EE" w:rsidRPr="00216965" w:rsidRDefault="005563EE" w:rsidP="00C84F12">
            <w:pPr>
              <w:spacing w:after="0" w:line="240" w:lineRule="auto"/>
              <w:jc w:val="center"/>
              <w:rPr>
                <w:rFonts w:eastAsia="Times New Roman" w:cs="Times New Roman"/>
                <w:bCs/>
                <w:i/>
                <w:vertAlign w:val="subscript"/>
                <w:lang w:val="es-ES" w:eastAsia="es-ES"/>
              </w:rPr>
            </w:pPr>
            <w:r w:rsidRPr="00216965">
              <w:rPr>
                <w:rFonts w:eastAsia="Times New Roman" w:cs="Times New Roman"/>
                <w:bCs/>
                <w:i/>
                <w:lang w:val="es-ES" w:eastAsia="es-ES"/>
              </w:rPr>
              <w:t>k</w:t>
            </w:r>
            <w:r w:rsidRPr="00216965">
              <w:rPr>
                <w:rFonts w:eastAsia="Times New Roman" w:cs="Times New Roman"/>
                <w:bCs/>
                <w:i/>
                <w:vertAlign w:val="subscript"/>
                <w:lang w:val="es-ES" w:eastAsia="es-ES"/>
              </w:rPr>
              <w:t>2</w:t>
            </w:r>
          </w:p>
          <w:p w14:paraId="60AA3383" w14:textId="77777777" w:rsidR="005563EE" w:rsidRPr="00216965" w:rsidRDefault="005563EE" w:rsidP="00C84F12">
            <w:pPr>
              <w:spacing w:after="0" w:line="240" w:lineRule="auto"/>
              <w:jc w:val="center"/>
              <w:rPr>
                <w:rFonts w:eastAsia="Times New Roman" w:cs="Times New Roman"/>
                <w:bCs/>
                <w:lang w:val="es-ES" w:eastAsia="es-ES"/>
              </w:rPr>
            </w:pPr>
            <w:r w:rsidRPr="00216965">
              <w:rPr>
                <w:rFonts w:eastAsia="Times New Roman" w:cs="Times New Roman"/>
                <w:bCs/>
                <w:lang w:val="es-ES" w:eastAsia="es-ES"/>
              </w:rPr>
              <w:t>(g.mg</w:t>
            </w:r>
            <w:r w:rsidRPr="00216965">
              <w:rPr>
                <w:rFonts w:eastAsia="Times New Roman" w:cs="Times New Roman"/>
                <w:bCs/>
                <w:vertAlign w:val="superscript"/>
                <w:lang w:val="es-ES" w:eastAsia="es-ES"/>
              </w:rPr>
              <w:t>-1</w:t>
            </w:r>
            <w:r w:rsidRPr="00216965">
              <w:rPr>
                <w:rFonts w:eastAsia="Times New Roman" w:cs="Times New Roman"/>
                <w:bCs/>
                <w:lang w:val="es-ES" w:eastAsia="es-ES"/>
              </w:rPr>
              <w:t>.min</w:t>
            </w:r>
            <w:r w:rsidRPr="00216965">
              <w:rPr>
                <w:rFonts w:eastAsia="Times New Roman" w:cs="Times New Roman"/>
                <w:bCs/>
                <w:vertAlign w:val="superscript"/>
                <w:lang w:val="es-ES" w:eastAsia="es-ES"/>
              </w:rPr>
              <w:t>-1</w:t>
            </w:r>
            <w:r w:rsidRPr="00216965">
              <w:rPr>
                <w:rFonts w:eastAsia="Times New Roman" w:cs="Times New Roman"/>
                <w:bCs/>
                <w:lang w:val="es-ES" w:eastAsia="es-ES"/>
              </w:rPr>
              <w:t>)</w:t>
            </w:r>
          </w:p>
        </w:tc>
        <w:tc>
          <w:tcPr>
            <w:tcW w:w="1984" w:type="dxa"/>
            <w:tcBorders>
              <w:top w:val="single" w:sz="4" w:space="0" w:color="auto"/>
              <w:bottom w:val="single" w:sz="4" w:space="0" w:color="auto"/>
            </w:tcBorders>
            <w:shd w:val="clear" w:color="auto" w:fill="A8D08D" w:themeFill="accent6" w:themeFillTint="99"/>
            <w:noWrap/>
            <w:vAlign w:val="center"/>
            <w:hideMark/>
          </w:tcPr>
          <w:p w14:paraId="7C871AA1" w14:textId="77777777" w:rsidR="005563EE" w:rsidRPr="00216965" w:rsidRDefault="005563EE" w:rsidP="00C84F12">
            <w:pPr>
              <w:spacing w:after="0" w:line="240" w:lineRule="auto"/>
              <w:jc w:val="center"/>
              <w:rPr>
                <w:rFonts w:eastAsia="Times New Roman" w:cs="Times New Roman"/>
                <w:bCs/>
                <w:i/>
                <w:iCs/>
                <w:vertAlign w:val="subscript"/>
                <w:lang w:val="es-ES" w:eastAsia="es-ES"/>
              </w:rPr>
            </w:pPr>
            <w:r w:rsidRPr="00216965">
              <w:rPr>
                <w:rFonts w:eastAsia="Times New Roman" w:cs="Times New Roman"/>
                <w:bCs/>
                <w:i/>
                <w:iCs/>
                <w:lang w:val="es-ES" w:eastAsia="es-ES"/>
              </w:rPr>
              <w:t>Q</w:t>
            </w:r>
            <w:r w:rsidRPr="00216965">
              <w:rPr>
                <w:rFonts w:eastAsia="Times New Roman" w:cs="Times New Roman"/>
                <w:bCs/>
                <w:i/>
                <w:iCs/>
                <w:vertAlign w:val="subscript"/>
                <w:lang w:val="es-ES" w:eastAsia="es-ES"/>
              </w:rPr>
              <w:t>e</w:t>
            </w:r>
          </w:p>
          <w:p w14:paraId="66157DDC" w14:textId="77777777" w:rsidR="005563EE" w:rsidRPr="00216965" w:rsidRDefault="005563EE" w:rsidP="00C84F12">
            <w:pPr>
              <w:spacing w:after="0" w:line="240" w:lineRule="auto"/>
              <w:jc w:val="center"/>
              <w:rPr>
                <w:rFonts w:eastAsia="Times New Roman" w:cs="Times New Roman"/>
                <w:bCs/>
                <w:lang w:val="es-ES" w:eastAsia="es-ES"/>
              </w:rPr>
            </w:pPr>
            <w:r w:rsidRPr="00216965">
              <w:rPr>
                <w:rFonts w:eastAsia="Times New Roman" w:cs="Times New Roman"/>
                <w:bCs/>
                <w:lang w:val="es-ES" w:eastAsia="es-ES"/>
              </w:rPr>
              <w:t>(mg.g</w:t>
            </w:r>
            <w:r w:rsidRPr="00216965">
              <w:rPr>
                <w:rFonts w:eastAsia="Times New Roman" w:cs="Times New Roman"/>
                <w:bCs/>
                <w:vertAlign w:val="superscript"/>
                <w:lang w:val="es-ES" w:eastAsia="es-ES"/>
              </w:rPr>
              <w:t>-1</w:t>
            </w:r>
            <w:r w:rsidRPr="00216965">
              <w:rPr>
                <w:rFonts w:eastAsia="Times New Roman" w:cs="Times New Roman"/>
                <w:bCs/>
                <w:lang w:val="es-ES" w:eastAsia="es-ES"/>
              </w:rPr>
              <w:t>)</w:t>
            </w:r>
          </w:p>
        </w:tc>
        <w:tc>
          <w:tcPr>
            <w:tcW w:w="160" w:type="dxa"/>
            <w:tcBorders>
              <w:top w:val="nil"/>
              <w:bottom w:val="single" w:sz="4" w:space="0" w:color="auto"/>
            </w:tcBorders>
            <w:shd w:val="clear" w:color="auto" w:fill="A8D08D" w:themeFill="accent6" w:themeFillTint="99"/>
            <w:vAlign w:val="center"/>
          </w:tcPr>
          <w:p w14:paraId="618A4600" w14:textId="77777777" w:rsidR="005563EE" w:rsidRPr="00216965" w:rsidRDefault="005563EE" w:rsidP="00C84F12">
            <w:pPr>
              <w:spacing w:after="0" w:line="240" w:lineRule="auto"/>
              <w:jc w:val="center"/>
              <w:rPr>
                <w:rFonts w:eastAsia="Times New Roman"/>
                <w:bCs/>
                <w:i/>
                <w:lang w:val="es-ES" w:eastAsia="es-ES"/>
              </w:rPr>
            </w:pPr>
          </w:p>
        </w:tc>
        <w:tc>
          <w:tcPr>
            <w:tcW w:w="1541" w:type="dxa"/>
            <w:tcBorders>
              <w:top w:val="single" w:sz="4" w:space="0" w:color="auto"/>
              <w:bottom w:val="single" w:sz="4" w:space="0" w:color="auto"/>
            </w:tcBorders>
            <w:shd w:val="clear" w:color="auto" w:fill="A8D08D" w:themeFill="accent6" w:themeFillTint="99"/>
            <w:vAlign w:val="center"/>
            <w:hideMark/>
          </w:tcPr>
          <w:p w14:paraId="10AC491E" w14:textId="77777777" w:rsidR="005563EE" w:rsidRPr="00216965" w:rsidRDefault="005563EE" w:rsidP="00C84F12">
            <w:pPr>
              <w:spacing w:after="0" w:line="240" w:lineRule="auto"/>
              <w:jc w:val="center"/>
              <w:rPr>
                <w:rFonts w:eastAsia="Times New Roman" w:cs="Times New Roman"/>
                <w:bCs/>
                <w:i/>
                <w:lang w:val="es-ES" w:eastAsia="es-ES"/>
              </w:rPr>
            </w:pPr>
            <w:r w:rsidRPr="00216965">
              <w:rPr>
                <w:rFonts w:eastAsia="Times New Roman" w:cs="Times New Roman"/>
                <w:bCs/>
                <w:i/>
                <w:lang w:val="es-ES" w:eastAsia="es-ES"/>
              </w:rPr>
              <w:t>n</w:t>
            </w:r>
          </w:p>
        </w:tc>
        <w:tc>
          <w:tcPr>
            <w:tcW w:w="1701" w:type="dxa"/>
            <w:tcBorders>
              <w:top w:val="single" w:sz="4" w:space="0" w:color="auto"/>
              <w:bottom w:val="single" w:sz="4" w:space="0" w:color="auto"/>
            </w:tcBorders>
            <w:shd w:val="clear" w:color="auto" w:fill="A8D08D" w:themeFill="accent6" w:themeFillTint="99"/>
            <w:vAlign w:val="center"/>
            <w:hideMark/>
          </w:tcPr>
          <w:p w14:paraId="3C7DB294" w14:textId="77777777" w:rsidR="005563EE" w:rsidRPr="00216965" w:rsidRDefault="005563EE" w:rsidP="00C84F12">
            <w:pPr>
              <w:spacing w:after="0" w:line="240" w:lineRule="auto"/>
              <w:jc w:val="center"/>
              <w:rPr>
                <w:rFonts w:eastAsia="Times New Roman"/>
                <w:bCs/>
                <w:i/>
                <w:vertAlign w:val="subscript"/>
                <w:lang w:val="es-ES" w:eastAsia="es-ES"/>
              </w:rPr>
            </w:pPr>
            <w:r w:rsidRPr="00216965">
              <w:rPr>
                <w:rFonts w:eastAsia="Times New Roman" w:cs="Times New Roman"/>
                <w:bCs/>
                <w:i/>
                <w:lang w:val="es-ES" w:eastAsia="es-ES"/>
              </w:rPr>
              <w:t>q</w:t>
            </w:r>
            <w:r w:rsidRPr="00216965">
              <w:rPr>
                <w:rFonts w:eastAsia="Times New Roman" w:cs="Times New Roman"/>
                <w:bCs/>
                <w:i/>
                <w:vertAlign w:val="subscript"/>
                <w:lang w:val="es-ES" w:eastAsia="es-ES"/>
              </w:rPr>
              <w:t>m</w:t>
            </w:r>
          </w:p>
          <w:p w14:paraId="3D38B7D3" w14:textId="77777777" w:rsidR="005563EE" w:rsidRPr="00216965" w:rsidRDefault="005563EE" w:rsidP="00C84F12">
            <w:pPr>
              <w:spacing w:after="0" w:line="240" w:lineRule="auto"/>
              <w:jc w:val="center"/>
              <w:rPr>
                <w:rFonts w:eastAsia="Times New Roman" w:cs="Times New Roman"/>
                <w:bCs/>
                <w:i/>
                <w:lang w:val="es-ES" w:eastAsia="es-ES"/>
              </w:rPr>
            </w:pPr>
            <w:r w:rsidRPr="00216965">
              <w:rPr>
                <w:rFonts w:eastAsia="Times New Roman" w:cs="Times New Roman"/>
                <w:bCs/>
                <w:lang w:val="es-ES" w:eastAsia="es-ES"/>
              </w:rPr>
              <w:t>(mg.g</w:t>
            </w:r>
            <w:r w:rsidRPr="00216965">
              <w:rPr>
                <w:rFonts w:eastAsia="Times New Roman" w:cs="Times New Roman"/>
                <w:bCs/>
                <w:vertAlign w:val="superscript"/>
                <w:lang w:val="es-ES" w:eastAsia="es-ES"/>
              </w:rPr>
              <w:t>-1</w:t>
            </w:r>
            <w:r w:rsidRPr="00216965">
              <w:rPr>
                <w:rFonts w:eastAsia="Times New Roman" w:cs="Times New Roman"/>
                <w:bCs/>
                <w:lang w:val="es-ES" w:eastAsia="es-ES"/>
              </w:rPr>
              <w:t>)</w:t>
            </w:r>
          </w:p>
        </w:tc>
        <w:tc>
          <w:tcPr>
            <w:tcW w:w="2268" w:type="dxa"/>
            <w:tcBorders>
              <w:top w:val="single" w:sz="4" w:space="0" w:color="auto"/>
              <w:bottom w:val="single" w:sz="4" w:space="0" w:color="auto"/>
            </w:tcBorders>
            <w:shd w:val="clear" w:color="auto" w:fill="A8D08D" w:themeFill="accent6" w:themeFillTint="99"/>
            <w:vAlign w:val="center"/>
            <w:hideMark/>
          </w:tcPr>
          <w:p w14:paraId="43F0EE3F" w14:textId="77777777" w:rsidR="005563EE" w:rsidRPr="00216965" w:rsidRDefault="005563EE" w:rsidP="00C84F12">
            <w:pPr>
              <w:spacing w:after="0" w:line="240" w:lineRule="auto"/>
              <w:jc w:val="center"/>
              <w:rPr>
                <w:rFonts w:eastAsia="Times New Roman" w:cs="Times New Roman"/>
                <w:bCs/>
                <w:i/>
                <w:vertAlign w:val="subscript"/>
                <w:lang w:val="es-ES" w:eastAsia="es-ES"/>
              </w:rPr>
            </w:pPr>
            <w:r w:rsidRPr="00216965">
              <w:rPr>
                <w:rFonts w:eastAsia="Times New Roman" w:cs="Times New Roman"/>
                <w:bCs/>
                <w:i/>
                <w:lang w:val="es-ES" w:eastAsia="es-ES"/>
              </w:rPr>
              <w:t>K</w:t>
            </w:r>
            <w:r w:rsidRPr="00216965">
              <w:rPr>
                <w:rFonts w:eastAsia="Times New Roman" w:cs="Times New Roman"/>
                <w:bCs/>
                <w:i/>
                <w:vertAlign w:val="subscript"/>
                <w:lang w:val="es-ES" w:eastAsia="es-ES"/>
              </w:rPr>
              <w:t>H</w:t>
            </w:r>
          </w:p>
          <w:p w14:paraId="0CF0C380" w14:textId="77777777" w:rsidR="005563EE" w:rsidRPr="00216965" w:rsidRDefault="005563EE" w:rsidP="00C84F12">
            <w:pPr>
              <w:spacing w:after="0" w:line="240" w:lineRule="auto"/>
              <w:jc w:val="center"/>
              <w:rPr>
                <w:rFonts w:eastAsia="Times New Roman" w:cs="Times New Roman"/>
                <w:bCs/>
                <w:i/>
                <w:lang w:val="es-ES" w:eastAsia="es-ES"/>
              </w:rPr>
            </w:pPr>
            <w:r w:rsidRPr="00216965">
              <w:rPr>
                <w:bCs/>
                <w:sz w:val="20"/>
                <w:szCs w:val="20"/>
                <w:lang w:val="es-ES"/>
              </w:rPr>
              <w:t>(mg.L</w:t>
            </w:r>
            <w:r w:rsidRPr="00216965">
              <w:rPr>
                <w:bCs/>
                <w:sz w:val="20"/>
                <w:szCs w:val="20"/>
                <w:vertAlign w:val="superscript"/>
                <w:lang w:val="es-ES"/>
              </w:rPr>
              <w:t>-1</w:t>
            </w:r>
            <w:r w:rsidRPr="00216965">
              <w:rPr>
                <w:bCs/>
                <w:sz w:val="20"/>
                <w:szCs w:val="20"/>
                <w:lang w:val="es-ES"/>
              </w:rPr>
              <w:t>)</w:t>
            </w:r>
          </w:p>
        </w:tc>
      </w:tr>
      <w:tr w:rsidR="005563EE" w:rsidRPr="00216965" w14:paraId="412EC25A" w14:textId="77777777" w:rsidTr="008A33DA">
        <w:trPr>
          <w:trHeight w:hRule="exact" w:val="284"/>
          <w:jc w:val="center"/>
        </w:trPr>
        <w:tc>
          <w:tcPr>
            <w:tcW w:w="1014" w:type="dxa"/>
            <w:vMerge w:val="restart"/>
            <w:tcBorders>
              <w:top w:val="single" w:sz="4" w:space="0" w:color="auto"/>
              <w:bottom w:val="single" w:sz="4" w:space="0" w:color="auto"/>
            </w:tcBorders>
            <w:noWrap/>
            <w:vAlign w:val="center"/>
            <w:hideMark/>
          </w:tcPr>
          <w:p w14:paraId="1A187EDF" w14:textId="77777777" w:rsidR="005563EE" w:rsidRPr="00216965" w:rsidRDefault="005563EE" w:rsidP="00A0457B">
            <w:pPr>
              <w:spacing w:after="0" w:line="480" w:lineRule="auto"/>
              <w:jc w:val="center"/>
              <w:rPr>
                <w:rFonts w:eastAsia="Times New Roman" w:cs="Times New Roman"/>
                <w:lang w:val="es-ES" w:eastAsia="es-ES"/>
              </w:rPr>
            </w:pPr>
            <w:r w:rsidRPr="00216965">
              <w:rPr>
                <w:rFonts w:eastAsia="Times New Roman" w:cs="Times New Roman"/>
                <w:lang w:val="es-ES" w:eastAsia="es-ES"/>
              </w:rPr>
              <w:t>Pb</w:t>
            </w:r>
          </w:p>
        </w:tc>
        <w:tc>
          <w:tcPr>
            <w:tcW w:w="1283" w:type="dxa"/>
            <w:tcBorders>
              <w:top w:val="single" w:sz="4" w:space="0" w:color="auto"/>
            </w:tcBorders>
            <w:noWrap/>
            <w:vAlign w:val="bottom"/>
          </w:tcPr>
          <w:p w14:paraId="38C7E6BC"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MSP550</w:t>
            </w:r>
          </w:p>
        </w:tc>
        <w:tc>
          <w:tcPr>
            <w:tcW w:w="1951" w:type="dxa"/>
            <w:tcBorders>
              <w:top w:val="single" w:sz="4" w:space="0" w:color="auto"/>
            </w:tcBorders>
            <w:noWrap/>
            <w:vAlign w:val="bottom"/>
          </w:tcPr>
          <w:p w14:paraId="67EB9D3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0.8 ± 0.2 </w:t>
            </w:r>
            <w:r w:rsidRPr="00216965">
              <w:rPr>
                <w:rFonts w:eastAsia="Times New Roman" w:cs="Times New Roman"/>
                <w:bCs/>
                <w:sz w:val="20"/>
                <w:szCs w:val="20"/>
                <w:lang w:val="es-ES" w:eastAsia="es-ES"/>
              </w:rPr>
              <w:t>a</w:t>
            </w:r>
          </w:p>
        </w:tc>
        <w:tc>
          <w:tcPr>
            <w:tcW w:w="1984" w:type="dxa"/>
            <w:tcBorders>
              <w:top w:val="single" w:sz="4" w:space="0" w:color="auto"/>
            </w:tcBorders>
            <w:noWrap/>
            <w:vAlign w:val="bottom"/>
          </w:tcPr>
          <w:p w14:paraId="54FAA4BD"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0.345  ± 0.003 </w:t>
            </w:r>
            <w:r w:rsidRPr="00216965">
              <w:rPr>
                <w:rFonts w:eastAsia="Times New Roman" w:cs="Times New Roman"/>
                <w:bCs/>
                <w:sz w:val="20"/>
                <w:szCs w:val="20"/>
                <w:lang w:val="es-ES" w:eastAsia="es-ES"/>
              </w:rPr>
              <w:t>a</w:t>
            </w:r>
          </w:p>
        </w:tc>
        <w:tc>
          <w:tcPr>
            <w:tcW w:w="160" w:type="dxa"/>
            <w:tcBorders>
              <w:top w:val="single" w:sz="4" w:space="0" w:color="auto"/>
            </w:tcBorders>
          </w:tcPr>
          <w:p w14:paraId="2E8EC020"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top w:val="single" w:sz="4" w:space="0" w:color="auto"/>
            </w:tcBorders>
          </w:tcPr>
          <w:p w14:paraId="356D60D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0.7 ± 0.2 </w:t>
            </w:r>
            <w:r w:rsidRPr="00216965">
              <w:rPr>
                <w:rFonts w:eastAsia="Times New Roman" w:cs="Times New Roman"/>
                <w:bCs/>
                <w:sz w:val="20"/>
                <w:szCs w:val="20"/>
                <w:lang w:val="es-ES" w:eastAsia="es-ES"/>
              </w:rPr>
              <w:t>a</w:t>
            </w:r>
          </w:p>
        </w:tc>
        <w:tc>
          <w:tcPr>
            <w:tcW w:w="1701" w:type="dxa"/>
            <w:tcBorders>
              <w:top w:val="single" w:sz="4" w:space="0" w:color="auto"/>
            </w:tcBorders>
          </w:tcPr>
          <w:p w14:paraId="40281FE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41 ± 8 </w:t>
            </w:r>
            <w:r w:rsidRPr="00216965">
              <w:rPr>
                <w:rFonts w:eastAsia="Times New Roman" w:cs="Times New Roman"/>
                <w:bCs/>
                <w:sz w:val="20"/>
                <w:szCs w:val="20"/>
                <w:lang w:val="es-ES" w:eastAsia="es-ES"/>
              </w:rPr>
              <w:t>a</w:t>
            </w:r>
          </w:p>
        </w:tc>
        <w:tc>
          <w:tcPr>
            <w:tcW w:w="2268" w:type="dxa"/>
            <w:tcBorders>
              <w:top w:val="single" w:sz="4" w:space="0" w:color="auto"/>
            </w:tcBorders>
          </w:tcPr>
          <w:p w14:paraId="5E5D6D16"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 ± 1 </w:t>
            </w:r>
            <w:r w:rsidRPr="00216965">
              <w:rPr>
                <w:rFonts w:eastAsia="Times New Roman" w:cs="Times New Roman"/>
                <w:bCs/>
                <w:sz w:val="20"/>
                <w:szCs w:val="20"/>
                <w:lang w:val="es-ES" w:eastAsia="es-ES"/>
              </w:rPr>
              <w:t>a</w:t>
            </w:r>
          </w:p>
        </w:tc>
      </w:tr>
      <w:tr w:rsidR="005563EE" w:rsidRPr="00216965" w14:paraId="0D0B7318" w14:textId="77777777" w:rsidTr="008A33DA">
        <w:trPr>
          <w:trHeight w:hRule="exact" w:val="284"/>
          <w:jc w:val="center"/>
        </w:trPr>
        <w:tc>
          <w:tcPr>
            <w:tcW w:w="1014" w:type="dxa"/>
            <w:vMerge/>
            <w:tcBorders>
              <w:top w:val="nil"/>
              <w:bottom w:val="single" w:sz="4" w:space="0" w:color="auto"/>
            </w:tcBorders>
            <w:noWrap/>
            <w:vAlign w:val="bottom"/>
            <w:hideMark/>
          </w:tcPr>
          <w:p w14:paraId="39E2DCF9"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4F4413F9"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OSR550</w:t>
            </w:r>
          </w:p>
        </w:tc>
        <w:tc>
          <w:tcPr>
            <w:tcW w:w="1951" w:type="dxa"/>
            <w:noWrap/>
            <w:vAlign w:val="bottom"/>
          </w:tcPr>
          <w:p w14:paraId="01BF174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0.27 ± 0.03 </w:t>
            </w:r>
            <w:r w:rsidRPr="00216965">
              <w:rPr>
                <w:rFonts w:eastAsia="Times New Roman" w:cs="Times New Roman"/>
                <w:bCs/>
                <w:sz w:val="20"/>
                <w:szCs w:val="20"/>
                <w:lang w:val="es-ES" w:eastAsia="es-ES"/>
              </w:rPr>
              <w:t>b</w:t>
            </w:r>
          </w:p>
        </w:tc>
        <w:tc>
          <w:tcPr>
            <w:tcW w:w="1984" w:type="dxa"/>
            <w:noWrap/>
            <w:vAlign w:val="bottom"/>
          </w:tcPr>
          <w:p w14:paraId="1AED57F0"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0.348 ± 0.002 </w:t>
            </w:r>
            <w:r w:rsidRPr="00216965">
              <w:rPr>
                <w:rFonts w:eastAsia="Times New Roman" w:cs="Times New Roman"/>
                <w:bCs/>
                <w:sz w:val="20"/>
                <w:szCs w:val="20"/>
                <w:lang w:val="es-ES" w:eastAsia="es-ES"/>
              </w:rPr>
              <w:t>a</w:t>
            </w:r>
          </w:p>
        </w:tc>
        <w:tc>
          <w:tcPr>
            <w:tcW w:w="160" w:type="dxa"/>
          </w:tcPr>
          <w:p w14:paraId="1E5354CE"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7DE9194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2.7 ± 0.7 </w:t>
            </w:r>
            <w:r w:rsidRPr="00216965">
              <w:rPr>
                <w:rFonts w:eastAsia="Times New Roman" w:cs="Times New Roman"/>
                <w:bCs/>
                <w:sz w:val="20"/>
                <w:szCs w:val="20"/>
                <w:lang w:val="es-ES" w:eastAsia="es-ES"/>
              </w:rPr>
              <w:t>b</w:t>
            </w:r>
          </w:p>
        </w:tc>
        <w:tc>
          <w:tcPr>
            <w:tcW w:w="1701" w:type="dxa"/>
            <w:vAlign w:val="bottom"/>
          </w:tcPr>
          <w:p w14:paraId="727CC78F"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46 ± 4 </w:t>
            </w:r>
            <w:r w:rsidRPr="00216965">
              <w:rPr>
                <w:rFonts w:eastAsia="Times New Roman" w:cs="Times New Roman"/>
                <w:bCs/>
                <w:sz w:val="20"/>
                <w:szCs w:val="20"/>
                <w:lang w:val="es-ES" w:eastAsia="es-ES"/>
              </w:rPr>
              <w:t>a</w:t>
            </w:r>
          </w:p>
        </w:tc>
        <w:tc>
          <w:tcPr>
            <w:tcW w:w="2268" w:type="dxa"/>
            <w:vAlign w:val="bottom"/>
          </w:tcPr>
          <w:p w14:paraId="3800AD77"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0.22 ± 0.03 </w:t>
            </w:r>
            <w:r w:rsidRPr="00216965">
              <w:rPr>
                <w:rFonts w:eastAsia="Times New Roman" w:cs="Times New Roman"/>
                <w:bCs/>
                <w:sz w:val="20"/>
                <w:szCs w:val="20"/>
                <w:lang w:val="es-ES" w:eastAsia="es-ES"/>
              </w:rPr>
              <w:t>b</w:t>
            </w:r>
          </w:p>
        </w:tc>
      </w:tr>
      <w:tr w:rsidR="005563EE" w:rsidRPr="00216965" w14:paraId="1C09A7B9" w14:textId="77777777" w:rsidTr="008A33DA">
        <w:trPr>
          <w:trHeight w:hRule="exact" w:val="284"/>
          <w:jc w:val="center"/>
        </w:trPr>
        <w:tc>
          <w:tcPr>
            <w:tcW w:w="1014" w:type="dxa"/>
            <w:vMerge/>
            <w:tcBorders>
              <w:top w:val="nil"/>
              <w:bottom w:val="single" w:sz="4" w:space="0" w:color="auto"/>
            </w:tcBorders>
            <w:noWrap/>
            <w:vAlign w:val="bottom"/>
            <w:hideMark/>
          </w:tcPr>
          <w:p w14:paraId="0B4B106D"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59C1DB9F"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OSR700</w:t>
            </w:r>
          </w:p>
        </w:tc>
        <w:tc>
          <w:tcPr>
            <w:tcW w:w="1951" w:type="dxa"/>
            <w:noWrap/>
            <w:vAlign w:val="bottom"/>
          </w:tcPr>
          <w:p w14:paraId="7D133B2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0.19 ± 0.03 </w:t>
            </w:r>
            <w:r w:rsidRPr="00216965">
              <w:rPr>
                <w:rFonts w:eastAsia="Times New Roman" w:cs="Times New Roman"/>
                <w:bCs/>
                <w:sz w:val="20"/>
                <w:szCs w:val="20"/>
                <w:lang w:val="es-ES" w:eastAsia="es-ES"/>
              </w:rPr>
              <w:t>c</w:t>
            </w:r>
          </w:p>
        </w:tc>
        <w:tc>
          <w:tcPr>
            <w:tcW w:w="1984" w:type="dxa"/>
            <w:noWrap/>
            <w:vAlign w:val="bottom"/>
          </w:tcPr>
          <w:p w14:paraId="65D2141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0.368 ± 0.005 </w:t>
            </w:r>
            <w:r w:rsidRPr="00216965">
              <w:rPr>
                <w:rFonts w:eastAsia="Times New Roman" w:cs="Times New Roman"/>
                <w:bCs/>
                <w:sz w:val="20"/>
                <w:szCs w:val="20"/>
                <w:lang w:val="es-ES" w:eastAsia="es-ES"/>
              </w:rPr>
              <w:t>c</w:t>
            </w:r>
          </w:p>
        </w:tc>
        <w:tc>
          <w:tcPr>
            <w:tcW w:w="160" w:type="dxa"/>
          </w:tcPr>
          <w:p w14:paraId="4758F7F1"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3B2CA6A0"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3.2 ± 0.3 </w:t>
            </w:r>
            <w:r w:rsidRPr="00216965">
              <w:rPr>
                <w:rFonts w:eastAsia="Times New Roman" w:cs="Times New Roman"/>
                <w:bCs/>
                <w:sz w:val="20"/>
                <w:szCs w:val="20"/>
                <w:lang w:val="es-ES" w:eastAsia="es-ES"/>
              </w:rPr>
              <w:t>b</w:t>
            </w:r>
          </w:p>
        </w:tc>
        <w:tc>
          <w:tcPr>
            <w:tcW w:w="1701" w:type="dxa"/>
            <w:vAlign w:val="bottom"/>
          </w:tcPr>
          <w:p w14:paraId="3B012C4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56 ± 1 </w:t>
            </w:r>
            <w:r w:rsidRPr="00216965">
              <w:rPr>
                <w:rFonts w:eastAsia="Times New Roman" w:cs="Times New Roman"/>
                <w:bCs/>
                <w:sz w:val="20"/>
                <w:szCs w:val="20"/>
                <w:lang w:val="es-ES" w:eastAsia="es-ES"/>
              </w:rPr>
              <w:t>b</w:t>
            </w:r>
          </w:p>
        </w:tc>
        <w:tc>
          <w:tcPr>
            <w:tcW w:w="2268" w:type="dxa"/>
            <w:vAlign w:val="bottom"/>
          </w:tcPr>
          <w:p w14:paraId="370D808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0.137 ± 0.005 </w:t>
            </w:r>
            <w:r w:rsidRPr="00216965">
              <w:rPr>
                <w:rFonts w:eastAsia="Times New Roman" w:cs="Times New Roman"/>
                <w:bCs/>
                <w:sz w:val="20"/>
                <w:szCs w:val="20"/>
                <w:lang w:val="es-ES" w:eastAsia="es-ES"/>
              </w:rPr>
              <w:t>c</w:t>
            </w:r>
          </w:p>
        </w:tc>
      </w:tr>
      <w:tr w:rsidR="005563EE" w:rsidRPr="00216965" w14:paraId="2138F6E9" w14:textId="77777777" w:rsidTr="008A33DA">
        <w:trPr>
          <w:trHeight w:hRule="exact" w:val="284"/>
          <w:jc w:val="center"/>
        </w:trPr>
        <w:tc>
          <w:tcPr>
            <w:tcW w:w="1014" w:type="dxa"/>
            <w:vMerge/>
            <w:tcBorders>
              <w:top w:val="nil"/>
              <w:bottom w:val="single" w:sz="4" w:space="0" w:color="auto"/>
            </w:tcBorders>
            <w:noWrap/>
            <w:vAlign w:val="bottom"/>
          </w:tcPr>
          <w:p w14:paraId="39741968"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tcBorders>
              <w:bottom w:val="nil"/>
            </w:tcBorders>
            <w:noWrap/>
            <w:vAlign w:val="bottom"/>
          </w:tcPr>
          <w:p w14:paraId="35FF8346"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SWP550</w:t>
            </w:r>
          </w:p>
        </w:tc>
        <w:tc>
          <w:tcPr>
            <w:tcW w:w="1951" w:type="dxa"/>
            <w:tcBorders>
              <w:bottom w:val="nil"/>
            </w:tcBorders>
            <w:noWrap/>
            <w:vAlign w:val="bottom"/>
          </w:tcPr>
          <w:p w14:paraId="265BDBC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0.10 ± 0.02 </w:t>
            </w:r>
            <w:r w:rsidRPr="00216965">
              <w:rPr>
                <w:rFonts w:eastAsia="Times New Roman" w:cs="Times New Roman"/>
                <w:bCs/>
                <w:sz w:val="20"/>
                <w:szCs w:val="20"/>
                <w:lang w:val="es-ES" w:eastAsia="es-ES"/>
              </w:rPr>
              <w:t>bc</w:t>
            </w:r>
          </w:p>
        </w:tc>
        <w:tc>
          <w:tcPr>
            <w:tcW w:w="1984" w:type="dxa"/>
            <w:tcBorders>
              <w:bottom w:val="nil"/>
            </w:tcBorders>
            <w:noWrap/>
            <w:vAlign w:val="bottom"/>
          </w:tcPr>
          <w:p w14:paraId="2D0A9EAF"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0.344 ± 0.007 </w:t>
            </w:r>
            <w:r w:rsidRPr="00216965">
              <w:rPr>
                <w:rFonts w:eastAsia="Times New Roman" w:cs="Times New Roman"/>
                <w:bCs/>
                <w:sz w:val="20"/>
                <w:szCs w:val="20"/>
                <w:lang w:val="es-ES" w:eastAsia="es-ES"/>
              </w:rPr>
              <w:t>b</w:t>
            </w:r>
          </w:p>
        </w:tc>
        <w:tc>
          <w:tcPr>
            <w:tcW w:w="160" w:type="dxa"/>
            <w:tcBorders>
              <w:bottom w:val="nil"/>
            </w:tcBorders>
          </w:tcPr>
          <w:p w14:paraId="0B76670F"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bottom w:val="nil"/>
            </w:tcBorders>
            <w:vAlign w:val="bottom"/>
          </w:tcPr>
          <w:p w14:paraId="585C68DD"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c>
          <w:tcPr>
            <w:tcW w:w="1701" w:type="dxa"/>
            <w:tcBorders>
              <w:bottom w:val="nil"/>
            </w:tcBorders>
            <w:vAlign w:val="bottom"/>
          </w:tcPr>
          <w:p w14:paraId="6C2FCBE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0.44*</w:t>
            </w:r>
          </w:p>
        </w:tc>
        <w:tc>
          <w:tcPr>
            <w:tcW w:w="2268" w:type="dxa"/>
            <w:tcBorders>
              <w:bottom w:val="nil"/>
            </w:tcBorders>
            <w:vAlign w:val="bottom"/>
          </w:tcPr>
          <w:p w14:paraId="00ADA8FF"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r>
      <w:tr w:rsidR="005563EE" w:rsidRPr="00216965" w14:paraId="409F41B5" w14:textId="77777777" w:rsidTr="008A33DA">
        <w:trPr>
          <w:trHeight w:hRule="exact" w:val="284"/>
          <w:jc w:val="center"/>
        </w:trPr>
        <w:tc>
          <w:tcPr>
            <w:tcW w:w="1014" w:type="dxa"/>
            <w:vMerge/>
            <w:tcBorders>
              <w:top w:val="nil"/>
              <w:bottom w:val="single" w:sz="4" w:space="0" w:color="auto"/>
            </w:tcBorders>
            <w:noWrap/>
            <w:vAlign w:val="bottom"/>
          </w:tcPr>
          <w:p w14:paraId="21650BEF"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tcBorders>
              <w:top w:val="nil"/>
              <w:bottom w:val="single" w:sz="4" w:space="0" w:color="auto"/>
            </w:tcBorders>
            <w:noWrap/>
            <w:vAlign w:val="bottom"/>
          </w:tcPr>
          <w:p w14:paraId="3C879326"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WSP550</w:t>
            </w:r>
          </w:p>
        </w:tc>
        <w:tc>
          <w:tcPr>
            <w:tcW w:w="1951" w:type="dxa"/>
            <w:tcBorders>
              <w:top w:val="nil"/>
              <w:bottom w:val="single" w:sz="4" w:space="0" w:color="auto"/>
            </w:tcBorders>
            <w:noWrap/>
            <w:vAlign w:val="bottom"/>
          </w:tcPr>
          <w:p w14:paraId="3824E74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0.53 ± 0.06 </w:t>
            </w:r>
            <w:r w:rsidRPr="00216965">
              <w:rPr>
                <w:rFonts w:eastAsia="Times New Roman" w:cs="Times New Roman"/>
                <w:bCs/>
                <w:sz w:val="20"/>
                <w:szCs w:val="20"/>
                <w:lang w:val="es-ES" w:eastAsia="es-ES"/>
              </w:rPr>
              <w:t>d</w:t>
            </w:r>
          </w:p>
        </w:tc>
        <w:tc>
          <w:tcPr>
            <w:tcW w:w="1984" w:type="dxa"/>
            <w:tcBorders>
              <w:top w:val="nil"/>
              <w:bottom w:val="single" w:sz="4" w:space="0" w:color="auto"/>
            </w:tcBorders>
            <w:noWrap/>
            <w:vAlign w:val="bottom"/>
          </w:tcPr>
          <w:p w14:paraId="7AC9F92A"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0.346 ± 0.001 </w:t>
            </w:r>
            <w:r w:rsidRPr="00216965">
              <w:rPr>
                <w:rFonts w:eastAsia="Times New Roman" w:cs="Times New Roman"/>
                <w:bCs/>
                <w:sz w:val="20"/>
                <w:szCs w:val="20"/>
                <w:lang w:val="es-ES" w:eastAsia="es-ES"/>
              </w:rPr>
              <w:t>a</w:t>
            </w:r>
          </w:p>
        </w:tc>
        <w:tc>
          <w:tcPr>
            <w:tcW w:w="160" w:type="dxa"/>
            <w:tcBorders>
              <w:top w:val="nil"/>
              <w:bottom w:val="single" w:sz="4" w:space="0" w:color="auto"/>
            </w:tcBorders>
          </w:tcPr>
          <w:p w14:paraId="3168C70E"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top w:val="nil"/>
              <w:bottom w:val="single" w:sz="4" w:space="0" w:color="auto"/>
            </w:tcBorders>
            <w:vAlign w:val="bottom"/>
          </w:tcPr>
          <w:p w14:paraId="1BA9353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2.1 ± 0.5 </w:t>
            </w:r>
            <w:r w:rsidRPr="00216965">
              <w:rPr>
                <w:rFonts w:eastAsia="Times New Roman" w:cs="Times New Roman"/>
                <w:bCs/>
                <w:sz w:val="20"/>
                <w:szCs w:val="20"/>
                <w:lang w:val="es-ES" w:eastAsia="es-ES"/>
              </w:rPr>
              <w:t>b</w:t>
            </w:r>
          </w:p>
        </w:tc>
        <w:tc>
          <w:tcPr>
            <w:tcW w:w="1701" w:type="dxa"/>
            <w:tcBorders>
              <w:top w:val="nil"/>
              <w:bottom w:val="single" w:sz="4" w:space="0" w:color="auto"/>
            </w:tcBorders>
            <w:vAlign w:val="bottom"/>
          </w:tcPr>
          <w:p w14:paraId="456C0DC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42 ± 3 </w:t>
            </w:r>
            <w:r w:rsidRPr="00216965">
              <w:rPr>
                <w:rFonts w:eastAsia="Times New Roman" w:cs="Times New Roman"/>
                <w:bCs/>
                <w:sz w:val="20"/>
                <w:szCs w:val="20"/>
                <w:lang w:val="es-ES" w:eastAsia="es-ES"/>
              </w:rPr>
              <w:t>a</w:t>
            </w:r>
          </w:p>
        </w:tc>
        <w:tc>
          <w:tcPr>
            <w:tcW w:w="2268" w:type="dxa"/>
            <w:tcBorders>
              <w:top w:val="nil"/>
              <w:bottom w:val="single" w:sz="4" w:space="0" w:color="auto"/>
            </w:tcBorders>
            <w:vAlign w:val="bottom"/>
          </w:tcPr>
          <w:p w14:paraId="5D5929A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0.19 ± 0.02 </w:t>
            </w:r>
            <w:r w:rsidRPr="00216965">
              <w:rPr>
                <w:rFonts w:eastAsia="Times New Roman" w:cs="Times New Roman"/>
                <w:bCs/>
                <w:sz w:val="20"/>
                <w:szCs w:val="20"/>
                <w:lang w:val="es-ES" w:eastAsia="es-ES"/>
              </w:rPr>
              <w:t>b</w:t>
            </w:r>
          </w:p>
        </w:tc>
      </w:tr>
      <w:tr w:rsidR="005563EE" w:rsidRPr="00216965" w14:paraId="463AFCE8" w14:textId="77777777" w:rsidTr="008A33DA">
        <w:trPr>
          <w:trHeight w:hRule="exact" w:val="284"/>
          <w:jc w:val="center"/>
        </w:trPr>
        <w:tc>
          <w:tcPr>
            <w:tcW w:w="1014" w:type="dxa"/>
            <w:vMerge w:val="restart"/>
            <w:tcBorders>
              <w:top w:val="single" w:sz="4" w:space="0" w:color="auto"/>
              <w:bottom w:val="single" w:sz="4" w:space="0" w:color="auto"/>
            </w:tcBorders>
            <w:noWrap/>
            <w:vAlign w:val="center"/>
          </w:tcPr>
          <w:p w14:paraId="38A8A162" w14:textId="77777777" w:rsidR="005563EE" w:rsidRPr="00216965" w:rsidRDefault="005563EE" w:rsidP="00A0457B">
            <w:pPr>
              <w:spacing w:after="0" w:line="480" w:lineRule="auto"/>
              <w:jc w:val="center"/>
              <w:rPr>
                <w:rFonts w:eastAsia="Times New Roman" w:cs="Times New Roman"/>
                <w:lang w:val="es-ES" w:eastAsia="es-ES"/>
              </w:rPr>
            </w:pPr>
            <w:r w:rsidRPr="00216965">
              <w:rPr>
                <w:rFonts w:eastAsia="Times New Roman" w:cs="Times New Roman"/>
                <w:lang w:val="es-ES" w:eastAsia="es-ES"/>
              </w:rPr>
              <w:t>Cd</w:t>
            </w:r>
          </w:p>
        </w:tc>
        <w:tc>
          <w:tcPr>
            <w:tcW w:w="1283" w:type="dxa"/>
            <w:tcBorders>
              <w:top w:val="single" w:sz="4" w:space="0" w:color="auto"/>
            </w:tcBorders>
            <w:noWrap/>
            <w:vAlign w:val="bottom"/>
          </w:tcPr>
          <w:p w14:paraId="38440445"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MSP550</w:t>
            </w:r>
          </w:p>
        </w:tc>
        <w:tc>
          <w:tcPr>
            <w:tcW w:w="1951" w:type="dxa"/>
            <w:tcBorders>
              <w:top w:val="single" w:sz="4" w:space="0" w:color="auto"/>
            </w:tcBorders>
            <w:noWrap/>
            <w:vAlign w:val="bottom"/>
          </w:tcPr>
          <w:p w14:paraId="2464927A"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0.079 ± 0.008 </w:t>
            </w:r>
            <w:r w:rsidRPr="00216965">
              <w:rPr>
                <w:rFonts w:eastAsia="Times New Roman" w:cs="Times New Roman"/>
                <w:bCs/>
                <w:sz w:val="20"/>
                <w:szCs w:val="20"/>
                <w:lang w:val="es-ES" w:eastAsia="es-ES"/>
              </w:rPr>
              <w:t>a</w:t>
            </w:r>
          </w:p>
        </w:tc>
        <w:tc>
          <w:tcPr>
            <w:tcW w:w="1984" w:type="dxa"/>
            <w:tcBorders>
              <w:top w:val="single" w:sz="4" w:space="0" w:color="auto"/>
            </w:tcBorders>
            <w:noWrap/>
            <w:vAlign w:val="bottom"/>
          </w:tcPr>
          <w:p w14:paraId="415409C4"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0.877 ± 0.007 </w:t>
            </w:r>
            <w:r w:rsidRPr="00216965">
              <w:rPr>
                <w:rFonts w:eastAsia="Times New Roman" w:cs="Times New Roman"/>
                <w:bCs/>
                <w:sz w:val="20"/>
                <w:szCs w:val="20"/>
                <w:lang w:val="es-ES" w:eastAsia="es-ES"/>
              </w:rPr>
              <w:t>a</w:t>
            </w:r>
          </w:p>
        </w:tc>
        <w:tc>
          <w:tcPr>
            <w:tcW w:w="160" w:type="dxa"/>
            <w:tcBorders>
              <w:top w:val="single" w:sz="4" w:space="0" w:color="auto"/>
            </w:tcBorders>
          </w:tcPr>
          <w:p w14:paraId="50078DED"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top w:val="single" w:sz="4" w:space="0" w:color="auto"/>
            </w:tcBorders>
          </w:tcPr>
          <w:p w14:paraId="4CDCA240"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1.4 ± 0.3 </w:t>
            </w:r>
            <w:r w:rsidRPr="00216965">
              <w:rPr>
                <w:rFonts w:eastAsia="Times New Roman" w:cs="Times New Roman"/>
                <w:bCs/>
                <w:sz w:val="20"/>
                <w:szCs w:val="20"/>
                <w:lang w:val="es-ES" w:eastAsia="es-ES"/>
              </w:rPr>
              <w:t>a</w:t>
            </w:r>
          </w:p>
        </w:tc>
        <w:tc>
          <w:tcPr>
            <w:tcW w:w="1701" w:type="dxa"/>
            <w:tcBorders>
              <w:top w:val="single" w:sz="4" w:space="0" w:color="auto"/>
            </w:tcBorders>
          </w:tcPr>
          <w:p w14:paraId="4749535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8.0 ± 0.7 </w:t>
            </w:r>
            <w:r w:rsidRPr="00216965">
              <w:rPr>
                <w:rFonts w:eastAsia="Times New Roman" w:cs="Times New Roman"/>
                <w:bCs/>
                <w:sz w:val="20"/>
                <w:szCs w:val="20"/>
                <w:lang w:val="es-ES" w:eastAsia="es-ES"/>
              </w:rPr>
              <w:t>a</w:t>
            </w:r>
          </w:p>
        </w:tc>
        <w:tc>
          <w:tcPr>
            <w:tcW w:w="2268" w:type="dxa"/>
            <w:tcBorders>
              <w:top w:val="single" w:sz="4" w:space="0" w:color="auto"/>
            </w:tcBorders>
          </w:tcPr>
          <w:p w14:paraId="630EB4CD"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2.6 ± 0.6 </w:t>
            </w:r>
            <w:r w:rsidRPr="00216965">
              <w:rPr>
                <w:rFonts w:eastAsia="Times New Roman" w:cs="Times New Roman"/>
                <w:bCs/>
                <w:sz w:val="20"/>
                <w:szCs w:val="20"/>
                <w:lang w:val="es-ES" w:eastAsia="es-ES"/>
              </w:rPr>
              <w:t>a</w:t>
            </w:r>
          </w:p>
        </w:tc>
      </w:tr>
      <w:tr w:rsidR="005563EE" w:rsidRPr="00216965" w14:paraId="70266392" w14:textId="77777777" w:rsidTr="008A33DA">
        <w:trPr>
          <w:trHeight w:hRule="exact" w:val="284"/>
          <w:jc w:val="center"/>
        </w:trPr>
        <w:tc>
          <w:tcPr>
            <w:tcW w:w="1014" w:type="dxa"/>
            <w:vMerge/>
            <w:tcBorders>
              <w:top w:val="nil"/>
              <w:bottom w:val="single" w:sz="4" w:space="0" w:color="auto"/>
            </w:tcBorders>
            <w:noWrap/>
            <w:vAlign w:val="bottom"/>
          </w:tcPr>
          <w:p w14:paraId="6005215A"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3FDD6811"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OSR550</w:t>
            </w:r>
          </w:p>
        </w:tc>
        <w:tc>
          <w:tcPr>
            <w:tcW w:w="1951" w:type="dxa"/>
            <w:noWrap/>
            <w:vAlign w:val="bottom"/>
          </w:tcPr>
          <w:p w14:paraId="2BEE1D0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0.16 ± 0.01 </w:t>
            </w:r>
            <w:r w:rsidRPr="00216965">
              <w:rPr>
                <w:rFonts w:eastAsia="Times New Roman" w:cs="Times New Roman"/>
                <w:bCs/>
                <w:sz w:val="20"/>
                <w:szCs w:val="20"/>
                <w:lang w:val="es-ES" w:eastAsia="es-ES"/>
              </w:rPr>
              <w:t>b</w:t>
            </w:r>
          </w:p>
        </w:tc>
        <w:tc>
          <w:tcPr>
            <w:tcW w:w="1984" w:type="dxa"/>
            <w:noWrap/>
            <w:vAlign w:val="bottom"/>
          </w:tcPr>
          <w:p w14:paraId="68DB9E7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0.882 ± 0.004 </w:t>
            </w:r>
            <w:r w:rsidRPr="00216965">
              <w:rPr>
                <w:rFonts w:eastAsia="Times New Roman" w:cs="Times New Roman"/>
                <w:bCs/>
                <w:sz w:val="20"/>
                <w:szCs w:val="20"/>
                <w:lang w:val="es-ES" w:eastAsia="es-ES"/>
              </w:rPr>
              <w:t>a</w:t>
            </w:r>
          </w:p>
        </w:tc>
        <w:tc>
          <w:tcPr>
            <w:tcW w:w="160" w:type="dxa"/>
          </w:tcPr>
          <w:p w14:paraId="4C5BBCD5"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766823A6"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3.0 ± 0.8 </w:t>
            </w:r>
            <w:r w:rsidRPr="00216965">
              <w:rPr>
                <w:rFonts w:eastAsia="Times New Roman" w:cs="Times New Roman"/>
                <w:bCs/>
                <w:sz w:val="20"/>
                <w:szCs w:val="20"/>
                <w:lang w:val="es-ES" w:eastAsia="es-ES"/>
              </w:rPr>
              <w:t>b</w:t>
            </w:r>
          </w:p>
        </w:tc>
        <w:tc>
          <w:tcPr>
            <w:tcW w:w="1701" w:type="dxa"/>
            <w:vAlign w:val="bottom"/>
          </w:tcPr>
          <w:p w14:paraId="142C8334"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19 ± 1 </w:t>
            </w:r>
            <w:r w:rsidRPr="00216965">
              <w:rPr>
                <w:rFonts w:eastAsia="Times New Roman" w:cs="Times New Roman"/>
                <w:bCs/>
                <w:sz w:val="20"/>
                <w:szCs w:val="20"/>
                <w:lang w:val="es-ES" w:eastAsia="es-ES"/>
              </w:rPr>
              <w:t>b</w:t>
            </w:r>
          </w:p>
        </w:tc>
        <w:tc>
          <w:tcPr>
            <w:tcW w:w="2268" w:type="dxa"/>
            <w:vAlign w:val="bottom"/>
          </w:tcPr>
          <w:p w14:paraId="0AB22AF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0.71 ± 0.06 </w:t>
            </w:r>
            <w:r w:rsidRPr="00216965">
              <w:rPr>
                <w:rFonts w:eastAsia="Times New Roman" w:cs="Times New Roman"/>
                <w:bCs/>
                <w:sz w:val="20"/>
                <w:szCs w:val="20"/>
                <w:lang w:val="es-ES" w:eastAsia="es-ES"/>
              </w:rPr>
              <w:t>b</w:t>
            </w:r>
          </w:p>
        </w:tc>
      </w:tr>
      <w:tr w:rsidR="005563EE" w:rsidRPr="00216965" w14:paraId="109A1716" w14:textId="77777777" w:rsidTr="008A33DA">
        <w:trPr>
          <w:trHeight w:hRule="exact" w:val="284"/>
          <w:jc w:val="center"/>
        </w:trPr>
        <w:tc>
          <w:tcPr>
            <w:tcW w:w="1014" w:type="dxa"/>
            <w:vMerge/>
            <w:tcBorders>
              <w:top w:val="nil"/>
              <w:bottom w:val="single" w:sz="4" w:space="0" w:color="auto"/>
            </w:tcBorders>
            <w:noWrap/>
            <w:vAlign w:val="bottom"/>
          </w:tcPr>
          <w:p w14:paraId="0BC6DA31"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66AD50E8"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OSR700</w:t>
            </w:r>
          </w:p>
        </w:tc>
        <w:tc>
          <w:tcPr>
            <w:tcW w:w="1951" w:type="dxa"/>
            <w:noWrap/>
            <w:vAlign w:val="bottom"/>
          </w:tcPr>
          <w:p w14:paraId="2205BC9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0.068 ± 0.007 </w:t>
            </w:r>
            <w:r w:rsidRPr="00216965">
              <w:rPr>
                <w:rFonts w:eastAsia="Times New Roman" w:cs="Times New Roman"/>
                <w:bCs/>
                <w:sz w:val="20"/>
                <w:szCs w:val="20"/>
                <w:lang w:val="es-ES" w:eastAsia="es-ES"/>
              </w:rPr>
              <w:t>a</w:t>
            </w:r>
          </w:p>
        </w:tc>
        <w:tc>
          <w:tcPr>
            <w:tcW w:w="1984" w:type="dxa"/>
            <w:noWrap/>
            <w:vAlign w:val="bottom"/>
          </w:tcPr>
          <w:p w14:paraId="512073F9"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0.883 ± 0.008 </w:t>
            </w:r>
            <w:r w:rsidRPr="00216965">
              <w:rPr>
                <w:rFonts w:eastAsia="Times New Roman" w:cs="Times New Roman"/>
                <w:bCs/>
                <w:sz w:val="20"/>
                <w:szCs w:val="20"/>
                <w:lang w:val="es-ES" w:eastAsia="es-ES"/>
              </w:rPr>
              <w:t>a</w:t>
            </w:r>
          </w:p>
        </w:tc>
        <w:tc>
          <w:tcPr>
            <w:tcW w:w="160" w:type="dxa"/>
          </w:tcPr>
          <w:p w14:paraId="650DFB1C"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64675156"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6.4 ± 0.6 </w:t>
            </w:r>
            <w:r w:rsidRPr="00216965">
              <w:rPr>
                <w:rFonts w:eastAsia="Times New Roman" w:cs="Times New Roman"/>
                <w:bCs/>
                <w:sz w:val="20"/>
                <w:szCs w:val="20"/>
                <w:lang w:val="es-ES" w:eastAsia="es-ES"/>
              </w:rPr>
              <w:t>c</w:t>
            </w:r>
          </w:p>
        </w:tc>
        <w:tc>
          <w:tcPr>
            <w:tcW w:w="1701" w:type="dxa"/>
            <w:vAlign w:val="bottom"/>
          </w:tcPr>
          <w:p w14:paraId="6AA84D38"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20.5 ± 0.5 </w:t>
            </w:r>
            <w:r w:rsidRPr="00216965">
              <w:rPr>
                <w:rFonts w:eastAsia="Times New Roman" w:cs="Times New Roman"/>
                <w:bCs/>
                <w:sz w:val="20"/>
                <w:szCs w:val="20"/>
                <w:lang w:val="es-ES" w:eastAsia="es-ES"/>
              </w:rPr>
              <w:t>b</w:t>
            </w:r>
          </w:p>
        </w:tc>
        <w:tc>
          <w:tcPr>
            <w:tcW w:w="2268" w:type="dxa"/>
            <w:vAlign w:val="bottom"/>
          </w:tcPr>
          <w:p w14:paraId="55A75CA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0.335 ± 0.005 </w:t>
            </w:r>
            <w:r w:rsidRPr="00216965">
              <w:rPr>
                <w:rFonts w:eastAsia="Times New Roman" w:cs="Times New Roman"/>
                <w:bCs/>
                <w:sz w:val="20"/>
                <w:szCs w:val="20"/>
                <w:lang w:val="es-ES" w:eastAsia="es-ES"/>
              </w:rPr>
              <w:t>c</w:t>
            </w:r>
          </w:p>
        </w:tc>
      </w:tr>
      <w:tr w:rsidR="005563EE" w:rsidRPr="00216965" w14:paraId="65B7E739" w14:textId="77777777" w:rsidTr="008A33DA">
        <w:trPr>
          <w:trHeight w:hRule="exact" w:val="284"/>
          <w:jc w:val="center"/>
        </w:trPr>
        <w:tc>
          <w:tcPr>
            <w:tcW w:w="1014" w:type="dxa"/>
            <w:vMerge/>
            <w:tcBorders>
              <w:top w:val="nil"/>
              <w:bottom w:val="single" w:sz="4" w:space="0" w:color="auto"/>
            </w:tcBorders>
            <w:noWrap/>
            <w:vAlign w:val="bottom"/>
          </w:tcPr>
          <w:p w14:paraId="0274651D"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tcBorders>
              <w:bottom w:val="nil"/>
            </w:tcBorders>
            <w:noWrap/>
            <w:vAlign w:val="bottom"/>
          </w:tcPr>
          <w:p w14:paraId="4657ACE7"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SWP550</w:t>
            </w:r>
          </w:p>
        </w:tc>
        <w:tc>
          <w:tcPr>
            <w:tcW w:w="1951" w:type="dxa"/>
            <w:tcBorders>
              <w:bottom w:val="nil"/>
            </w:tcBorders>
            <w:noWrap/>
            <w:vAlign w:val="bottom"/>
          </w:tcPr>
          <w:p w14:paraId="2C90E99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0.5 ± 0.4 </w:t>
            </w:r>
            <w:r w:rsidRPr="00216965">
              <w:rPr>
                <w:rFonts w:eastAsia="Times New Roman" w:cs="Times New Roman"/>
                <w:bCs/>
                <w:sz w:val="20"/>
                <w:szCs w:val="20"/>
                <w:lang w:val="es-ES" w:eastAsia="es-ES"/>
              </w:rPr>
              <w:t>d</w:t>
            </w:r>
          </w:p>
        </w:tc>
        <w:tc>
          <w:tcPr>
            <w:tcW w:w="1984" w:type="dxa"/>
            <w:tcBorders>
              <w:bottom w:val="nil"/>
            </w:tcBorders>
            <w:noWrap/>
            <w:vAlign w:val="bottom"/>
          </w:tcPr>
          <w:p w14:paraId="4E5D53BD"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0.089 ± 0.006 </w:t>
            </w:r>
            <w:r w:rsidRPr="00216965">
              <w:rPr>
                <w:rFonts w:eastAsia="Times New Roman" w:cs="Times New Roman"/>
                <w:bCs/>
                <w:sz w:val="20"/>
                <w:szCs w:val="20"/>
                <w:lang w:val="es-ES" w:eastAsia="es-ES"/>
              </w:rPr>
              <w:t>a</w:t>
            </w:r>
          </w:p>
        </w:tc>
        <w:tc>
          <w:tcPr>
            <w:tcW w:w="160" w:type="dxa"/>
            <w:tcBorders>
              <w:bottom w:val="nil"/>
            </w:tcBorders>
          </w:tcPr>
          <w:p w14:paraId="6D62615C"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bottom w:val="nil"/>
            </w:tcBorders>
            <w:vAlign w:val="bottom"/>
          </w:tcPr>
          <w:p w14:paraId="723DEF3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c>
          <w:tcPr>
            <w:tcW w:w="1701" w:type="dxa"/>
            <w:tcBorders>
              <w:bottom w:val="nil"/>
            </w:tcBorders>
            <w:vAlign w:val="bottom"/>
          </w:tcPr>
          <w:p w14:paraId="4D102239"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10.31 *</w:t>
            </w:r>
          </w:p>
        </w:tc>
        <w:tc>
          <w:tcPr>
            <w:tcW w:w="2268" w:type="dxa"/>
            <w:tcBorders>
              <w:bottom w:val="nil"/>
            </w:tcBorders>
            <w:vAlign w:val="bottom"/>
          </w:tcPr>
          <w:p w14:paraId="7EFDB28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r>
      <w:tr w:rsidR="005563EE" w:rsidRPr="00216965" w14:paraId="12E73487" w14:textId="77777777" w:rsidTr="008A33DA">
        <w:trPr>
          <w:trHeight w:hRule="exact" w:val="284"/>
          <w:jc w:val="center"/>
        </w:trPr>
        <w:tc>
          <w:tcPr>
            <w:tcW w:w="1014" w:type="dxa"/>
            <w:vMerge/>
            <w:tcBorders>
              <w:top w:val="nil"/>
              <w:bottom w:val="single" w:sz="4" w:space="0" w:color="auto"/>
            </w:tcBorders>
            <w:noWrap/>
            <w:vAlign w:val="bottom"/>
          </w:tcPr>
          <w:p w14:paraId="5B2E5670"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tcBorders>
              <w:top w:val="nil"/>
              <w:bottom w:val="single" w:sz="4" w:space="0" w:color="auto"/>
            </w:tcBorders>
            <w:noWrap/>
            <w:vAlign w:val="bottom"/>
          </w:tcPr>
          <w:p w14:paraId="1BB6F3A3"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WSP550</w:t>
            </w:r>
          </w:p>
        </w:tc>
        <w:tc>
          <w:tcPr>
            <w:tcW w:w="1951" w:type="dxa"/>
            <w:tcBorders>
              <w:top w:val="nil"/>
              <w:bottom w:val="single" w:sz="4" w:space="0" w:color="auto"/>
            </w:tcBorders>
            <w:noWrap/>
            <w:vAlign w:val="bottom"/>
          </w:tcPr>
          <w:p w14:paraId="54AD6BB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0.13 ± 0.02 </w:t>
            </w:r>
            <w:r w:rsidRPr="00216965">
              <w:rPr>
                <w:rFonts w:eastAsia="Times New Roman" w:cs="Times New Roman"/>
                <w:bCs/>
                <w:sz w:val="20"/>
                <w:szCs w:val="20"/>
                <w:lang w:val="es-ES" w:eastAsia="es-ES"/>
              </w:rPr>
              <w:t>c</w:t>
            </w:r>
          </w:p>
        </w:tc>
        <w:tc>
          <w:tcPr>
            <w:tcW w:w="1984" w:type="dxa"/>
            <w:tcBorders>
              <w:top w:val="nil"/>
              <w:bottom w:val="single" w:sz="4" w:space="0" w:color="auto"/>
            </w:tcBorders>
            <w:noWrap/>
            <w:vAlign w:val="bottom"/>
          </w:tcPr>
          <w:p w14:paraId="1C0AFBF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0.875 ± 0.007 </w:t>
            </w:r>
            <w:r w:rsidRPr="00216965">
              <w:rPr>
                <w:rFonts w:eastAsia="Times New Roman" w:cs="Times New Roman"/>
                <w:bCs/>
                <w:sz w:val="20"/>
                <w:szCs w:val="20"/>
                <w:lang w:val="es-ES" w:eastAsia="es-ES"/>
              </w:rPr>
              <w:t>a</w:t>
            </w:r>
          </w:p>
        </w:tc>
        <w:tc>
          <w:tcPr>
            <w:tcW w:w="160" w:type="dxa"/>
            <w:tcBorders>
              <w:top w:val="nil"/>
              <w:bottom w:val="single" w:sz="4" w:space="0" w:color="auto"/>
            </w:tcBorders>
          </w:tcPr>
          <w:p w14:paraId="6C71F9F1"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top w:val="nil"/>
              <w:bottom w:val="single" w:sz="4" w:space="0" w:color="auto"/>
            </w:tcBorders>
            <w:vAlign w:val="bottom"/>
          </w:tcPr>
          <w:p w14:paraId="6B8E7501"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6 ± 1 </w:t>
            </w:r>
            <w:r w:rsidRPr="00216965">
              <w:rPr>
                <w:rFonts w:eastAsia="Times New Roman" w:cs="Times New Roman"/>
                <w:bCs/>
                <w:sz w:val="20"/>
                <w:szCs w:val="20"/>
                <w:lang w:val="es-ES" w:eastAsia="es-ES"/>
              </w:rPr>
              <w:t>bc</w:t>
            </w:r>
          </w:p>
        </w:tc>
        <w:tc>
          <w:tcPr>
            <w:tcW w:w="1701" w:type="dxa"/>
            <w:tcBorders>
              <w:top w:val="nil"/>
              <w:bottom w:val="single" w:sz="4" w:space="0" w:color="auto"/>
            </w:tcBorders>
            <w:vAlign w:val="bottom"/>
          </w:tcPr>
          <w:p w14:paraId="532B9B47"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18 ± 1 </w:t>
            </w:r>
            <w:r w:rsidRPr="00216965">
              <w:rPr>
                <w:rFonts w:eastAsia="Times New Roman" w:cs="Times New Roman"/>
                <w:bCs/>
                <w:sz w:val="20"/>
                <w:szCs w:val="20"/>
                <w:lang w:val="es-ES" w:eastAsia="es-ES"/>
              </w:rPr>
              <w:t>b</w:t>
            </w:r>
          </w:p>
        </w:tc>
        <w:tc>
          <w:tcPr>
            <w:tcW w:w="2268" w:type="dxa"/>
            <w:tcBorders>
              <w:top w:val="nil"/>
              <w:bottom w:val="single" w:sz="4" w:space="0" w:color="auto"/>
            </w:tcBorders>
            <w:vAlign w:val="bottom"/>
          </w:tcPr>
          <w:p w14:paraId="4AF0CCA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1.53 ± 0.06 </w:t>
            </w:r>
            <w:r w:rsidRPr="00216965">
              <w:rPr>
                <w:rFonts w:eastAsia="Times New Roman" w:cs="Times New Roman"/>
                <w:bCs/>
                <w:sz w:val="20"/>
                <w:szCs w:val="20"/>
                <w:lang w:val="es-ES" w:eastAsia="es-ES"/>
              </w:rPr>
              <w:t>a</w:t>
            </w:r>
          </w:p>
        </w:tc>
      </w:tr>
      <w:tr w:rsidR="005563EE" w:rsidRPr="00216965" w14:paraId="79D4FF6E" w14:textId="77777777" w:rsidTr="008A33DA">
        <w:trPr>
          <w:trHeight w:hRule="exact" w:val="284"/>
          <w:jc w:val="center"/>
        </w:trPr>
        <w:tc>
          <w:tcPr>
            <w:tcW w:w="1014" w:type="dxa"/>
            <w:vMerge w:val="restart"/>
            <w:tcBorders>
              <w:top w:val="single" w:sz="4" w:space="0" w:color="auto"/>
            </w:tcBorders>
            <w:noWrap/>
            <w:vAlign w:val="center"/>
          </w:tcPr>
          <w:p w14:paraId="4AD6D212" w14:textId="77777777" w:rsidR="005563EE" w:rsidRPr="00216965" w:rsidRDefault="005563EE" w:rsidP="00A0457B">
            <w:pPr>
              <w:spacing w:after="0" w:line="480" w:lineRule="auto"/>
              <w:jc w:val="center"/>
              <w:rPr>
                <w:rFonts w:eastAsia="Times New Roman" w:cs="Times New Roman"/>
                <w:lang w:val="es-ES" w:eastAsia="es-ES"/>
              </w:rPr>
            </w:pPr>
            <w:r w:rsidRPr="00216965">
              <w:rPr>
                <w:rFonts w:eastAsia="Times New Roman" w:cs="Times New Roman"/>
                <w:lang w:val="es-ES" w:eastAsia="es-ES"/>
              </w:rPr>
              <w:t>Zn</w:t>
            </w:r>
          </w:p>
        </w:tc>
        <w:tc>
          <w:tcPr>
            <w:tcW w:w="1283" w:type="dxa"/>
            <w:tcBorders>
              <w:top w:val="single" w:sz="4" w:space="0" w:color="auto"/>
            </w:tcBorders>
            <w:noWrap/>
            <w:vAlign w:val="bottom"/>
          </w:tcPr>
          <w:p w14:paraId="2E45CAC4"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MSP550</w:t>
            </w:r>
          </w:p>
        </w:tc>
        <w:tc>
          <w:tcPr>
            <w:tcW w:w="1951" w:type="dxa"/>
            <w:tcBorders>
              <w:top w:val="single" w:sz="4" w:space="0" w:color="auto"/>
            </w:tcBorders>
            <w:noWrap/>
            <w:vAlign w:val="bottom"/>
          </w:tcPr>
          <w:p w14:paraId="46808CF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0.28 ± 0.05 </w:t>
            </w:r>
            <w:r w:rsidRPr="00216965">
              <w:rPr>
                <w:rFonts w:eastAsia="Times New Roman" w:cs="Times New Roman"/>
                <w:bCs/>
                <w:sz w:val="20"/>
                <w:szCs w:val="20"/>
                <w:lang w:val="es-ES" w:eastAsia="es-ES"/>
              </w:rPr>
              <w:t>a</w:t>
            </w:r>
          </w:p>
        </w:tc>
        <w:tc>
          <w:tcPr>
            <w:tcW w:w="1984" w:type="dxa"/>
            <w:tcBorders>
              <w:top w:val="single" w:sz="4" w:space="0" w:color="auto"/>
            </w:tcBorders>
            <w:noWrap/>
            <w:vAlign w:val="bottom"/>
          </w:tcPr>
          <w:p w14:paraId="4CAC5EF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1.070 ± 0.005 </w:t>
            </w:r>
            <w:r w:rsidRPr="00216965">
              <w:rPr>
                <w:rFonts w:eastAsia="Times New Roman" w:cs="Times New Roman"/>
                <w:bCs/>
                <w:sz w:val="20"/>
                <w:szCs w:val="20"/>
                <w:lang w:val="es-ES" w:eastAsia="es-ES"/>
              </w:rPr>
              <w:t>a</w:t>
            </w:r>
          </w:p>
        </w:tc>
        <w:tc>
          <w:tcPr>
            <w:tcW w:w="160" w:type="dxa"/>
            <w:tcBorders>
              <w:top w:val="single" w:sz="4" w:space="0" w:color="auto"/>
            </w:tcBorders>
          </w:tcPr>
          <w:p w14:paraId="0BC4A412" w14:textId="77777777" w:rsidR="005563EE" w:rsidRPr="00216965" w:rsidRDefault="005563EE" w:rsidP="00A0457B">
            <w:pPr>
              <w:spacing w:after="0" w:line="480" w:lineRule="auto"/>
              <w:rPr>
                <w:rFonts w:eastAsia="Times New Roman" w:cs="Times New Roman"/>
                <w:bCs/>
                <w:lang w:val="es-ES" w:eastAsia="es-ES"/>
              </w:rPr>
            </w:pPr>
          </w:p>
        </w:tc>
        <w:tc>
          <w:tcPr>
            <w:tcW w:w="1541" w:type="dxa"/>
            <w:tcBorders>
              <w:top w:val="single" w:sz="4" w:space="0" w:color="auto"/>
            </w:tcBorders>
          </w:tcPr>
          <w:p w14:paraId="11D6F4B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 ± 0.5 </w:t>
            </w:r>
            <w:r w:rsidRPr="00216965">
              <w:rPr>
                <w:rFonts w:eastAsia="Times New Roman" w:cs="Times New Roman"/>
                <w:bCs/>
                <w:sz w:val="20"/>
                <w:szCs w:val="20"/>
                <w:lang w:val="es-ES" w:eastAsia="es-ES"/>
              </w:rPr>
              <w:t>a</w:t>
            </w:r>
          </w:p>
        </w:tc>
        <w:tc>
          <w:tcPr>
            <w:tcW w:w="1701" w:type="dxa"/>
            <w:tcBorders>
              <w:top w:val="single" w:sz="4" w:space="0" w:color="auto"/>
            </w:tcBorders>
          </w:tcPr>
          <w:p w14:paraId="7E76264E"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3.3 ± 0.3 </w:t>
            </w:r>
            <w:r w:rsidRPr="00216965">
              <w:rPr>
                <w:rFonts w:eastAsia="Times New Roman" w:cs="Times New Roman"/>
                <w:bCs/>
                <w:sz w:val="20"/>
                <w:szCs w:val="20"/>
                <w:lang w:val="es-ES" w:eastAsia="es-ES"/>
              </w:rPr>
              <w:t>a</w:t>
            </w:r>
          </w:p>
        </w:tc>
        <w:tc>
          <w:tcPr>
            <w:tcW w:w="2268" w:type="dxa"/>
            <w:tcBorders>
              <w:top w:val="single" w:sz="4" w:space="0" w:color="auto"/>
            </w:tcBorders>
          </w:tcPr>
          <w:p w14:paraId="15A86FC8"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0.10 ± 0.06 </w:t>
            </w:r>
            <w:r w:rsidRPr="00216965">
              <w:rPr>
                <w:rFonts w:eastAsia="Times New Roman" w:cs="Times New Roman"/>
                <w:bCs/>
                <w:sz w:val="20"/>
                <w:szCs w:val="20"/>
                <w:lang w:val="es-ES" w:eastAsia="es-ES"/>
              </w:rPr>
              <w:t>a</w:t>
            </w:r>
          </w:p>
        </w:tc>
      </w:tr>
      <w:tr w:rsidR="005563EE" w:rsidRPr="00216965" w14:paraId="6D9AA715" w14:textId="77777777" w:rsidTr="008A33DA">
        <w:trPr>
          <w:trHeight w:hRule="exact" w:val="284"/>
          <w:jc w:val="center"/>
        </w:trPr>
        <w:tc>
          <w:tcPr>
            <w:tcW w:w="1014" w:type="dxa"/>
            <w:vMerge/>
            <w:noWrap/>
            <w:vAlign w:val="bottom"/>
          </w:tcPr>
          <w:p w14:paraId="7B580C81"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7BE4A047"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OSR550</w:t>
            </w:r>
          </w:p>
        </w:tc>
        <w:tc>
          <w:tcPr>
            <w:tcW w:w="1951" w:type="dxa"/>
            <w:noWrap/>
            <w:vAlign w:val="bottom"/>
          </w:tcPr>
          <w:p w14:paraId="0CE5C7E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0.36 ± 0.05 </w:t>
            </w:r>
            <w:r w:rsidRPr="00216965">
              <w:rPr>
                <w:rFonts w:eastAsia="Times New Roman" w:cs="Times New Roman"/>
                <w:bCs/>
                <w:sz w:val="20"/>
                <w:szCs w:val="20"/>
                <w:lang w:val="es-ES" w:eastAsia="es-ES"/>
              </w:rPr>
              <w:t>a</w:t>
            </w:r>
          </w:p>
        </w:tc>
        <w:tc>
          <w:tcPr>
            <w:tcW w:w="1984" w:type="dxa"/>
            <w:noWrap/>
            <w:vAlign w:val="bottom"/>
          </w:tcPr>
          <w:p w14:paraId="663258A8"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1.081 ± 0.003 </w:t>
            </w:r>
            <w:r w:rsidRPr="00216965">
              <w:rPr>
                <w:rFonts w:eastAsia="Times New Roman" w:cs="Times New Roman"/>
                <w:bCs/>
                <w:sz w:val="20"/>
                <w:szCs w:val="20"/>
                <w:lang w:val="es-ES" w:eastAsia="es-ES"/>
              </w:rPr>
              <w:t>a</w:t>
            </w:r>
          </w:p>
        </w:tc>
        <w:tc>
          <w:tcPr>
            <w:tcW w:w="160" w:type="dxa"/>
          </w:tcPr>
          <w:p w14:paraId="34801546"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30BCFC04"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1.6 ± 0.2 </w:t>
            </w:r>
            <w:r w:rsidRPr="00216965">
              <w:rPr>
                <w:rFonts w:eastAsia="Times New Roman" w:cs="Times New Roman"/>
                <w:bCs/>
                <w:sz w:val="20"/>
                <w:szCs w:val="20"/>
                <w:lang w:val="es-ES" w:eastAsia="es-ES"/>
              </w:rPr>
              <w:t>a</w:t>
            </w:r>
          </w:p>
        </w:tc>
        <w:tc>
          <w:tcPr>
            <w:tcW w:w="1701" w:type="dxa"/>
            <w:vAlign w:val="bottom"/>
          </w:tcPr>
          <w:p w14:paraId="5D1CFA4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8.6 ± 0.3 </w:t>
            </w:r>
            <w:r w:rsidRPr="00216965">
              <w:rPr>
                <w:rFonts w:eastAsia="Times New Roman" w:cs="Times New Roman"/>
                <w:bCs/>
                <w:sz w:val="20"/>
                <w:szCs w:val="20"/>
                <w:lang w:val="es-ES" w:eastAsia="es-ES"/>
              </w:rPr>
              <w:t>b</w:t>
            </w:r>
          </w:p>
        </w:tc>
        <w:tc>
          <w:tcPr>
            <w:tcW w:w="2268" w:type="dxa"/>
            <w:vAlign w:val="bottom"/>
          </w:tcPr>
          <w:p w14:paraId="3BBA1A9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0.068 ± 0.009 </w:t>
            </w:r>
            <w:r w:rsidRPr="00216965">
              <w:rPr>
                <w:rFonts w:eastAsia="Times New Roman" w:cs="Times New Roman"/>
                <w:bCs/>
                <w:sz w:val="20"/>
                <w:szCs w:val="20"/>
                <w:lang w:val="es-ES" w:eastAsia="es-ES"/>
              </w:rPr>
              <w:t>a</w:t>
            </w:r>
          </w:p>
        </w:tc>
      </w:tr>
      <w:tr w:rsidR="005563EE" w:rsidRPr="00216965" w14:paraId="2518B031" w14:textId="77777777" w:rsidTr="008A33DA">
        <w:trPr>
          <w:trHeight w:hRule="exact" w:val="284"/>
          <w:jc w:val="center"/>
        </w:trPr>
        <w:tc>
          <w:tcPr>
            <w:tcW w:w="1014" w:type="dxa"/>
            <w:vMerge/>
            <w:noWrap/>
            <w:vAlign w:val="bottom"/>
          </w:tcPr>
          <w:p w14:paraId="6108D27A"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2A7F8A48"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OSR700</w:t>
            </w:r>
          </w:p>
        </w:tc>
        <w:tc>
          <w:tcPr>
            <w:tcW w:w="1951" w:type="dxa"/>
            <w:noWrap/>
            <w:vAlign w:val="bottom"/>
          </w:tcPr>
          <w:p w14:paraId="79E8BE9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0.38± 0.07 </w:t>
            </w:r>
            <w:r w:rsidRPr="00216965">
              <w:rPr>
                <w:rFonts w:eastAsia="Times New Roman" w:cs="Times New Roman"/>
                <w:bCs/>
                <w:sz w:val="20"/>
                <w:szCs w:val="20"/>
                <w:lang w:val="es-ES" w:eastAsia="es-ES"/>
              </w:rPr>
              <w:t>a</w:t>
            </w:r>
          </w:p>
        </w:tc>
        <w:tc>
          <w:tcPr>
            <w:tcW w:w="1984" w:type="dxa"/>
            <w:noWrap/>
            <w:vAlign w:val="bottom"/>
          </w:tcPr>
          <w:p w14:paraId="70E4061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1.046 ± 0.004 </w:t>
            </w:r>
            <w:r w:rsidRPr="00216965">
              <w:rPr>
                <w:rFonts w:eastAsia="Times New Roman" w:cs="Times New Roman"/>
                <w:bCs/>
                <w:sz w:val="20"/>
                <w:szCs w:val="20"/>
                <w:lang w:val="es-ES" w:eastAsia="es-ES"/>
              </w:rPr>
              <w:t>b</w:t>
            </w:r>
          </w:p>
        </w:tc>
        <w:tc>
          <w:tcPr>
            <w:tcW w:w="160" w:type="dxa"/>
          </w:tcPr>
          <w:p w14:paraId="76CB51FC"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71152D73"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4.0 ± 0.6 </w:t>
            </w:r>
            <w:r w:rsidRPr="00216965">
              <w:rPr>
                <w:rFonts w:eastAsia="Times New Roman" w:cs="Times New Roman"/>
                <w:bCs/>
                <w:sz w:val="20"/>
                <w:szCs w:val="20"/>
                <w:lang w:val="es-ES" w:eastAsia="es-ES"/>
              </w:rPr>
              <w:t>b</w:t>
            </w:r>
          </w:p>
        </w:tc>
        <w:tc>
          <w:tcPr>
            <w:tcW w:w="1701" w:type="dxa"/>
            <w:vAlign w:val="bottom"/>
          </w:tcPr>
          <w:p w14:paraId="547D8D30"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10.7  ± 0.4 </w:t>
            </w:r>
            <w:r w:rsidRPr="00216965">
              <w:rPr>
                <w:rFonts w:eastAsia="Times New Roman" w:cs="Times New Roman"/>
                <w:bCs/>
                <w:sz w:val="20"/>
                <w:szCs w:val="20"/>
                <w:lang w:val="es-ES" w:eastAsia="es-ES"/>
              </w:rPr>
              <w:t>c</w:t>
            </w:r>
          </w:p>
        </w:tc>
        <w:tc>
          <w:tcPr>
            <w:tcW w:w="2268" w:type="dxa"/>
            <w:vAlign w:val="bottom"/>
          </w:tcPr>
          <w:p w14:paraId="6F9E4061"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0.045 ± 0.002 </w:t>
            </w:r>
            <w:r w:rsidRPr="00216965">
              <w:rPr>
                <w:rFonts w:eastAsia="Times New Roman" w:cs="Times New Roman"/>
                <w:bCs/>
                <w:sz w:val="20"/>
                <w:szCs w:val="20"/>
                <w:lang w:val="es-ES" w:eastAsia="es-ES"/>
              </w:rPr>
              <w:t>b</w:t>
            </w:r>
          </w:p>
        </w:tc>
      </w:tr>
      <w:tr w:rsidR="005563EE" w:rsidRPr="00216965" w14:paraId="64D0683C" w14:textId="77777777" w:rsidTr="008A33DA">
        <w:trPr>
          <w:trHeight w:hRule="exact" w:val="284"/>
          <w:jc w:val="center"/>
        </w:trPr>
        <w:tc>
          <w:tcPr>
            <w:tcW w:w="1014" w:type="dxa"/>
            <w:vMerge/>
            <w:noWrap/>
            <w:vAlign w:val="bottom"/>
          </w:tcPr>
          <w:p w14:paraId="3F2C1175"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18A67E30" w14:textId="77777777" w:rsidR="005563EE" w:rsidRPr="00216965" w:rsidRDefault="005563EE" w:rsidP="00A0457B">
            <w:pPr>
              <w:spacing w:after="0" w:line="480" w:lineRule="auto"/>
              <w:ind w:firstLine="187"/>
              <w:rPr>
                <w:rFonts w:eastAsia="Times New Roman" w:cs="Times New Roman"/>
                <w:lang w:val="es-ES" w:eastAsia="es-ES"/>
              </w:rPr>
            </w:pPr>
            <w:r w:rsidRPr="00216965">
              <w:rPr>
                <w:rFonts w:eastAsia="Times New Roman" w:cs="Times New Roman"/>
                <w:lang w:val="es-ES" w:eastAsia="es-ES"/>
              </w:rPr>
              <w:t>SWP550</w:t>
            </w:r>
          </w:p>
        </w:tc>
        <w:tc>
          <w:tcPr>
            <w:tcW w:w="1951" w:type="dxa"/>
            <w:noWrap/>
            <w:vAlign w:val="bottom"/>
          </w:tcPr>
          <w:p w14:paraId="4643B24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0.06 ± 0.04 </w:t>
            </w:r>
            <w:r w:rsidRPr="00216965">
              <w:rPr>
                <w:rFonts w:eastAsia="Times New Roman" w:cs="Times New Roman"/>
                <w:bCs/>
                <w:sz w:val="20"/>
                <w:szCs w:val="20"/>
                <w:lang w:val="es-ES" w:eastAsia="es-ES"/>
              </w:rPr>
              <w:t>b</w:t>
            </w:r>
          </w:p>
        </w:tc>
        <w:tc>
          <w:tcPr>
            <w:tcW w:w="1984" w:type="dxa"/>
            <w:noWrap/>
            <w:vAlign w:val="bottom"/>
          </w:tcPr>
          <w:p w14:paraId="2E1A5802"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0.27 ± 0.03 </w:t>
            </w:r>
            <w:r w:rsidRPr="00216965">
              <w:rPr>
                <w:rFonts w:eastAsia="Times New Roman" w:cs="Times New Roman"/>
                <w:bCs/>
                <w:sz w:val="20"/>
                <w:szCs w:val="20"/>
                <w:lang w:val="es-ES" w:eastAsia="es-ES"/>
              </w:rPr>
              <w:t>ab</w:t>
            </w:r>
          </w:p>
        </w:tc>
        <w:tc>
          <w:tcPr>
            <w:tcW w:w="160" w:type="dxa"/>
          </w:tcPr>
          <w:p w14:paraId="43AF09E3"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2D1B160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c>
          <w:tcPr>
            <w:tcW w:w="1701" w:type="dxa"/>
            <w:vAlign w:val="bottom"/>
          </w:tcPr>
          <w:p w14:paraId="03296FE7"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0.67*</w:t>
            </w:r>
          </w:p>
        </w:tc>
        <w:tc>
          <w:tcPr>
            <w:tcW w:w="2268" w:type="dxa"/>
            <w:vAlign w:val="bottom"/>
          </w:tcPr>
          <w:p w14:paraId="67B6A477"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w:t>
            </w:r>
          </w:p>
        </w:tc>
      </w:tr>
      <w:tr w:rsidR="005563EE" w:rsidRPr="00216965" w14:paraId="722B8433" w14:textId="77777777" w:rsidTr="008A33DA">
        <w:trPr>
          <w:trHeight w:hRule="exact" w:val="284"/>
          <w:jc w:val="center"/>
        </w:trPr>
        <w:tc>
          <w:tcPr>
            <w:tcW w:w="1014" w:type="dxa"/>
            <w:vMerge/>
            <w:noWrap/>
            <w:vAlign w:val="bottom"/>
          </w:tcPr>
          <w:p w14:paraId="2A3BB212" w14:textId="77777777" w:rsidR="005563EE" w:rsidRPr="00216965" w:rsidRDefault="005563EE" w:rsidP="00A0457B">
            <w:pPr>
              <w:spacing w:after="0" w:line="480" w:lineRule="auto"/>
              <w:jc w:val="center"/>
              <w:rPr>
                <w:rFonts w:eastAsia="Times New Roman" w:cs="Times New Roman"/>
                <w:lang w:val="es-ES" w:eastAsia="es-ES"/>
              </w:rPr>
            </w:pPr>
          </w:p>
        </w:tc>
        <w:tc>
          <w:tcPr>
            <w:tcW w:w="1283" w:type="dxa"/>
            <w:noWrap/>
            <w:vAlign w:val="bottom"/>
          </w:tcPr>
          <w:p w14:paraId="4F2B2212" w14:textId="77777777" w:rsidR="005563EE" w:rsidRPr="00216965" w:rsidRDefault="005563EE" w:rsidP="00A0457B">
            <w:pPr>
              <w:spacing w:line="480" w:lineRule="auto"/>
              <w:ind w:firstLine="187"/>
              <w:rPr>
                <w:rFonts w:eastAsia="Times New Roman" w:cs="Times New Roman"/>
                <w:lang w:val="es-ES" w:eastAsia="es-ES"/>
              </w:rPr>
            </w:pPr>
            <w:r w:rsidRPr="00216965">
              <w:rPr>
                <w:rFonts w:eastAsia="Times New Roman" w:cs="Times New Roman"/>
                <w:lang w:val="es-ES" w:eastAsia="es-ES"/>
              </w:rPr>
              <w:t>WSP550</w:t>
            </w:r>
          </w:p>
        </w:tc>
        <w:tc>
          <w:tcPr>
            <w:tcW w:w="1951" w:type="dxa"/>
            <w:noWrap/>
            <w:vAlign w:val="bottom"/>
          </w:tcPr>
          <w:p w14:paraId="44C6FBF5"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0.4 ± 0.1 </w:t>
            </w:r>
            <w:r w:rsidRPr="00216965">
              <w:rPr>
                <w:rFonts w:eastAsia="Times New Roman" w:cs="Times New Roman"/>
                <w:bCs/>
                <w:sz w:val="20"/>
                <w:szCs w:val="20"/>
                <w:lang w:val="es-ES" w:eastAsia="es-ES"/>
              </w:rPr>
              <w:t>a</w:t>
            </w:r>
          </w:p>
        </w:tc>
        <w:tc>
          <w:tcPr>
            <w:tcW w:w="1984" w:type="dxa"/>
            <w:noWrap/>
            <w:vAlign w:val="bottom"/>
          </w:tcPr>
          <w:p w14:paraId="20BCC3AB"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1.075 ± 0.006 </w:t>
            </w:r>
            <w:r w:rsidRPr="00216965">
              <w:rPr>
                <w:rFonts w:eastAsia="Times New Roman" w:cs="Times New Roman"/>
                <w:bCs/>
                <w:sz w:val="20"/>
                <w:szCs w:val="20"/>
                <w:lang w:val="es-ES" w:eastAsia="es-ES"/>
              </w:rPr>
              <w:t>a</w:t>
            </w:r>
          </w:p>
        </w:tc>
        <w:tc>
          <w:tcPr>
            <w:tcW w:w="160" w:type="dxa"/>
          </w:tcPr>
          <w:p w14:paraId="04AB2C8D" w14:textId="77777777" w:rsidR="005563EE" w:rsidRPr="00216965" w:rsidRDefault="005563EE" w:rsidP="00A0457B">
            <w:pPr>
              <w:spacing w:after="0" w:line="480" w:lineRule="auto"/>
              <w:rPr>
                <w:rFonts w:eastAsia="Times New Roman" w:cs="Times New Roman"/>
                <w:bCs/>
                <w:lang w:val="es-ES" w:eastAsia="es-ES"/>
              </w:rPr>
            </w:pPr>
          </w:p>
        </w:tc>
        <w:tc>
          <w:tcPr>
            <w:tcW w:w="1541" w:type="dxa"/>
            <w:vAlign w:val="bottom"/>
          </w:tcPr>
          <w:p w14:paraId="35D8BDE4"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4 ± 1 </w:t>
            </w:r>
            <w:r w:rsidRPr="00216965">
              <w:rPr>
                <w:rFonts w:eastAsia="Times New Roman" w:cs="Times New Roman"/>
                <w:bCs/>
                <w:sz w:val="20"/>
                <w:szCs w:val="20"/>
                <w:lang w:val="es-ES" w:eastAsia="es-ES"/>
              </w:rPr>
              <w:t>a</w:t>
            </w:r>
          </w:p>
        </w:tc>
        <w:tc>
          <w:tcPr>
            <w:tcW w:w="1701" w:type="dxa"/>
            <w:vAlign w:val="bottom"/>
          </w:tcPr>
          <w:p w14:paraId="56F9B529"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6.2 ± 0.6 </w:t>
            </w:r>
            <w:r w:rsidRPr="00216965">
              <w:rPr>
                <w:rFonts w:eastAsia="Times New Roman" w:cs="Times New Roman"/>
                <w:bCs/>
                <w:sz w:val="20"/>
                <w:szCs w:val="20"/>
                <w:lang w:val="es-ES" w:eastAsia="es-ES"/>
              </w:rPr>
              <w:t>a</w:t>
            </w:r>
          </w:p>
        </w:tc>
        <w:tc>
          <w:tcPr>
            <w:tcW w:w="2268" w:type="dxa"/>
            <w:vAlign w:val="bottom"/>
          </w:tcPr>
          <w:p w14:paraId="44A7BDDC" w14:textId="77777777" w:rsidR="005563EE" w:rsidRPr="00216965" w:rsidRDefault="005563EE" w:rsidP="00A0457B">
            <w:pPr>
              <w:spacing w:after="0" w:line="480" w:lineRule="auto"/>
              <w:jc w:val="center"/>
              <w:rPr>
                <w:rFonts w:eastAsia="Times New Roman" w:cs="Times New Roman"/>
                <w:bCs/>
                <w:lang w:val="es-ES" w:eastAsia="es-ES"/>
              </w:rPr>
            </w:pPr>
            <w:r w:rsidRPr="00216965">
              <w:rPr>
                <w:rFonts w:eastAsia="Times New Roman" w:cs="Times New Roman"/>
                <w:bCs/>
                <w:lang w:val="es-ES" w:eastAsia="es-ES"/>
              </w:rPr>
              <w:t xml:space="preserve">0.034 ± 0.004 </w:t>
            </w:r>
            <w:r w:rsidRPr="00216965">
              <w:rPr>
                <w:rFonts w:eastAsia="Times New Roman" w:cs="Times New Roman"/>
                <w:bCs/>
                <w:sz w:val="20"/>
                <w:szCs w:val="20"/>
                <w:lang w:val="es-ES" w:eastAsia="es-ES"/>
              </w:rPr>
              <w:t>c</w:t>
            </w:r>
          </w:p>
        </w:tc>
      </w:tr>
    </w:tbl>
    <w:p w14:paraId="0A7B8C38" w14:textId="77777777" w:rsidR="005563EE" w:rsidRPr="00216965" w:rsidRDefault="005563EE" w:rsidP="008A33DA">
      <w:pPr>
        <w:spacing w:after="0" w:line="480" w:lineRule="auto"/>
        <w:ind w:firstLine="357"/>
        <w:rPr>
          <w:szCs w:val="24"/>
        </w:rPr>
      </w:pPr>
      <w:r w:rsidRPr="00216965">
        <w:rPr>
          <w:szCs w:val="24"/>
        </w:rPr>
        <w:t>* Highest sorption capacity determined experimentally</w:t>
      </w:r>
    </w:p>
    <w:bookmarkEnd w:id="149"/>
    <w:p w14:paraId="40BF0534" w14:textId="77777777" w:rsidR="005563EE" w:rsidRPr="00216965" w:rsidRDefault="005563EE" w:rsidP="008A33DA">
      <w:pPr>
        <w:tabs>
          <w:tab w:val="left" w:pos="1452"/>
        </w:tabs>
        <w:spacing w:line="480" w:lineRule="auto"/>
        <w:sectPr w:rsidR="005563EE" w:rsidRPr="00216965" w:rsidSect="00A0457B">
          <w:pgSz w:w="16838" w:h="11906" w:orient="landscape"/>
          <w:pgMar w:top="1440" w:right="1440" w:bottom="1440" w:left="1440" w:header="708" w:footer="708" w:gutter="0"/>
          <w:cols w:space="708"/>
          <w:docGrid w:linePitch="360"/>
        </w:sectPr>
      </w:pPr>
    </w:p>
    <w:p w14:paraId="7B3772F4" w14:textId="77777777" w:rsidR="005563EE" w:rsidRPr="00216965" w:rsidRDefault="005563EE" w:rsidP="008A33DA">
      <w:pPr>
        <w:pStyle w:val="Heading4"/>
      </w:pPr>
      <w:bookmarkStart w:id="150" w:name="_Ref86419146"/>
      <w:r w:rsidRPr="00216965">
        <w:lastRenderedPageBreak/>
        <w:t>Effect of media pH</w:t>
      </w:r>
      <w:bookmarkEnd w:id="150"/>
    </w:p>
    <w:p w14:paraId="70FC815E" w14:textId="77777777" w:rsidR="008574C0" w:rsidRPr="00216965" w:rsidRDefault="005563EE" w:rsidP="008A33DA">
      <w:pPr>
        <w:spacing w:line="360" w:lineRule="auto"/>
        <w:jc w:val="both"/>
      </w:pPr>
      <w:r w:rsidRPr="00216965">
        <w:t>The pH of the synthetic pore water had a significant effect on the adsorption of Zn, Cd and Pb by the biochars (</w:t>
      </w:r>
      <w:r w:rsidRPr="00216965">
        <w:rPr>
          <w:b/>
          <w:bCs/>
        </w:rPr>
        <w:fldChar w:fldCharType="begin"/>
      </w:r>
      <w:r w:rsidRPr="00216965">
        <w:rPr>
          <w:b/>
          <w:bCs/>
        </w:rPr>
        <w:instrText xml:space="preserve"> REF _Ref52748787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w:t>
      </w:r>
      <w:r w:rsidRPr="00216965">
        <w:rPr>
          <w:b/>
          <w:bCs/>
        </w:rPr>
        <w:fldChar w:fldCharType="end"/>
      </w:r>
      <w:r w:rsidRPr="00216965">
        <w:rPr>
          <w:b/>
          <w:bCs/>
        </w:rPr>
        <w:t>B</w:t>
      </w:r>
      <w:r w:rsidRPr="00216965">
        <w:t>). The adsorption capacity of Pb</w:t>
      </w:r>
      <w:r w:rsidR="007846E6" w:rsidRPr="00216965">
        <w:t xml:space="preserve"> </w:t>
      </w:r>
      <w:r w:rsidRPr="00216965">
        <w:t>was significantly decreased above pH 5 (p &lt;</w:t>
      </w:r>
      <w:r w:rsidR="00831AE6" w:rsidRPr="00216965">
        <w:t xml:space="preserve"> </w:t>
      </w:r>
      <w:r w:rsidRPr="00216965">
        <w:t>0.001); the greatest adsorption capacity was observed between pH 6 to pH 7 for Cd (p &lt;</w:t>
      </w:r>
      <w:r w:rsidR="00831AE6" w:rsidRPr="00216965">
        <w:t xml:space="preserve"> </w:t>
      </w:r>
      <w:r w:rsidRPr="00216965">
        <w:t>0.001) and between pH 5 to pH 8 for Zn (p &lt;0.001). Biochar SWP550 had the lowest sorption capacity for Cd and Zn at all pH values tested (p &lt;0.001) and for Pb at pH 4, 5, 7, 8 and 9 (p &lt; 0.001).</w:t>
      </w:r>
    </w:p>
    <w:p w14:paraId="0EC4CFD9" w14:textId="77777777" w:rsidR="008574C0" w:rsidRPr="00216965" w:rsidRDefault="005563EE" w:rsidP="008A33DA">
      <w:pPr>
        <w:spacing w:line="360" w:lineRule="auto"/>
        <w:jc w:val="both"/>
      </w:pPr>
      <w:r w:rsidRPr="00216965">
        <w:t>These results are supported by the chemical speciation predicted with Visual MINTEQ 3.1 (</w:t>
      </w:r>
      <w:r w:rsidRPr="00216965">
        <w:rPr>
          <w:b/>
          <w:bCs/>
        </w:rPr>
        <w:fldChar w:fldCharType="begin"/>
      </w:r>
      <w:r w:rsidRPr="00216965">
        <w:rPr>
          <w:b/>
          <w:bCs/>
        </w:rPr>
        <w:instrText xml:space="preserve"> REF _Ref52749008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2</w:t>
      </w:r>
      <w:r w:rsidRPr="00216965">
        <w:rPr>
          <w:b/>
          <w:bCs/>
        </w:rPr>
        <w:fldChar w:fldCharType="end"/>
      </w:r>
      <w:r w:rsidRPr="00216965">
        <w:t xml:space="preserve">), which indicates that soluble forms of Cd, Pb and Zn available to bind with biochar sorption sites enhanced sorption at specific pH ranges. As illustrated in </w:t>
      </w:r>
      <w:r w:rsidRPr="00216965">
        <w:rPr>
          <w:b/>
          <w:bCs/>
        </w:rPr>
        <w:fldChar w:fldCharType="begin"/>
      </w:r>
      <w:r w:rsidRPr="00216965">
        <w:rPr>
          <w:b/>
          <w:bCs/>
        </w:rPr>
        <w:instrText xml:space="preserve"> REF _Ref52749008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2</w:t>
      </w:r>
      <w:r w:rsidRPr="00216965">
        <w:rPr>
          <w:b/>
          <w:bCs/>
        </w:rPr>
        <w:fldChar w:fldCharType="end"/>
      </w:r>
      <w:r w:rsidRPr="00216965">
        <w:t>, soluble Cd forms, Cd</w:t>
      </w:r>
      <w:r w:rsidRPr="00216965">
        <w:rPr>
          <w:vertAlign w:val="superscript"/>
        </w:rPr>
        <w:t>2+</w:t>
      </w:r>
      <w:r w:rsidRPr="00216965">
        <w:t xml:space="preserve"> (93%) and CdCl</w:t>
      </w:r>
      <w:r w:rsidRPr="00216965">
        <w:rPr>
          <w:vertAlign w:val="superscript"/>
        </w:rPr>
        <w:t>+</w:t>
      </w:r>
      <w:r w:rsidRPr="00216965">
        <w:t xml:space="preserve"> (2.5%), dominate at pH 4-7, after which insoluble Cd</w:t>
      </w:r>
      <w:r w:rsidRPr="00216965">
        <w:rPr>
          <w:vertAlign w:val="subscript"/>
        </w:rPr>
        <w:t>4</w:t>
      </w:r>
      <w:r w:rsidRPr="00216965">
        <w:t>(OH)</w:t>
      </w:r>
      <w:r w:rsidRPr="00216965">
        <w:rPr>
          <w:vertAlign w:val="subscript"/>
        </w:rPr>
        <w:t>6</w:t>
      </w:r>
      <w:r w:rsidRPr="00216965">
        <w:t>SO</w:t>
      </w:r>
      <w:r w:rsidRPr="00216965">
        <w:rPr>
          <w:vertAlign w:val="subscript"/>
        </w:rPr>
        <w:t>4(s)</w:t>
      </w:r>
      <w:r w:rsidRPr="00216965">
        <w:t xml:space="preserve"> would form and finally be the dominant species at pH 9. Pb would be mainly present as soluble Pb</w:t>
      </w:r>
      <w:r w:rsidRPr="00216965">
        <w:rPr>
          <w:vertAlign w:val="superscript"/>
        </w:rPr>
        <w:t>2+</w:t>
      </w:r>
      <w:r w:rsidRPr="00216965">
        <w:t xml:space="preserve"> (90-62 %) and PbOH</w:t>
      </w:r>
      <w:r w:rsidRPr="00216965">
        <w:rPr>
          <w:vertAlign w:val="superscript"/>
        </w:rPr>
        <w:t>+</w:t>
      </w:r>
      <w:r w:rsidRPr="00216965">
        <w:t xml:space="preserve"> (0.02-10.2 %) at initial pH 4-6.5; insoluble Pb(OH)</w:t>
      </w:r>
      <w:r w:rsidRPr="00216965">
        <w:rPr>
          <w:vertAlign w:val="subscript"/>
        </w:rPr>
        <w:t>2</w:t>
      </w:r>
      <w:r w:rsidRPr="00216965">
        <w:t xml:space="preserve"> would start to form at pH 6.75 and become dominant at pH &gt; 8 (98%). Zn would be present as Zn</w:t>
      </w:r>
      <w:r w:rsidRPr="00216965">
        <w:rPr>
          <w:vertAlign w:val="superscript"/>
        </w:rPr>
        <w:t>2+</w:t>
      </w:r>
      <w:r w:rsidRPr="00216965">
        <w:t xml:space="preserve"> (96%) at pH 4-7, after which insoluble Zn(OH)</w:t>
      </w:r>
      <w:r w:rsidRPr="00216965">
        <w:rPr>
          <w:vertAlign w:val="subscript"/>
        </w:rPr>
        <w:t>2</w:t>
      </w:r>
      <w:r w:rsidRPr="00216965">
        <w:t xml:space="preserve"> would form and became the dominant species at pH 9. </w:t>
      </w:r>
    </w:p>
    <w:p w14:paraId="06C24C4A" w14:textId="67648220" w:rsidR="008574C0" w:rsidRPr="00216965" w:rsidRDefault="005563EE" w:rsidP="008A33DA">
      <w:pPr>
        <w:spacing w:line="360" w:lineRule="auto"/>
        <w:jc w:val="both"/>
      </w:pPr>
      <w:r w:rsidRPr="00216965">
        <w:t xml:space="preserve">The decreased sorption capacity for Pb above the initial pH 5 reflects the progressively reduced solubility of Pb at increasing pH. Other authors have reported similar effects of pH on the HM sorption capacity of biochars. For example, biochars prepared from pinewood and rice husk have maximum Pb removal capacities at pH 5 </w:t>
      </w:r>
      <w:r w:rsidRPr="00216965">
        <w:rPr>
          <w:rFonts w:cs="Times New Roman"/>
          <w:szCs w:val="24"/>
        </w:rPr>
        <w:fldChar w:fldCharType="begin" w:fldLock="1"/>
      </w:r>
      <w:r w:rsidR="00F56BD7" w:rsidRPr="00216965">
        <w:rPr>
          <w:rFonts w:cs="Times New Roman"/>
          <w:szCs w:val="24"/>
        </w:rPr>
        <w:instrText>ADDIN CSL_CITATION {"citationItems":[{"id":"ITEM-1","itemData":{"DOI":"10.1016/j.jhazmat.2009.01.085","abstract":"a b s t r a c t Hydrothermal conversion of biomass into biofuel could produce a special type of biochar as byproduct. This biochar is quite different from biochar derived from high temperature pyrolysis. In the present study, two biochars, prepared from hydrothermal liquefaction of pinewood (P300) and rice husk (R300), were characterized and investigated for lead removal from aqueous solution. The results indicated that the biochars contained a large amount of oxygen-containing groups on the surface, which were quite effective for lead removal with capacities of 4.25 and 2.40 mg/g for P300 and R300, respectively. The adsorption equilibrium was achieved around 5 h. Higher temperature favored the removal capacity implying that the adsorption was an endothermic process. The adsorption data at optimum solution pH 5 could be well described by Langmuir model and the adsorption process was well fitted by pseudo-second-order model. Moreover, it was found that the adsorption was mainly controlled by film diffusion. Thermodynamics analysis suggested that lead adsorption onto the biochars was physical endothermic process.","author":[{"dropping-particle":"","family":"Liu","given":"Zhengang","non-dropping-particle":"","parse-names":false,"suffix":""},{"dropping-particle":"","family":"Zhang","given":"Fu-Shen","non-dropping-particle":"","parse-names":false,"suffix":""}],"container-title":"Journal of Hazardous Materials","id":"ITEM-1","issued":{"date-parts":[["2009"]]},"page":"933-939","title":"Removal of lead from water using biochars prepared from hydrothermal liquefaction of biomass","type":"article-journal","volume":"167"},"uris":["http://www.mendeley.com/documents/?uuid=740f1ac0-90d5-3356-b464-5d24249f8f62"]}],"mendeley":{"formattedCitation":"(Liu and Zhang, 2009)","plainTextFormattedCitation":"(Liu and Zhang, 2009)","previouslyFormattedCitation":"(Liu and Zhang, 2009)"},"properties":{"noteIndex":0},"schema":"https://github.com/citation-style-language/schema/raw/master/csl-citation.json"}</w:instrText>
      </w:r>
      <w:r w:rsidRPr="00216965">
        <w:rPr>
          <w:rFonts w:cs="Times New Roman"/>
          <w:szCs w:val="24"/>
        </w:rPr>
        <w:fldChar w:fldCharType="separate"/>
      </w:r>
      <w:r w:rsidR="00330A4F" w:rsidRPr="00216965">
        <w:rPr>
          <w:rFonts w:cs="Times New Roman"/>
          <w:noProof/>
          <w:szCs w:val="24"/>
        </w:rPr>
        <w:t>(Liu and Zhang, 2009)</w:t>
      </w:r>
      <w:r w:rsidRPr="00216965">
        <w:rPr>
          <w:rFonts w:cs="Times New Roman"/>
          <w:szCs w:val="24"/>
        </w:rPr>
        <w:fldChar w:fldCharType="end"/>
      </w:r>
      <w:r w:rsidRPr="00216965">
        <w:t xml:space="preserve">. The optimal pH for Zn adsorption was determined to be pH 8 for hard wood biochar </w:t>
      </w:r>
      <w:r w:rsidRPr="00216965">
        <w:rPr>
          <w:rFonts w:cs="Times New Roman"/>
          <w:szCs w:val="24"/>
        </w:rPr>
        <w:fldChar w:fldCharType="begin" w:fldLock="1"/>
      </w:r>
      <w:r w:rsidR="006C06AA" w:rsidRPr="00216965">
        <w:rPr>
          <w:rFonts w:cs="Times New Roman"/>
          <w:szCs w:val="24"/>
        </w:rPr>
        <w:instrText>ADDIN CSL_CITATION {"citationItems":[{"id":"ITEM-1","itemData":{"DOI":"10.1016/j.biortech.2011.06.078","ISBN":"1873-2976 (Electronic)\\n0960-8524 (Linking)","ISSN":"09608524","PMID":"21764299","abstract":"Biochars produced by pyrolysis of hardwood at 450 ??C (HW450) and corn straw at 600 ??C (CS600) were characterized and investigated as adsorbents for the removal of Cu(II) and Zn(II) from aqueous solution. The adsorption data were well described by a Langmuir isotherm, with maximum Cu(II) and Zn(II) adsorption capacities of 12.52 and 11.0. mg/g for CS600, 6.79 and 4.54. mg/g for HW450, respectively. Thermodynamic analysis suggested that the adsorption was an endothermic process and did not occur spontaneously. Although Cu(II) adsorption was only marginally affected by Zn(II), Cu(II) competed with Zn(II) for binding sites at Cu(II) and Zn(II) concentrations ???1.0. mM. Results from this study indicated that plant-residue or agricultural waste derived biochar can act as effective surface sorbent, but their ability to treat mixed waste streams needs to be carefully evaluated on an individual basis. ?? 2011 Elsevier Ltd.","author":[{"dropping-particle":"","family":"Chen","given":"Xincai","non-dropping-particle":"","parse-names":false,"suffix":""},{"dropping-particle":"","family":"Chen","given":"Guangcun","non-dropping-particle":"","parse-names":false,"suffix":""},{"dropping-particle":"","family":"Chen","given":"Linggui","non-dropping-particle":"","parse-names":false,"suffix":""},{"dropping-particle":"","family":"Chen","given":"Yingxu","non-dropping-particle":"","parse-names":false,"suffix":""},{"dropping-particle":"","family":"Lehmann","given":"Johannes","non-dropping-particle":"","parse-names":false,"suffix":""},{"dropping-particle":"","family":"McBride","given":"Murray B.","non-dropping-particle":"","parse-names":false,"suffix":""},{"dropping-particle":"","family":"Hay","given":"Anthony G.","non-dropping-particle":"","parse-names":false,"suffix":""}],"container-title":"Bioresource Technology","id":"ITEM-1","issue":"19","issued":{"date-parts":[["2011"]]},"page":"8877-8884","publisher":"Elsevier Ltd","title":"Adsorption of copper and zinc by biochars produced from pyrolysis of hardwood and corn straw in aqueous solution","type":"article-journal","volume":"102"},"uris":["http://www.mendeley.com/documents/?uuid=e6db82ea-68dc-4d5f-a68d-462b2e348f9f"]}],"mendeley":{"formattedCitation":"(Chen et al., 2011)","plainTextFormattedCitation":"(Chen et al., 2011)","previouslyFormattedCitation":"(Chen et al., 2011)"},"properties":{"noteIndex":0},"schema":"https://github.com/citation-style-language/schema/raw/master/csl-citation.json"}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(Chen et al., 2011)</w:t>
      </w:r>
      <w:r w:rsidRPr="00216965">
        <w:rPr>
          <w:rFonts w:cs="Times New Roman"/>
          <w:szCs w:val="24"/>
        </w:rPr>
        <w:fldChar w:fldCharType="end"/>
      </w:r>
      <w:r w:rsidRPr="00216965">
        <w:t xml:space="preserve">, pH 7 for Zn adsorption by wheat straw biochar and pH 6 for Cd on biochar made from </w:t>
      </w:r>
      <w:r w:rsidRPr="00216965">
        <w:rPr>
          <w:i/>
          <w:iCs/>
        </w:rPr>
        <w:t>S. hermaphrodita</w:t>
      </w:r>
      <w:r w:rsidRPr="00216965">
        <w:t xml:space="preserve"> </w:t>
      </w:r>
      <w:r w:rsidRPr="00216965">
        <w:rPr>
          <w:rFonts w:cs="Times New Roman"/>
          <w:szCs w:val="24"/>
        </w:rPr>
        <w:fldChar w:fldCharType="begin" w:fldLock="1"/>
      </w:r>
      <w:r w:rsidR="006C06AA" w:rsidRPr="00216965">
        <w:rPr>
          <w:rFonts w:cs="Times New Roman"/>
          <w:szCs w:val="24"/>
        </w:rPr>
        <w:instrText>ADDIN CSL_CITATION {"citationItems":[{"id":"ITEM-1","itemData":{"DOI":"10.1016/j.biortech.2015.08.006","ISBN":"9031220280","ISSN":"18732976","PMID":"25653388","abstract":"The goal of the presented work was the evaluation and comparison of two biochars (produced from Sida hermaphrodita - BCSH/laboratory produced and from wheatstraw - BCS/commercial available) to adsorb heavy metal ions (Cd(II), Cu(II) and Zn(II)) from water. Kinetics of the sorption as well as sorption isotherms, the influence of solution pH and interfering ions were investigated. Different physico-chemical properties of biochars had the great influence on adsorption capacity. The greater adsorption efficiency was observed for BCSH than for BCS in the case of all investigated metals. The adsorption efficiency of BCSH was correlated with higher content of carbon and oxygen, what is equal with higher content of polar-groups on the BCSH surface e.g., -COOH. Furthermore, the molar ratio of O/C as well as polarity index (which was higher for BCSH) was also important parameters.","author":[{"dropping-particle":"","family":"Bogusz","given":"Aleksandra","non-dropping-particle":"","parse-names":false,"suffix":""},{"dropping-particle":"","family":"Oleszczuk","given":"Patryk","non-dropping-particle":"","parse-names":false,"suffix":""},{"dropping-particle":"","family":"Dobrowolski","given":"Ryszard","non-dropping-particle":"","parse-names":false,"suffix":""}],"container-title":"Bioresource Technology","id":"ITEM-1","issued":{"date-parts":[["2015"]]},"page":"540-549","publisher":"Elsevier Ltd","title":"Application of laboratory prepared and commercially available biochars to adsorption of cadmium, copper and zinc ions from water","type":"article-journal","volume":"196"},"uris":["http://www.mendeley.com/documents/?uuid=eec8e1ee-3e87-442a-8ba0-d11cdd6a3c20"]}],"mendeley":{"formattedCitation":"(Bogusz et al., 2015)","plainTextFormattedCitation":"(Bogusz et al., 2015)","previouslyFormattedCitation":"(Bogusz et al., 2015)"},"properties":{"noteIndex":0},"schema":"https://github.com/citation-style-language/schema/raw/master/csl-citation.json"}</w:instrText>
      </w:r>
      <w:r w:rsidRPr="00216965">
        <w:rPr>
          <w:rFonts w:cs="Times New Roman"/>
          <w:szCs w:val="24"/>
        </w:rPr>
        <w:fldChar w:fldCharType="separate"/>
      </w:r>
      <w:r w:rsidR="001974AA" w:rsidRPr="00216965">
        <w:rPr>
          <w:rFonts w:cs="Times New Roman"/>
          <w:noProof/>
          <w:szCs w:val="24"/>
        </w:rPr>
        <w:t>(Bogusz et al., 2015)</w:t>
      </w:r>
      <w:r w:rsidRPr="00216965">
        <w:rPr>
          <w:rFonts w:cs="Times New Roman"/>
          <w:szCs w:val="24"/>
        </w:rPr>
        <w:fldChar w:fldCharType="end"/>
      </w:r>
      <w:r w:rsidRPr="00216965">
        <w:t xml:space="preserve">. </w:t>
      </w:r>
    </w:p>
    <w:p w14:paraId="1941FD65" w14:textId="01EE02D9" w:rsidR="005563EE" w:rsidRPr="00216965" w:rsidRDefault="005563EE" w:rsidP="008A33DA">
      <w:pPr>
        <w:spacing w:line="360" w:lineRule="auto"/>
        <w:jc w:val="both"/>
      </w:pPr>
      <w:r w:rsidRPr="00216965">
        <w:t xml:space="preserve">The effect of pH on the sorption capacity of biochars differs for trace elements as solution pH significantly influences both metal speciation and biochar surface charge. Biochar addition increases the pH of the metal-enriched soil pore water solution. Due to release of alkaline mineral components and the presence of alkaline functional groups such as ketones on the biochar surface </w:t>
      </w:r>
      <w:r w:rsidRPr="00216965">
        <w:rPr>
          <w:rFonts w:cs="Times New Roman"/>
          <w:szCs w:val="24"/>
        </w:rPr>
        <w:fldChar w:fldCharType="begin" w:fldLock="1"/>
      </w:r>
      <w:r w:rsidR="006C06AA" w:rsidRPr="00216965">
        <w:rPr>
          <w:rFonts w:cs="Times New Roman"/>
          <w:szCs w:val="24"/>
        </w:rPr>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modifications","type":"article-journal","volume":"178"},"uris":["http://www.mendeley.com/documents/?uuid=86ada9eb-8f5a-356c-ba86-8ed24fd91759"]},{"id":"ITEM-2","itemData":{"author":[{"dropping-particle":"","family":"Timothy McMillan","given":"Oliver Waiapu","non-dropping-particle":"","parse-names":false,"suffix":""}],"id":"ITEM-2","issued":{"date-parts":[["2018"]]},"publisher":"University of Cambridge","title":"Characteristics and mechanisms of atrazine sorption to biochar for land remediation","type":"thesis"},"uris":["http://www.mendeley.com/documents/?uuid=7165e884-fe1f-392f-9337-8adf61410970"]}],"mendeley":{"formattedCitation":"(Hongbo Li et al., 2017; Timothy McMillan, 2018)","plainTextFormattedCitation":"(Hongbo Li et al., 2017; Timothy McMillan, 2018)","previouslyFormattedCitation":"(Hongbo Li et al., 2017; Timothy McMillan, 2018)"},"properties":{"noteIndex":0},"schema":"https://github.com/citation-style-language/schema/raw/master/csl-citation.json"}</w:instrText>
      </w:r>
      <w:r w:rsidRPr="00216965">
        <w:rPr>
          <w:rFonts w:cs="Times New Roman"/>
          <w:szCs w:val="24"/>
        </w:rPr>
        <w:fldChar w:fldCharType="separate"/>
      </w:r>
      <w:r w:rsidR="00C83E62" w:rsidRPr="00216965">
        <w:rPr>
          <w:rFonts w:cs="Times New Roman"/>
          <w:noProof/>
          <w:szCs w:val="24"/>
        </w:rPr>
        <w:t>(Hongbo Li et al., 2017; Timothy McMillan, 2018)</w:t>
      </w:r>
      <w:r w:rsidRPr="00216965">
        <w:rPr>
          <w:rFonts w:cs="Times New Roman"/>
          <w:szCs w:val="24"/>
        </w:rPr>
        <w:fldChar w:fldCharType="end"/>
      </w:r>
      <w:r w:rsidRPr="00216965">
        <w:t>, an increase in solution pH enhances the formation of insoluble precipitates. This is especially important for Pb as non-soluble forms start to develop at pH 6.75 according to the predicted speciation (</w:t>
      </w:r>
      <w:r w:rsidRPr="00216965">
        <w:rPr>
          <w:b/>
          <w:bCs/>
        </w:rPr>
        <w:fldChar w:fldCharType="begin"/>
      </w:r>
      <w:r w:rsidRPr="00216965">
        <w:rPr>
          <w:b/>
          <w:bCs/>
        </w:rPr>
        <w:instrText xml:space="preserve"> REF _Ref52749008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2</w:t>
      </w:r>
      <w:r w:rsidRPr="00216965">
        <w:rPr>
          <w:b/>
          <w:bCs/>
        </w:rPr>
        <w:fldChar w:fldCharType="end"/>
      </w:r>
      <w:r w:rsidRPr="00216965">
        <w:t xml:space="preserve">). Under acidic conditions the functional groups are protonated, but become deprotonated as pH increases, allowing binding of positively </w:t>
      </w:r>
      <w:r w:rsidRPr="00216965">
        <w:lastRenderedPageBreak/>
        <w:t xml:space="preserve">charged metal ions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modifications","type":"article-journal","volume":"178"},"uris":["http://www.mendeley.com/documents/?uuid=86ada9eb-8f5a-356c-ba86-8ed24fd91759"]}],"mendeley":{"formattedCitation":"(Hongbo Li et al., 2017)","plainTextFormattedCitation":"(Hongbo Li et al., 2017)","previouslyFormattedCitation":"(Hongbo Li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(Hongbo Li et al., 2017)</w:t>
      </w:r>
      <w:r w:rsidRPr="00216965">
        <w:rPr>
          <w:rFonts w:cs="Times New Roman"/>
          <w:bCs/>
          <w:szCs w:val="24"/>
        </w:rPr>
        <w:fldChar w:fldCharType="end"/>
      </w:r>
      <w:r w:rsidRPr="00216965">
        <w:t xml:space="preserve">. The enhanced sorption capacity for Cd and Zn at pH &gt; 6 can be attributed to metal binding with deprotonated functional groups such as carboxylic (pKa 4.7-10.10) or acid-lactone (pKa 6.4-10.3), which are often present in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{"citationItems":[{"id":"ITEM-1","itemData":{"DOI":"10.1016/j.scitotenv.2016.10.204","ISSN":"18791026","abstract":"Agri-wastes biochars viz. eucalyptus bark (EBBC), corn cob (CCBC), bamboo chips (BCBC), rice husk (RHBC) and rice straw (RSBC) and acid treated RSBC (T-RSBC), were characterized for their physico-chemical properties and sorption behaviour of atrazine and imidacloprid was studied. Kinetics study suggested that except atrazine adsorption on RSBC, which was best explained by the pseudo second order model, sorption of atrazine and imidacloprid on biochars was well explained by the modified Elovich model. Among the five normal biochars, the RSBC showed the maximum atrazine (37.5???70.7%) and imidacloprid (39.9???77.8%) sorption. The phosphoric acid treatment of RSBC further enhanced the sorption of both pesticides in T-RSBC. The Freundlich adsorption isotherms were highly nonlinear and percent adsorption decreased with increase in pesticide concentration in solution. Pesticide adsorption on biochars was affected by their aromaticity, polarity, pore diameter, pH and weak acid fraction. Thus, rice straw biochars have great potential for environmental implications and can be exploited as adsorbents for pesticide industry spewed waste water purification.","author":[{"dropping-particle":"","family":"Mandal","given":"Abhishek","non-dropping-particle":"","parse-names":false,"suffix":""},{"dropping-particle":"","family":"Singh","given":"Neera","non-dropping-particle":"","parse-names":false,"suffix":""},{"dropping-particle":"","family":"Purakayastha","given":"T. J.","non-dropping-particle":"","parse-names":false,"suffix":""}],"container-title":"Science of the Total Environment","id":"ITEM-1","issued":{"date-parts":[["2017"]]},"page":"376-385","publisher":"Elsevier B.V.","title":"Characterization of pesticide sorption behaviour of slow pyrolysis biochars as low cost adsorbent for atrazine and imidacloprid removal","type":"article-journal","volume":"577"},"uris":["http://www.mendeley.com/documents/?uuid=4760aa77-c050-4d45-9429-c04d7acbb14f"]}],"mendeley":{"formattedCitation":"(Mandal et al., 2017)","plainTextFormattedCitation":"(Mandal et al., 2017)","previouslyFormattedCitation":"(Mandal et al., 2017)"},"properties":{"noteIndex":0},"schema":"https://github.com/citation-style-language/schema/raw/master/csl-citation.json"}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(Mandal et al., 2017)</w:t>
      </w:r>
      <w:r w:rsidRPr="00216965">
        <w:rPr>
          <w:rFonts w:cs="Times New Roman"/>
          <w:bCs/>
          <w:szCs w:val="24"/>
        </w:rPr>
        <w:fldChar w:fldCharType="end"/>
      </w:r>
      <w:r w:rsidRPr="00216965">
        <w:t xml:space="preserve">. </w:t>
      </w:r>
    </w:p>
    <w:p w14:paraId="13A2BDD2" w14:textId="64EAB641" w:rsidR="005563EE" w:rsidRPr="00216965" w:rsidRDefault="005563EE" w:rsidP="008A33DA">
      <w:pPr>
        <w:spacing w:line="360" w:lineRule="auto"/>
        <w:jc w:val="both"/>
      </w:pPr>
      <w:r w:rsidRPr="00216965">
        <w:t>Based on these findings the remaining sorption experiments were completed at an initial pH 5 for Pb sorption, pH 6.5 for Cd and pH 7.5 for Zn to ensure maximum sorption capacity.</w:t>
      </w:r>
    </w:p>
    <w:p w14:paraId="6558E89E" w14:textId="77777777" w:rsidR="005563EE" w:rsidRPr="00216965" w:rsidRDefault="005563EE" w:rsidP="008A33DA">
      <w:pPr>
        <w:spacing w:after="0" w:line="480" w:lineRule="auto"/>
        <w:ind w:right="1558" w:firstLine="851"/>
        <w:jc w:val="center"/>
        <w:rPr>
          <w:rFonts w:eastAsia="Times New Roman" w:cs="Times New Roman"/>
          <w:szCs w:val="24"/>
        </w:rPr>
      </w:pPr>
      <w:r w:rsidRPr="00216965">
        <w:rPr>
          <w:noProof/>
        </w:rPr>
        <w:drawing>
          <wp:inline distT="0" distB="0" distL="0" distR="0" wp14:anchorId="6BA33404" wp14:editId="6F0F70D7">
            <wp:extent cx="4484933" cy="5179079"/>
            <wp:effectExtent l="0" t="0" r="0" b="0"/>
            <wp:docPr id="18" name="image6.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6.png" descr="Graphical user interface&#10;&#10;Description automatically generated"/>
                    <pic:cNvPicPr preferRelativeResize="0"/>
                  </pic:nvPicPr>
                  <pic:blipFill>
                    <a:blip r:embed="rId27"/>
                    <a:srcRect/>
                    <a:stretch>
                      <a:fillRect/>
                    </a:stretch>
                  </pic:blipFill>
                  <pic:spPr>
                    <a:xfrm>
                      <a:off x="0" y="0"/>
                      <a:ext cx="4484933" cy="5179079"/>
                    </a:xfrm>
                    <a:prstGeom prst="rect">
                      <a:avLst/>
                    </a:prstGeom>
                    <a:ln/>
                  </pic:spPr>
                </pic:pic>
              </a:graphicData>
            </a:graphic>
          </wp:inline>
        </w:drawing>
      </w:r>
    </w:p>
    <w:p w14:paraId="1EE0F29B" w14:textId="07E36CC4" w:rsidR="005563EE" w:rsidRPr="00216965" w:rsidRDefault="005563EE" w:rsidP="008A33DA">
      <w:pPr>
        <w:pStyle w:val="Caption"/>
        <w:ind w:right="282"/>
        <w:rPr>
          <w:rFonts w:eastAsia="Times New Roman" w:cs="Times New Roman"/>
          <w:b/>
          <w:bCs w:val="0"/>
          <w:color w:val="000000"/>
          <w:szCs w:val="24"/>
        </w:rPr>
      </w:pPr>
      <w:bookmarkStart w:id="151" w:name="_Ref52749008"/>
      <w:bookmarkStart w:id="152" w:name="_Toc86439353"/>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2</w:t>
      </w:r>
      <w:r w:rsidR="00BF3EBE" w:rsidRPr="00216965">
        <w:rPr>
          <w:rFonts w:cs="Times New Roman"/>
          <w:b/>
          <w:bCs w:val="0"/>
          <w:szCs w:val="24"/>
        </w:rPr>
        <w:fldChar w:fldCharType="end"/>
      </w:r>
      <w:bookmarkEnd w:id="151"/>
      <w:r w:rsidRPr="00216965">
        <w:rPr>
          <w:rFonts w:cs="Times New Roman"/>
          <w:b/>
          <w:bCs w:val="0"/>
          <w:szCs w:val="24"/>
        </w:rPr>
        <w:t xml:space="preserve">. </w:t>
      </w:r>
      <w:r w:rsidRPr="00216965">
        <w:rPr>
          <w:rFonts w:eastAsia="Times New Roman" w:cs="Times New Roman"/>
          <w:b/>
          <w:bCs w:val="0"/>
          <w:color w:val="000000"/>
          <w:szCs w:val="24"/>
        </w:rPr>
        <w:t>Inorganic speciation of studied elements in synthetic soil pore water</w:t>
      </w:r>
      <w:r w:rsidRPr="00216965">
        <w:rPr>
          <w:rFonts w:eastAsia="Times New Roman" w:cs="Times New Roman"/>
          <w:bCs w:val="0"/>
          <w:color w:val="000000"/>
          <w:szCs w:val="24"/>
        </w:rPr>
        <w:t>. A) Cd, B) Pb, C) Zn. t = 22 °C and a total concentration of 5 mg.L</w:t>
      </w:r>
      <w:r w:rsidRPr="00216965">
        <w:rPr>
          <w:rFonts w:eastAsia="Times New Roman" w:cs="Times New Roman"/>
          <w:bCs w:val="0"/>
          <w:color w:val="000000"/>
          <w:szCs w:val="24"/>
          <w:vertAlign w:val="superscript"/>
        </w:rPr>
        <w:t>-1</w:t>
      </w:r>
      <w:r w:rsidRPr="00216965">
        <w:rPr>
          <w:rFonts w:eastAsia="Times New Roman" w:cs="Times New Roman"/>
          <w:bCs w:val="0"/>
          <w:color w:val="000000"/>
          <w:szCs w:val="24"/>
        </w:rPr>
        <w:t xml:space="preserve"> of each element.</w:t>
      </w:r>
      <w:bookmarkEnd w:id="152"/>
    </w:p>
    <w:p w14:paraId="36C7EBCB" w14:textId="77777777" w:rsidR="005563EE" w:rsidRPr="00216965" w:rsidRDefault="005563EE" w:rsidP="008A33DA">
      <w:pPr>
        <w:pStyle w:val="Heading4"/>
      </w:pPr>
      <w:bookmarkStart w:id="153" w:name="_Ref86333806"/>
      <w:r w:rsidRPr="00216965">
        <w:t>Sorption isotherms</w:t>
      </w:r>
      <w:bookmarkEnd w:id="153"/>
    </w:p>
    <w:p w14:paraId="6FCC246F" w14:textId="31812BA8" w:rsidR="008574C0" w:rsidRPr="00216965" w:rsidRDefault="005563EE" w:rsidP="008A33DA">
      <w:pPr>
        <w:spacing w:line="360" w:lineRule="auto"/>
        <w:jc w:val="both"/>
      </w:pPr>
      <w:r w:rsidRPr="00216965">
        <w:t xml:space="preserve">Isotherm fitting in </w:t>
      </w:r>
      <w:r w:rsidRPr="00216965">
        <w:rPr>
          <w:b/>
          <w:bCs/>
        </w:rPr>
        <w:fldChar w:fldCharType="begin"/>
      </w:r>
      <w:r w:rsidRPr="00216965">
        <w:rPr>
          <w:b/>
          <w:bCs/>
        </w:rPr>
        <w:instrText xml:space="preserve"> REF _Ref54455453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3</w:t>
      </w:r>
      <w:r w:rsidRPr="00216965">
        <w:rPr>
          <w:b/>
          <w:bCs/>
        </w:rPr>
        <w:fldChar w:fldCharType="end"/>
      </w:r>
      <w:r w:rsidRPr="00216965">
        <w:t xml:space="preserve"> indicated that Langmuir and Hill are the sorption isotherm models that best described the experimental data. The Hill isotherm model was selected </w:t>
      </w:r>
      <w:r w:rsidRPr="00216965">
        <w:lastRenderedPageBreak/>
        <w:t>over the Langmuir model as fitting the experimental data better, based on AIC values (</w:t>
      </w:r>
      <w:r w:rsidR="007846E6" w:rsidRPr="00216965">
        <w:fldChar w:fldCharType="begin"/>
      </w:r>
      <w:r w:rsidR="007846E6" w:rsidRPr="00216965">
        <w:instrText xml:space="preserve"> REF _Ref86493396 \h </w:instrText>
      </w:r>
      <w:r w:rsidR="00216965" w:rsidRPr="00216965">
        <w:instrText xml:space="preserve"> \* MERGEFORMAT </w:instrText>
      </w:r>
      <w:r w:rsidR="007846E6"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2</w:t>
      </w:r>
      <w:r w:rsidR="007846E6" w:rsidRPr="00216965">
        <w:fldChar w:fldCharType="end"/>
      </w:r>
      <w:r w:rsidRPr="00216965">
        <w:t xml:space="preserve">). The Hill isotherm describes the binding of different species by cooperative sorption mechanisms onto different substrates </w:t>
      </w:r>
      <w:r w:rsidRPr="00216965">
        <w:rPr>
          <w:rFonts w:cs="Times New Roman"/>
          <w:bCs/>
          <w:szCs w:val="24"/>
        </w:rPr>
        <w:fldChar w:fldCharType="begin" w:fldLock="1"/>
      </w:r>
      <w:r w:rsidR="006C06AA" w:rsidRPr="00216965">
        <w:rPr>
          <w:rFonts w:cs="Times New Roman"/>
          <w:bCs/>
          <w:szCs w:val="24"/>
        </w:rPr>
        <w:instrText>ADDIN CSL_CITATION {"citationItems":[{"id":"ITEM-1","itemData":{"DOI":"10.1155/2017/3039817","ISSN":"20909071","abstract":"The need to design low-cost adsorbents for the detoxification of industrial effluents has been a growing concern for most environmental researchers. So modelling of experimental data from adsorption processes is a very important means of predicting the mechanisms of various adsorption systems. Therefore, this paper presents an overall review of the applications of adsorption isotherms, the use of linear regression analysis, nonlinear regression analysis, and error functions for optimum adsorption data analysis.","author":[{"dropping-particle":"","family":"Ayawei","given":"Nimibofa","non-dropping-particle":"","parse-names":false,"suffix":""},{"dropping-particle":"","family":"Ebelegi","given":"Augustus Newton","non-dropping-particle":"","parse-names":false,"suffix":""},{"dropping-particle":"","family":"Wankasi","given":"Donbebe","non-dropping-particle":"","parse-names":false,"suffix":""}],"container-title":"Journal of Chemistry","id":"ITEM-1","issued":{"date-parts":[["2017"]]},"page":"3039817","publisher":"Hindawi Limited","title":"Modelling and Interpretation of Adsorption Isotherms","type":"article-journal","volume":"2017"},"uris":["http://www.mendeley.com/documents/?uuid=0baee8e5-fb6e-3b82-9f14-82e51ac15b22"]}],"mendeley":{"formattedCitation":"(Ayawei et al., 2017)","plainTextFormattedCitation":"(Ayawei et al., 2017)","previouslyFormattedCitation":"(Ayawei et al., 2017)"},"properties":{"noteIndex":0},"schema":"https://github.com/citation-style-language/schema/raw/master/csl-citation.json"}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(Ayawei et al., 2017)</w:t>
      </w:r>
      <w:r w:rsidRPr="00216965">
        <w:rPr>
          <w:rFonts w:cs="Times New Roman"/>
          <w:bCs/>
          <w:szCs w:val="24"/>
        </w:rPr>
        <w:fldChar w:fldCharType="end"/>
      </w:r>
      <w:r w:rsidRPr="00216965">
        <w:t xml:space="preserve">, including carbonaceous materials </w:t>
      </w:r>
      <w:r w:rsidRPr="00216965">
        <w:rPr>
          <w:rFonts w:cs="Times New Roman"/>
          <w:bCs/>
          <w:szCs w:val="24"/>
        </w:rPr>
        <w:fldChar w:fldCharType="begin" w:fldLock="1"/>
      </w:r>
      <w:r w:rsidR="006C06AA" w:rsidRPr="00216965">
        <w:rPr>
          <w:rFonts w:cs="Times New Roman"/>
          <w:bCs/>
          <w:szCs w:val="24"/>
        </w:rPr>
        <w:instrText>ADDIN CSL_CITATION {"citationItems":[{"id":"ITEM-1","itemData":{"abstract":"Equilibrium adsorption of aniline, benzaldehyde, and benzoic acid on granular activated carbon (GAC) has been investigated. Experiments were carried out on two sizes of activated carbon. The equilibrium data were analyzed using the ordinary least square approach. The results show that the adsorption process was more effectively described by Hill and Koble-Corrigan isotherm models based on the values of the least square parameter, Durbin-Watson Test, and mean relative percent error. Furthermore, the results show that benzoic acid has been adsorbed more in comparison with the other adsorbates and benzaldehyde has been adsorbed more than aniline. Moreover, a new isotherm model has been presented which is in good agreement with experimental data. The suggested model has a 7.41% smaller error than the Hill and Koble-Corrigan models.","author":[{"dropping-particle":"","family":"Shahbeig","given":"Hossein","non-dropping-particle":"","parse-names":false,"suffix":""},{"dropping-particle":"","family":"Bagheri","given":"Nafiseh","non-dropping-particle":"","parse-names":false,"suffix":""},{"dropping-particle":"","family":"Ghorbanian","given":"Sohrab Ali","non-dropping-particle":"","parse-names":false,"suffix":""},{"dropping-particle":"","family":"Hallajisani","given":"Ahmad","non-dropping-particle":"","parse-names":false,"suffix":""},{"dropping-particle":"","family":"Poorkarimi","given":"Sara","non-dropping-particle":"","parse-names":false,"suffix":""}],"container-title":"World Journal of Modelling and Simulation","id":"ITEM-1","issue":"4","issued":{"date-parts":[["2013"]]},"page":"243-254","title":"A new adsorption isotherm model of aqueous solutions on granular activated carbon","type":"article-journal","volume":"9"},"uris":["http://www.mendeley.com/documents/?uuid=17485982-6987-3cb4-b1c2-cc323ea2117d"]}],"mendeley":{"formattedCitation":"(Shahbeig et al., 2013)","plainTextFormattedCitation":"(Shahbeig et al., 2013)","previouslyFormattedCitation":"(Shahbeig et al., 2013)"},"properties":{"noteIndex":0},"schema":"https://github.com/citation-style-language/schema/raw/master/csl-citation.json"}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(Shahbeig et al., 2013)</w:t>
      </w:r>
      <w:r w:rsidRPr="00216965">
        <w:rPr>
          <w:rFonts w:cs="Times New Roman"/>
          <w:bCs/>
          <w:szCs w:val="24"/>
        </w:rPr>
        <w:fldChar w:fldCharType="end"/>
      </w:r>
      <w:r w:rsidRPr="00216965">
        <w:t xml:space="preserve">. </w:t>
      </w:r>
    </w:p>
    <w:p w14:paraId="12D40487" w14:textId="43749589" w:rsidR="008574C0" w:rsidRPr="00216965" w:rsidRDefault="005563EE" w:rsidP="008A33DA">
      <w:pPr>
        <w:spacing w:line="360" w:lineRule="auto"/>
        <w:jc w:val="both"/>
      </w:pPr>
      <w:r w:rsidRPr="00216965">
        <w:t xml:space="preserve">The cooperative binding is characterized by a side-by-side association between adsorbed molecules at low solute concentrations, while at higher solute concentrations there is progressively less chance that a solute molecule will find an available site </w:t>
      </w:r>
      <w:r w:rsidRPr="00216965">
        <w:rPr>
          <w:rFonts w:cs="Times New Roman"/>
          <w:bCs/>
          <w:szCs w:val="24"/>
        </w:rPr>
        <w:fldChar w:fldCharType="begin" w:fldLock="1"/>
      </w:r>
      <w:r w:rsidR="006C06AA" w:rsidRPr="00216965">
        <w:rPr>
          <w:rFonts w:cs="Times New Roman"/>
          <w:bCs/>
          <w:szCs w:val="24"/>
        </w:rPr>
        <w:instrText>ADDIN CSL_CITATION {"citationItems":[{"id":"ITEM-1","itemData":{"abstract":"Isotherms for adsorption of organic solutes are divided into four main classes, according to the nature of slope of the initial portion of the curve, and thereafter into subgroups. The main classes are: (i) S Curves, indicative of vertical orientation of adsorbed molecules a t the surface. (ii) L Curves, the normal or \" Langmuir \" isotherms, usually indicative of molecules adsorbed flat on the surface, or, sometimes, of vertically oriented adsorbed ions with particularly strong intermolecular attraction. (iii) H Curves (' I high affinity \") (commencing a t a positive value on the \" concentration in solid \" axis) , often given by solutes adsorbed as ionic micelles, and by high-affinity ions exchanging with low-affinity ions. (iv) C Curves (\" constant partition \"), linear curves, given by solutes which penetrate into the solid more readily than does the solvent. The subgroups of these classes are arranged according to the shape of the parts of the curves farther from the origin, and the significance of plateaux and changes of slope are described. Thus, if the adsorbed solute molecules in the monolayer are so oriented that the new surface they present to the solution has low attraction for more solute molecules, the curve has a long plateau ; if they are oriented so that the new surface has high attraction for more solute, the curve rises steadily and has no plateau. The choice of solutes for reliable measurement of specific surface areas is very restricted. It is suggested that p-nitrophenol may be one of the best compounds for this purpose. The significance of their features is discussed. THIS is a study of the relation between solute adsorption mechanisms at solid surfaces and the types of adsorption isotherm obtained. It describes a system of classification of all solution adsorption isotherms, and suggests how their form can be used to diagnose the adsorption mechanism , to obtain information regarding the physical nature of the solute and the substrate surface, and to measure the specific surface area of the substrate. The last-mentioned has hitherto been the principal use of solution adsorption isotherms, but it has been hampered by lack of information on the detailed meaning of the curves. Possibly the first attempt at a general classification of adsorption isotherms was that made in 1922 by Ostwald and de Izaguirre? who described two of the curves included in * Part I, J., 1954, 4360; previous papers in this series were divided into two series, fo…","author":[{"dropping-particle":"","family":"Giles","given":"C","non-dropping-particle":"","parse-names":false,"suffix":""},{"dropping-particle":"","family":"MacEwan","given":"T","non-dropping-particle":"","parse-names":false,"suffix":""},{"dropping-particle":"","family":"Nakhwa","given":"S","non-dropping-particle":"","parse-names":false,"suffix":""},{"dropping-particle":"","family":"Smith","given":"D","non-dropping-particle":"","parse-names":false,"suffix":""}],"container-title":"Journal of the Chemical Society","id":"ITEM-1","issue":"279","issued":{"date-parts":[["1960"]]},"page":"3973-3993","title":"A system of classification of solution adsorption isotherms, and its use in diagnosis of adsorption mechanisms and in measurement of specific surface areas of solids","type":"article-journal","volume":"30"},"uris":["http://www.mendeley.com/documents/?uuid=684ae32f-5ac1-3220-b18c-aa5ae734f490"]}],"mendeley":{"formattedCitation":"(Giles et al., 1960)","plainTextFormattedCitation":"(Giles et al., 1960)","previouslyFormattedCitation":"(Giles et al., 1960)"},"properties":{"noteIndex":0},"schema":"https://github.com/citation-style-language/schema/raw/master/csl-citation.json"}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(Giles et al., 1960)</w:t>
      </w:r>
      <w:r w:rsidRPr="00216965">
        <w:rPr>
          <w:rFonts w:cs="Times New Roman"/>
          <w:bCs/>
          <w:szCs w:val="24"/>
        </w:rPr>
        <w:fldChar w:fldCharType="end"/>
      </w:r>
      <w:r w:rsidRPr="00216965">
        <w:t xml:space="preserve">. When the Hill coefficient of sigmoidicity </w:t>
      </w:r>
      <w:r w:rsidRPr="00216965">
        <w:rPr>
          <w:i/>
          <w:iCs/>
        </w:rPr>
        <w:t>n</w:t>
      </w:r>
      <w:r w:rsidRPr="00216965">
        <w:t xml:space="preserve"> &gt; 1 there is cooperative binding; while  </w:t>
      </w:r>
      <w:r w:rsidRPr="00216965">
        <w:rPr>
          <w:i/>
          <w:iCs/>
        </w:rPr>
        <w:t>n</w:t>
      </w:r>
      <w:r w:rsidRPr="00216965">
        <w:t xml:space="preserve"> = 1 indicates reactions of no cooperativity </w:t>
      </w:r>
      <w:r w:rsidRPr="00216965">
        <w:rPr>
          <w:rFonts w:cs="Times New Roman"/>
          <w:bCs/>
          <w:szCs w:val="24"/>
        </w:rPr>
        <w:fldChar w:fldCharType="begin" w:fldLock="1"/>
      </w:r>
      <w:r w:rsidR="00F56BD7" w:rsidRPr="00216965">
        <w:rPr>
          <w:rFonts w:cs="Times New Roman"/>
          <w:bCs/>
          <w:szCs w:val="24"/>
        </w:rPr>
        <w:instrText>ADDIN CSL_CITATION {"citationItems":[{"id":"ITEM-1","itemData":{"DOI":"10.1096/fasebj.11.11.9285481","ISBN":"1110987654321","ISSN":"0892-6638","PMID":"9285481","abstract":"The Hill coefficient is commonly used to estimate the number of ligand molecules that are required to bind to a receptor to produce a functional effect. However, for a receptor with more than one ligand binding site, the Hill equation does not reflect a physically possible reaction scheme; only under the very specific condition of marked positive cooperativity does the Hill coefficient accurately estimate the number of binding sites. The Hill coefficient is best thought of as an \"interaction\" coefficient, reflecting the extent of cooperativity among multiple ligand binding sites. Several relatively simple, physically plausible reaction schemes are shown here to produce a variety of ligand dose-response curve phenotypes more appropriately suited to modeling ligand-receptor interactions, especially if independent information about the stochiometry of the ligand-receptor interaction is available.","author":[{"dropping-particle":"","family":"Weiss","given":"James N.","non-dropping-particle":"","parse-names":false,"suffix":""}],"container-title":"The FASEB Journal","id":"ITEM-1","issue":"11","issued":{"date-parts":[["1997"]]},"page":"835-841","title":"The Hill equation revisited: uses and misuses","type":"article-journal","volume":"11"},"uris":["http://www.mendeley.com/documents/?uuid=3fe60098-622c-4240-82a4-60f1dd21f530"]}],"mendeley":{"formattedCitation":"(Weiss, 1997)","plainTextFormattedCitation":"(Weiss, 1997)","previouslyFormattedCitation":"(Weiss, 1997)"},"properties":{"noteIndex":0},"schema":"https://github.com/citation-style-language/schema/raw/master/csl-citation.json"}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(Weiss, 1997)</w:t>
      </w:r>
      <w:r w:rsidRPr="00216965">
        <w:rPr>
          <w:rFonts w:cs="Times New Roman"/>
          <w:bCs/>
          <w:szCs w:val="24"/>
        </w:rPr>
        <w:fldChar w:fldCharType="end"/>
      </w:r>
      <w:r w:rsidRPr="00216965">
        <w:t xml:space="preserve">. The </w:t>
      </w:r>
      <w:r w:rsidRPr="00216965">
        <w:rPr>
          <w:i/>
          <w:iCs/>
        </w:rPr>
        <w:t>n</w:t>
      </w:r>
      <w:r w:rsidRPr="00216965">
        <w:t xml:space="preserve"> values derived from the Hill isotherms (</w:t>
      </w:r>
      <w:r w:rsidR="007846E6" w:rsidRPr="00216965">
        <w:fldChar w:fldCharType="begin"/>
      </w:r>
      <w:r w:rsidR="007846E6" w:rsidRPr="00216965">
        <w:instrText xml:space="preserve"> REF _Ref86492962 \h </w:instrText>
      </w:r>
      <w:r w:rsidR="00216965" w:rsidRPr="00216965">
        <w:instrText xml:space="preserve"> \* MERGEFORMAT </w:instrText>
      </w:r>
      <w:r w:rsidR="007846E6"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3</w:t>
      </w:r>
      <w:r w:rsidR="007846E6" w:rsidRPr="00216965">
        <w:fldChar w:fldCharType="end"/>
      </w:r>
      <w:r w:rsidRPr="00216965">
        <w:t>) indicated cooperative binding in the adsorption of HMs for all biochars except MSP550 with Pb. The cooperative sorption was confirmed by the sigmoidal “S”-shape isotherms observed at low equilibrium concentrations for Cd and Pb sorption with OSR550, OSR700 and WSP550 (</w:t>
      </w:r>
      <w:r w:rsidRPr="00216965">
        <w:rPr>
          <w:b/>
          <w:bCs/>
        </w:rPr>
        <w:fldChar w:fldCharType="begin"/>
      </w:r>
      <w:r w:rsidRPr="00216965">
        <w:rPr>
          <w:b/>
          <w:bCs/>
        </w:rPr>
        <w:instrText xml:space="preserve"> REF _Ref52749118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4</w:t>
      </w:r>
      <w:r w:rsidRPr="00216965">
        <w:rPr>
          <w:b/>
          <w:bCs/>
        </w:rPr>
        <w:fldChar w:fldCharType="end"/>
      </w:r>
      <w:r w:rsidRPr="00216965">
        <w:t>). This is important as bioavailable concentrations of HMs in polluted soils are generally below 5 mg.L</w:t>
      </w:r>
      <w:r w:rsidRPr="00216965">
        <w:rPr>
          <w:vertAlign w:val="superscript"/>
        </w:rPr>
        <w:t>-1</w:t>
      </w:r>
      <w:r w:rsidRPr="00216965">
        <w:t xml:space="preserve"> </w:t>
      </w:r>
      <w:sdt>
        <w:sdtPr>
          <w:tag w:val="goog_rdk_1447"/>
          <w:id w:val="1813057439"/>
        </w:sdtPr>
        <w:sdtEndPr/>
        <w:sdtContent>
          <w:r w:rsidRPr="00216965">
            <w:rPr>
              <w:rFonts w:eastAsia="Times New Roman" w:cs="Times New Roman"/>
              <w:szCs w:val="24"/>
              <w:vertAlign w:val="superscript"/>
            </w:rPr>
            <w:t xml:space="preserve"> </w:t>
          </w:r>
        </w:sdtContent>
      </w:sdt>
      <w:r w:rsidR="00AA746B" w:rsidRPr="00216965">
        <w:fldChar w:fldCharType="begin" w:fldLock="1"/>
      </w:r>
      <w:r w:rsidR="006C06AA" w:rsidRPr="00216965">
        <w:instrText>ADDIN CSL_CITATION {"citationItems":[{"id":"ITEM-1","itemData":{"DOI":"10.1007/978-3-642-54777-5","ISBN":"9783642547775","abstract":"Combining earth science, subsurface hydrology and environmental geochemistry, this book provides a comprehensive background for those interested in the protection and sustainable management of the subsurface environment. The reader is introduced to the chemistry of contaminants, which usually disturb the natural equilibrium in the subsurface as a result of human activity. One focus of the book is on contaminant reactions in soil solutions. Discussions on case studies are provided.","author":[{"dropping-particle":"","family":"Berkowitz","given":"Brian","non-dropping-particle":"","parse-names":false,"suffix":""},{"dropping-particle":"","family":"Dror","given":"Ishai","non-dropping-particle":"","parse-names":false,"suffix":""},{"dropping-particle":"","family":"Yaron","given":"Bruno","non-dropping-particle":"","parse-names":false,"suffix":""}],"chapter-number":"13","container-title":"Contaminant geochemistry: Interactions and transport in the subsurface environment","edition":"Second","id":"ITEM-1","issued":{"date-parts":[["2014"]]},"page":"1-577","publisher":"Springer","publisher-place":"Heidelberg","title":"Abiotic contaminant transformations in subsurface water","type":"chapter"},"uris":["http://www.mendeley.com/documents/?uuid=fab07b69-97af-4996-b09b-1592245b230f"]}],"mendeley":{"formattedCitation":"(Berkowitz et al., 2014)","plainTextFormattedCitation":"(Berkowitz et al., 2014)","previouslyFormattedCitation":"(Berkowitz et al., 2014)"},"properties":{"noteIndex":0},"schema":"https://github.com/citation-style-language/schema/raw/master/csl-citation.json"}</w:instrText>
      </w:r>
      <w:r w:rsidR="00AA746B" w:rsidRPr="00216965">
        <w:fldChar w:fldCharType="separate"/>
      </w:r>
      <w:r w:rsidR="001974AA" w:rsidRPr="00216965">
        <w:rPr>
          <w:noProof/>
        </w:rPr>
        <w:t>(Berkowitz et al., 2014)</w:t>
      </w:r>
      <w:r w:rsidR="00AA746B" w:rsidRPr="00216965">
        <w:fldChar w:fldCharType="end"/>
      </w:r>
      <w:r w:rsidRPr="00216965">
        <w:t xml:space="preserve">. “L”-shape isotherms, according to the isotherm classification of </w:t>
      </w:r>
      <w:r w:rsidRPr="00216965">
        <w:rPr>
          <w:rFonts w:cs="Times New Roman"/>
          <w:bCs/>
          <w:szCs w:val="24"/>
        </w:rPr>
        <w:fldChar w:fldCharType="begin" w:fldLock="1"/>
      </w:r>
      <w:r w:rsidR="006C06AA" w:rsidRPr="00216965">
        <w:rPr>
          <w:rFonts w:cs="Times New Roman"/>
          <w:bCs/>
          <w:szCs w:val="24"/>
        </w:rPr>
        <w:instrText>ADDIN CSL_CITATION {"citationItems":[{"id":"ITEM-1","itemData":{"abstract":"Isotherms for adsorption of organic solutes are divided into four main classes, according to the nature of slope of the initial portion of the curve, and thereafter into subgroups. The main classes are: (i) S Curves, indicative of vertical orientation of adsorbed molecules a t the surface. (ii) L Curves, the normal or \" Langmuir \" isotherms, usually indicative of molecules adsorbed flat on the surface, or, sometimes, of vertically oriented adsorbed ions with particularly strong intermolecular attraction. (iii) H Curves (' I high affinity \") (commencing a t a positive value on the \" concentration in solid \" axis) , often given by solutes adsorbed as ionic micelles, and by high-affinity ions exchanging with low-affinity ions. (iv) C Curves (\" constant partition \"), linear curves, given by solutes which penetrate into the solid more readily than does the solvent. The subgroups of these classes are arranged according to the shape of the parts of the curves farther from the origin, and the significance of plateaux and changes of slope are described. Thus, if the adsorbed solute molecules in the monolayer are so oriented that the new surface they present to the solution has low attraction for more solute molecules, the curve has a long plateau ; if they are oriented so that the new surface has high attraction for more solute, the curve rises steadily and has no plateau. The choice of solutes for reliable measurement of specific surface areas is very restricted. It is suggested that p-nitrophenol may be one of the best compounds for this purpose. The significance of their features is discussed. THIS is a study of the relation between solute adsorption mechanisms at solid surfaces and the types of adsorption isotherm obtained. It describes a system of classification of all solution adsorption isotherms, and suggests how their form can be used to diagnose the adsorption mechanism , to obtain information regarding the physical nature of the solute and the substrate surface, and to measure the specific surface area of the substrate. The last-mentioned has hitherto been the principal use of solution adsorption isotherms, but it has been hampered by lack of information on the detailed meaning of the curves. Possibly the first attempt at a general classification of adsorption isotherms was that made in 1922 by Ostwald and de Izaguirre? who described two of the curves included in * Part I, J., 1954, 4360; previous papers in this series were divided into two series, fo…","author":[{"dropping-particle":"","family":"Giles","given":"C","non-dropping-particle":"","parse-names":false,"suffix":""},{"dropping-particle":"","family":"MacEwan","given":"T","non-dropping-particle":"","parse-names":false,"suffix":""},{"dropping-particle":"","family":"Nakhwa","given":"S","non-dropping-particle":"","parse-names":false,"suffix":""},{"dropping-particle":"","family":"Smith","given":"D","non-dropping-particle":"","parse-names":false,"suffix":""}],"container-title":"Journal of the Chemical Society","id":"ITEM-1","issue":"279","issued":{"date-parts":[["1960"]]},"page":"3973-3993","title":"A system of classification of solution adsorption isotherms, and its use in diagnosis of adsorption mechanisms and in measurement of specific surface areas of solids","type":"article-journal","volume":"30"},"uris":["http://www.mendeley.com/documents/?uuid=684ae32f-5ac1-3220-b18c-aa5ae734f490"]}],"mendeley":{"formattedCitation":"(Giles et al., 1960)","manualFormatting":"Giles et al. (1960)","plainTextFormattedCitation":"(Giles et al., 1960)","previouslyFormattedCitation":"(Giles et al., 1960)"},"properties":{"noteIndex":0},"schema":"https://github.com/citation-style-language/schema/raw/master/csl-citation.json"}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Giles </w:t>
      </w:r>
      <w:r w:rsidR="009B2252" w:rsidRPr="00216965">
        <w:rPr>
          <w:rFonts w:cs="Times New Roman"/>
          <w:bCs/>
          <w:iCs/>
          <w:noProof/>
          <w:szCs w:val="24"/>
        </w:rPr>
        <w:t>et al</w:t>
      </w:r>
      <w:r w:rsidRPr="00216965">
        <w:rPr>
          <w:rFonts w:cs="Times New Roman"/>
          <w:bCs/>
          <w:noProof/>
          <w:szCs w:val="24"/>
        </w:rPr>
        <w:t>. (1960)</w:t>
      </w:r>
      <w:r w:rsidRPr="00216965">
        <w:rPr>
          <w:rFonts w:cs="Times New Roman"/>
          <w:bCs/>
          <w:szCs w:val="24"/>
        </w:rPr>
        <w:fldChar w:fldCharType="end"/>
      </w:r>
      <w:r w:rsidRPr="00216965">
        <w:t>, were observed for all HMs with MSP550 and for all biochars with Zn (</w:t>
      </w:r>
      <w:r w:rsidRPr="00216965">
        <w:rPr>
          <w:b/>
          <w:bCs/>
        </w:rPr>
        <w:fldChar w:fldCharType="begin"/>
      </w:r>
      <w:r w:rsidRPr="00216965">
        <w:rPr>
          <w:b/>
          <w:bCs/>
        </w:rPr>
        <w:instrText xml:space="preserve"> REF _Ref52749118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4</w:t>
      </w:r>
      <w:r w:rsidRPr="00216965">
        <w:rPr>
          <w:b/>
          <w:bCs/>
        </w:rPr>
        <w:fldChar w:fldCharType="end"/>
      </w:r>
      <w:r w:rsidRPr="00216965">
        <w:t xml:space="preserve">). </w:t>
      </w:r>
    </w:p>
    <w:p w14:paraId="2EAD892A" w14:textId="6A9989E0" w:rsidR="005563EE" w:rsidRPr="00216965" w:rsidRDefault="005563EE" w:rsidP="008A33DA">
      <w:pPr>
        <w:spacing w:line="360" w:lineRule="auto"/>
        <w:jc w:val="both"/>
        <w:sectPr w:rsidR="005563EE" w:rsidRPr="00216965" w:rsidSect="00A0457B">
          <w:pgSz w:w="11906" w:h="16838"/>
          <w:pgMar w:top="1417" w:right="1701" w:bottom="1417" w:left="1701" w:header="708" w:footer="708" w:gutter="0"/>
          <w:cols w:space="708"/>
          <w:docGrid w:linePitch="360"/>
        </w:sectPr>
      </w:pPr>
      <w:r w:rsidRPr="00216965">
        <w:t xml:space="preserve">The parameters derived from the Hill sorption model in </w:t>
      </w:r>
      <w:r w:rsidR="00825C72" w:rsidRPr="00216965">
        <w:fldChar w:fldCharType="begin"/>
      </w:r>
      <w:r w:rsidR="00825C72" w:rsidRPr="00216965">
        <w:instrText xml:space="preserve"> REF _Ref86492962 \h </w:instrText>
      </w:r>
      <w:r w:rsidR="00216965" w:rsidRPr="00216965">
        <w:instrText xml:space="preserve"> \* MERGEFORMAT </w:instrText>
      </w:r>
      <w:r w:rsidR="00825C72"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3</w:t>
      </w:r>
      <w:r w:rsidR="00825C72" w:rsidRPr="00216965">
        <w:fldChar w:fldCharType="end"/>
      </w:r>
      <w:r w:rsidR="000304A4" w:rsidRPr="00216965">
        <w:t xml:space="preserve"> </w:t>
      </w:r>
      <w:r w:rsidRPr="00216965">
        <w:t>indicated that the maximum sorption capacities (</w:t>
      </w:r>
      <w:r w:rsidRPr="00216965">
        <w:rPr>
          <w:i/>
          <w:iCs/>
        </w:rPr>
        <w:t>q</w:t>
      </w:r>
      <w:r w:rsidRPr="00216965">
        <w:rPr>
          <w:vertAlign w:val="subscript"/>
        </w:rPr>
        <w:t>m</w:t>
      </w:r>
      <w:r w:rsidRPr="00216965">
        <w:t xml:space="preserve">) were higher for Pb, followed by Cd and Zn (Pb&gt;Cd&gt;Zn). This trend is the same as that presented by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solutions","type":"article-journal","volume":"142"},"uris":["http://www.mendeley.com/documents/?uuid=1cae7d89-3ac3-3524-b831-95328bd4d82f"]}],"mendeley":{"formattedCitation":"(Park et al., 2016)","manualFormatting":"Park et al. (2016)","plainTextFormattedCitation":"(Park et al., 2016)","previouslyFormattedCitation":"(Park et al., 2016)"},"properties":{"noteIndex":0},"schema":"https://github.com/citation-style-language/schema/raw/master/csl-citation.json"}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Park </w:t>
      </w:r>
      <w:r w:rsidR="009B2252" w:rsidRPr="00216965">
        <w:rPr>
          <w:rFonts w:cs="Times New Roman"/>
          <w:bCs/>
          <w:iCs/>
          <w:noProof/>
          <w:szCs w:val="24"/>
        </w:rPr>
        <w:t>et al</w:t>
      </w:r>
      <w:r w:rsidRPr="00216965">
        <w:rPr>
          <w:rFonts w:cs="Times New Roman"/>
          <w:bCs/>
          <w:noProof/>
          <w:szCs w:val="24"/>
        </w:rPr>
        <w:t>. (2016)</w:t>
      </w:r>
      <w:r w:rsidRPr="00216965">
        <w:rPr>
          <w:rFonts w:cs="Times New Roman"/>
          <w:bCs/>
          <w:szCs w:val="24"/>
        </w:rPr>
        <w:fldChar w:fldCharType="end"/>
      </w:r>
      <w:r w:rsidRPr="00216965">
        <w:t>, who obtained sorption capacities in the order Pb&gt;Cd&gt;Cr&gt;Cu&gt;Zn for sesame straw biochar applied at a rate of 2 g.L</w:t>
      </w:r>
      <w:r w:rsidRPr="00216965">
        <w:rPr>
          <w:vertAlign w:val="superscript"/>
        </w:rPr>
        <w:t>-1</w:t>
      </w:r>
      <w:r w:rsidRPr="00216965">
        <w:t xml:space="preserve"> in mono-metal systems when testing concentrations from 0 to 320 mg.L</w:t>
      </w:r>
      <w:r w:rsidRPr="00216965">
        <w:rPr>
          <w:vertAlign w:val="superscript"/>
        </w:rPr>
        <w:t>-1</w:t>
      </w:r>
      <w:r w:rsidRPr="00216965">
        <w:t xml:space="preserve"> at pH 7.</w:t>
      </w:r>
    </w:p>
    <w:p w14:paraId="5273CF7F" w14:textId="77777777" w:rsidR="005563EE" w:rsidRPr="00216965" w:rsidRDefault="005563EE" w:rsidP="008A33DA">
      <w:pPr>
        <w:spacing w:line="480" w:lineRule="auto"/>
        <w:ind w:right="1558"/>
        <w:jc w:val="center"/>
        <w:rPr>
          <w:b/>
        </w:rPr>
      </w:pPr>
      <w:r w:rsidRPr="00216965">
        <w:rPr>
          <w:noProof/>
        </w:rPr>
        <w:lastRenderedPageBreak/>
        <w:drawing>
          <wp:inline distT="0" distB="0" distL="0" distR="0" wp14:anchorId="3E68DDD1" wp14:editId="5812828D">
            <wp:extent cx="6287942" cy="448818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321476" cy="4512116"/>
                    </a:xfrm>
                    <a:prstGeom prst="rect">
                      <a:avLst/>
                    </a:prstGeom>
                  </pic:spPr>
                </pic:pic>
              </a:graphicData>
            </a:graphic>
          </wp:inline>
        </w:drawing>
      </w:r>
    </w:p>
    <w:p w14:paraId="3FEC20AA" w14:textId="279F287C" w:rsidR="005563EE" w:rsidRPr="00216965" w:rsidRDefault="005563EE" w:rsidP="008A33DA">
      <w:pPr>
        <w:pStyle w:val="Caption"/>
        <w:ind w:right="1558"/>
        <w:jc w:val="both"/>
        <w:rPr>
          <w:rFonts w:cs="Times New Roman"/>
          <w:b/>
          <w:szCs w:val="24"/>
        </w:rPr>
        <w:sectPr w:rsidR="005563EE" w:rsidRPr="00216965" w:rsidSect="00A0457B">
          <w:pgSz w:w="16838" w:h="11906" w:orient="landscape"/>
          <w:pgMar w:top="1701" w:right="1417" w:bottom="1701" w:left="1417" w:header="708" w:footer="708" w:gutter="0"/>
          <w:cols w:space="708"/>
          <w:docGrid w:linePitch="360"/>
        </w:sectPr>
      </w:pPr>
      <w:bookmarkStart w:id="154" w:name="_Ref54455453"/>
      <w:bookmarkStart w:id="155" w:name="_Hlk54451992"/>
      <w:bookmarkStart w:id="156" w:name="_Toc86439354"/>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bookmarkEnd w:id="154"/>
      <w:r w:rsidRPr="00216965">
        <w:rPr>
          <w:rFonts w:cs="Times New Roman"/>
          <w:b/>
          <w:bCs w:val="0"/>
          <w:szCs w:val="24"/>
        </w:rPr>
        <w:t xml:space="preserve"> Adsorption isotherms of Cd, Pb and Zn</w:t>
      </w:r>
      <w:r w:rsidRPr="00216965">
        <w:rPr>
          <w:rFonts w:cs="Times New Roman"/>
          <w:szCs w:val="24"/>
        </w:rPr>
        <w:t xml:space="preserve"> </w:t>
      </w:r>
      <w:r w:rsidRPr="00216965">
        <w:rPr>
          <w:rFonts w:cs="Times New Roman"/>
          <w:b/>
          <w:bCs w:val="0"/>
          <w:szCs w:val="24"/>
        </w:rPr>
        <w:t>fitted with the Dubinin-Radushkevich, Freundlich, Langmuir, Temkin and Hill sorption models.</w:t>
      </w:r>
      <w:r w:rsidRPr="00216965">
        <w:rPr>
          <w:rFonts w:cs="Times New Roman"/>
          <w:szCs w:val="24"/>
        </w:rPr>
        <w:t xml:space="preserve"> Biochar dose 1.25 g.L</w:t>
      </w:r>
      <w:r w:rsidRPr="00216965">
        <w:rPr>
          <w:rFonts w:cs="Times New Roman"/>
          <w:szCs w:val="24"/>
          <w:vertAlign w:val="superscript"/>
        </w:rPr>
        <w:t>-1</w:t>
      </w:r>
      <w:r w:rsidRPr="00216965">
        <w:rPr>
          <w:rFonts w:cs="Times New Roman"/>
          <w:szCs w:val="24"/>
        </w:rPr>
        <w:t>, the initial pH of the background solution was pH 5 for Pb, pH 6.5 for Cd and pH 7.5 for Zn with a contact time of 24 hours and t= 22 ± 2 °C</w:t>
      </w:r>
      <w:bookmarkEnd w:id="155"/>
      <w:bookmarkEnd w:id="156"/>
      <w:r w:rsidR="00A95538" w:rsidRPr="00216965">
        <w:rPr>
          <w:rFonts w:cs="Times New Roman"/>
          <w:szCs w:val="24"/>
        </w:rPr>
        <w:t>.</w:t>
      </w:r>
    </w:p>
    <w:p w14:paraId="60ADF851" w14:textId="77777777" w:rsidR="005563EE" w:rsidRPr="00216965" w:rsidRDefault="005563EE" w:rsidP="008A33DA">
      <w:pPr>
        <w:spacing w:after="0" w:line="480" w:lineRule="auto"/>
        <w:ind w:right="1558"/>
        <w:jc w:val="both"/>
        <w:rPr>
          <w:rFonts w:eastAsia="Times New Roman" w:cs="Times New Roman"/>
          <w:szCs w:val="24"/>
        </w:rPr>
      </w:pPr>
      <w:r w:rsidRPr="00216965">
        <w:rPr>
          <w:noProof/>
        </w:rPr>
        <w:lastRenderedPageBreak/>
        <w:drawing>
          <wp:inline distT="0" distB="0" distL="0" distR="0" wp14:anchorId="59273D14" wp14:editId="515F0AA5">
            <wp:extent cx="5400040" cy="4371340"/>
            <wp:effectExtent l="0" t="0" r="0" b="0"/>
            <wp:docPr id="14" name="Picture 1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4371340"/>
                    </a:xfrm>
                    <a:prstGeom prst="rect">
                      <a:avLst/>
                    </a:prstGeom>
                    <a:noFill/>
                    <a:ln>
                      <a:noFill/>
                    </a:ln>
                  </pic:spPr>
                </pic:pic>
              </a:graphicData>
            </a:graphic>
          </wp:inline>
        </w:drawing>
      </w:r>
    </w:p>
    <w:p w14:paraId="0D1C1E1C" w14:textId="1AC85F91" w:rsidR="005563EE" w:rsidRPr="00216965" w:rsidRDefault="005563EE" w:rsidP="008A33DA">
      <w:pPr>
        <w:pStyle w:val="Caption"/>
        <w:ind w:right="282"/>
        <w:jc w:val="both"/>
        <w:rPr>
          <w:rFonts w:cs="Times New Roman"/>
          <w:b/>
          <w:bCs w:val="0"/>
          <w:szCs w:val="24"/>
        </w:rPr>
      </w:pPr>
      <w:bookmarkStart w:id="157" w:name="_Ref52749118"/>
      <w:bookmarkStart w:id="158" w:name="_Toc86439355"/>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4</w:t>
      </w:r>
      <w:r w:rsidR="00BF3EBE" w:rsidRPr="00216965">
        <w:rPr>
          <w:rFonts w:cs="Times New Roman"/>
          <w:b/>
          <w:bCs w:val="0"/>
          <w:szCs w:val="24"/>
        </w:rPr>
        <w:fldChar w:fldCharType="end"/>
      </w:r>
      <w:bookmarkEnd w:id="157"/>
      <w:r w:rsidRPr="00216965">
        <w:rPr>
          <w:rFonts w:eastAsia="Times New Roman" w:cs="Times New Roman"/>
          <w:b/>
          <w:bCs w:val="0"/>
          <w:color w:val="000000"/>
          <w:szCs w:val="24"/>
        </w:rPr>
        <w:t xml:space="preserve">. Adsorption isotherms </w:t>
      </w:r>
      <w:r w:rsidRPr="00216965">
        <w:rPr>
          <w:rFonts w:eastAsia="Times New Roman" w:cs="Times New Roman"/>
          <w:b/>
          <w:bCs w:val="0"/>
          <w:szCs w:val="24"/>
        </w:rPr>
        <w:t>for</w:t>
      </w:r>
      <w:r w:rsidRPr="00216965">
        <w:rPr>
          <w:rFonts w:eastAsia="Times New Roman" w:cs="Times New Roman"/>
          <w:b/>
          <w:bCs w:val="0"/>
          <w:color w:val="000000"/>
          <w:szCs w:val="24"/>
        </w:rPr>
        <w:t xml:space="preserve"> Cd, Pb and Zn fitted with the Hill sorption model</w:t>
      </w:r>
      <w:r w:rsidRPr="00216965">
        <w:rPr>
          <w:rFonts w:eastAsia="Times New Roman" w:cs="Times New Roman"/>
          <w:color w:val="000000"/>
          <w:szCs w:val="24"/>
        </w:rPr>
        <w:t>.</w:t>
      </w:r>
      <w:r w:rsidRPr="00216965">
        <w:rPr>
          <w:rFonts w:eastAsia="Times New Roman" w:cs="Times New Roman"/>
          <w:bCs w:val="0"/>
          <w:color w:val="000000"/>
          <w:szCs w:val="24"/>
        </w:rPr>
        <w:t xml:space="preserve"> </w:t>
      </w:r>
      <w:sdt>
        <w:sdtPr>
          <w:rPr>
            <w:rFonts w:cs="Times New Roman"/>
            <w:b/>
            <w:bCs w:val="0"/>
            <w:szCs w:val="24"/>
          </w:rPr>
          <w:tag w:val="goog_rdk_1453"/>
          <w:id w:val="731500250"/>
        </w:sdtPr>
        <w:sdtEndPr/>
        <w:sdtContent>
          <w:r w:rsidRPr="00216965">
            <w:rPr>
              <w:rFonts w:eastAsia="Times New Roman" w:cs="Times New Roman"/>
              <w:bCs w:val="0"/>
              <w:color w:val="000000"/>
              <w:szCs w:val="24"/>
            </w:rPr>
            <w:t>Inset plots, are close-ups that illustrate the sorption behaviour at equilibrium concentrations up to 2 mg.L</w:t>
          </w:r>
          <w:sdt>
            <w:sdtPr>
              <w:rPr>
                <w:rFonts w:cs="Times New Roman"/>
                <w:b/>
                <w:bCs w:val="0"/>
                <w:szCs w:val="24"/>
              </w:rPr>
              <w:tag w:val="goog_rdk_1454"/>
              <w:id w:val="1382057820"/>
            </w:sdtPr>
            <w:sdtEndPr/>
            <w:sdtContent>
              <w:r w:rsidRPr="00216965">
                <w:rPr>
                  <w:rFonts w:eastAsia="Times New Roman" w:cs="Times New Roman"/>
                  <w:bCs w:val="0"/>
                  <w:color w:val="000000"/>
                  <w:szCs w:val="24"/>
                  <w:vertAlign w:val="superscript"/>
                </w:rPr>
                <w:t>-1</w:t>
              </w:r>
            </w:sdtContent>
          </w:sdt>
          <w:r w:rsidRPr="00216965">
            <w:rPr>
              <w:rFonts w:eastAsia="Times New Roman" w:cs="Times New Roman"/>
              <w:bCs w:val="0"/>
              <w:color w:val="000000"/>
              <w:szCs w:val="24"/>
            </w:rPr>
            <w:t>.</w:t>
          </w:r>
        </w:sdtContent>
      </w:sdt>
      <w:r w:rsidRPr="00216965">
        <w:rPr>
          <w:rFonts w:eastAsia="Times New Roman" w:cs="Times New Roman"/>
          <w:bCs w:val="0"/>
          <w:color w:val="000000"/>
          <w:szCs w:val="24"/>
        </w:rPr>
        <w:t>The initial pH of the background solution was 5 for Pb, 6.5 for Cd and 7.5 for Zn; 24 hours contact time</w:t>
      </w:r>
      <w:sdt>
        <w:sdtPr>
          <w:rPr>
            <w:rFonts w:cs="Times New Roman"/>
            <w:b/>
            <w:bCs w:val="0"/>
            <w:szCs w:val="24"/>
          </w:rPr>
          <w:tag w:val="goog_rdk_1458"/>
          <w:id w:val="-1801454824"/>
        </w:sdtPr>
        <w:sdtEndPr/>
        <w:sdtContent>
          <w:r w:rsidRPr="00216965">
            <w:rPr>
              <w:rFonts w:eastAsia="Times New Roman" w:cs="Times New Roman"/>
              <w:bCs w:val="0"/>
              <w:color w:val="000000"/>
              <w:szCs w:val="24"/>
            </w:rPr>
            <w:t>, t= 22 ± 2 °</w:t>
          </w:r>
          <w:sdt>
            <w:sdtPr>
              <w:rPr>
                <w:rFonts w:cs="Times New Roman"/>
                <w:b/>
                <w:bCs w:val="0"/>
                <w:szCs w:val="24"/>
              </w:rPr>
              <w:tag w:val="goog_rdk_1459"/>
              <w:id w:val="1723096490"/>
            </w:sdtPr>
            <w:sdtEndPr/>
            <w:sdtContent>
              <w:r w:rsidRPr="00216965">
                <w:rPr>
                  <w:rFonts w:eastAsia="Times New Roman" w:cs="Times New Roman"/>
                  <w:bCs w:val="0"/>
                  <w:color w:val="000000"/>
                  <w:szCs w:val="24"/>
                </w:rPr>
                <w:t>C.</w:t>
              </w:r>
            </w:sdtContent>
          </w:sdt>
        </w:sdtContent>
      </w:sdt>
      <w:bookmarkEnd w:id="158"/>
    </w:p>
    <w:p w14:paraId="24749E63" w14:textId="77777777" w:rsidR="008574C0" w:rsidRPr="00216965" w:rsidRDefault="005563EE" w:rsidP="008A33DA">
      <w:pPr>
        <w:spacing w:line="360" w:lineRule="auto"/>
        <w:jc w:val="both"/>
      </w:pPr>
      <w:r w:rsidRPr="00216965">
        <w:t>Biochar maximum sorption capacities (</w:t>
      </w:r>
      <w:r w:rsidRPr="00216965">
        <w:rPr>
          <w:i/>
          <w:iCs/>
        </w:rPr>
        <w:t>q</w:t>
      </w:r>
      <w:r w:rsidRPr="00216965">
        <w:rPr>
          <w:i/>
          <w:iCs/>
          <w:vertAlign w:val="subscript"/>
        </w:rPr>
        <w:t>m</w:t>
      </w:r>
      <w:r w:rsidRPr="00216965">
        <w:t>) were, ordered from high to low, OSR700&gt;OSR550&gt;WSP550&gt;MSP550&gt;SWP550 for all HMs tested. For Cd, biochar MSP550 (8 mg.L</w:t>
      </w:r>
      <w:r w:rsidRPr="00216965">
        <w:rPr>
          <w:vertAlign w:val="superscript"/>
        </w:rPr>
        <w:t>-1</w:t>
      </w:r>
      <w:r w:rsidRPr="00216965">
        <w:t>) had a significantly lower (p &lt; 0.05) sorption capacity than biochars OSR550 (19 mg.L</w:t>
      </w:r>
      <w:r w:rsidRPr="00216965">
        <w:rPr>
          <w:vertAlign w:val="superscript"/>
        </w:rPr>
        <w:t>-1</w:t>
      </w:r>
      <w:r w:rsidRPr="00216965">
        <w:t>), OSR700 (21 mg.L</w:t>
      </w:r>
      <w:r w:rsidRPr="00216965">
        <w:rPr>
          <w:vertAlign w:val="superscript"/>
        </w:rPr>
        <w:t>-1</w:t>
      </w:r>
      <w:r w:rsidRPr="00216965">
        <w:t>) and WSP550 (18 mg.L</w:t>
      </w:r>
      <w:r w:rsidRPr="00216965">
        <w:rPr>
          <w:vertAlign w:val="superscript"/>
        </w:rPr>
        <w:t>-1</w:t>
      </w:r>
      <w:r w:rsidRPr="00216965">
        <w:t>). For Pb, biochar OSR700 (56 mg.L</w:t>
      </w:r>
      <w:r w:rsidRPr="00216965">
        <w:rPr>
          <w:vertAlign w:val="superscript"/>
        </w:rPr>
        <w:t>-1</w:t>
      </w:r>
      <w:r w:rsidRPr="00216965">
        <w:t>) had a significantly higher (p &lt; 0.05)  sorption capacity than OSR550 (46 mg.L</w:t>
      </w:r>
      <w:r w:rsidRPr="00216965">
        <w:rPr>
          <w:vertAlign w:val="superscript"/>
        </w:rPr>
        <w:t>-1</w:t>
      </w:r>
      <w:r w:rsidRPr="00216965">
        <w:t>), WSP (42 mg.L</w:t>
      </w:r>
      <w:r w:rsidRPr="00216965">
        <w:rPr>
          <w:vertAlign w:val="superscript"/>
        </w:rPr>
        <w:t>-1</w:t>
      </w:r>
      <w:r w:rsidRPr="00216965">
        <w:t>) and MSP550 (41 mg.L</w:t>
      </w:r>
      <w:r w:rsidRPr="00216965">
        <w:rPr>
          <w:vertAlign w:val="superscript"/>
        </w:rPr>
        <w:t>-1</w:t>
      </w:r>
      <w:r w:rsidRPr="00216965">
        <w:t>). For Zn biochar OSR700 (11 mg.L</w:t>
      </w:r>
      <w:r w:rsidRPr="00216965">
        <w:rPr>
          <w:vertAlign w:val="superscript"/>
        </w:rPr>
        <w:t>-1</w:t>
      </w:r>
      <w:r w:rsidRPr="00216965">
        <w:t>) demonstrated a significantly higher sorption (p &lt; 0.05) capacity than OSR550 (9 mg.L</w:t>
      </w:r>
      <w:r w:rsidRPr="00216965">
        <w:rPr>
          <w:vertAlign w:val="superscript"/>
        </w:rPr>
        <w:t>-1</w:t>
      </w:r>
      <w:r w:rsidRPr="00216965">
        <w:t>), WSP550 (6 mg.L</w:t>
      </w:r>
      <w:r w:rsidRPr="00216965">
        <w:rPr>
          <w:vertAlign w:val="superscript"/>
        </w:rPr>
        <w:t>-1</w:t>
      </w:r>
      <w:r w:rsidRPr="00216965">
        <w:t>) and MSP550 (3 mg.L</w:t>
      </w:r>
      <w:r w:rsidRPr="00216965">
        <w:rPr>
          <w:vertAlign w:val="superscript"/>
        </w:rPr>
        <w:t>-1</w:t>
      </w:r>
      <w:r w:rsidRPr="00216965">
        <w:t xml:space="preserve">). </w:t>
      </w:r>
    </w:p>
    <w:p w14:paraId="0ABBD41E" w14:textId="7A92C14F" w:rsidR="005563EE" w:rsidRPr="00216965" w:rsidRDefault="005563EE" w:rsidP="008A33DA">
      <w:pPr>
        <w:spacing w:line="360" w:lineRule="auto"/>
        <w:jc w:val="both"/>
      </w:pPr>
      <w:r w:rsidRPr="00216965">
        <w:t xml:space="preserve">Overall herbaceous-derived biochars had a higher sorption capacity than the soft wood-derived biochar SWP550. </w:t>
      </w:r>
      <w:r w:rsidRPr="00216965">
        <w:rPr>
          <w:rFonts w:cs="Times New Roman"/>
          <w:b/>
          <w:szCs w:val="24"/>
        </w:rPr>
        <w:fldChar w:fldCharType="begin" w:fldLock="1"/>
      </w:r>
      <w:r w:rsidR="006C06AA" w:rsidRPr="00216965">
        <w:rPr>
          <w:rFonts w:cs="Times New Roman"/>
          <w:szCs w:val="24"/>
        </w:rPr>
        <w:instrText>ADDIN CSL_CITATION {"citationItems":[{"id":"ITEM-1","itemData":{"DOI":"10.1016/j.ecoenv.2014.04.042","abstract":"Five types of biochars prepared from four crop straws and one wood shaving at 600 1C were characterized, and their sorption to Cd(II) were determined to investigate the differences in capacity to function as sorbents to heavy metals. Surface areas and pore volumes of the biochars were inversely correlated to the lignin content of raw biomass. The biochars derived from crop straws displayed more developed pore structure than wood char due to the higher lignin content of wood. Sorption capacity of the biochars to Cd(II) followed the order of corn straw4cotton straw4wheat straw4rice straw4poplar shaving, which was not strictly consistent with the surface area of the chars. The surface characteristics of chars before and after Cd(II) sorption were investigated with scanning electron microscopy equipped with an energy dispersive X-ray spectroscopy and Fourier transform infrared spectroscopy, which suggested that the higher sorption of Cd(II) on corn straw chars was mainly attributed to cation exchange, surface precipitation of carbonate, and surface complexation with oxygen-containing groups. This study indicated that crop straw biochars exhibit distinct sorption capacities to heavy metals due to various surface characteristics, and thus the sorption efficiency should be carefully evaluated specific to target contaminant.","author":[{"dropping-particle":"","family":"Sun","given":"Jingkuan","non-dropping-particle":"","parse-names":false,"suffix":""},{"dropping-particle":"","family":"Lian","given":"Fei","non-dropping-particle":"","parse-names":false,"suffix":""},{"dropping-particle":"","family":"Liu","given":"Zhongqi","non-dropping-particle":"","parse-names":false,"suffix":""},{"dropping-particle":"","family":"Zhu","given":"Lingyan","non-dropping-particle":"","parse-names":false,"suffix":""},{"dropping-particle":"","family":"Song","given":"Zhengguo","non-dropping-particle":"","parse-names":false,"suffix":""}],"container-title":"Ecotoxicology and Environmental Safety","id":"ITEM-1","issue":"106","issued":{"date-parts":[["2014"]]},"page":"226-231","title":"Biochars derived from various crop straws: Characterization and Cd(II) removal potential","type":"article-journal"},"uris":["http://www.mendeley.com/documents/?uuid=b62ef779-1580-3f61-9c7b-fbda5517dba9"]}],"mendeley":{"formattedCitation":"(Sun et al., 2014)","manualFormatting":"Sun et al. (2014)","plainTextFormattedCitation":"(Sun et al., 2014)","previouslyFormattedCitation":"(Sun et al., 2014)"},"properties":{"noteIndex":0},"schema":"https://github.com/citation-style-language/schema/raw/master/csl-citation.json"}</w:instrText>
      </w:r>
      <w:r w:rsidRPr="00216965">
        <w:rPr>
          <w:rFonts w:cs="Times New Roman"/>
          <w:b/>
          <w:szCs w:val="24"/>
        </w:rPr>
        <w:fldChar w:fldCharType="separate"/>
      </w:r>
      <w:r w:rsidRPr="00216965">
        <w:rPr>
          <w:rFonts w:cs="Times New Roman"/>
          <w:noProof/>
          <w:szCs w:val="24"/>
        </w:rPr>
        <w:t xml:space="preserve">Sun </w:t>
      </w:r>
      <w:r w:rsidR="009B2252" w:rsidRPr="00216965">
        <w:rPr>
          <w:rFonts w:cs="Times New Roman"/>
          <w:iCs/>
          <w:noProof/>
          <w:szCs w:val="24"/>
        </w:rPr>
        <w:t>et al</w:t>
      </w:r>
      <w:r w:rsidRPr="00216965">
        <w:rPr>
          <w:rFonts w:cs="Times New Roman"/>
          <w:noProof/>
          <w:szCs w:val="24"/>
        </w:rPr>
        <w:t>. (2014)</w:t>
      </w:r>
      <w:r w:rsidRPr="00216965">
        <w:rPr>
          <w:rFonts w:cs="Times New Roman"/>
          <w:b/>
          <w:szCs w:val="24"/>
        </w:rPr>
        <w:fldChar w:fldCharType="end"/>
      </w:r>
      <w:r w:rsidRPr="00216965">
        <w:t xml:space="preserve"> also reported that four herbaceous biochars produced at 600 °C (corn, cotton, wheat and rice straw) had greater sorption capacity for Cd than wood-derived biochar (poplar) produced at the same temperature. This was attributed to the limited pore development of the wood char due to the higher lignin content of wood. </w:t>
      </w:r>
      <w:r w:rsidRPr="00216965">
        <w:rPr>
          <w:rFonts w:cs="Times New Roman"/>
          <w:b/>
          <w:szCs w:val="24"/>
        </w:rPr>
        <w:fldChar w:fldCharType="begin" w:fldLock="1"/>
      </w:r>
      <w:r w:rsidR="006C06AA" w:rsidRPr="00216965">
        <w:rPr>
          <w:rFonts w:cs="Times New Roman"/>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2014)","manualFormatting":"Trakal et al. (2014)","plainTextFormattedCitation":"(Trakal et al., 2014)","previouslyFormattedCitation":"(Trakal et al., 2014)"},"properties":{"noteIndex":0},"schema":"https://github.com/citation-style-language/schema/raw/master/csl-citation.json"}</w:instrText>
      </w:r>
      <w:r w:rsidRPr="00216965">
        <w:rPr>
          <w:rFonts w:cs="Times New Roman"/>
          <w:b/>
          <w:szCs w:val="24"/>
        </w:rPr>
        <w:fldChar w:fldCharType="separate"/>
      </w:r>
      <w:r w:rsidRPr="00216965">
        <w:rPr>
          <w:rFonts w:cs="Times New Roman"/>
          <w:noProof/>
          <w:szCs w:val="24"/>
        </w:rPr>
        <w:t xml:space="preserve">Trakal </w:t>
      </w:r>
      <w:r w:rsidR="009B2252" w:rsidRPr="00216965">
        <w:rPr>
          <w:rFonts w:cs="Times New Roman"/>
          <w:iCs/>
          <w:noProof/>
          <w:szCs w:val="24"/>
        </w:rPr>
        <w:t>et al</w:t>
      </w:r>
      <w:r w:rsidRPr="00216965">
        <w:rPr>
          <w:rFonts w:cs="Times New Roman"/>
          <w:noProof/>
          <w:szCs w:val="24"/>
        </w:rPr>
        <w:t>. (2014)</w:t>
      </w:r>
      <w:r w:rsidRPr="00216965">
        <w:rPr>
          <w:rFonts w:cs="Times New Roman"/>
          <w:b/>
          <w:szCs w:val="24"/>
        </w:rPr>
        <w:fldChar w:fldCharType="end"/>
      </w:r>
      <w:r w:rsidRPr="00216965">
        <w:rPr>
          <w:rFonts w:cs="Times New Roman"/>
          <w:b/>
          <w:szCs w:val="24"/>
        </w:rPr>
        <w:t xml:space="preserve"> </w:t>
      </w:r>
      <w:r w:rsidRPr="00216965">
        <w:lastRenderedPageBreak/>
        <w:t>concluded that “high lignin biomass’’ biochars are less effective than herbaceous biochars for Cd</w:t>
      </w:r>
      <w:r w:rsidR="00F71164" w:rsidRPr="00216965">
        <w:t xml:space="preserve"> </w:t>
      </w:r>
      <w:r w:rsidRPr="00216965">
        <w:t>and Pb</w:t>
      </w:r>
      <w:r w:rsidR="00F71164" w:rsidRPr="00216965">
        <w:t xml:space="preserve"> </w:t>
      </w:r>
      <w:r w:rsidRPr="00216965">
        <w:t>sorption, despite their high BET surface area.</w:t>
      </w:r>
    </w:p>
    <w:p w14:paraId="62C5425C" w14:textId="1F4B3FCD" w:rsidR="005563EE" w:rsidRPr="00216965" w:rsidRDefault="005563EE" w:rsidP="008A33DA">
      <w:pPr>
        <w:spacing w:line="360" w:lineRule="auto"/>
        <w:jc w:val="both"/>
      </w:pPr>
      <w:r w:rsidRPr="00216965">
        <w:t xml:space="preserve">Since </w:t>
      </w:r>
      <w:r w:rsidRPr="00216965">
        <w:rPr>
          <w:i/>
          <w:iCs/>
        </w:rPr>
        <w:t>K</w:t>
      </w:r>
      <w:r w:rsidRPr="00216965">
        <w:rPr>
          <w:i/>
          <w:iCs/>
          <w:vertAlign w:val="subscript"/>
        </w:rPr>
        <w:t>H</w:t>
      </w:r>
      <w:r w:rsidRPr="00216965">
        <w:t xml:space="preserve"> is the concentration of adsorbate (</w:t>
      </w:r>
      <w:r w:rsidRPr="00216965">
        <w:rPr>
          <w:i/>
          <w:iCs/>
        </w:rPr>
        <w:t>C</w:t>
      </w:r>
      <w:r w:rsidRPr="00216965">
        <w:rPr>
          <w:i/>
          <w:iCs/>
          <w:vertAlign w:val="subscript"/>
        </w:rPr>
        <w:t>e</w:t>
      </w:r>
      <w:r w:rsidRPr="00216965">
        <w:t>) at half maximum sorption capacity (</w:t>
      </w:r>
      <w:r w:rsidRPr="00216965">
        <w:rPr>
          <w:i/>
          <w:iCs/>
        </w:rPr>
        <w:t>q</w:t>
      </w:r>
      <w:r w:rsidRPr="00216965">
        <w:rPr>
          <w:i/>
          <w:iCs/>
          <w:vertAlign w:val="subscript"/>
        </w:rPr>
        <w:t>m</w:t>
      </w:r>
      <w:r w:rsidRPr="00216965">
        <w:t xml:space="preserve">), a biochar with a high </w:t>
      </w:r>
      <w:r w:rsidRPr="00216965">
        <w:rPr>
          <w:i/>
          <w:iCs/>
        </w:rPr>
        <w:t>K</w:t>
      </w:r>
      <w:r w:rsidRPr="00216965">
        <w:rPr>
          <w:i/>
          <w:iCs/>
          <w:vertAlign w:val="subscript"/>
        </w:rPr>
        <w:t>H</w:t>
      </w:r>
      <w:r w:rsidRPr="00216965">
        <w:t xml:space="preserve"> would require a greater concentration of adsorbate to achieve </w:t>
      </w:r>
      <w:r w:rsidRPr="00216965">
        <w:rPr>
          <w:i/>
          <w:iCs/>
        </w:rPr>
        <w:t>q</w:t>
      </w:r>
      <w:r w:rsidRPr="00216965">
        <w:rPr>
          <w:i/>
          <w:iCs/>
          <w:vertAlign w:val="subscript"/>
        </w:rPr>
        <w:t>m</w:t>
      </w:r>
      <w:r w:rsidRPr="00216965">
        <w:t xml:space="preserve">, which implies a low affinity for the adsorbent, while low </w:t>
      </w:r>
      <w:r w:rsidRPr="00216965">
        <w:rPr>
          <w:i/>
          <w:iCs/>
        </w:rPr>
        <w:t>K</w:t>
      </w:r>
      <w:r w:rsidRPr="00216965">
        <w:rPr>
          <w:i/>
          <w:iCs/>
          <w:vertAlign w:val="subscript"/>
        </w:rPr>
        <w:t>H</w:t>
      </w:r>
      <w:r w:rsidRPr="00216965">
        <w:t xml:space="preserve"> values indicate that less concentration of adsorbate is required to achieve </w:t>
      </w:r>
      <w:r w:rsidRPr="00216965">
        <w:rPr>
          <w:i/>
          <w:iCs/>
        </w:rPr>
        <w:t>q</w:t>
      </w:r>
      <w:r w:rsidRPr="00216965">
        <w:rPr>
          <w:i/>
          <w:iCs/>
          <w:vertAlign w:val="subscript"/>
        </w:rPr>
        <w:t>m</w:t>
      </w:r>
      <w:r w:rsidRPr="00216965">
        <w:t>, which represents a higher affinity between the adsorbate and biochar. Values of the Hill constants (</w:t>
      </w:r>
      <w:r w:rsidRPr="00216965">
        <w:rPr>
          <w:i/>
          <w:iCs/>
        </w:rPr>
        <w:t>K</w:t>
      </w:r>
      <w:r w:rsidRPr="00216965">
        <w:rPr>
          <w:i/>
          <w:iCs/>
          <w:vertAlign w:val="subscript"/>
        </w:rPr>
        <w:t>H</w:t>
      </w:r>
      <w:r w:rsidRPr="00216965">
        <w:t xml:space="preserve">) shown in </w:t>
      </w:r>
      <w:r w:rsidR="00F71164" w:rsidRPr="00216965">
        <w:rPr>
          <w:b/>
          <w:bCs/>
        </w:rPr>
        <w:fldChar w:fldCharType="begin"/>
      </w:r>
      <w:r w:rsidR="00F71164" w:rsidRPr="00216965">
        <w:instrText xml:space="preserve"> REF _Ref86492962 \h </w:instrText>
      </w:r>
      <w:r w:rsidR="00F71164" w:rsidRPr="00216965">
        <w:rPr>
          <w:b/>
          <w:bCs/>
        </w:rPr>
      </w:r>
      <w:r w:rsidR="00216965" w:rsidRPr="00216965">
        <w:rPr>
          <w:b/>
          <w:bCs/>
        </w:rPr>
        <w:instrText xml:space="preserve"> \* MERGEFORMAT </w:instrText>
      </w:r>
      <w:r w:rsidR="00F71164" w:rsidRPr="00216965">
        <w:rPr>
          <w:b/>
          <w:bCs/>
        </w:rPr>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3</w:t>
      </w:r>
      <w:r w:rsidR="00F71164" w:rsidRPr="00216965">
        <w:rPr>
          <w:b/>
          <w:bCs/>
        </w:rPr>
        <w:fldChar w:fldCharType="end"/>
      </w:r>
      <w:r w:rsidR="00F71164" w:rsidRPr="00216965">
        <w:rPr>
          <w:b/>
          <w:bCs/>
        </w:rPr>
        <w:t xml:space="preserve"> </w:t>
      </w:r>
      <w:r w:rsidRPr="00216965">
        <w:t>indicate binding affinity in the order Zn &gt;Pb &gt;Cd for all biochars. Although the binding affinity (</w:t>
      </w:r>
      <w:r w:rsidRPr="00216965">
        <w:rPr>
          <w:i/>
          <w:iCs/>
        </w:rPr>
        <w:t>K</w:t>
      </w:r>
      <w:r w:rsidRPr="00216965">
        <w:rPr>
          <w:i/>
          <w:iCs/>
          <w:vertAlign w:val="subscript"/>
        </w:rPr>
        <w:t>H</w:t>
      </w:r>
      <w:r w:rsidRPr="00216965">
        <w:t>) of Zn</w:t>
      </w:r>
      <w:r w:rsidR="00F71164" w:rsidRPr="00216965">
        <w:t xml:space="preserve"> </w:t>
      </w:r>
      <w:r w:rsidRPr="00216965">
        <w:t>to all biochars was greatest, the sorption capacity (</w:t>
      </w:r>
      <w:r w:rsidRPr="00216965">
        <w:rPr>
          <w:i/>
          <w:iCs/>
        </w:rPr>
        <w:t>q</w:t>
      </w:r>
      <w:r w:rsidRPr="00216965">
        <w:rPr>
          <w:i/>
          <w:iCs/>
          <w:vertAlign w:val="subscript"/>
        </w:rPr>
        <w:t>m</w:t>
      </w:r>
      <w:r w:rsidRPr="00216965">
        <w:t xml:space="preserve">) for this metal was the lowest. This indicates that Zn sorption is associated with less abundant, but high-affinity binding sites, whereas Cd and Pb sorption onto biochar is related to lower affinity, but more abundant binding sites. Other studies have reported that most Cd sorption onto plant-derived biochars involves low binding energy sites. </w:t>
      </w:r>
      <w:r w:rsidRPr="00216965">
        <w:rPr>
          <w:rFonts w:cs="Times New Roman"/>
          <w:bCs/>
          <w:szCs w:val="24"/>
        </w:rPr>
        <w:fldChar w:fldCharType="begin" w:fldLock="1"/>
      </w:r>
      <w:r w:rsidR="00F56BD7" w:rsidRPr="00216965">
        <w:rPr>
          <w:rFonts w:cs="Times New Roman"/>
          <w:bCs/>
          <w:szCs w:val="24"/>
        </w:rPr>
        <w:instrText>ADDIN CSL_CITATION {"citationItems":[{"id":"ITEM-1","itemData":{"DOI":"ttps://doi.org/10.1016/j.heliyon.2018.e00543","abstract":"The ability of biochar to immobilize metals relies on the amount of functional groups at its surface but the contribution of each functional groups (e.g. carboxylic, phenolic) to metal bonding is poorly known. Using a new approach based on previous works on rare earth element (REE) interactions with humic substances, we aim at elucidating the relative contribution of these binding sites to metal sorption under various conditions (i.e. pH and ionic strengths, IS). Using batch experiments, REE sorption onto biochar was analyzed from pH 3 to 9 and IS 10−1 mol/L to 10−3 mol/L. Rare earth element patterns show a Middle REE (MREE) downward concavity at acidic pH and low ionic strength. These patterns are in good agreement with existing datasets quantifying REE binding with humic substances. Indeed, the MREE downward concavity displayed by REE-biochar complexation pattern compares well with REE patterns with various organic compounds. This similarity in the REE complexation pattern shapes suggests that carboxylic groups are the main binding sites of REE in biochar. Overall, our results indicate that the strength of the metal bonding with biochar increases when pH and IS increase, suggesting that biochar is more efficient for long-term metal immobilization at near neutral pH and high ionic strength.","author":[{"dropping-particle":"","family":"Pourret","given":"Olivier","non-dropping-particle":"","parse-names":false,"suffix":""},{"dropping-particle":"","family":"Houben","given":"David","non-dropping-particle":"","parse-names":false,"suffix":""}],"container-title":"Heliyon","id":"ITEM-1","issued":{"date-parts":[["2018"]]},"page":"e00543","title":"Characterization of metal binding sites onto biochar using rare earth elements as a fingerprint","type":"article-journal","volume":"4"},"uris":["http://www.mendeley.com/documents/?uuid=b93bb12a-b7bb-3155-836f-a8cc9d734296"]}],"mendeley":{"formattedCitation":"(Pourret and Houben, 2018)","manualFormatting":"Pourret and Houben (2018)","plainTextFormattedCitation":"(Pourret and Houben, 2018)","previouslyFormattedCitation":"(Pourret and Houben, 2018)"},"properties":{"noteIndex":0},"schema":"https://github.com/citation-style-language/schema/raw/master/csl-citation.json"}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Pourret and Houben (2018)</w:t>
      </w:r>
      <w:r w:rsidRPr="00216965">
        <w:rPr>
          <w:rFonts w:cs="Times New Roman"/>
          <w:bCs/>
          <w:szCs w:val="24"/>
        </w:rPr>
        <w:fldChar w:fldCharType="end"/>
      </w:r>
      <w:r w:rsidRPr="00216965">
        <w:rPr>
          <w:rFonts w:cs="Times New Roman"/>
          <w:bCs/>
          <w:szCs w:val="24"/>
        </w:rPr>
        <w:t xml:space="preserve"> </w:t>
      </w:r>
      <w:r w:rsidRPr="00216965">
        <w:t>characterized biochar binding sites using rare earth elements, indicating that strong aromatic functional groups, such as carboxy-phenolic and phenolic groups, have high affinity for metals while carboxylic groups have lower affinity.</w:t>
      </w:r>
    </w:p>
    <w:p w14:paraId="448FBDDB" w14:textId="77777777" w:rsidR="005563EE" w:rsidRPr="00216965" w:rsidRDefault="005563EE" w:rsidP="008A33DA">
      <w:pPr>
        <w:pStyle w:val="Heading3"/>
      </w:pPr>
      <w:bookmarkStart w:id="159" w:name="_Toc86504655"/>
      <w:r w:rsidRPr="00216965">
        <w:t>Nature of sorption interactions</w:t>
      </w:r>
      <w:bookmarkEnd w:id="159"/>
    </w:p>
    <w:p w14:paraId="59734CC1" w14:textId="77777777" w:rsidR="005563EE" w:rsidRPr="00216965" w:rsidRDefault="005563EE" w:rsidP="008A33DA">
      <w:pPr>
        <w:pStyle w:val="Heading4"/>
      </w:pPr>
      <w:bookmarkStart w:id="160" w:name="_Ref86333709"/>
      <w:r w:rsidRPr="00216965">
        <w:t>Functional groups analysis</w:t>
      </w:r>
      <w:bookmarkEnd w:id="160"/>
    </w:p>
    <w:p w14:paraId="2859694E" w14:textId="13D3A905" w:rsidR="008574C0" w:rsidRPr="00216965" w:rsidRDefault="005563EE" w:rsidP="008A33DA">
      <w:pPr>
        <w:spacing w:line="360" w:lineRule="auto"/>
        <w:jc w:val="both"/>
      </w:pPr>
      <w:r w:rsidRPr="00216965">
        <w:rPr>
          <w:b/>
          <w:bCs/>
        </w:rPr>
        <w:fldChar w:fldCharType="begin"/>
      </w:r>
      <w:r w:rsidRPr="00216965">
        <w:rPr>
          <w:b/>
          <w:bCs/>
        </w:rPr>
        <w:instrText xml:space="preserve"> REF _Ref86333167 \h  \* MERGEFORMAT </w:instrText>
      </w:r>
      <w:r w:rsidRPr="00216965">
        <w:rPr>
          <w:b/>
          <w:bCs/>
        </w:rPr>
      </w:r>
      <w:r w:rsidRPr="00216965">
        <w:rPr>
          <w:b/>
          <w:bCs/>
        </w:rPr>
        <w:fldChar w:fldCharType="separate"/>
      </w:r>
      <w:r w:rsidR="006E23EA" w:rsidRPr="00216965">
        <w:rPr>
          <w:rFonts w:cs="Times New Roman"/>
          <w:b/>
          <w:bCs/>
          <w:szCs w:val="24"/>
        </w:rPr>
        <w:t>Fig.</w:t>
      </w:r>
      <w:r w:rsidR="006E23EA" w:rsidRPr="00216965">
        <w:rPr>
          <w:rFonts w:cs="Times New Roman"/>
          <w:b/>
          <w:bCs/>
          <w:noProof/>
          <w:szCs w:val="24"/>
        </w:rPr>
        <w:t xml:space="preserve"> 3</w:t>
      </w:r>
      <w:r w:rsidR="006E23EA" w:rsidRPr="00216965">
        <w:rPr>
          <w:rFonts w:cs="Times New Roman"/>
          <w:b/>
          <w:bCs/>
          <w:noProof/>
          <w:szCs w:val="24"/>
        </w:rPr>
        <w:noBreakHyphen/>
        <w:t>5</w:t>
      </w:r>
      <w:r w:rsidRPr="00216965">
        <w:rPr>
          <w:b/>
          <w:bCs/>
        </w:rPr>
        <w:fldChar w:fldCharType="end"/>
      </w:r>
      <w:r w:rsidRPr="00216965">
        <w:t xml:space="preserve"> illustrates the ATR-FTIR spectra of biochars with and without HMs. Band positions and their assignments were identified according to major spectra structure correlations by spectral regions. Bands at 458 cm</w:t>
      </w:r>
      <w:r w:rsidRPr="00216965">
        <w:rPr>
          <w:vertAlign w:val="superscript"/>
        </w:rPr>
        <w:t>-1</w:t>
      </w:r>
      <w:r w:rsidRPr="00216965">
        <w:t xml:space="preserve"> were assigned to inorganic silicates Si ̶ O asymmetric deformation vibration </w:t>
      </w:r>
      <w:r w:rsidRPr="00216965">
        <w:rPr>
          <w:rFonts w:cs="Times New Roman"/>
          <w:bCs/>
          <w:szCs w:val="24"/>
        </w:rPr>
        <w:fldChar w:fldCharType="begin" w:fldLock="1"/>
      </w:r>
      <w:r w:rsidR="006C06AA" w:rsidRPr="00216965">
        <w:rPr>
          <w:rFonts w:cs="Times New Roman"/>
          <w:bCs/>
          <w:szCs w:val="24"/>
        </w:rPr>
        <w:instrText>ADDIN CSL_CITATION {"citationItems":[{"id":"ITEM-1","itemData":{"DOI":"10.1080/07315171.2011.623610","ISSN":"0731-5171","abstract":"We have developed novel cathode materials in the chemical composition of Li 2ZnSiO 4, Li 1.5Zn 1.5SiO 4, Li 1Zn 2Sio 4, Li 0.5Zn 2.5SiO 4 and Zn 2SiO 4 by a sol-gel method. Structural and thermal properties of these materials have been carried out from the measurement of their XRD, FTIR, and TG-DTA profiles. For the Zn 2SiO 4 sample, the optimized synthesis temperature has been found to be 900°C and maintaining this temperature; the remaining other samples have also been developed for their analysis. The ac conductivity, dielectric constant, dielectric loss values have been obtained and their trends have been explained on the basis of the distribution of Li + ions in them because of their display of Maxwell- Wagner interfacial- type polarization. © 2011 Copyright Taylor and Francis Group, LLC.","author":[{"dropping-particle":"","family":"Babu","given":"B. Chandra","non-dropping-particle":"","parse-names":false,"suffix":""},{"dropping-particle":"","family":"Naresh","given":"V.","non-dropping-particle":"","parse-names":false,"suffix":""},{"dropping-particle":"","family":"Prakash","given":"B. Jaya","non-dropping-particle":"","parse-names":false,"suffix":""},{"dropping-particle":"","family":"Buddhudu","given":"S.","non-dropping-particle":"","parse-names":false,"suffix":""}],"container-title":"Ferroelectrics Letters Section","id":"ITEM-1","issued":{"date-parts":[["2011","7","1"]]},"page":"114-127","publisher":"Taylor &amp; Francis Group","title":"Structural, thermal and dielectric properties of lithium zinc silicate ceramic powders by sol-gel method","type":"article-journal","volume":"38"},"uris":["http://www.mendeley.com/documents/?uuid=1c5e469e-87da-3c40-9de7-d6412781336d"]},{"id":"ITEM-2","itemData":{"ISBN":"0-12-182554-X","author":[{"dropping-particle":"","family":"Colthup","given":"Norman B.","non-dropping-particle":"","parse-names":false,"suffix":""},{"dropping-particle":"","family":"Daly","given":"Lawrence H.","non-dropping-particle":"","parse-names":false,"suffix":""},{"dropping-particle":"","family":"Wiberley","given":"Stephen E.","non-dropping-particle":"","parse-names":false,"suffix":""}],"edition":"Third","id":"ITEM-2","issued":{"date-parts":[["1990"]]},"number-of-pages":"355-398","publisher":"Academic Press, Inc","publisher-place":"San Diego, California","title":"Introduction to Infrared and Raman Spectroscopy","type":"book"},"uris":["http://www.mendeley.com/documents/?uuid=aeddaf97-1999-4496-8ab2-3fe4fb17dfe7"]}],"mendeley":{"formattedCitation":"(Babu et al., 2011; Colthup et al., 1990)","plainTextFormattedCitation":"(Babu et al., 2011; Colthup et al., 1990)","previouslyFormattedCitation":"(Babu et al., 2011; Colthup et al., 1990)"},"properties":{"noteIndex":0},"schema":"https://github.com/citation-style-language/schema/raw/master/csl-citation.json"}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(Babu et al., 2011; Colthup et al., 1990)</w:t>
      </w:r>
      <w:r w:rsidRPr="00216965">
        <w:rPr>
          <w:rFonts w:cs="Times New Roman"/>
          <w:bCs/>
          <w:szCs w:val="24"/>
        </w:rPr>
        <w:fldChar w:fldCharType="end"/>
      </w:r>
      <w:r w:rsidRPr="00216965">
        <w:t xml:space="preserve">. Si species present in biomass undergo changes during pyrolysis, where some of the Si species would transform into quartz, dehydroxylated silicates or alkali silicates </w:t>
      </w:r>
      <w:r w:rsidRPr="00216965">
        <w:rPr>
          <w:rFonts w:cs="Times New Roman"/>
          <w:bCs/>
          <w:szCs w:val="24"/>
        </w:rPr>
        <w:fldChar w:fldCharType="begin" w:fldLock="1"/>
      </w:r>
      <w:r w:rsidR="006C06AA" w:rsidRPr="00216965">
        <w:rPr>
          <w:rFonts w:cs="Times New Roman"/>
          <w:bCs/>
          <w:szCs w:val="24"/>
        </w:rPr>
        <w:instrText>ADDIN CSL_CITATION {"citationItems":[{"id":"ITEM-1","itemData":{"DOI":"10.1038/srep33630","ISSN":"20452322","abstract":"Biochar is considered to be a promising material for heavy metal immobilization in soil. However, the immobilization mechanisms of Zn 2+ on biochars derived from many common waste biomasses are not completely understood. Herein, biochars (denoted as PN350, PN550, WS350, and WS550) derived from pine needle (PN) and wheat straw (WS) were prepared at two pyrolysis temperatures (350 °C and 550 °C). The immobilization behaviors and mechanisms of Zn 2+ on these biochars were systematically investigated. The results show that compared with biochars produced at low temperature, biochars produced at high temperature contained higher amounts of ash and exhibited much higher sorption capacities of Zn 2+. By using Zn K-edge EXAFS spectroscopy, we find that the formation of various Zn precipitates/minerals, which was caused by the release of OH â ', CO 3 2â ', and Si species from biochar, was the immobilization mechanism of Zn 2+ on PN and WS biochars. Hydrozincite and Zn(OH) 2 were the main species formed on PN350, PN550, and WS350; while on WS550, besides hydrozincite, a large fraction of hemimorphite was formed. The occurrence of hydrozincite and hemimorphite on biochar during Zn 2+ immobilization is firstly reported in our study, which provides a new insight into the immobilization mechanism of Zn 2+ on biochar.","author":[{"dropping-particle":"","family":"Qian","given":"Tingting","non-dropping-particle":"","parse-names":false,"suffix":""},{"dropping-particle":"","family":"Wang","given":"Yujun","non-dropping-particle":"","parse-names":false,"suffix":""},{"dropping-particle":"","family":"Fan","given":"Tingting","non-dropping-particle":"","parse-names":false,"suffix":""},{"dropping-particle":"","family":"Fang","given":"Guodong","non-dropping-particle":"","parse-names":false,"suffix":""},{"dropping-particle":"","family":"Zhou","given":"Dongmei","non-dropping-particle":"","parse-names":false,"suffix":""}],"container-title":"Scientific Reports","id":"ITEM-1","issued":{"date-parts":[["2016","9","19"]]},"page":"33630","publisher":"Nature Publishing Group","title":"A new insight into the immobilization mechanism of Zn on biochar: The role of anions dissolved from ash","type":"article-journal","volume":"6"},"uris":["http://www.mendeley.com/documents/?uuid=f74e7ab3-4643-3138-b9ad-8060ce08498f"]}],"mendeley":{"formattedCitation":"(Qian et al., 2016)","plainTextFormattedCitation":"(Qian et al., 2016)","previouslyFormattedCitation":"(Qian et al., 2016)"},"properties":{"noteIndex":0},"schema":"https://github.com/citation-style-language/schema/raw/master/csl-citation.json"}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(Qian et al., 2016)</w:t>
      </w:r>
      <w:r w:rsidRPr="00216965">
        <w:rPr>
          <w:rFonts w:cs="Times New Roman"/>
          <w:bCs/>
          <w:szCs w:val="24"/>
        </w:rPr>
        <w:fldChar w:fldCharType="end"/>
      </w:r>
      <w:r w:rsidRPr="00216965">
        <w:t>. The band at 570 cm</w:t>
      </w:r>
      <w:r w:rsidRPr="00216965">
        <w:rPr>
          <w:vertAlign w:val="superscript"/>
        </w:rPr>
        <w:t>-1</w:t>
      </w:r>
      <w:r w:rsidRPr="00216965">
        <w:t xml:space="preserve"> was assigned to dicalcium phosphate or phosphate ion </w:t>
      </w:r>
      <m:oMath>
        <m:sSubSup>
          <m:sSubSupPr>
            <m:ctrlPr>
              <w:rPr>
                <w:rFonts w:ascii="Cambria Math" w:eastAsia="Cambria Math" w:hAnsi="Cambria Math" w:cs="Cambria Math"/>
                <w:szCs w:val="24"/>
              </w:rPr>
            </m:ctrlPr>
          </m:sSubSupPr>
          <m:e>
            <w:sdt>
              <w:sdtPr>
                <w:rPr>
                  <w:rFonts w:ascii="Cambria Math" w:hAnsi="Cambria Math"/>
                </w:rPr>
                <w:tag w:val="goog_rdk_1547"/>
                <w:id w:val="-543289225"/>
              </w:sdtPr>
              <w:sdtEndPr/>
              <w:sdtContent>
                <m:r>
                  <w:rPr>
                    <w:rFonts w:ascii="Cambria Math" w:eastAsia="Cambria Math" w:hAnsi="Cambria Math" w:cs="Cambria Math"/>
                    <w:szCs w:val="24"/>
                  </w:rPr>
                  <m:t>(PO</m:t>
                </m:r>
              </w:sdtContent>
            </w:sdt>
          </m:e>
          <m:sub>
            <m:r>
              <w:rPr>
                <w:rFonts w:ascii="Cambria Math" w:eastAsia="Cambria Math" w:hAnsi="Cambria Math" w:cs="Cambria Math"/>
                <w:szCs w:val="24"/>
              </w:rPr>
              <m:t>4</m:t>
            </m:r>
          </m:sub>
          <m:sup>
            <m:r>
              <w:rPr>
                <w:rFonts w:ascii="Cambria Math" w:eastAsia="Cambria Math" w:hAnsi="Cambria Math" w:cs="Cambria Math"/>
                <w:szCs w:val="24"/>
              </w:rPr>
              <m:t>3-</m:t>
            </m:r>
          </m:sup>
        </m:sSubSup>
        <w:sdt>
          <w:sdtPr>
            <w:rPr>
              <w:rFonts w:ascii="Cambria Math" w:hAnsi="Cambria Math"/>
            </w:rPr>
            <w:tag w:val="goog_rdk_1548"/>
            <w:id w:val="608635788"/>
          </w:sdtPr>
          <w:sdtEndPr/>
          <w:sdtContent>
            <m:r>
              <w:rPr>
                <w:rFonts w:ascii="Cambria Math" w:eastAsia="Cambria Math" w:hAnsi="Cambria Math" w:cs="Cambria Math"/>
                <w:szCs w:val="24"/>
              </w:rPr>
              <m:t>)</m:t>
            </m:r>
          </w:sdtContent>
        </w:sdt>
      </m:oMath>
      <w:r w:rsidRPr="00216965">
        <w:t xml:space="preserve"> bending </w:t>
      </w:r>
      <w:r w:rsidRPr="00216965">
        <w:rPr>
          <w:rFonts w:cs="Times New Roman"/>
          <w:color w:val="2E2E2E"/>
          <w:szCs w:val="24"/>
        </w:rPr>
        <w:fldChar w:fldCharType="begin" w:fldLock="1"/>
      </w:r>
      <w:r w:rsidR="006C06AA" w:rsidRPr="00216965">
        <w:rPr>
          <w:rFonts w:cs="Times New Roman"/>
          <w:color w:val="2E2E2E"/>
          <w:szCs w:val="24"/>
        </w:rPr>
        <w:instrText>ADDIN CSL_CITATION {"citationItems":[{"id":"ITEM-1","itemData":{"DOI":"10.1016/j.saa.2016.05.049","ISSN":"13861425","abstract":"In the last decade, numerous studies have evaluated the benefits of biochar for improving soil quality. The purposes of the current study were to use Fourier transform infrared-photoacoustic spectroscopy (FTIR-PAS) to analyse P species in biochar and to determine the effect of pyrolysis temperature on P speciation. The photoacoustic detector has a range of advantages for the very dark biochar samples in comparison to more traditional reflectance or transmission FTIR detectors. The spectra turned out to be more informative in the regions with P vibrations for biochar produced at temperatures above 400 °C, where most of the remaining organic compounds were aromatic and therefore not overlapping with the P vibrations. For biochars produced from the solid fraction of digestate from biogas production, an increase in the pyrolysis temperature led to the formation of a large variety of P species. Hydroxylapatite and tricalcium phosphate were the most dominant P species in the mid to high temperature range (600-900 °C), while at 1050 °C apatite, iron phosphates, variscite and calcium phosphates were identified. However, the changes in P speciation in biochars produced from bone meal at different temperatures were smaller than in the biochars from digestate. Hydroxylapatite and calcium phosphates were identified in biochar produced at all temperatures, while there was some indication of struvite formation.","author":[{"dropping-particle":"","family":"Bekiaris","given":"Georgios","non-dropping-particle":"","parse-names":false,"suffix":""},{"dropping-particle":"","family":"Peltre","given":"Clément","non-dropping-particle":"","parse-names":false,"suffix":""},{"dropping-particle":"","family":"Jensen","given":"Lars S.","non-dropping-particle":"","parse-names":false,"suffix":""},{"dropping-particle":"","family":"Bruun","given":"Sander","non-dropping-particle":"","parse-names":false,"suffix":""}],"container-title":"Spectrochimica Acta - Part A: Molecular and Biomolecular Spectroscopy","id":"ITEM-1","issued":{"date-parts":[["2016","11","5"]]},"page":"29-36","publisher":"Elsevier B.V.","title":"Using FTIR-photoacoustic spectroscopy for phosphorus speciation analysis of biochars","type":"article-journal","volume":"168"},"uris":["http://www.mendeley.com/documents/?uuid=8413fbab-b92a-3b70-b4b9-6bb000ccebd6"]},{"id":"ITEM-2","itemData":{"ISBN":"0-12-182554-X","author":[{"dropping-particle":"","family":"Colthup","given":"Norman B.","non-dropping-particle":"","parse-names":false,"suffix":""},{"dropping-particle":"","family":"Daly","given":"Lawrence H.","non-dropping-particle":"","parse-names":false,"suffix":""},{"dropping-particle":"","family":"Wiberley","given":"Stephen E.","non-dropping-particle":"","parse-names":false,"suffix":""}],"edition":"Third","id":"ITEM-2","issued":{"date-parts":[["1990"]]},"number-of-pages":"355-398","publisher":"Academic Press, Inc","publisher-place":"San Diego, California","title":"Introduction to Infrared and Raman Spectroscopy","type":"book"},"uris":["http://www.mendeley.com/documents/?uuid=aeddaf97-1999-4496-8ab2-3fe4fb17dfe7"]}],"mendeley":{"formattedCitation":"(Bekiaris et al., 2016; Colthup et al., 1990)","plainTextFormattedCitation":"(Bekiaris et al., 2016; Colthup et al., 1990)","previouslyFormattedCitation":"(Bekiaris et al., 2016; Colthup et al., 1990)"},"properties":{"noteIndex":0},"schema":"https://github.com/citation-style-language/schema/raw/master/csl-citation.json"}</w:instrText>
      </w:r>
      <w:r w:rsidRPr="00216965">
        <w:rPr>
          <w:rFonts w:cs="Times New Roman"/>
          <w:color w:val="2E2E2E"/>
          <w:szCs w:val="24"/>
        </w:rPr>
        <w:fldChar w:fldCharType="separate"/>
      </w:r>
      <w:r w:rsidR="001974AA" w:rsidRPr="00216965">
        <w:rPr>
          <w:rFonts w:cs="Times New Roman"/>
          <w:noProof/>
          <w:color w:val="2E2E2E"/>
          <w:szCs w:val="24"/>
        </w:rPr>
        <w:t>(Bekiaris et al., 2016; Colthup et al., 1990)</w:t>
      </w:r>
      <w:r w:rsidRPr="00216965">
        <w:rPr>
          <w:rFonts w:cs="Times New Roman"/>
          <w:color w:val="2E2E2E"/>
          <w:szCs w:val="24"/>
        </w:rPr>
        <w:fldChar w:fldCharType="end"/>
      </w:r>
      <w:r w:rsidRPr="00216965">
        <w:t>. The change in the intensity of these bands in relation to the raw biochar was observed for all HMs, however the changes in the band at 570 cm</w:t>
      </w:r>
      <w:r w:rsidRPr="00216965">
        <w:rPr>
          <w:vertAlign w:val="superscript"/>
        </w:rPr>
        <w:t>-1</w:t>
      </w:r>
      <w:r w:rsidRPr="00216965">
        <w:t xml:space="preserve"> associated with </w:t>
      </w:r>
      <m:oMath>
        <m:sSubSup>
          <m:sSubSupPr>
            <m:ctrlPr>
              <w:rPr>
                <w:rFonts w:ascii="Cambria Math" w:eastAsia="Cambria Math" w:hAnsi="Cambria Math" w:cs="Cambria Math"/>
                <w:szCs w:val="24"/>
              </w:rPr>
            </m:ctrlPr>
          </m:sSubSupPr>
          <m:e>
            <w:sdt>
              <w:sdtPr>
                <w:rPr>
                  <w:rFonts w:ascii="Cambria Math" w:hAnsi="Cambria Math"/>
                </w:rPr>
                <w:tag w:val="goog_rdk_1563"/>
                <w:id w:val="367956654"/>
              </w:sdtPr>
              <w:sdtEndPr/>
              <w:sdtContent>
                <m:r>
                  <w:rPr>
                    <w:rFonts w:ascii="Cambria Math" w:eastAsia="Cambria Math" w:hAnsi="Cambria Math" w:cs="Cambria Math"/>
                    <w:szCs w:val="24"/>
                  </w:rPr>
                  <m:t>(PO</m:t>
                </m:r>
              </w:sdtContent>
            </w:sdt>
          </m:e>
          <m:sub>
            <m:r>
              <w:rPr>
                <w:rFonts w:ascii="Cambria Math" w:eastAsia="Cambria Math" w:hAnsi="Cambria Math" w:cs="Cambria Math"/>
                <w:szCs w:val="24"/>
              </w:rPr>
              <m:t>4</m:t>
            </m:r>
          </m:sub>
          <m:sup>
            <m:r>
              <w:rPr>
                <w:rFonts w:ascii="Cambria Math" w:eastAsia="Cambria Math" w:hAnsi="Cambria Math" w:cs="Cambria Math"/>
                <w:szCs w:val="24"/>
              </w:rPr>
              <m:t>3-</m:t>
            </m:r>
          </m:sup>
        </m:sSubSup>
        <w:sdt>
          <w:sdtPr>
            <w:rPr>
              <w:rFonts w:ascii="Cambria Math" w:hAnsi="Cambria Math"/>
            </w:rPr>
            <w:tag w:val="goog_rdk_1564"/>
            <w:id w:val="169836695"/>
          </w:sdtPr>
          <w:sdtEndPr/>
          <w:sdtContent>
            <m:r>
              <w:rPr>
                <w:rFonts w:ascii="Cambria Math" w:eastAsia="Cambria Math" w:hAnsi="Cambria Math" w:cs="Cambria Math"/>
                <w:szCs w:val="24"/>
              </w:rPr>
              <m:t>)</m:t>
            </m:r>
          </w:sdtContent>
        </w:sdt>
      </m:oMath>
      <w:r w:rsidRPr="00216965">
        <w:t xml:space="preserve"> bending were more pronounced after Zn sorption. These shifts in the spectrum suggest the formation of Si complexes or Si mineral precipitates and phosphate precipitates with the trace element species calculated to be the dominant ones (Cd</w:t>
      </w:r>
      <w:r w:rsidRPr="00216965">
        <w:rPr>
          <w:vertAlign w:val="superscript"/>
        </w:rPr>
        <w:t>2+</w:t>
      </w:r>
      <w:r w:rsidRPr="00216965">
        <w:t>, Pb</w:t>
      </w:r>
      <w:r w:rsidRPr="00216965">
        <w:rPr>
          <w:vertAlign w:val="superscript"/>
        </w:rPr>
        <w:t>2+</w:t>
      </w:r>
      <w:r w:rsidRPr="00216965">
        <w:t xml:space="preserve"> and Zn</w:t>
      </w:r>
      <w:r w:rsidRPr="00216965">
        <w:rPr>
          <w:vertAlign w:val="superscript"/>
        </w:rPr>
        <w:t>2+</w:t>
      </w:r>
      <w:r w:rsidRPr="00216965">
        <w:t xml:space="preserve">). </w:t>
      </w:r>
    </w:p>
    <w:p w14:paraId="37546BEB" w14:textId="28ED0805" w:rsidR="005563EE" w:rsidRPr="00216965" w:rsidRDefault="005563EE" w:rsidP="008A33DA">
      <w:pPr>
        <w:spacing w:line="360" w:lineRule="auto"/>
        <w:jc w:val="both"/>
      </w:pPr>
      <w:r w:rsidRPr="00216965">
        <w:t>Changes of intensity and displacement of bands between 600 and 900 cm</w:t>
      </w:r>
      <w:r w:rsidRPr="00216965">
        <w:rPr>
          <w:vertAlign w:val="superscript"/>
        </w:rPr>
        <w:t>-1</w:t>
      </w:r>
      <w:r w:rsidRPr="00216965">
        <w:t xml:space="preserve"> were attributed to bending vibrations (CH) of aromatic groups. For instance, a band at 680 cm</w:t>
      </w:r>
      <w:r w:rsidRPr="00216965">
        <w:rPr>
          <w:vertAlign w:val="superscript"/>
        </w:rPr>
        <w:t>-1</w:t>
      </w:r>
      <w:r w:rsidRPr="00216965">
        <w:t xml:space="preserve"> (CH deformation) appeared in the spectra of biochars OSR550, WSP550 and MSP550 after Pb exposure, </w:t>
      </w:r>
      <w:r w:rsidRPr="00216965">
        <w:lastRenderedPageBreak/>
        <w:t>suggesting an important role in the sorption of this HM. Bands at 750, 780 and 870 cm</w:t>
      </w:r>
      <w:r w:rsidRPr="00216965">
        <w:rPr>
          <w:vertAlign w:val="superscript"/>
        </w:rPr>
        <w:t>-1</w:t>
      </w:r>
      <w:r w:rsidRPr="00216965">
        <w:t xml:space="preserve"> (CH bending) showed changes in intensity after exposure to all trace elements tested.</w:t>
      </w:r>
    </w:p>
    <w:p w14:paraId="3CBCEE1D" w14:textId="77777777" w:rsidR="005563EE" w:rsidRPr="00216965" w:rsidRDefault="005563EE" w:rsidP="008A33DA">
      <w:pPr>
        <w:spacing w:after="0" w:line="480" w:lineRule="auto"/>
        <w:ind w:right="1558"/>
      </w:pPr>
      <w:r w:rsidRPr="00216965">
        <w:rPr>
          <w:noProof/>
        </w:rPr>
        <w:drawing>
          <wp:inline distT="0" distB="0" distL="0" distR="0" wp14:anchorId="462848BD" wp14:editId="127B4A9D">
            <wp:extent cx="5588000" cy="3823680"/>
            <wp:effectExtent l="0" t="0" r="0" b="5715"/>
            <wp:docPr id="10" name="Picture 1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1291" cy="3825932"/>
                    </a:xfrm>
                    <a:prstGeom prst="rect">
                      <a:avLst/>
                    </a:prstGeom>
                    <a:noFill/>
                    <a:ln>
                      <a:noFill/>
                    </a:ln>
                  </pic:spPr>
                </pic:pic>
              </a:graphicData>
            </a:graphic>
          </wp:inline>
        </w:drawing>
      </w:r>
    </w:p>
    <w:p w14:paraId="37079CE9" w14:textId="798F0706" w:rsidR="005563EE" w:rsidRPr="00216965" w:rsidRDefault="005563EE" w:rsidP="008A33DA">
      <w:pPr>
        <w:pStyle w:val="Caption"/>
        <w:jc w:val="both"/>
        <w:rPr>
          <w:rFonts w:cs="Times New Roman"/>
          <w:szCs w:val="24"/>
        </w:rPr>
      </w:pPr>
      <w:bookmarkStart w:id="161" w:name="_Ref86333167"/>
      <w:bookmarkStart w:id="162" w:name="_Toc86439356"/>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5</w:t>
      </w:r>
      <w:r w:rsidR="00BF3EBE" w:rsidRPr="00216965">
        <w:rPr>
          <w:rFonts w:cs="Times New Roman"/>
          <w:b/>
          <w:bCs w:val="0"/>
          <w:szCs w:val="24"/>
        </w:rPr>
        <w:fldChar w:fldCharType="end"/>
      </w:r>
      <w:bookmarkEnd w:id="161"/>
      <w:r w:rsidRPr="00216965">
        <w:rPr>
          <w:rFonts w:cs="Times New Roman"/>
          <w:szCs w:val="24"/>
        </w:rPr>
        <w:t xml:space="preserve"> </w:t>
      </w:r>
      <w:r w:rsidRPr="00216965">
        <w:rPr>
          <w:rFonts w:cs="Times New Roman"/>
          <w:b/>
          <w:bCs w:val="0"/>
          <w:szCs w:val="24"/>
        </w:rPr>
        <w:t>ATR-FTIR normalized spectra of biochars before and after sorption of Cd, Pb and Zn.</w:t>
      </w:r>
      <w:r w:rsidRPr="00216965">
        <w:rPr>
          <w:rFonts w:cs="Times New Roman"/>
          <w:szCs w:val="24"/>
        </w:rPr>
        <w:t xml:space="preserve"> A) biochar OSR700, B) OSR550, C) WSP550, D) SWP550, E) MSP550.</w:t>
      </w:r>
      <w:bookmarkEnd w:id="162"/>
    </w:p>
    <w:p w14:paraId="3A1B7056" w14:textId="29FA6870" w:rsidR="005563EE" w:rsidRPr="00216965" w:rsidRDefault="005563EE" w:rsidP="008A33DA">
      <w:pPr>
        <w:spacing w:line="360" w:lineRule="auto"/>
        <w:jc w:val="both"/>
      </w:pPr>
      <w:r w:rsidRPr="00216965">
        <w:t xml:space="preserve">The aromatic structure of biochar surfaces may have promoted HM sorption via cation ̶ π bonding mechanisms, since aromatic structures have a pool of π electrons which can be donated to metal ions, thereby creating such interactions </w:t>
      </w:r>
      <w:r w:rsidRPr="00216965">
        <w:rPr>
          <w:rFonts w:cs="Times New Roman"/>
          <w:bCs/>
          <w:szCs w:val="24"/>
        </w:rPr>
        <w:fldChar w:fldCharType="begin" w:fldLock="1"/>
      </w:r>
      <w:r w:rsidR="006C06AA" w:rsidRPr="00216965">
        <w:rPr>
          <w:rFonts w:cs="Times New Roman"/>
          <w:bCs/>
          <w:szCs w:val="24"/>
        </w:rPr>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soil","type":"article-journal","volume":"39"},"uris":["http://www.mendeley.com/documents/?uuid=11a55112-223f-38f1-b45d-89e3281424c5"]}],"mendeley":{"formattedCitation":"(Bandara et al., 2017)","plainTextFormattedCitation":"(Bandara et al., 2017)","previouslyFormattedCitation":"(Bandara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(Bandara et al., 2017)</w:t>
      </w:r>
      <w:r w:rsidRPr="00216965">
        <w:rPr>
          <w:rFonts w:cs="Times New Roman"/>
          <w:bCs/>
          <w:szCs w:val="24"/>
        </w:rPr>
        <w:fldChar w:fldCharType="end"/>
      </w:r>
      <w:r w:rsidRPr="00216965">
        <w:t xml:space="preserve">. An abundance of lone-pair electrons is known to be associated with the “graphene-like” domains of plant-derived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{"citationItems":[{"id":"ITEM-1","itemData":{"DOI":"10.1021/es104401h","abstract":"b S Supporting Information ' INTRODUCTION The role of black carbon (BC) materials in biogeochemical cycles has received significant attention in recent years. 1À4 In addition to their ubiquity and long-term stability in the environment , much of the attention on black carbon materials is attributable to their physicochemical diversity. Hence, despite a general consensus that BC materials can be divided into two major categories (char/charcoal and soot), it is widely recognized that significant heterogeneity exists within categories. 5À7 For plant-derived biochars (char/charcoal formed via incomplete combustion of plant biomass) physicochemical heterogeneity is driven by the degree of thermal alteration À as controlled by plant biomass chemistry and combustion conditions. 5À9 Plant-derived biochars with different degrees of thermal alteration exhibit significantly different bulk and surface properties. 1,4À7 Systematic evaluations of how variations in the bulk and surface properties of plant-derived biochars influence their sorptive characteristics with respect to organic contaminants have been done. 1,4 For example, Chen et al. 1 found that pine-needle biochars exhibit transitional sorptive behavior toward naphthalene, nitrobenzene, and m-nitrobenzene depending on biochar aromaticity, porosity, and surface area. Recent studies show that plant-derived biochars also have the ability to adsorb environmentally significant ionic species, such as heavy metals. 2,3 However, a systematic understanding of how surface and bulk chemistry of plant-derived biochar influences biochar-metal interaction is still needed. The reality is that research on the sorption of ionic species, including heavy metals, to plant-derived biochars is still in its infancy. 2 In contrast, sorption of heavy metals onto other carbonized materials (e.g., activated carbons) has been widely studied. 10À13 Despite significant physicochemical differences between plant-derived bio-chars and other carbonized materials, 7,14 useful insights can be ABSTRACT: Plant-derived biochars exhibit large physicochemical hetero-geneity due to variations in biomass chemistry and combustion conditions. However, the influence of biochar heterogeneity on biochar-metal interaction mechanisms has not been systematically described. We used flow adsorption microcalorimetry to study structure-sorption relationships between twelve plant-derived biochars and two metals (K þ and Cd 2þ) of different Lewis acidity. Irrespe…","author":[{"dropping-particle":"","family":"Harvey","given":"Omar R","non-dropping-particle":"","parse-names":false,"suffix":""},{"dropping-particle":"","family":"Herbert","given":"Bruce E","non-dropping-particle":"","parse-names":false,"suffix":""},{"dropping-particle":"","family":"Rhue","given":"Roy D","non-dropping-particle":"","parse-names":false,"suffix":""},{"dropping-particle":"","family":"Kuo","given":"Li-Jung","non-dropping-particle":"","parse-names":false,"suffix":""}],"container-title":"Environmental Science &amp; Technology","id":"ITEM-1","issued":{"date-parts":[["2011"]]},"page":"5550-5556","publisher":"UTC","title":"Metal interactions at the biochar-water interface: Energetics and structure-sorption relationships elucidated by flow adsorption microcalorimetry","type":"article-journal","volume":"45"},"uris":["http://www.mendeley.com/documents/?uuid=2c247f1a-4aa2-373f-ac7e-47e4d4ac6f29"]}],"mendeley":{"formattedCitation":"(Harvey et al., 2011)","plainTextFormattedCitation":"(Harvey et al., 2011)","previouslyFormattedCitation":"(Harvey et al., 2011)"},"properties":{"noteIndex":0},"schema":"https://github.com/citation-style-language/schema/raw/master/csl-citation.json"}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(Harvey et al., 2011)</w:t>
      </w:r>
      <w:r w:rsidRPr="00216965">
        <w:rPr>
          <w:rFonts w:cs="Times New Roman"/>
          <w:bCs/>
          <w:szCs w:val="24"/>
        </w:rPr>
        <w:fldChar w:fldCharType="end"/>
      </w:r>
      <w:r w:rsidRPr="00216965">
        <w:t xml:space="preserve">. Plant-derived biochars have been reported to immobilize Cd </w:t>
      </w:r>
      <w:r w:rsidRPr="00216965">
        <w:rPr>
          <w:rFonts w:cs="Times New Roman"/>
          <w:bCs/>
          <w:szCs w:val="24"/>
        </w:rPr>
        <w:fldChar w:fldCharType="begin" w:fldLock="1"/>
      </w:r>
      <w:r w:rsidR="006C06AA" w:rsidRPr="00216965">
        <w:rPr>
          <w:rFonts w:cs="Times New Roman"/>
          <w:bCs/>
          <w:szCs w:val="24"/>
        </w:rPr>
        <w:instrText>ADDIN CSL_CITATION {"citationItems":[{"id":"ITEM-1","itemData":{"DOI":"10.1021/es104401h","abstract":"b S Supporting Information ' INTRODUCTION The role of black carbon (BC) materials in biogeochemical cycles has received significant attention in recent years. 1À4 In addition to their ubiquity and long-term stability in the environment , much of the attention on black carbon materials is attributable to their physicochemical diversity. Hence, despite a general consensus that BC materials can be divided into two major categories (char/charcoal and soot), it is widely recognized that significant heterogeneity exists within categories. 5À7 For plant-derived biochars (char/charcoal formed via incomplete combustion of plant biomass) physicochemical heterogeneity is driven by the degree of thermal alteration À as controlled by plant biomass chemistry and combustion conditions. 5À9 Plant-derived biochars with different degrees of thermal alteration exhibit significantly different bulk and surface properties. 1,4À7 Systematic evaluations of how variations in the bulk and surface properties of plant-derived biochars influence their sorptive characteristics with respect to organic contaminants have been done. 1,4 For example, Chen et al. 1 found that pine-needle biochars exhibit transitional sorptive behavior toward naphthalene, nitrobenzene, and m-nitrobenzene depending on biochar aromaticity, porosity, and surface area. Recent studies show that plant-derived biochars also have the ability to adsorb environmentally significant ionic species, such as heavy metals. 2,3 However, a systematic understanding of how surface and bulk chemistry of plant-derived biochar influences biochar-metal interaction is still needed. The reality is that research on the sorption of ionic species, including heavy metals, to plant-derived biochars is still in its infancy. 2 In contrast, sorption of heavy metals onto other carbonized materials (e.g., activated carbons) has been widely studied. 10À13 Despite significant physicochemical differences between plant-derived bio-chars and other carbonized materials, 7,14 useful insights can be ABSTRACT: Plant-derived biochars exhibit large physicochemical hetero-geneity due to variations in biomass chemistry and combustion conditions. However, the influence of biochar heterogeneity on biochar-metal interaction mechanisms has not been systematically described. We used flow adsorption microcalorimetry to study structure-sorption relationships between twelve plant-derived biochars and two metals (K þ and Cd 2þ) of different Lewis acidity. Irrespe…","author":[{"dropping-particle":"","family":"Harvey","given":"Omar R","non-dropping-particle":"","parse-names":false,"suffix":""},{"dropping-particle":"","family":"Herbert","given":"Bruce E","non-dropping-particle":"","parse-names":false,"suffix":""},{"dropping-particle":"","family":"Rhue","given":"Roy D","non-dropping-particle":"","parse-names":false,"suffix":""},{"dropping-particle":"","family":"Kuo","given":"Li-Jung","non-dropping-particle":"","parse-names":false,"suffix":""}],"container-title":"Environmental Science &amp; Technology","id":"ITEM-1","issued":{"date-parts":[["2011"]]},"page":"5550-5556","publisher":"UTC","title":"Metal interactions at the biochar-water interface: Energetics and structure-sorption relationships elucidated by flow adsorption microcalorimetry","type":"article-journal","volume":"45"},"uris":["http://www.mendeley.com/documents/?uuid=2c247f1a-4aa2-373f-ac7e-47e4d4ac6f29"]},{"id":"ITEM-2","itemData":{"DOI":"10.1016/j.scitotenv.2016.03.248","ISSN":"18791026","PMID":"27107650","abstract":"The objective of this study was to investigate the mechanisms of cadmium (Cd) sorption on biochars produced at different temperature (300-600 ??C) and their quantitative contribution. The sorption isotherms and kinetics of Cd2+ sorption on biochars were determined and fitted to different models. The Cd2+ sorption data could be well described by a simple Langmuir model, and the pseudo second order kinetic model best fitted the kinetic data. The maximum sorption capacity (Qm) obtained from the Langmuir model for CIB500 was 188.8 mg g-1, which was greater than that of biochars produced at other temperature. Precipitation with minerals, ion exchange, complexation with surface oxygen-containing functional groups, and coordination with ?? electrons were the possible mechanisms of Cd2+ sorption on the biochars. The contribution of each mechanism varied with the pyrolysis temperature. With increasing pyrolysis temperature, the contribution of surface complexation and metal ion exchange decreased from 24.5% and 43.3% to 0.7% and 4.7%, while the contribution of precipitation and Cd2+-?? interaction significantly increased from 29.7% and 2.5% to 89.5% and 5.1%, respectively. Overall, the precipitation with minerals and metal ion exchange dominated Cd2+ sorption on the biochars (accounted for 73.0-94.1%), and precipitation with minerals was the primary mechanism of Cd2+ sorption on the high-temperature biochars (???500 ??C) (accounted for 86.1-89.5%).","author":[{"dropping-particle":"","family":"Cui","given":"Xiaoqiang","non-dropping-particle":"","parse-names":false,"suffix":""},{"dropping-particle":"","family":"Fang","given":"Siyu","non-dropping-particle":"","parse-names":false,"suffix":""},{"dropping-particle":"","family":"Yao","given":"Yiqiang","non-dropping-particle":"","parse-names":false,"suffix":""},{"dropping-particle":"","family":"Li","given":"Tingqiang","non-dropping-particle":"","parse-names":false,"suffix":""},{"dropping-particle":"","family":"Ni","given":"Qijun","non-dropping-particle":"","parse-names":false,"suffix":""},{"dropping-particle":"","family":"Yang","given":"Xiaoe","non-dropping-particle":"","parse-names":false,"suffix":""},{"dropping-particle":"","family":"He","given":"Zhenli","non-dropping-particle":"","parse-names":false,"suffix":""}],"container-title":"Science of the Total Environment","id":"ITEM-2","issued":{"date-parts":[["2016"]]},"page":"517-525","publisher":"Elsevier B.V.","title":"Potential mechanisms of cadmium removal from aqueous solution by Canna indica derived biochar","type":"article-journal","volume":"562"},"uris":["http://www.mendeley.com/documents/?uuid=d3efb4f3-b7dc-4108-a215-ee039b894871"]}],"mendeley":{"formattedCitation":"(Cui et al., 2016a; Harvey et al., 2011)","plainTextFormattedCitation":"(Cui et al., 2016a; Harvey et al., 2011)","previouslyFormattedCitation":"(Cui et al., 2016a; Harvey et al., 2011)"},"properties":{"noteIndex":0},"schema":"https://github.com/citation-style-language/schema/raw/master/csl-citation.json"}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lang w:val="fr-FR"/>
        </w:rPr>
        <w:t>(Cui et al., 2016a; Harvey et al., 2011)</w:t>
      </w:r>
      <w:r w:rsidRPr="00216965">
        <w:rPr>
          <w:rFonts w:cs="Times New Roman"/>
          <w:bCs/>
          <w:szCs w:val="24"/>
        </w:rPr>
        <w:fldChar w:fldCharType="end"/>
      </w:r>
      <w:r w:rsidRPr="00216965">
        <w:rPr>
          <w:lang w:val="fr-FR"/>
        </w:rPr>
        <w:t xml:space="preserve">, Pb </w:t>
      </w:r>
      <w:r w:rsidRPr="00216965">
        <w:rPr>
          <w:rFonts w:cs="Times New Roman"/>
          <w:bCs/>
          <w:szCs w:val="24"/>
        </w:rPr>
        <w:fldChar w:fldCharType="begin" w:fldLock="1"/>
      </w:r>
      <w:r w:rsidR="006C06AA" w:rsidRPr="00216965">
        <w:rPr>
          <w:rFonts w:cs="Times New Roman"/>
          <w:bCs/>
          <w:szCs w:val="24"/>
          <w:lang w:val="fr-FR"/>
        </w:rPr>
        <w:instrText>ADDIN CSL_CITATION {"citationItems":[{"id":"ITEM-1","itemData":{"DOI":"10.1016/j.biortech.2014.11.077","ISSN":"18732976","abstract":"The objective of this study was to investigate the relationship between Pb2+ adsorption and physicochemical properties of biochars produced at different pyrolytic temperatures. Ten biochars were prepared from peanut shell (PS) and Chinese medicine material residue (MR) at 300-600°C. Adsorption kinetics and isotherms were determined, and the untreated and Pb2+-loaded biochars were analyzed by FTIR, SEM-EDX and XRD. Functional groups complexation, Pb2+-π interaction and precipitation with minerals jointly contributed to Pb2+ adsorption on these biochars. New mineral precipitates (e.g., Pb2(SO4)O and Pb4(CO3)2(SO4)(OH)2) formed during Pb2+ sorption. For high-temperature biochars (≥500°C), Pb2+ sorption via complexation reduced, but the contribution of Pb2+-π interaction was enhanced. Dramatic reduction of Pb2+ sorption on demineralized biochars indicated the dominant role of minerals. These results are useful for screening effective biochars as engineered sorbents to remove or immobilize Pb2+ in polluted water and soil.","author":[{"dropping-particle":"","family":"Wang","given":"Zhenyu","non-dropping-particle":"","parse-names":false,"suffix":""},{"dropping-particle":"","family":"Liu","given":"Guocheng","non-dropping-particle":"","parse-names":false,"suffix":""},{"dropping-particle":"","family":"Zheng","given":"Hao","non-dropping-particle":"","parse-names":false,"suffix":""},{"dropping-particle":"","family":"Li","given":"Fengmin","non-dropping-particle":"","parse-names":false,"suffix":""},{"dropping-particle":"","family":"Ngo","given":"Huu Hao","non-dropping-particle":"","parse-names":false,"suffix":""},{"dropping-particle":"","family":"Guo","given":"Wenshan","non-dropping-particle":"","parse-names":false,"suffix":""},{"dropping-particle":"","family":"Liu","given":"Cui","non-dropping-particle":"","parse-names":false,"suffix":""},{"dropping-particle":"","family":"Chen","given":"Lei","non-dropping-particle":"","parse-names":false,"suffix":""},{"dropping-particle":"","family":"Xing","given":"Baoshan","non-dropping-particle":"","parse-names":false,"suffix":""}],"container-title":"Bioresource Technology","id":"ITEM-1","issued":{"date-parts":[["2015","2","1"]]},"page":"308-317","publisher":"Elsevier Ltd","title":"Investigating the mechanisms of biochar’s removal of lead from solution","type":"article-journal","volume":"177"},"uris":["http://www.mendeley.com/documents/?uuid=a61e7b78-989f-349e-9f9a-c3fc86f603f6"]}],"mendeley":{"formattedCitation":"(Z. Wang et al., 2015)","plainTextFormattedCitation":"(Z. Wang et al., 2015)","previouslyFormattedCitation":"(Z. Wang et al., 2015)"},"properties":{"noteIndex":0},"schema":"https://github.com/citation-style-language/schema/raw/master/csl-citation.json"}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lang w:val="fr-FR"/>
        </w:rPr>
        <w:t>(Z. Wang et al., 2015)</w:t>
      </w:r>
      <w:r w:rsidRPr="00216965">
        <w:rPr>
          <w:rFonts w:cs="Times New Roman"/>
          <w:bCs/>
          <w:szCs w:val="24"/>
        </w:rPr>
        <w:fldChar w:fldCharType="end"/>
      </w:r>
      <w:r w:rsidRPr="00216965">
        <w:rPr>
          <w:lang w:val="fr-FR"/>
        </w:rPr>
        <w:t xml:space="preserve"> and Zn </w:t>
      </w:r>
      <w:r w:rsidRPr="00216965">
        <w:rPr>
          <w:rFonts w:cs="Times New Roman"/>
          <w:bCs/>
          <w:szCs w:val="24"/>
          <w:lang w:val="fr-FR"/>
        </w:rPr>
        <w:fldChar w:fldCharType="begin" w:fldLock="1"/>
      </w:r>
      <w:r w:rsidR="006C06AA" w:rsidRPr="00216965">
        <w:rPr>
          <w:rFonts w:cs="Times New Roman"/>
          <w:bCs/>
          <w:szCs w:val="24"/>
          <w:lang w:val="fr-FR"/>
        </w:rPr>
        <w:instrText xml:space="preserve">ADDIN CSL_CITATION {"citationItems":[{"id":"ITEM-1","itemData":{"DOI":"10.1007/s11356-012-0873-5","ISBN":"1135601208735","ISSN":"09441344","PMID":"22477163","abstract":"PURPOSE: Biochar derived from waste biomass is now gaining much attention for its function as a biosorbent for environmental remediation. The objective of this study was to determine the effectiveness of biochar as a sorbent in removing Cd, Cu, and Zn from aqueous solutions.\\n\\nMETHODS: Biochar was produced from dairy manure (DM) at two temperatures: 200 °C and 350 °C, referred to as DM200 and DM350, respectively. The obtained biochars were then equilibrated with 0-5 mM Cu, Zn or Cd in 0.01 M NaNO(3) solution for 10 h. The changes in solution metal concentrations after sorption were evaluated for sorption capacity using isotherm modeling and chemical speciation Visual MINTEQ modeling, while the solid was collected for species characterization using infrared spectroscopy and X-ray elemental dot mapping techniques.\\n\\nRESULTS: The isotherms of Cu, Zn, and Cd sorption by DM200 were better fitted to Langmuir model, whereas Freundlich model well described the sorption of the three metals by DM350. The DM350 were more effective in sorbing all three metals than DM200 with both biochars had the highest affinity for Cu, followed by Zn and Cd. The maximum sorption capacities of Cu, Zn, and Cd by DM200 were 48.4, 31.6, and 31.9 mg g(-1), respectively, and those of Cu, Zn, and Cd by DM350 were 54.4, 32.8, and 51.4 mg g(-1), respectively. Sorption of the metals by the biochar was mainly attributed to their precipitation with PO(4)(3-) or CO(3)(2-) originating in biochar, with less to the surface complexation through -OH groups or delocalized π electrons. At the initial metal concentration of 5 mM, 80-100 % of Cu, Zn, and Cd retention by DM200 resulted from the precipitation, with less than 20 % from surface adsorption through phenonic -OH complexation. Among the precipitation, 20-30 % of the precipitation occurred as metal phosphate and 70-80 % as metal carbonate. For DM350, 75-100 % of Cu, Zn, and Cd retention were due to the precipitation, with less than 25 % to surface adsorption through complexation of heavy metal by phenonic -OH site or delocalized π electrons. Among the precipitation, only less than 10 % of the precipitation was present as metal phosphate and more than 90 % as metal carbonate.\\n\\nCONCLUSIONS: Results indicated that dairy manure waste can be converted into value-added biochar as a </w:instrText>
      </w:r>
      <w:r w:rsidR="006C06AA" w:rsidRPr="00216965">
        <w:rPr>
          <w:rFonts w:cs="Times New Roman"/>
          <w:bCs/>
          <w:szCs w:val="24"/>
        </w:rPr>
        <w:instrText>sorbent for sorption of heavy metals, and the mineral components originated in the biochar play an important role in the biochar's high sorption capacity.","author":[{"dropping-particle":"","family":"Xu","given":"Xiaoyun","non-dropping-particle":"","parse-names":false,"suffix":""},{"dropping-particle":"","family":"Cao","given":"Xinde","non-dropping-particle":"","parse-names":false,"suffix":""},{"dropping-particle":"","family":"Zhao","given":"Ling","non-dropping-particle":"","parse-names":false,"suffix":""},{"dropping-particle":"","family":"Wang","given":"Hailong","non-dropping-particle":"","parse-names":false,"suffix":""},{"dropping-particle":"","family":"Yu","given":"Hongran","non-dropping-particle":"","parse-names":false,"suffix":""},{"dropping-particle":"","family":"Gao","given":"Bin","non-dropping-particle":"","parse-names":false,"suffix":""}],"container-title":"Environmental Science and Pollution Research","id":"ITEM-1","issue":"1","issued":{"date-parts":[["2013"]]},"page":"358-368","title":"Removal of Cu, Zn, and Cd from aqueous solutions by the dairy manure-derived biochar","type":"article-journal","volume":"20"},"uris":["http://www.mendeley.com/documents/?uuid=0c3f0b49-7112-445e-9233-2501ca907b14"]}],"mendeley":{"formattedCitation":"(Xu et al., 2013)","plainTextFormattedCitation":"(Xu et al., 2013)","previouslyFormattedCitation":"(Xu et al., 2013)"},"properties":{"noteIndex":0},"schema":"https://github.com/citation-style-language/schema/raw/master/csl-citation.json"}</w:instrText>
      </w:r>
      <w:r w:rsidRPr="00216965">
        <w:rPr>
          <w:rFonts w:cs="Times New Roman"/>
          <w:bCs/>
          <w:szCs w:val="24"/>
          <w:lang w:val="fr-FR"/>
        </w:rPr>
        <w:fldChar w:fldCharType="separate"/>
      </w:r>
      <w:r w:rsidR="00C83E62" w:rsidRPr="00216965">
        <w:rPr>
          <w:rFonts w:cs="Times New Roman"/>
          <w:bCs/>
          <w:noProof/>
          <w:szCs w:val="24"/>
        </w:rPr>
        <w:t>(Xu et al., 2013)</w:t>
      </w:r>
      <w:r w:rsidRPr="00216965">
        <w:rPr>
          <w:rFonts w:cs="Times New Roman"/>
          <w:bCs/>
          <w:szCs w:val="24"/>
          <w:lang w:val="fr-FR"/>
        </w:rPr>
        <w:fldChar w:fldCharType="end"/>
      </w:r>
      <w:r w:rsidRPr="00216965">
        <w:rPr>
          <w:rFonts w:cs="Times New Roman"/>
          <w:bCs/>
          <w:szCs w:val="24"/>
        </w:rPr>
        <w:t xml:space="preserve"> </w:t>
      </w:r>
      <w:r w:rsidRPr="00216965">
        <w:t xml:space="preserve">by cation-π bonding mechanisms. This cation- π interactions can be considered an electrostatic effect that involves non-covalent bonding between the quadrupole moment of the aromatic structure and the monopole of the cation, which allow aromatic systems to interact strongly with cations </w:t>
      </w:r>
      <w:sdt>
        <w:sdtPr>
          <w:tag w:val="goog_rdk_1632"/>
          <w:id w:val="83809892"/>
        </w:sdtPr>
        <w:sdtEndPr/>
        <w:sdtContent>
          <w:r w:rsidRPr="00216965">
            <w:rPr>
              <w:rFonts w:cs="Times New Roman"/>
              <w:bCs/>
              <w:szCs w:val="24"/>
            </w:rPr>
            <w:fldChar w:fldCharType="begin" w:fldLock="1"/>
          </w:r>
          <w:r w:rsidR="00F56BD7" w:rsidRPr="00216965">
            <w:rPr>
              <w:rFonts w:cs="Times New Roman"/>
              <w:bCs/>
              <w:szCs w:val="24"/>
            </w:rPr>
            <w:instrText>ADDIN CSL_CITATION {"citationItems":[{"id":"ITEM-1","itemData":{"DOI":"10.1126/science.271.5246.163","ISSN":"00368075","PMID":"8539615","abstract":"Cations bind to the π face of an aromatic structure through a surprisingly strong, non-covalent force termed the cation-π interaction. The magnitude and generality of the effect have been established by gas-phase measurements and by studies of model receptors in aqueous media. To first order, the interaction can be considered an electrostatic attraction between a positive charge and the quadrupole moment of the aromatic. A great deal of direct and circumstantial evidence indicates that cation-π interactions are important in a variety of proteins that bind cationic ligands or substrates. In this context, the amino acids phenylalanine (Phe), tyrosine (Tyr), and tryptophan (Trp) can be viewed as polar, yet hydrophobic, residues.","author":[{"dropping-particle":"","family":"Dougherty","given":"Dennis A.","non-dropping-particle":"","parse-names":false,"suffix":""}],"container-title":"Science","id":"ITEM-1","issue":"5246","issued":{"date-parts":[["1996"]]},"page":"163-168","title":"Cation-π interactions in chemistry and biology: A new view of benzene, Phe, Tyr, and Trp","type":"article-journal","volume":"271"},"uris":["http://www.mendeley.com/documents/?uuid=2f8f84ec-1373-4604-9a7c-21df6f1d6315"]}],"mendeley":{"formattedCitation":"(Dougherty, 1996)","plainTextFormattedCitation":"(Dougherty, 1996)","previouslyFormattedCitation":"(Dougherty, 1996)"},"properties":{"noteIndex":0},"schema":"https://github.com/citation-style-language/schema/raw/master/csl-citation.json"}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(Dougherty, 1996)</w:t>
          </w:r>
          <w:r w:rsidRPr="00216965">
            <w:rPr>
              <w:rFonts w:cs="Times New Roman"/>
              <w:bCs/>
              <w:szCs w:val="24"/>
            </w:rPr>
            <w:fldChar w:fldCharType="end"/>
          </w:r>
        </w:sdtContent>
      </w:sdt>
      <w:r w:rsidRPr="00216965">
        <w:t xml:space="preserve">. The proposed mechanism for cation-π bonding between biochar aromatic structures and the studied metals is represented in </w:t>
      </w:r>
      <w:r w:rsidRPr="00216965">
        <w:rPr>
          <w:b/>
          <w:bCs/>
        </w:rPr>
        <w:fldChar w:fldCharType="begin"/>
      </w:r>
      <w:r w:rsidRPr="00216965">
        <w:rPr>
          <w:b/>
          <w:bCs/>
        </w:rPr>
        <w:instrText xml:space="preserve"> REF _Ref86333308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6</w:t>
      </w:r>
      <w:r w:rsidRPr="00216965">
        <w:rPr>
          <w:b/>
          <w:bCs/>
        </w:rPr>
        <w:fldChar w:fldCharType="end"/>
      </w:r>
      <w:r w:rsidRPr="00216965">
        <w:t xml:space="preserve">.     </w:t>
      </w:r>
    </w:p>
    <w:p w14:paraId="49B156FA" w14:textId="5252174B" w:rsidR="005563EE" w:rsidRPr="00216965" w:rsidRDefault="005563EE" w:rsidP="008A33DA">
      <w:pPr>
        <w:spacing w:line="360" w:lineRule="auto"/>
        <w:jc w:val="both"/>
      </w:pPr>
      <w:r w:rsidRPr="00216965">
        <w:t>The vibrations involving the asymmetric stretching of the C ̶ O bond of aromatic secondary alcohols (phenyl  ̶ CHOH ̶) produced a strong band between 1000 to 1075 cm</w:t>
      </w:r>
      <w:r w:rsidRPr="00216965">
        <w:rPr>
          <w:vertAlign w:val="superscript"/>
        </w:rPr>
        <w:t>-1</w:t>
      </w:r>
      <w:r w:rsidRPr="00216965">
        <w:t xml:space="preserve">. In OSR700 this band was absent, which is consistent with a higher pyrolysis temperature for this biochar. </w:t>
      </w:r>
      <w:r w:rsidRPr="00216965">
        <w:lastRenderedPageBreak/>
        <w:t>The loss of the 1030 cm</w:t>
      </w:r>
      <w:r w:rsidRPr="00216965">
        <w:rPr>
          <w:vertAlign w:val="superscript"/>
        </w:rPr>
        <w:t>−1</w:t>
      </w:r>
      <w:r w:rsidRPr="00216965">
        <w:t xml:space="preserve">peak has been associated with higher production temperatures due to dehydration, decarbonylation, and decarboxylation reactions </w:t>
      </w:r>
      <w:r w:rsidRPr="00216965">
        <w:rPr>
          <w:rFonts w:cs="Times New Roman"/>
          <w:bCs/>
          <w:szCs w:val="24"/>
        </w:rPr>
        <w:fldChar w:fldCharType="begin" w:fldLock="1"/>
      </w:r>
      <w:r w:rsidR="006C06AA" w:rsidRPr="00216965">
        <w:rPr>
          <w:rFonts w:cs="Times New Roman"/>
          <w:bCs/>
          <w:szCs w:val="24"/>
        </w:rPr>
        <w:instrText>ADDIN CSL_CITATION {"citationItems":[{"id":"ITEM-1","itemData":{"DOI":"10.1021/jf104206c","abstract":"While a large-scale soil amendment of biochars continues to receive interest for enhancing crop yields and to remediate contaminated sites, systematic study is lacking in how biochar properties translate into purported functions such as heavy metal sequestration. In this study, cottonseed hulls were pyrolyzed at five temperatures (200, 350, 500, 650, and 800 °C) and characterized for the yield, moisture, ash, volatile matter, and fixed carbon contents, elemental composition (CHNSO), BET surface area, pH, pH pzc , and by ATR-FTIR. The characterization results were compared with the literature values for additional source materials: grass, wood, pine needle, and broiler litter-derived biochars with and without post-treatments. At respective pyrolysis temperatures, cottonseed hull chars had ash content in between grass and wood chars, and significantly lower BET surface area in comparison to other plant source materials considered. The N:C ratio reached a maximum between 300 and 400 °C for all biomass sources considered, while the following trend in N:C ratio was maintained at each pyrolysis temperature: wood , cottonseed hull ≈ grass ≈ pine needle , broiler litter. To examine how biochar properties translate into its function as a heavy metal (Ni II , Cu II , Pb II , and Cd II) sorbent, a soil amendment study was conducted for acidic sandy loam Norfolk soil previously shown to have low heavy metal retention capacity. The results suggest that the properties attributable to the surface functional groups of biochars (volatile matter and oxygen contents and pH pzc) control the heavy metal sequestration ability in Norfolk soil, and biochar selection for soil amendment must be made case-by-case based on the biochar characteristics, soil property, and the target function.","author":[{"dropping-particle":"","family":"Uchimiya","given":"Minori","non-dropping-particle":"","parse-names":false,"suffix":""},{"dropping-particle":"","family":"Wartelle","given":"Lynda H","non-dropping-particle":"","parse-names":false,"suffix":""},{"dropping-particle":"","family":"Klasson","given":"K Thomas","non-dropping-particle":"","parse-names":false,"suffix":""},{"dropping-particle":"","family":"Fortier","given":"Chanel A","non-dropping-particle":"","parse-names":false,"suffix":""},{"dropping-particle":"","family":"Lima","given":"Isabel M","non-dropping-particle":"","parse-names":false,"suffix":""}],"container-title":"Journal of Agricultural and Food Chemistry","id":"ITEM-1","issued":{"date-parts":[["2011"]]},"page":"2501-2510","title":"Influence of pyrolysis temperature on biochar property and function as a heavy metal sorbent in soil","type":"article-journal","volume":"59"},"uris":["http://www.mendeley.com/documents/?uuid=505f2a1e-0306-3c7b-9d91-7ea9792fd635"]},{"id":"ITEM-2","itemData":{"DOI":"10.1016/j.fuel.2006.12.013","ISSN":"00162361","abstract":"The pyrolysis characteristics of three main components (hemicellulose, cellulose and lignin) of biomass were investigated using, respectively, a thermogravimetric analyzer (TGA) with differential scanning calorimetry (DSC) detector and a pack bed. The releasing of main gas products from biomass pyrolysis in TGA was on-line measured using Fourier transform infrared (FTIR) spectroscopy. In thermal analysis, the pyrolysis of hemicellulose and cellulose occurred quickly, with the weight loss of hemicellulose mainly happened at 220-315 °C and that of cellulose at 315-400 °C. However, lignin was more difficult to decompose, as its weight loss happened in a wide temperature range (from 160 to 900 °C) and the generated solid residue was very high (</w:instrText>
      </w:r>
      <w:r w:rsidR="006C06AA" w:rsidRPr="00216965">
        <w:rPr>
          <w:rFonts w:ascii="Cambria Math" w:hAnsi="Cambria Math" w:cs="Cambria Math"/>
          <w:bCs/>
          <w:szCs w:val="24"/>
        </w:rPr>
        <w:instrText>∼</w:instrText>
      </w:r>
      <w:r w:rsidR="006C06AA" w:rsidRPr="00216965">
        <w:rPr>
          <w:rFonts w:cs="Times New Roman"/>
          <w:bCs/>
          <w:szCs w:val="24"/>
        </w:rPr>
        <w:instrText>40 wt.%). From the viewpoint of energy consumption in the course of pyrolysis, cellulose behaved differently from hemicellulose and lignin; the pyrolysis of the former was endothermic while that of the latter was exothermic. The main gas products from pyrolyzing the three components were similar, including CO2, CO, CH4 and some organics. The releasing behaviors of H2 and the total gas yield were measured using Micro-GC when pyrolyzing the three components in a packed bed. It was observed that hemicellulose had higher CO2 yield, cellulose generated higher CO yield, and lignin owned higher H2 and CH4 yield. A better understanding to the gas products releasing from biomass pyrolysis could be achieved based on this in-depth investigation on three main biomass components. © 2006 Elsevier Ltd. All rights reserved.","author":[{"dropping-particle":"","family":"Yang","given":"Haiping","non-dropping-particle":"","parse-names":false,"suffix":""},{"dropping-particle":"","family":"Yan","given":"Rong","non-dropping-particle":"","parse-names":false,"suffix":""},{"dropping-particle":"","family":"Chen","given":"Hanping","non-dropping-particle":"","parse-names":false,"suffix":""},{"dropping-particle":"","family":"Lee","given":"Dong Ho","non-dropping-particle":"","parse-names":false,"suffix":""},{"dropping-particle":"","family":"Zheng","given":"Chuguang","non-dropping-particle":"","parse-names":false,"suffix":""}],"container-title":"Fuel","id":"ITEM-2","issue":"12-13","issued":{"date-parts":[["2007"]]},"page":"1781-1788","title":"Characteristics of hemicellulose, cellulose and lignin pyrolysis","type":"article-journal","volume":"86"},"uris":["http://www.mendeley.com/documents/?uuid=da0e4afa-92ee-4cb3-b7bd-c1f790af17e0"]}],"mendeley":{"formattedCitation":"(Uchimiya et al., 2011; Yang et al., 2007)","plainTextFormattedCitation":"(Uchimiya et al., 2011; Yang et al., 2007)","previouslyFormattedCitation":"(Uchimiya et al., 2011; Yang et al., 2007)"},"properties":{"noteIndex":0},"schema":"https://github.com/citation-style-language/schema/raw/master/csl-citation.json"}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(Uchimiya et al., 2011; Yang et al., 2007)</w:t>
      </w:r>
      <w:r w:rsidRPr="00216965">
        <w:rPr>
          <w:rFonts w:cs="Times New Roman"/>
          <w:bCs/>
          <w:szCs w:val="24"/>
        </w:rPr>
        <w:fldChar w:fldCharType="end"/>
      </w:r>
      <w:r w:rsidRPr="00216965">
        <w:t xml:space="preserve">. The band was also absent in the spectra of the wood derived biochar SWP550. This was associated with the feedstock type; as presented by </w:t>
      </w:r>
      <w:r w:rsidRPr="00216965">
        <w:rPr>
          <w:rFonts w:cs="Times New Roman"/>
          <w:bCs/>
          <w:szCs w:val="24"/>
        </w:rPr>
        <w:fldChar w:fldCharType="begin" w:fldLock="1"/>
      </w:r>
      <w:r w:rsidR="006C06AA" w:rsidRPr="00216965">
        <w:rPr>
          <w:rFonts w:cs="Times New Roman"/>
          <w:bCs/>
          <w:szCs w:val="24"/>
        </w:rPr>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benefits","type":"article-journal","volume":"12"},"uris":["http://www.mendeley.com/documents/?uuid=ca76da3f-ee2b-3484-b359-2d2ed0c558ad"]}],"mendeley":{"formattedCitation":"(Domingues et al., 2017)","manualFormatting":"Domingues et al. (2017)","plainTextFormattedCitation":"(Domingues et al., 2017)","previouslyFormattedCitation":"(Domingues et al., 2017)"},"properties":{"noteIndex":0},"schema":"https://github.com/citation-style-language/schema/raw/master/csl-citation.json"}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Domingues </w:t>
      </w:r>
      <w:r w:rsidR="009B2252" w:rsidRPr="00216965">
        <w:rPr>
          <w:rFonts w:cs="Times New Roman"/>
          <w:bCs/>
          <w:iCs/>
          <w:noProof/>
          <w:szCs w:val="24"/>
        </w:rPr>
        <w:t>et al</w:t>
      </w:r>
      <w:r w:rsidRPr="00216965">
        <w:rPr>
          <w:rFonts w:cs="Times New Roman"/>
          <w:bCs/>
          <w:noProof/>
          <w:szCs w:val="24"/>
        </w:rPr>
        <w:t>. (2017)</w:t>
      </w:r>
      <w:r w:rsidRPr="00216965">
        <w:rPr>
          <w:rFonts w:cs="Times New Roman"/>
          <w:bCs/>
          <w:szCs w:val="24"/>
        </w:rPr>
        <w:fldChar w:fldCharType="end"/>
      </w:r>
      <w:r w:rsidRPr="00216965">
        <w:t xml:space="preserve"> the spectrum of lignocellulosic biochars were characterized by a weak peak or the complete absence of a band in this position. For the other biochars shifts in the intensity of this band and displacements to the left were observed after exposure to all HMs. For biochar SWP550 a band between 1160-1200 cm</w:t>
      </w:r>
      <w:r w:rsidRPr="00216965">
        <w:rPr>
          <w:vertAlign w:val="superscript"/>
        </w:rPr>
        <w:t>-1</w:t>
      </w:r>
      <w:r w:rsidRPr="00216965">
        <w:t xml:space="preserve"> associated with C ̶ O ̶ C stretching of pyranose ring structures </w:t>
      </w:r>
      <w:r w:rsidRPr="00216965">
        <w:rPr>
          <w:rFonts w:cs="Times New Roman"/>
          <w:szCs w:val="20"/>
        </w:rPr>
        <w:fldChar w:fldCharType="begin" w:fldLock="1"/>
      </w:r>
      <w:r w:rsidR="006C06AA" w:rsidRPr="00216965">
        <w:rPr>
          <w:rFonts w:cs="Times New Roman"/>
          <w:szCs w:val="20"/>
        </w:rPr>
        <w:instrText>ADDIN CSL_CITATION {"citationItems":[{"id":"ITEM-1","itemData":{"DOI":"10.1016/j.fuel.2006.12.013","ISSN":"00162361","abstract":"The pyrolysis characteristics of three main components (hemicellulose, cellulose and lignin) of biomass were investigated using, respectively, a thermogravimetric analyzer (TGA) with differential scanning calorimetry (DSC) detector and a pack bed. The releasing of main gas products from biomass pyrolysis in TGA was on-line measured using Fourier transform infrared (FTIR) spectroscopy. In thermal analysis, the pyrolysis of hemicellulose and cellulose occurred quickly, with the weight loss of hemicellulose mainly happened at 220-315 °C and that of cellulose at 315-400 °C. However, lignin was more difficult to decompose, as its weight loss happened in a wide temperature range (from 160 to 900 °C) and the generated solid residue was very high (</w:instrText>
      </w:r>
      <w:r w:rsidR="006C06AA" w:rsidRPr="00216965">
        <w:rPr>
          <w:rFonts w:ascii="Cambria Math" w:hAnsi="Cambria Math" w:cs="Cambria Math"/>
          <w:szCs w:val="20"/>
        </w:rPr>
        <w:instrText>∼</w:instrText>
      </w:r>
      <w:r w:rsidR="006C06AA" w:rsidRPr="00216965">
        <w:rPr>
          <w:rFonts w:cs="Times New Roman"/>
          <w:szCs w:val="20"/>
        </w:rPr>
        <w:instrText>40 wt.%). From the viewpoint of energy consumption in the course of pyrolysis, cellulose behaved differently from hemicellulose and lignin; the pyrolysis of the former was endothermic while that of the latter was exothermic. The main gas products from pyrolyzing the three components were similar, including CO2, CO, CH4 and some organics. The releasing behaviors of H2 and the total gas yield were measured using Micro-GC when pyrolyzing the three components in a packed bed. It was observed that hemicellulose had higher CO2 yield, cellulose generated higher CO yield, and lignin owned higher H2 and CH4 yield. A better understanding to the gas products releasing from biomass pyrolysis could be achieved based on this in-depth investigation on three main biomass components. © 2006 Elsevier Ltd. All rights reserved.","author":[{"dropping-particle":"","family":"Yang","given":"Haiping","non-dropping-particle":"","parse-names":false,"suffix":""},{"dropping-particle":"","family":"Yan","given":"Rong","non-dropping-particle":"","parse-names":false,"suffix":""},{"dropping-particle":"","family":"Chen","given":"Hanping","non-dropping-particle":"","parse-names":false,"suffix":""},{"dropping-particle":"","family":"Lee","given":"Dong Ho","non-dropping-particle":"","parse-names":false,"suffix":""},{"dropping-particle":"","family":"Zheng","given":"Chuguang","non-dropping-particle":"","parse-names":false,"suffix":""}],"container-title":"Fuel","id":"ITEM-1","issue":"12-13","issued":{"date-parts":[["2007"]]},"page":"1781-1788","title":"Characteristics of hemicellulose, cellulose and lignin pyrolysis","type":"article-journal","volume":"86"},"uris":["http://www.mendeley.com/documents/?uuid=da0e4afa-92ee-4cb3-b7bd-c1f790af17e0"]},{"id":"ITEM-2","itemData":{"DOI":"10.1016/J.INDCROP.2017.11.005","ISSN":"0926-6690","abstract":"Fourier transform infrared (FTIR) spectroscopy, combined to principal components analysis (PCA), was applied in the classification of biomasses through the composition of their bio-oil. Bio-oils were produced through pyrolysis in a bed fixed reactor, using fifteen biomass sources available in Brazil and its characterization was made using gas chromatography coupled to mass spectrometric detector (GC/qMS). Around two hundred compounds were tentatively identified in the fifteen bio-oil samples. As expected, the chemical compositions in each bio-oil were distinct. Through the chromatographic information and PCA of the FTIR spectra it was possible observed the similarity and dissimilarity of biomasses according their bio-oil compositions. PCA revealed that FTIR spectra of biomasses fell into three different groups representing distinct bio-oil chemical compositions. The biomasses that belong to group 1 showed bio-oil compositions rich in carboxylic acids, the group 2 showed bio-oil compositions consisting predominantly of phenols and group 3 showed bio-oils with a significant amount of nitrogen compounds. Such clustering information allow exploring bio-oil quality prior to pyrolysis process.","author":[{"dropping-particle":"","family":"Lazzari","given":"Eliane","non-dropping-particle":"","parse-names":false,"suffix":""},{"dropping-particle":"","family":"Schena","given":"Tiago","non-dropping-particle":"","parse-names":false,"suffix":""},{"dropping-particle":"","family":"Marcelo","given":"Marcelo Caetano Alexandre","non-dropping-particle":"","parse-names":false,"suffix":""},{"dropping-particle":"","family":"Primaz","given":"Carmem Tatiane","non-dropping-particle":"","parse-names":false,"suffix":""},{"dropping-particle":"","family":"Silva","given":"Aline Nunes","non-dropping-particle":"","parse-names":false,"suffix":""},{"dropping-particle":"","family":"Ferrão","given":"Marco Flôres","non-dropping-particle":"","parse-names":false,"suffix":""},{"dropping-particle":"","family":"Bjerk","given":"Thiago","non-dropping-particle":"","parse-names":false,"suffix":""},{"dropping-particle":"","family":"Caramão","given":"Elina Bastos","non-dropping-particle":"","parse-names":false,"suffix":""}],"container-title":"Industrial Crops and Products","id":"ITEM-2","issued":{"date-parts":[["2018","1","1"]]},"note":"FTIR bands functional groups","page":"856-864","publisher":"Elsevier","title":"Classification of biomass through their pyrolytic bio-oil composition using FTIR and PCA analysis","type":"article-journal","volume":"111"},"uris":["http://www.mendeley.com/documents/?uuid=c093ec19-c63c-3778-89a3-3665d5dcf448"]}],"mendeley":{"formattedCitation":"(Lazzari et al., 2018; Yang et al., 2007)","plainTextFormattedCitation":"(Lazzari et al., 2018; Yang et al., 2007)","previouslyFormattedCitation":"(Lazzari et al., 2018; Yang et al., 2007)"},"properties":{"noteIndex":0},"schema":"https://github.com/citation-style-language/schema/raw/master/csl-citation.json"}</w:instrText>
      </w:r>
      <w:r w:rsidRPr="00216965">
        <w:rPr>
          <w:rFonts w:cs="Times New Roman"/>
          <w:szCs w:val="20"/>
        </w:rPr>
        <w:fldChar w:fldCharType="separate"/>
      </w:r>
      <w:r w:rsidR="001974AA" w:rsidRPr="00216965">
        <w:rPr>
          <w:rFonts w:cs="Times New Roman"/>
          <w:noProof/>
          <w:szCs w:val="20"/>
        </w:rPr>
        <w:t>(Lazzari et al., 2018; Yang et al., 2007)</w:t>
      </w:r>
      <w:r w:rsidRPr="00216965">
        <w:rPr>
          <w:rFonts w:cs="Times New Roman"/>
          <w:szCs w:val="20"/>
        </w:rPr>
        <w:fldChar w:fldCharType="end"/>
      </w:r>
      <w:r w:rsidRPr="00216965">
        <w:t xml:space="preserve"> increased in intensity after Cd sorption. </w:t>
      </w:r>
    </w:p>
    <w:p w14:paraId="33629674" w14:textId="77777777" w:rsidR="005563EE" w:rsidRPr="00216965" w:rsidRDefault="005563EE" w:rsidP="008A33DA">
      <w:pPr>
        <w:spacing w:line="480" w:lineRule="auto"/>
        <w:jc w:val="center"/>
      </w:pPr>
      <w:r w:rsidRPr="00216965">
        <w:rPr>
          <w:noProof/>
        </w:rPr>
        <w:drawing>
          <wp:inline distT="0" distB="0" distL="0" distR="0" wp14:anchorId="1EEA153F" wp14:editId="309310F2">
            <wp:extent cx="5559228" cy="4296391"/>
            <wp:effectExtent l="0" t="0" r="0" b="9525"/>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85185" cy="4316452"/>
                    </a:xfrm>
                    <a:prstGeom prst="rect">
                      <a:avLst/>
                    </a:prstGeom>
                    <a:noFill/>
                    <a:ln>
                      <a:noFill/>
                    </a:ln>
                  </pic:spPr>
                </pic:pic>
              </a:graphicData>
            </a:graphic>
          </wp:inline>
        </w:drawing>
      </w:r>
    </w:p>
    <w:p w14:paraId="6832AD9D" w14:textId="134E4D2E" w:rsidR="005563EE" w:rsidRPr="00216965" w:rsidRDefault="005563EE" w:rsidP="008A33DA">
      <w:pPr>
        <w:pStyle w:val="Caption"/>
        <w:jc w:val="both"/>
        <w:rPr>
          <w:rFonts w:cs="Times New Roman"/>
          <w:szCs w:val="24"/>
        </w:rPr>
      </w:pPr>
      <w:bookmarkStart w:id="163" w:name="_Ref86333308"/>
      <w:bookmarkStart w:id="164" w:name="_Toc86439357"/>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6</w:t>
      </w:r>
      <w:r w:rsidR="00BF3EBE" w:rsidRPr="00216965">
        <w:rPr>
          <w:rFonts w:cs="Times New Roman"/>
          <w:b/>
          <w:bCs w:val="0"/>
          <w:szCs w:val="24"/>
        </w:rPr>
        <w:fldChar w:fldCharType="end"/>
      </w:r>
      <w:bookmarkEnd w:id="163"/>
      <w:r w:rsidRPr="00216965">
        <w:rPr>
          <w:rFonts w:cs="Times New Roman"/>
          <w:szCs w:val="24"/>
        </w:rPr>
        <w:t xml:space="preserve"> </w:t>
      </w:r>
      <w:r w:rsidRPr="00216965">
        <w:rPr>
          <w:rFonts w:cs="Times New Roman"/>
          <w:b/>
          <w:bCs w:val="0"/>
          <w:szCs w:val="24"/>
        </w:rPr>
        <w:t>Biochar sorption mechanisms for Cd</w:t>
      </w:r>
      <w:r w:rsidRPr="00216965">
        <w:rPr>
          <w:rFonts w:cs="Times New Roman"/>
          <w:b/>
          <w:bCs w:val="0"/>
          <w:szCs w:val="24"/>
          <w:vertAlign w:val="superscript"/>
        </w:rPr>
        <w:t>2+</w:t>
      </w:r>
      <w:r w:rsidRPr="00216965">
        <w:rPr>
          <w:rFonts w:cs="Times New Roman"/>
          <w:b/>
          <w:bCs w:val="0"/>
          <w:szCs w:val="24"/>
        </w:rPr>
        <w:t>, Pb</w:t>
      </w:r>
      <w:r w:rsidRPr="00216965">
        <w:rPr>
          <w:rFonts w:cs="Times New Roman"/>
          <w:b/>
          <w:bCs w:val="0"/>
          <w:szCs w:val="24"/>
          <w:vertAlign w:val="superscript"/>
        </w:rPr>
        <w:t>2+</w:t>
      </w:r>
      <w:r w:rsidRPr="00216965">
        <w:rPr>
          <w:rFonts w:cs="Times New Roman"/>
          <w:b/>
          <w:bCs w:val="0"/>
          <w:szCs w:val="24"/>
        </w:rPr>
        <w:t xml:space="preserve"> or Zn</w:t>
      </w:r>
      <w:r w:rsidRPr="00216965">
        <w:rPr>
          <w:rFonts w:cs="Times New Roman"/>
          <w:b/>
          <w:bCs w:val="0"/>
          <w:szCs w:val="24"/>
          <w:vertAlign w:val="superscript"/>
        </w:rPr>
        <w:t>2+</w:t>
      </w:r>
      <w:r w:rsidRPr="00216965">
        <w:rPr>
          <w:rFonts w:cs="Times New Roman"/>
          <w:szCs w:val="24"/>
        </w:rPr>
        <w:t>. A) Cation ̶ π interaction, B) Carboxylic group acting as a chelating ligand, C) Carboxylic groups forming a complex with a divalent cation. Surface complexation mediated by cation exchange of D) monovalent cations K</w:t>
      </w:r>
      <w:r w:rsidRPr="00216965">
        <w:rPr>
          <w:rFonts w:cs="Times New Roman"/>
          <w:szCs w:val="24"/>
          <w:vertAlign w:val="superscript"/>
        </w:rPr>
        <w:t>+</w:t>
      </w:r>
      <w:r w:rsidRPr="00216965">
        <w:rPr>
          <w:rFonts w:cs="Times New Roman"/>
          <w:szCs w:val="24"/>
        </w:rPr>
        <w:t xml:space="preserve"> or Na</w:t>
      </w:r>
      <w:r w:rsidRPr="00216965">
        <w:rPr>
          <w:rFonts w:cs="Times New Roman"/>
          <w:szCs w:val="24"/>
          <w:vertAlign w:val="superscript"/>
        </w:rPr>
        <w:t>+</w:t>
      </w:r>
      <w:r w:rsidRPr="00216965">
        <w:rPr>
          <w:rFonts w:cs="Times New Roman"/>
          <w:szCs w:val="24"/>
        </w:rPr>
        <w:t xml:space="preserve"> and E) divalent cations Ca</w:t>
      </w:r>
      <w:r w:rsidRPr="00216965">
        <w:rPr>
          <w:rFonts w:cs="Times New Roman"/>
          <w:szCs w:val="24"/>
          <w:vertAlign w:val="superscript"/>
        </w:rPr>
        <w:t>2+</w:t>
      </w:r>
      <w:r w:rsidRPr="00216965">
        <w:rPr>
          <w:rFonts w:cs="Times New Roman"/>
          <w:szCs w:val="24"/>
        </w:rPr>
        <w:t xml:space="preserve"> or Mg</w:t>
      </w:r>
      <w:r w:rsidRPr="00216965">
        <w:rPr>
          <w:rFonts w:cs="Times New Roman"/>
          <w:szCs w:val="24"/>
          <w:vertAlign w:val="superscript"/>
        </w:rPr>
        <w:t>2+</w:t>
      </w:r>
      <w:r w:rsidRPr="00216965">
        <w:rPr>
          <w:rFonts w:cs="Times New Roman"/>
          <w:szCs w:val="24"/>
        </w:rPr>
        <w:t>.</w:t>
      </w:r>
      <w:bookmarkEnd w:id="164"/>
    </w:p>
    <w:p w14:paraId="1DC7F351" w14:textId="78CE0D43" w:rsidR="008574C0" w:rsidRPr="00216965" w:rsidRDefault="005563EE" w:rsidP="008A33DA">
      <w:pPr>
        <w:spacing w:line="360" w:lineRule="auto"/>
        <w:jc w:val="both"/>
      </w:pPr>
      <w:r w:rsidRPr="00216965">
        <w:t>The band at 1380-1420 cm</w:t>
      </w:r>
      <w:r w:rsidRPr="00216965">
        <w:rPr>
          <w:vertAlign w:val="superscript"/>
        </w:rPr>
        <w:t>-1</w:t>
      </w:r>
      <w:r w:rsidRPr="00216965">
        <w:t xml:space="preserve"> was associated with phenols in solid state, which typically absorb between 1330-1390 cm</w:t>
      </w:r>
      <w:r w:rsidRPr="00216965">
        <w:rPr>
          <w:vertAlign w:val="superscript"/>
        </w:rPr>
        <w:t>-1</w:t>
      </w:r>
      <w:r w:rsidRPr="00216965">
        <w:t xml:space="preserve"> due to interaction between OH deformation and C ̶ O stretch </w:t>
      </w:r>
      <w:r w:rsidRPr="00216965">
        <w:rPr>
          <w:rFonts w:cs="Times New Roman"/>
          <w:bCs/>
          <w:szCs w:val="24"/>
        </w:rPr>
        <w:fldChar w:fldCharType="begin" w:fldLock="1"/>
      </w:r>
      <w:r w:rsidR="006C06AA" w:rsidRPr="00216965">
        <w:rPr>
          <w:rFonts w:cs="Times New Roman"/>
          <w:bCs/>
          <w:szCs w:val="24"/>
        </w:rPr>
        <w:instrText>ADDIN CSL_CITATION {"citationItems":[{"id":"ITEM-1","itemData":{"ISBN":"0-12-182554-X","author":[{"dropping-particle":"","family":"Colthup","given":"Norman B.","non-dropping-particle":"","parse-names":false,"suffix":""},{"dropping-particle":"","family":"Daly","given":"Lawrence H.","non-dropping-particle":"","parse-names":false,"suffix":""},{"dropping-particle":"","family":"Wiberley","given":"Stephen E.","non-dropping-particle":"","parse-names":false,"suffix":""}],"edition":"Third","id":"ITEM-1","issued":{"date-parts":[["1990"]]},"number-of-pages":"355-398","publisher":"Academic Press, Inc","publisher-place":"San Diego, California","title":"Introduction to Infrared and Raman Spectroscopy","type":"book"},"uris":["http://www.mendeley.com/documents/?uuid=aeddaf97-1999-4496-8ab2-3fe4fb17dfe7"]}],"mendeley":{"formattedCitation":"(Colthup et al., 1990)","plainTextFormattedCitation":"(Colthup et al., 1990)","previouslyFormattedCitation":"(Colthup et al., 1990)"},"properties":{"noteIndex":0},"schema":"https://github.com/citation-style-language/schema/raw/master/csl-citation.json"}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(Colthup et al., 1990)</w:t>
      </w:r>
      <w:r w:rsidRPr="00216965">
        <w:rPr>
          <w:rFonts w:cs="Times New Roman"/>
          <w:bCs/>
          <w:szCs w:val="24"/>
        </w:rPr>
        <w:fldChar w:fldCharType="end"/>
      </w:r>
      <w:r w:rsidRPr="00216965">
        <w:t xml:space="preserve"> or to a or δ (C ̶ H) vibration in alkanes and alkyl groups </w:t>
      </w:r>
      <w:r w:rsidRPr="00216965">
        <w:rPr>
          <w:rFonts w:cs="Times New Roman"/>
          <w:szCs w:val="20"/>
        </w:rPr>
        <w:fldChar w:fldCharType="begin" w:fldLock="1"/>
      </w:r>
      <w:r w:rsidR="00F56BD7" w:rsidRPr="00216965">
        <w:rPr>
          <w:rFonts w:cs="Times New Roman"/>
          <w:szCs w:val="20"/>
        </w:rPr>
        <w:instrText>ADDIN CSL_CITATION {"citationItems":[{"id":"ITEM-1","itemData":{"DOI":"10.3389/fenvs.2016.00026","abstract":"© 2016 Komnitsas and Zaharaki. In the present study, the efficiency of phenol removal from synthetic aqueous solutions by chemically modified biochar with the use of 1M KOH or 1M FeCl3was investigated. Initially, biochar was produced after slow pyrolysis of three different agricultural wastes, namely pistachio (Pistacia vera L.) shells, pecan (Carya illinoinensis) shells, and wood sawdust. The quality of biochar was assessed by evaluating its main properties, such as pH, surface area, porosity and C content. X-ray diffraction (XRD), Scanning Electron Microscopy (SEM), and Fourier Transform Infrared Spectroscopy (FTIR) were used for the identification of biochar's structure. The efficiency of phenol removal from synthetic solutions was assessed with the use of kinetic and equilibrium experiments. The experimental results show that the KOH-modified biochar exhibited the highest phenol removal efficiency. Hydrophobic sorption on its surface is the main phenol removal mechanism. The pseudo-second order model fits best the kinetic data, while the Freundlich model, as deduced from an equilibrium study describes very well sorption of phenols on all biochars examined.","author":[{"dropping-particle":"","family":"Komnitsas","given":"Kostas A.","non-dropping-particle":"","parse-names":false,"suffix":""},{"dropping-particle":"","family":"Zaharaki","given":"Dimitra","non-dropping-particle":"","parse-names":false,"suffix":""}],"container-title":"Frontiers in Environmental Science","id":"ITEM-1","issued":{"date-parts":[["2016"]]},"page":"1-11","title":"Morphology of modified biochar and its potential for phenol removal from aqueous solutions","type":"article-journal","volume":"4"},"uris":["http://www.mendeley.com/documents/?uuid=c1be2246-b82c-445f-8702-94ac4ca02d7e"]}],"mendeley":{"formattedCitation":"(Komnitsas and Zaharaki, 2016)","plainTextFormattedCitation":"(Komnitsas and Zaharaki, 2016)","previouslyFormattedCitation":"(Komnitsas and Zaharaki, 2016)"},"properties":{"noteIndex":0},"schema":"https://github.com/citation-style-language/schema/raw/master/csl-citation.json"}</w:instrText>
      </w:r>
      <w:r w:rsidRPr="00216965">
        <w:rPr>
          <w:rFonts w:cs="Times New Roman"/>
          <w:szCs w:val="20"/>
        </w:rPr>
        <w:fldChar w:fldCharType="separate"/>
      </w:r>
      <w:r w:rsidR="00330A4F" w:rsidRPr="00216965">
        <w:rPr>
          <w:rFonts w:cs="Times New Roman"/>
          <w:noProof/>
          <w:szCs w:val="20"/>
        </w:rPr>
        <w:t>(Komnitsas and Zaharaki, 2016)</w:t>
      </w:r>
      <w:r w:rsidRPr="00216965">
        <w:rPr>
          <w:rFonts w:cs="Times New Roman"/>
          <w:szCs w:val="20"/>
        </w:rPr>
        <w:fldChar w:fldCharType="end"/>
      </w:r>
      <w:r w:rsidRPr="00216965">
        <w:t xml:space="preserve">. This last band indicated important shifts in intensity especially after contact with Cd </w:t>
      </w:r>
      <w:r w:rsidRPr="00216965">
        <w:lastRenderedPageBreak/>
        <w:t>and Pb for all the biochars. Bands attributed to metallic salts made from carboxylic acids</w:t>
      </w:r>
      <w:r w:rsidR="008E0CEC" w:rsidRPr="00216965">
        <w:t xml:space="preserve"> </w:t>
      </w:r>
      <w:r w:rsidRPr="00216965">
        <w:t xml:space="preserve"> (COO ̶ ) were identified, the C=O and C ̶ O bonds replaced by two equivalent carbon-oxygen bonds created a strong asymmetric COO stretching vibration at 1590 cm</w:t>
      </w:r>
      <w:r w:rsidRPr="00216965">
        <w:rPr>
          <w:vertAlign w:val="superscript"/>
        </w:rPr>
        <w:t>-1</w:t>
      </w:r>
      <w:r w:rsidRPr="00216965">
        <w:t>. The carboxyl dimer infrared band of C=O stretch was identified at 1690 cm</w:t>
      </w:r>
      <w:r w:rsidRPr="00216965">
        <w:rPr>
          <w:vertAlign w:val="superscript"/>
        </w:rPr>
        <w:t>-1</w:t>
      </w:r>
      <w:r w:rsidRPr="00216965">
        <w:t xml:space="preserve"> </w:t>
      </w:r>
      <w:r w:rsidRPr="00216965">
        <w:rPr>
          <w:rFonts w:cs="Times New Roman"/>
          <w:bCs/>
          <w:szCs w:val="24"/>
        </w:rPr>
        <w:fldChar w:fldCharType="begin" w:fldLock="1"/>
      </w:r>
      <w:r w:rsidR="006C06AA" w:rsidRPr="00216965">
        <w:rPr>
          <w:rFonts w:cs="Times New Roman"/>
          <w:bCs/>
          <w:szCs w:val="24"/>
        </w:rPr>
        <w:instrText>ADDIN CSL_CITATION {"citationItems":[{"id":"ITEM-1","itemData":{"DOI":"10.2166/wst.2016.319","ISSN":"02731223","abstract":"The purpose of this work is to investigate adsorption characteristic of\\ncorn stalk (CS) biochar for removal of cadmium ions (Cd2+) from aqueous\\nsolution. Batch adsorption experiments were carried out to evaluate the\\neffects of pH value of solution, adsorbent particle size, adsorbent\\ndosage, and ionic strength of solution on the adsorption of Cd2+ onto\\nbiochar that was pyrolytically produced from CS at 300 degrees C. The\\nresults showed that the initial pH value of solution played an important\\nrole in adsorption. The adsorptive amount of Cd2+ onto the biochar\\ndecreased with increasing the adsorbent dosage, adsorbent particle size,\\nand ionic strength, while it increased with increasing the initial pH\\nvalue of solution and temperature. Cd2+ was removed efficiently and\\nquickly from aqueous solutions by the biochar with a maximum capacity of\\n33.94 mg/g. The adsorption process was well described by the\\npseudo-second-order kinetic model with the correlation coefficients\\ngreater than 0.986. The adsorption isotherm could be well fitted by the\\nLangmuir model. The thermodynamic studies showed that the adsorption of\\nCd2+ onto the biochar was a spontaneous and exothermic process. The\\nresults indicate that CS biochar can be considered as an efficient\\nadsorbent.","author":[{"dropping-particle":"","family":"Ma","given":"Fengfeng","non-dropping-particle":"","parse-names":false,"suffix":""},{"dropping-particle":"","family":"Zhao","given":"Baowei","non-dropping-particle":"","parse-names":false,"suffix":""},{"dropping-particle":"","family":"Diao","given":"Jingru","non-dropping-particle":"","parse-names":false,"suffix":""}],"container-title":"Water Science and Technology","id":"ITEM-1","issue":"6","issued":{"date-parts":[["2016"]]},"page":"1335-1345","title":"Adsorption of cadmium by biochar produced from pyrolysis of corn stalk in aqueous solution","type":"article-journal","volume":"74"},"uris":["http://www.mendeley.com/documents/?uuid=396013fb-fcd3-4afa-b9bf-2725ea358950"]}],"mendeley":{"formattedCitation":"(Ma et al., 2016)","plainTextFormattedCitation":"(Ma et al., 2016)","previouslyFormattedCitation":"(Ma et al., 2016)"},"properties":{"noteIndex":0},"schema":"https://github.com/citation-style-language/schema/raw/master/csl-citation.json"}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(Ma et al., 2016)</w:t>
      </w:r>
      <w:r w:rsidRPr="00216965">
        <w:rPr>
          <w:rFonts w:cs="Times New Roman"/>
          <w:bCs/>
          <w:szCs w:val="24"/>
        </w:rPr>
        <w:fldChar w:fldCharType="end"/>
      </w:r>
      <w:r w:rsidRPr="00216965">
        <w:t xml:space="preserve">. These bands associated with carboxylic groups are demonstrated to have an important role in the immobilization of the studied metals, especially for Pb and Cd. The intensification of the bands may be attributed to chelation reactions between carboxylic acids and HMs on biochar surfaces during the adsorption process, suggested by </w:t>
      </w:r>
      <w:r w:rsidRPr="00216965">
        <w:rPr>
          <w:rFonts w:cs="Times New Roman"/>
          <w:bCs/>
          <w:szCs w:val="24"/>
        </w:rPr>
        <w:fldChar w:fldCharType="begin" w:fldLock="1"/>
      </w:r>
      <w:r w:rsidR="006C06AA" w:rsidRPr="00216965">
        <w:rPr>
          <w:rFonts w:cs="Times New Roman"/>
          <w:bCs/>
          <w:szCs w:val="24"/>
        </w:rPr>
        <w:instrText>ADDIN CSL_CITATION {"citationItems":[{"id":"ITEM-1","itemData":{"DOI":"10.1016/j.scitotenv.2016.10.163","ISSN":"18791026","abstract":"In this study, we examined the efficacy of nine different types of coconut-fiber derived biochars (CFBs), prepared at different temperatures and chemically modified with ammonia, hydrogen peroxide and nitric acid, to remove lead (Pb2 +) from aqueous solutions. Langmuir-qm values of the biochars pyrolyzed at 300 °C and modified with ammonia and nitric acid increased from 49.5 to 105.5 and 85.2 mg g− 1, respectively, compared to control (unmodified), whereas hydrogen peroxide treatment had no effect. The maximum amount of Pb adsorbed on biochars was in the order of CFB-700 &gt; MCFB-300-NH3·H2O &gt; CFB-500 &gt; MCFB-300-HNO3 &gt; CFB-300. X-ray absorption fine structure (XAFS) spectroscopy results revealed that Pb-montmorillonite, Pb(C2H3O2)2, PbSO4, Pb-Al2O3 and Pb3(PO4)2 were the five most important Pb species observed in Pb-loaded biochars, and as such, favoring Pb immobilization in aqueous solutions. Overall, the sorption capacity of CFBs pyrolyzed at 300 °C substantially increased for Pb2 + with ammonia and nitric acid modification. However, these chemical modifications did not improve the sorption of Pb on CFBs pyrolyzed at temperatures ≥ 500 °C, thereby highlighting a temperature dependent response of chemically modified biochars to Pb sorption in this study.","author":[{"dropping-particle":"","family":"Wu","given":"Weidong","non-dropping-particle":"","parse-names":false,"suffix":""},{"dropping-particle":"","family":"Li","given":"Jianhong","non-dropping-particle":"","parse-names":false,"suffix":""},{"dropping-particle":"","family":"Lan","given":"Tian","non-dropping-particle":"","parse-names":false,"suffix":""},{"dropping-particle":"","family":"Müller","given":"Karin","non-dropping-particle":"","parse-names":false,"suffix":""},{"dropping-particle":"","family":"Niazi","given":"Nabeel Khan","non-dropping-particle":"","parse-names":false,"suffix":""},{"dropping-particle":"","family":"Chen","given":"Xin","non-dropping-particle":"","parse-names":false,"suffix":""},{"dropping-particle":"","family":"Xu","given":"Song","non-dropping-particle":"","parse-names":false,"suffix":""},{"dropping-particle":"","family":"Zheng","given":"Lirong","non-dropping-particle":"","parse-names":false,"suffix":""},{"dropping-particle":"","family":"Chu","given":"Yingchao","non-dropping-particle":"","parse-names":false,"suffix":""},{"dropping-particle":"","family":"Li","given":"Jianwu","non-dropping-particle":"","parse-names":false,"suffix":""},{"dropping-particle":"","family":"Yuan","given":"Guodong","non-dropping-particle":"","parse-names":false,"suffix":""},{"dropping-particle":"","family":"Wang","given":"Hailong","non-dropping-particle":"","parse-names":false,"suffix":""}],"container-title":"Science of the Total Environment","id":"ITEM-1","issued":{"date-parts":[["2017","1","15"]]},"page":"766-774","publisher":"Elsevier B.V.","title":"Unraveling sorption of lead in aqueous solutions by chemically modified biochar derived from coconut fiber: A microscopic and spectroscopic investigation","type":"article-journal","volume":"576"},"uris":["http://www.mendeley.com/documents/?uuid=6336341b-1564-3a16-85e0-c7bfb871b9a0"]}],"mendeley":{"formattedCitation":"(W. Wu et al., 2017)","manualFormatting":"Wu et al. (2017)","plainTextFormattedCitation":"(W. Wu et al., 2017)","previouslyFormattedCitation":"(W. Wu et al., 2017)"},"properties":{"noteIndex":0},"schema":"https://github.com/citation-style-language/schema/raw/master/csl-citation.json"}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Wu </w:t>
      </w:r>
      <w:r w:rsidR="009B2252" w:rsidRPr="00216965">
        <w:rPr>
          <w:rFonts w:cs="Times New Roman"/>
          <w:bCs/>
          <w:iCs/>
          <w:noProof/>
          <w:szCs w:val="24"/>
        </w:rPr>
        <w:t>et al</w:t>
      </w:r>
      <w:r w:rsidRPr="00216965">
        <w:rPr>
          <w:rFonts w:cs="Times New Roman"/>
          <w:bCs/>
          <w:noProof/>
          <w:szCs w:val="24"/>
        </w:rPr>
        <w:t>. (2017)</w:t>
      </w:r>
      <w:r w:rsidRPr="00216965">
        <w:rPr>
          <w:rFonts w:cs="Times New Roman"/>
          <w:bCs/>
          <w:szCs w:val="24"/>
        </w:rPr>
        <w:fldChar w:fldCharType="end"/>
      </w:r>
      <w:r w:rsidRPr="00216965">
        <w:t xml:space="preserve"> to be the dominant adsorption mechanism for Pb on biochar. </w:t>
      </w:r>
    </w:p>
    <w:p w14:paraId="7B3B5931" w14:textId="24DB64C1" w:rsidR="005563EE" w:rsidRPr="00216965" w:rsidRDefault="005563EE" w:rsidP="008A33DA">
      <w:pPr>
        <w:spacing w:line="360" w:lineRule="auto"/>
        <w:jc w:val="both"/>
      </w:pPr>
      <w:r w:rsidRPr="00216965">
        <w:t>The coordination between oxygenated functional groups (e.g., ̶ COOH and  ̶ OH) and different heavy metals is usually accompanied with the release of H</w:t>
      </w:r>
      <w:r w:rsidRPr="00216965">
        <w:rPr>
          <w:vertAlign w:val="superscript"/>
        </w:rPr>
        <w:t>+</w:t>
      </w:r>
      <w:r w:rsidRPr="00216965">
        <w:t xml:space="preserve">, resulting in the reduction of solution pH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{"citationItems":[{"id":"ITEM-1","itemData":{"DOI":"10.1016/j.biortech.2014.11.077","ISSN":"18732976","abstract":"The objective of this study was to investigate the relationship between Pb2+ adsorption and physicochemical properties of biochars produced at different pyrolytic temperatures. Ten biochars were prepared from peanut shell (PS) and Chinese medicine material residue (MR) at 300-600°C. Adsorption kinetics and isotherms were determined, and the untreated and Pb2+-loaded biochars were analyzed by FTIR, SEM-EDX and XRD. Functional groups complexation, Pb2+-π interaction and precipitation with minerals jointly contributed to Pb2+ adsorption on these biochars. New mineral precipitates (e.g., Pb2(SO4)O and Pb4(CO3)2(SO4)(OH)2) formed during Pb2+ sorption. For high-temperature biochars (≥500°C), Pb2+ sorption via complexation reduced, but the contribution of Pb2+-π interaction was enhanced. Dramatic reduction of Pb2+ sorption on demineralized biochars indicated the dominant role of minerals. These results are useful for screening effective biochars as engineered sorbents to remove or immobilize Pb2+ in polluted water and soil.","author":[{"dropping-particle":"","family":"Wang","given":"Zhenyu","non-dropping-particle":"","parse-names":false,"suffix":""},{"dropping-particle":"","family":"Liu","given":"Guocheng","non-dropping-particle":"","parse-names":false,"suffix":""},{"dropping-particle":"","family":"Zheng","given":"Hao","non-dropping-particle":"","parse-names":false,"suffix":""},{"dropping-particle":"","family":"Li","given":"Fengmin","non-dropping-particle":"","parse-names":false,"suffix":""},{"dropping-particle":"","family":"Ngo","given":"Huu Hao","non-dropping-particle":"","parse-names":false,"suffix":""},{"dropping-particle":"","family":"Guo","given":"Wenshan","non-dropping-particle":"","parse-names":false,"suffix":""},{"dropping-particle":"","family":"Liu","given":"Cui","non-dropping-particle":"","parse-names":false,"suffix":""},{"dropping-particle":"","family":"Chen","given":"Lei","non-dropping-particle":"","parse-names":false,"suffix":""},{"dropping-particle":"","family":"Xing","given":"Baoshan","non-dropping-particle":"","parse-names":false,"suffix":""}],"container-title":"Bioresource Technology","id":"ITEM-1","issued":{"date-parts":[["2015","2","1"]]},"page":"308-317","publisher":"Elsevier Ltd","title":"Investigating the mechanisms of biochar’s removal of lead from solution","type":"article-journal","volume":"177"},"uris":["http://www.mendeley.com/documents/?uuid=a61e7b78-989f-349e-9f9a-c3fc86f603f6"]},{"id":"ITEM-2","itemData":{"DOI":"10.1038/srep33630","ISSN":"20452322","abstract":"Biochar is considered to be a promising material for heavy metal immobilization in soil. However, the immobilization mechanisms of Zn 2+ on biochars derived from many common waste biomasses are not completely understood. Herein, biochars (denoted as PN350, PN550, WS350, and WS550) derived from pine needle (PN) and wheat straw (WS) were prepared at two pyrolysis temperatures (350 °C and 550 °C). The immobilization behaviors and mechanisms of Zn 2+ on these biochars were systematically investigated. The results show that compared with biochars produced at low temperature, biochars produced at high temperature contained higher amounts of ash and exhibited much higher sorption capacities of Zn 2+. By using Zn K-edge EXAFS spectroscopy, we find that the formation of various Zn precipitates/minerals, which was caused by the release of OH â ', CO 3 2â ', and Si species from biochar, was the immobilization mechanism of Zn 2+ on PN and WS biochars. Hydrozincite and Zn(OH) 2 were the main species formed on PN350, PN550, and WS350; while on WS550, besides hydrozincite, a large fraction of hemimorphite was formed. The occurrence of hydrozincite and hemimorphite on biochar during Zn 2+ immobilization is firstly reported in our study, which provides a new insight into the immobilization mechanism of Zn 2+ on biochar.","author":[{"dropping-particle":"","family":"Qian","given":"Tingting","non-dropping-particle":"","parse-names":false,"suffix":""},{"dropping-particle":"","family":"Wang","given":"Yujun","non-dropping-particle":"","parse-names":false,"suffix":""},{"dropping-particle":"","family":"Fan","given":"Tingting","non-dropping-particle":"","parse-names":false,"suffix":""},{"dropping-particle":"","family":"Fang","given":"Guodong","non-dropping-particle":"","parse-names":false,"suffix":""},{"dropping-particle":"","family":"Zhou","given":"Dongmei","non-dropping-particle":"","parse-names":false,"suffix":""}],"container-title":"Scientific Reports","id":"ITEM-2","issued":{"date-parts":[["2016","9","19"]]},"page":"33630","publisher":"Nature Publishing Group","title":"A new insight into the immobilization mechanism of Zn on biochar: The role of anions dissolved from ash","type":"article-journal","volume":"6"},"uris":["http://www.mendeley.com/documents/?uuid=f74e7ab3-4643-3138-b9ad-8060ce08498f"]}],"mendeley":{"formattedCitation":"(Qian et al., 2016; Z. Wang et al., 2015)","plainTextFormattedCitation":"(Qian et al., 2016; Z. Wang et al., 2015)","previouslyFormattedCitation":"(Qian et al., 2016; Z. Wang et al., 2015)"},"properties":{"noteIndex":0},"schema":"https://github.com/citation-style-language/schema/raw/master/csl-citation.json"}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(Qian et al., 2016; Z. Wang et al., 2015)</w:t>
      </w:r>
      <w:r w:rsidRPr="00216965">
        <w:rPr>
          <w:rFonts w:cs="Times New Roman"/>
          <w:bCs/>
          <w:szCs w:val="24"/>
        </w:rPr>
        <w:fldChar w:fldCharType="end"/>
      </w:r>
      <w:r w:rsidRPr="00216965">
        <w:t>. In this study the solution pH during sorption was not controlled; samples containing low initial concentrations of HMs had pH values at equilibrium of &gt;8, &gt;7 and &gt;8 for Cd, Pb and Zn respectively (</w:t>
      </w:r>
      <w:r w:rsidR="000D5093" w:rsidRPr="00216965">
        <w:fldChar w:fldCharType="begin"/>
      </w:r>
      <w:r w:rsidR="000D5093" w:rsidRPr="00216965">
        <w:instrText xml:space="preserve"> REF _Ref86421363 \h </w:instrText>
      </w:r>
      <w:r w:rsidR="00216965" w:rsidRPr="00216965">
        <w:instrText xml:space="preserve"> \* MERGEFORMAT </w:instrText>
      </w:r>
      <w:r w:rsidR="000D5093" w:rsidRPr="00216965">
        <w:fldChar w:fldCharType="separate"/>
      </w:r>
      <w:r w:rsidR="006E23EA" w:rsidRPr="00216965">
        <w:rPr>
          <w:b/>
        </w:rPr>
        <w:t xml:space="preserve">Fig. </w:t>
      </w:r>
      <w:r w:rsidR="006E23EA" w:rsidRPr="00216965">
        <w:rPr>
          <w:b/>
          <w:bCs/>
          <w:noProof/>
        </w:rPr>
        <w:t>3</w:t>
      </w:r>
      <w:r w:rsidR="006E23EA" w:rsidRPr="00216965">
        <w:rPr>
          <w:b/>
        </w:rPr>
        <w:noBreakHyphen/>
      </w:r>
      <w:r w:rsidR="006E23EA" w:rsidRPr="00216965">
        <w:rPr>
          <w:b/>
          <w:bCs/>
          <w:noProof/>
        </w:rPr>
        <w:t>7</w:t>
      </w:r>
      <w:r w:rsidR="000D5093" w:rsidRPr="00216965">
        <w:fldChar w:fldCharType="end"/>
      </w:r>
      <w:r w:rsidRPr="00216965">
        <w:t xml:space="preserve">), caused by the release of the mineral ash of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{"citationItems":[{"id":"ITEM-1","itemData":{"DOI":"10.1016/j.biortech.2014.11.077","ISSN":"18732976","abstract":"The objective of this study was to investigate the relationship between Pb2+ adsorption and physicochemical properties of biochars produced at different pyrolytic temperatures. Ten biochars were prepared from peanut shell (PS) and Chinese medicine material residue (MR) at 300-600°C. Adsorption kinetics and isotherms were determined, and the untreated and Pb2+-loaded biochars were analyzed by FTIR, SEM-EDX and XRD. Functional groups complexation, Pb2+-π interaction and precipitation with minerals jointly contributed to Pb2+ adsorption on these biochars. New mineral precipitates (e.g., Pb2(SO4)O and Pb4(CO3)2(SO4)(OH)2) formed during Pb2+ sorption. For high-temperature biochars (≥500°C), Pb2+ sorption via complexation reduced, but the contribution of Pb2+-π interaction was enhanced. Dramatic reduction of Pb2+ sorption on demineralized biochars indicated the dominant role of minerals. These results are useful for screening effective biochars as engineered sorbents to remove or immobilize Pb2+ in polluted water and soil.","author":[{"dropping-particle":"","family":"Wang","given":"Zhenyu","non-dropping-particle":"","parse-names":false,"suffix":""},{"dropping-particle":"","family":"Liu","given":"Guocheng","non-dropping-particle":"","parse-names":false,"suffix":""},{"dropping-particle":"","family":"Zheng","given":"Hao","non-dropping-particle":"","parse-names":false,"suffix":""},{"dropping-particle":"","family":"Li","given":"Fengmin","non-dropping-particle":"","parse-names":false,"suffix":""},{"dropping-particle":"","family":"Ngo","given":"Huu Hao","non-dropping-particle":"","parse-names":false,"suffix":""},{"dropping-particle":"","family":"Guo","given":"Wenshan","non-dropping-particle":"","parse-names":false,"suffix":""},{"dropping-particle":"","family":"Liu","given":"Cui","non-dropping-particle":"","parse-names":false,"suffix":""},{"dropping-particle":"","family":"Chen","given":"Lei","non-dropping-particle":"","parse-names":false,"suffix":""},{"dropping-particle":"","family":"Xing","given":"Baoshan","non-dropping-particle":"","parse-names":false,"suffix":""}],"container-title":"Bioresource Technology","id":"ITEM-1","issued":{"date-parts":[["2015","2","1"]]},"page":"308-317","publisher":"Elsevier Ltd","title":"Investigating the mechanisms of biochar’s removal of lead from solution","type":"article-journal","volume":"177"},"uris":["http://www.mendeley.com/documents/?uuid=a61e7b78-989f-349e-9f9a-c3fc86f603f6"]}],"mendeley":{"formattedCitation":"(Z. Wang et al., 2015)","plainTextFormattedCitation":"(Z. Wang et al., 2015)","previouslyFormattedCitation":"(Z. Wang et al., 2015)"},"properties":{"noteIndex":0},"schema":"https://github.com/citation-style-language/schema/raw/master/csl-citation.json"}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(Z. Wang et al., 2015)</w:t>
      </w:r>
      <w:r w:rsidRPr="00216965">
        <w:rPr>
          <w:rFonts w:cs="Times New Roman"/>
          <w:bCs/>
          <w:szCs w:val="24"/>
        </w:rPr>
        <w:fldChar w:fldCharType="end"/>
      </w:r>
      <w:r w:rsidRPr="00216965">
        <w:t xml:space="preserve">. </w:t>
      </w:r>
    </w:p>
    <w:p w14:paraId="2ED9A1FD" w14:textId="77777777" w:rsidR="005563EE" w:rsidRPr="00216965" w:rsidRDefault="005563EE" w:rsidP="008A33DA">
      <w:pPr>
        <w:tabs>
          <w:tab w:val="left" w:pos="7467"/>
        </w:tabs>
        <w:spacing w:after="0" w:line="480" w:lineRule="auto"/>
        <w:ind w:right="1559" w:firstLine="1701"/>
      </w:pPr>
      <w:r w:rsidRPr="00216965">
        <w:rPr>
          <w:noProof/>
        </w:rPr>
        <w:drawing>
          <wp:inline distT="0" distB="0" distL="0" distR="0" wp14:anchorId="7EC08755" wp14:editId="20336097">
            <wp:extent cx="4190365" cy="3724059"/>
            <wp:effectExtent l="0" t="0" r="635"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5853" cy="3746711"/>
                    </a:xfrm>
                    <a:prstGeom prst="rect">
                      <a:avLst/>
                    </a:prstGeom>
                    <a:noFill/>
                    <a:ln>
                      <a:noFill/>
                    </a:ln>
                  </pic:spPr>
                </pic:pic>
              </a:graphicData>
            </a:graphic>
          </wp:inline>
        </w:drawing>
      </w:r>
    </w:p>
    <w:p w14:paraId="6E28440B" w14:textId="390D0E9B" w:rsidR="005563EE" w:rsidRPr="00216965" w:rsidRDefault="000D5093" w:rsidP="008A33DA">
      <w:pPr>
        <w:pStyle w:val="Caption"/>
        <w:jc w:val="both"/>
        <w:rPr>
          <w:i/>
        </w:rPr>
      </w:pPr>
      <w:bookmarkStart w:id="165" w:name="_Ref86421363"/>
      <w:bookmarkStart w:id="166" w:name="_Toc86439358"/>
      <w:r w:rsidRPr="00216965">
        <w:rPr>
          <w:b/>
          <w:bCs w:val="0"/>
        </w:rPr>
        <w:t xml:space="preserve">Fig.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3</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7</w:t>
      </w:r>
      <w:r w:rsidR="00BF3EBE" w:rsidRPr="00216965">
        <w:rPr>
          <w:b/>
          <w:bCs w:val="0"/>
        </w:rPr>
        <w:fldChar w:fldCharType="end"/>
      </w:r>
      <w:bookmarkEnd w:id="165"/>
      <w:r w:rsidRPr="00216965">
        <w:t xml:space="preserve"> </w:t>
      </w:r>
      <w:r w:rsidR="005563EE" w:rsidRPr="00216965">
        <w:rPr>
          <w:rFonts w:cs="Times New Roman"/>
          <w:b/>
          <w:iCs/>
          <w:szCs w:val="24"/>
        </w:rPr>
        <w:t>pH values at equilibrium at different trace element initial concentrations.</w:t>
      </w:r>
      <w:r w:rsidR="005563EE" w:rsidRPr="00216965">
        <w:rPr>
          <w:rFonts w:cs="Times New Roman"/>
          <w:iCs/>
          <w:szCs w:val="24"/>
        </w:rPr>
        <w:t xml:space="preserve"> A) Cd, B) Pb and C) Zn. The black line </w:t>
      </w:r>
      <w:r w:rsidR="005563EE" w:rsidRPr="00216965">
        <w:rPr>
          <w:rFonts w:cs="Times New Roman"/>
          <w:b/>
          <w:iCs/>
          <w:szCs w:val="24"/>
        </w:rPr>
        <w:t xml:space="preserve"> ̶ ̶  ̶</w:t>
      </w:r>
      <w:r w:rsidR="005563EE" w:rsidRPr="00216965">
        <w:rPr>
          <w:rFonts w:cs="Times New Roman"/>
          <w:iCs/>
          <w:szCs w:val="24"/>
        </w:rPr>
        <w:t xml:space="preserve">  represents the initial pH of the soil pore water solution before being in contact with biochar. The biochar rate was 1.25 g.L</w:t>
      </w:r>
      <w:r w:rsidR="005563EE" w:rsidRPr="00216965">
        <w:rPr>
          <w:rFonts w:cs="Times New Roman"/>
          <w:iCs/>
          <w:szCs w:val="24"/>
          <w:vertAlign w:val="superscript"/>
        </w:rPr>
        <w:t>-1</w:t>
      </w:r>
      <w:r w:rsidR="005563EE" w:rsidRPr="00216965">
        <w:rPr>
          <w:rFonts w:cs="Times New Roman"/>
          <w:iCs/>
          <w:szCs w:val="24"/>
        </w:rPr>
        <w:t xml:space="preserve"> in all samples, temperature was 22 ± 2 °C, contact time = 24 hours. Values are the mean ± standard deviation, n=3.</w:t>
      </w:r>
      <w:bookmarkEnd w:id="166"/>
    </w:p>
    <w:p w14:paraId="19C751BC" w14:textId="2FA64EDA" w:rsidR="005563EE" w:rsidRPr="00216965" w:rsidRDefault="005563EE" w:rsidP="008A33DA">
      <w:pPr>
        <w:spacing w:line="360" w:lineRule="auto"/>
        <w:jc w:val="both"/>
      </w:pPr>
      <w:r w:rsidRPr="00216965">
        <w:lastRenderedPageBreak/>
        <w:t xml:space="preserve">However, as the concentration of HMs in the solution increased, the pH of the solution decreased to &lt; 7.5, &lt; 7, &lt;7.75 for Cd, Pb and Zn, respectively, indicating that higher amounts of trace elements in the solution enhance the formation of complexes with oxygen-containing functional groups. These results were in accordance with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2014)","manualFormatting":"Trakal et al. (2014)","plainTextFormattedCitation":"(Trakal et al., 2014)","previouslyFormattedCitation":"(Trakal et al., 2014)"},"properties":{"noteIndex":0},"schema":"https://github.com/citation-style-language/schema/raw/master/csl-citation.json"}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Trakal </w:t>
      </w:r>
      <w:r w:rsidR="009B2252" w:rsidRPr="00216965">
        <w:rPr>
          <w:rFonts w:cs="Times New Roman"/>
          <w:bCs/>
          <w:iCs/>
          <w:noProof/>
          <w:szCs w:val="24"/>
        </w:rPr>
        <w:t>et al</w:t>
      </w:r>
      <w:r w:rsidRPr="00216965">
        <w:rPr>
          <w:rFonts w:cs="Times New Roman"/>
          <w:bCs/>
          <w:noProof/>
          <w:szCs w:val="24"/>
        </w:rPr>
        <w:t>. (2014)</w:t>
      </w:r>
      <w:r w:rsidRPr="00216965">
        <w:rPr>
          <w:rFonts w:cs="Times New Roman"/>
          <w:bCs/>
          <w:szCs w:val="24"/>
        </w:rPr>
        <w:fldChar w:fldCharType="end"/>
      </w:r>
      <w:r w:rsidRPr="00216965">
        <w:t xml:space="preserve"> who reported a decrease of solution pH, particularly at higher HM concentration and greater adsorption capacity. Samples treated with biochar SWP550, which is characterized by low ash content (</w:t>
      </w:r>
      <w:r w:rsidR="00F71164" w:rsidRPr="00216965">
        <w:fldChar w:fldCharType="begin"/>
      </w:r>
      <w:r w:rsidR="00F71164" w:rsidRPr="00216965">
        <w:instrText xml:space="preserve"> REF _Ref86492902 \h </w:instrText>
      </w:r>
      <w:r w:rsidR="00216965" w:rsidRPr="00216965">
        <w:instrText xml:space="preserve"> \* MERGEFORMAT </w:instrText>
      </w:r>
      <w:r w:rsidR="00F71164"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1</w:t>
      </w:r>
      <w:r w:rsidR="00F71164" w:rsidRPr="00216965">
        <w:fldChar w:fldCharType="end"/>
      </w:r>
      <w:r w:rsidRPr="00216965">
        <w:t>), did  not alter the solution pH (</w:t>
      </w:r>
      <w:r w:rsidR="00EA0F51" w:rsidRPr="00216965">
        <w:fldChar w:fldCharType="begin"/>
      </w:r>
      <w:r w:rsidR="00EA0F51" w:rsidRPr="00216965">
        <w:instrText xml:space="preserve"> REF _Ref86421363 \h </w:instrText>
      </w:r>
      <w:r w:rsidR="00216965" w:rsidRPr="00216965">
        <w:instrText xml:space="preserve"> \* MERGEFORMAT </w:instrText>
      </w:r>
      <w:r w:rsidR="00EA0F51" w:rsidRPr="00216965">
        <w:fldChar w:fldCharType="separate"/>
      </w:r>
      <w:r w:rsidR="006E23EA" w:rsidRPr="00216965">
        <w:rPr>
          <w:b/>
        </w:rPr>
        <w:t xml:space="preserve">Fig. </w:t>
      </w:r>
      <w:r w:rsidR="006E23EA" w:rsidRPr="00216965">
        <w:rPr>
          <w:b/>
          <w:bCs/>
          <w:noProof/>
        </w:rPr>
        <w:t>3</w:t>
      </w:r>
      <w:r w:rsidR="006E23EA" w:rsidRPr="00216965">
        <w:rPr>
          <w:b/>
        </w:rPr>
        <w:noBreakHyphen/>
      </w:r>
      <w:r w:rsidR="006E23EA" w:rsidRPr="00216965">
        <w:rPr>
          <w:b/>
          <w:bCs/>
          <w:noProof/>
        </w:rPr>
        <w:t>7</w:t>
      </w:r>
      <w:r w:rsidR="00EA0F51" w:rsidRPr="00216965">
        <w:fldChar w:fldCharType="end"/>
      </w:r>
      <w:r w:rsidRPr="00216965">
        <w:t xml:space="preserve">).                                                                                                                                       </w:t>
      </w:r>
    </w:p>
    <w:p w14:paraId="0E9756F7" w14:textId="5AB1CFFB" w:rsidR="005563EE" w:rsidRPr="00216965" w:rsidRDefault="005563EE" w:rsidP="008A33DA">
      <w:pPr>
        <w:spacing w:after="0" w:line="360" w:lineRule="auto"/>
        <w:ind w:right="95"/>
        <w:jc w:val="both"/>
        <w:rPr>
          <w:i/>
        </w:rPr>
      </w:pPr>
      <w:r w:rsidRPr="00216965">
        <w:t xml:space="preserve">The complexation with functional groups has been schematized in </w:t>
      </w:r>
      <w:r w:rsidRPr="00216965">
        <w:rPr>
          <w:b/>
          <w:bCs/>
        </w:rPr>
        <w:fldChar w:fldCharType="begin"/>
      </w:r>
      <w:r w:rsidRPr="00216965">
        <w:rPr>
          <w:b/>
          <w:bCs/>
        </w:rPr>
        <w:instrText xml:space="preserve"> REF _Ref86333308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6</w:t>
      </w:r>
      <w:r w:rsidRPr="00216965">
        <w:rPr>
          <w:b/>
          <w:bCs/>
        </w:rPr>
        <w:fldChar w:fldCharType="end"/>
      </w:r>
      <w:r w:rsidRPr="00216965">
        <w:rPr>
          <w:b/>
          <w:bCs/>
        </w:rPr>
        <w:t>BE</w:t>
      </w:r>
      <w:r w:rsidRPr="00216965">
        <w:t>, where complexation with deprotonated functional groups (chelation mechanism with carboxylic groups) or cation exchange-mediated complexation are represented.</w:t>
      </w:r>
    </w:p>
    <w:p w14:paraId="5EF00803" w14:textId="1ACE31FC" w:rsidR="005563EE" w:rsidRPr="00216965" w:rsidRDefault="005563EE" w:rsidP="008574C0">
      <w:pPr>
        <w:spacing w:before="120" w:line="360" w:lineRule="auto"/>
        <w:jc w:val="both"/>
      </w:pPr>
      <w:r w:rsidRPr="00216965">
        <w:t xml:space="preserve">The principal component analysis (PCA) of biochar spectra in </w:t>
      </w:r>
      <w:r w:rsidRPr="00216965">
        <w:rPr>
          <w:b/>
          <w:bCs/>
        </w:rPr>
        <w:fldChar w:fldCharType="begin"/>
      </w:r>
      <w:r w:rsidRPr="00216965">
        <w:rPr>
          <w:b/>
          <w:bCs/>
        </w:rPr>
        <w:instrText xml:space="preserve"> REF _Ref86333572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8</w:t>
      </w:r>
      <w:r w:rsidRPr="00216965">
        <w:rPr>
          <w:b/>
          <w:bCs/>
        </w:rPr>
        <w:fldChar w:fldCharType="end"/>
      </w:r>
      <w:r w:rsidRPr="00216965">
        <w:t xml:space="preserve">  shows that 68 % of the variation in the biochar spectra were explained by PC1 and 18 % by PC2. Feedstock origin and temperature significantly influenced biochar spectra (p &lt; 0.001). In the PCA similar samples appear as clusters in the score plot, while different samples are segregated from each other. Biochar clustered as three groups: group one with biochar SWP550 samples (wood-derived biochar produced at 550 °C), group 2 with biochar samples WSP550, OSR550 and MSP550 (herbaceous biochars produced at 550 °C) and group 3 with OSR700 samples (herbaceous biochar produced at 700 °C). </w:t>
      </w:r>
    </w:p>
    <w:p w14:paraId="39704377" w14:textId="77777777" w:rsidR="005563EE" w:rsidRPr="00216965" w:rsidRDefault="005563EE" w:rsidP="008A33DA">
      <w:pPr>
        <w:spacing w:line="480" w:lineRule="auto"/>
        <w:jc w:val="both"/>
      </w:pPr>
      <w:r w:rsidRPr="00216965">
        <w:t xml:space="preserve"> </w:t>
      </w:r>
      <w:r w:rsidRPr="00216965">
        <w:rPr>
          <w:noProof/>
        </w:rPr>
        <w:drawing>
          <wp:inline distT="0" distB="0" distL="0" distR="0" wp14:anchorId="25DCAFEE" wp14:editId="6809F4A8">
            <wp:extent cx="6027562" cy="2330506"/>
            <wp:effectExtent l="0" t="0" r="0" b="0"/>
            <wp:docPr id="5" name="Picture 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histogram&#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7171" cy="2334221"/>
                    </a:xfrm>
                    <a:prstGeom prst="rect">
                      <a:avLst/>
                    </a:prstGeom>
                    <a:noFill/>
                    <a:ln>
                      <a:noFill/>
                    </a:ln>
                  </pic:spPr>
                </pic:pic>
              </a:graphicData>
            </a:graphic>
          </wp:inline>
        </w:drawing>
      </w:r>
    </w:p>
    <w:p w14:paraId="22D9070C" w14:textId="1FE0DA7E" w:rsidR="005563EE" w:rsidRPr="00216965" w:rsidRDefault="005563EE" w:rsidP="008A33DA">
      <w:pPr>
        <w:pStyle w:val="Caption"/>
        <w:jc w:val="both"/>
        <w:rPr>
          <w:rFonts w:cs="Times New Roman"/>
          <w:b/>
          <w:bCs w:val="0"/>
          <w:szCs w:val="24"/>
        </w:rPr>
      </w:pPr>
      <w:bookmarkStart w:id="167" w:name="_Ref86333572"/>
      <w:bookmarkStart w:id="168" w:name="_Toc86439359"/>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8</w:t>
      </w:r>
      <w:r w:rsidR="00BF3EBE" w:rsidRPr="00216965">
        <w:rPr>
          <w:rFonts w:cs="Times New Roman"/>
          <w:b/>
          <w:bCs w:val="0"/>
          <w:szCs w:val="24"/>
        </w:rPr>
        <w:fldChar w:fldCharType="end"/>
      </w:r>
      <w:bookmarkEnd w:id="167"/>
      <w:r w:rsidRPr="00216965">
        <w:rPr>
          <w:rFonts w:cs="Times New Roman"/>
          <w:szCs w:val="24"/>
        </w:rPr>
        <w:t xml:space="preserve"> </w:t>
      </w:r>
      <w:r w:rsidRPr="00216965">
        <w:rPr>
          <w:rFonts w:cs="Times New Roman"/>
          <w:b/>
          <w:bCs w:val="0"/>
          <w:szCs w:val="24"/>
        </w:rPr>
        <w:t>Principal component analysis (PCA) of normalized ATR-FTIR spectra of plant based biochars.</w:t>
      </w:r>
      <w:r w:rsidRPr="00216965">
        <w:rPr>
          <w:rFonts w:cs="Times New Roman"/>
          <w:szCs w:val="24"/>
        </w:rPr>
        <w:t xml:space="preserve"> </w:t>
      </w:r>
      <w:r w:rsidRPr="00216965">
        <w:rPr>
          <w:rFonts w:cs="Times New Roman"/>
          <w:bCs w:val="0"/>
          <w:szCs w:val="24"/>
        </w:rPr>
        <w:t>A) Score plots of PC1 and PC2, B) PC loadings against the wavenumber indicating the bands that mostly contributed to the separation of biochar groups in the PCA.</w:t>
      </w:r>
      <w:bookmarkEnd w:id="168"/>
    </w:p>
    <w:p w14:paraId="7AF01087" w14:textId="2EB66A42" w:rsidR="005563EE" w:rsidRPr="00216965" w:rsidRDefault="005563EE" w:rsidP="008A33DA">
      <w:pPr>
        <w:spacing w:line="360" w:lineRule="auto"/>
        <w:jc w:val="both"/>
      </w:pPr>
      <w:r w:rsidRPr="00216965">
        <w:lastRenderedPageBreak/>
        <w:t xml:space="preserve">Biochars with fewer oxygen-functional groups (OSR700 and SWP550) were more distant from the other biochars. The bands responsible for the differentiation of these biochar groups are illustrated in </w:t>
      </w:r>
      <w:r w:rsidRPr="00216965">
        <w:rPr>
          <w:b/>
          <w:bCs/>
        </w:rPr>
        <w:fldChar w:fldCharType="begin"/>
      </w:r>
      <w:r w:rsidRPr="00216965">
        <w:rPr>
          <w:b/>
          <w:bCs/>
        </w:rPr>
        <w:instrText xml:space="preserve"> REF _Ref86333572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8</w:t>
      </w:r>
      <w:r w:rsidRPr="00216965">
        <w:rPr>
          <w:b/>
          <w:bCs/>
        </w:rPr>
        <w:fldChar w:fldCharType="end"/>
      </w:r>
      <w:r w:rsidRPr="00216965">
        <w:rPr>
          <w:b/>
          <w:bCs/>
        </w:rPr>
        <w:t>B</w:t>
      </w:r>
      <w:r w:rsidRPr="00216965">
        <w:t>. and identified as carboxylic (COOH, C=O), phenolic (COH, C ̶ O), aromatic (C ̶ H), PO</w:t>
      </w:r>
      <w:r w:rsidRPr="00216965">
        <w:rPr>
          <w:vertAlign w:val="subscript"/>
        </w:rPr>
        <w:t>4</w:t>
      </w:r>
      <w:r w:rsidRPr="00216965">
        <w:rPr>
          <w:vertAlign w:val="superscript"/>
        </w:rPr>
        <w:t>3-</w:t>
      </w:r>
      <w:r w:rsidRPr="00216965">
        <w:t xml:space="preserve"> and SiO.</w:t>
      </w:r>
    </w:p>
    <w:p w14:paraId="66B6FB95" w14:textId="77777777" w:rsidR="005563EE" w:rsidRPr="00216965" w:rsidRDefault="005563EE" w:rsidP="008A33DA">
      <w:pPr>
        <w:pStyle w:val="Heading3"/>
      </w:pPr>
      <w:bookmarkStart w:id="169" w:name="_Toc86504656"/>
      <w:r w:rsidRPr="00216965">
        <w:t>Scanning electron microscopy with energy dispersive X-ray spectroscopy</w:t>
      </w:r>
      <w:bookmarkEnd w:id="169"/>
    </w:p>
    <w:p w14:paraId="14DE7CBE" w14:textId="186A43A2" w:rsidR="005563EE" w:rsidRPr="00216965" w:rsidRDefault="005563EE" w:rsidP="008A33DA">
      <w:pPr>
        <w:spacing w:line="360" w:lineRule="auto"/>
        <w:jc w:val="both"/>
      </w:pPr>
      <w:r w:rsidRPr="00216965">
        <w:t>Visual comparison of SEM-EDX images using biochar MSP550 (</w:t>
      </w:r>
      <w:r w:rsidRPr="00216965">
        <w:rPr>
          <w:b/>
          <w:bCs/>
        </w:rPr>
        <w:fldChar w:fldCharType="begin"/>
      </w:r>
      <w:r w:rsidRPr="00216965">
        <w:rPr>
          <w:b/>
          <w:bCs/>
        </w:rPr>
        <w:instrText xml:space="preserve"> REF _Ref54554919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9</w:t>
      </w:r>
      <w:r w:rsidRPr="00216965">
        <w:rPr>
          <w:b/>
          <w:bCs/>
        </w:rPr>
        <w:fldChar w:fldCharType="end"/>
      </w:r>
      <w:r w:rsidRPr="00216965">
        <w:t xml:space="preserve">) demonstrates the typical effect of HM exposure on pores and mineral phases at the biochar surface. The SEM-EDX images of the other four biochars can be accessed at </w:t>
      </w:r>
      <w:r w:rsidR="008E0CEC" w:rsidRPr="00216965">
        <w:fldChar w:fldCharType="begin" w:fldLock="1"/>
      </w:r>
      <w:r w:rsidR="00295074" w:rsidRPr="00216965">
        <w:instrText>ADDIN CSL_CITATION {"citationItems":[{"id":"ITEM-1","itemData":{"DOI":"10.17632/WK8M4T64DH.1","author":[{"dropping-particle":"","family":"Soria P.","given":"Rosa Isabel","non-dropping-particle":"","parse-names":false,"suffix":""},{"dropping-particle":"","family":"Rolfe","given":"Stephen","non-dropping-particle":"","parse-names":false,"suffix":""},{"dropping-particle":"","family":"Pazmiño Betancourth","given":"Mauro","non-dropping-particle":"","parse-names":false,"suffix":""},{"dropping-particle":"","family":"Thornton","given":"Steven F.","non-dropping-particle":"","parse-names":false,"suffix":""}],"id":"ITEM-1","issued":{"date-parts":[["2020"]]},"publisher":"Mendeley","title":"Dataset: The relationship between properties of plant-based biochars and sorption of Cd(II), Pb(II) and Zn(II) in soil model systems","type":"article"},"uris":["http://www.mendeley.com/documents/?uuid=2108cc51-1f5e-3ccd-b2a8-7400daf9059f"]}],"mendeley":{"formattedCitation":"(Soria P. et al., 2020)","manualFormatting":"Soria P. et al. (2020)","plainTextFormattedCitation":"(Soria P. et al., 2020)","previouslyFormattedCitation":"(Soria P. et al., 2020)"},"properties":{"noteIndex":0},"schema":"https://github.com/citation-style-language/schema/raw/master/csl-citation.json"}</w:instrText>
      </w:r>
      <w:r w:rsidR="008E0CEC" w:rsidRPr="00216965">
        <w:fldChar w:fldCharType="separate"/>
      </w:r>
      <w:r w:rsidR="008E0CEC" w:rsidRPr="00216965">
        <w:rPr>
          <w:noProof/>
        </w:rPr>
        <w:t>Soria P. et al.</w:t>
      </w:r>
      <w:r w:rsidR="00EA3AEC" w:rsidRPr="00216965">
        <w:rPr>
          <w:noProof/>
        </w:rPr>
        <w:t xml:space="preserve"> (</w:t>
      </w:r>
      <w:r w:rsidR="008E0CEC" w:rsidRPr="00216965">
        <w:rPr>
          <w:noProof/>
        </w:rPr>
        <w:t>2020)</w:t>
      </w:r>
      <w:r w:rsidR="008E0CEC" w:rsidRPr="00216965">
        <w:fldChar w:fldCharType="end"/>
      </w:r>
      <w:r w:rsidRPr="00216965">
        <w:t xml:space="preserve">. SEM backscattered images revealed a heterogeneous topography and material contrasts (composition). HM immobilization was confirmed on biochar surfaces; elements with higher atomic number such as Pb, Cd and Zn yield more backscattered electrons, which appear brighter on the image (left column on </w:t>
      </w:r>
      <w:r w:rsidRPr="00216965">
        <w:rPr>
          <w:b/>
          <w:bCs/>
        </w:rPr>
        <w:fldChar w:fldCharType="begin"/>
      </w:r>
      <w:r w:rsidRPr="00216965">
        <w:rPr>
          <w:b/>
          <w:bCs/>
        </w:rPr>
        <w:instrText xml:space="preserve"> REF _Ref54554919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9</w:t>
      </w:r>
      <w:r w:rsidRPr="00216965">
        <w:rPr>
          <w:b/>
          <w:bCs/>
        </w:rPr>
        <w:fldChar w:fldCharType="end"/>
      </w:r>
      <w:r w:rsidRPr="00216965">
        <w:t>).</w:t>
      </w:r>
    </w:p>
    <w:p w14:paraId="366430EF" w14:textId="6676849E" w:rsidR="005563EE" w:rsidRPr="00216965" w:rsidRDefault="005563EE" w:rsidP="008A33DA">
      <w:pPr>
        <w:spacing w:line="360" w:lineRule="auto"/>
        <w:jc w:val="both"/>
      </w:pPr>
      <w:r w:rsidRPr="00216965">
        <w:t>Electronic x-ray mapping was used to visualize the colocalization of elements on SEM images of biochar MSP550 loaded with HMs . The images show colocalization of Si and O, indicating the presence of compounds containing Si minerals on the biochar surface. The images also show that Cd occurred together with K</w:t>
      </w:r>
      <w:r w:rsidRPr="00216965">
        <w:rPr>
          <w:vertAlign w:val="superscript"/>
        </w:rPr>
        <w:t>+</w:t>
      </w:r>
      <w:r w:rsidRPr="00216965">
        <w:t>, suggesting compounds containing Cd</w:t>
      </w:r>
      <w:r w:rsidRPr="00216965">
        <w:rPr>
          <w:vertAlign w:val="superscript"/>
        </w:rPr>
        <w:t>2+</w:t>
      </w:r>
      <w:r w:rsidRPr="00216965">
        <w:t xml:space="preserve"> and K</w:t>
      </w:r>
      <w:r w:rsidRPr="00216965">
        <w:rPr>
          <w:vertAlign w:val="superscript"/>
        </w:rPr>
        <w:t>+</w:t>
      </w:r>
      <w:r w:rsidRPr="00216965">
        <w:t>. The formation of K</w:t>
      </w:r>
      <w:r w:rsidRPr="00216965">
        <w:rPr>
          <w:vertAlign w:val="subscript"/>
        </w:rPr>
        <w:t>4</w:t>
      </w:r>
      <w:r w:rsidRPr="00216965">
        <w:t>CdCl</w:t>
      </w:r>
      <w:r w:rsidRPr="00216965">
        <w:rPr>
          <w:vertAlign w:val="subscript"/>
        </w:rPr>
        <w:t>6</w:t>
      </w:r>
      <w:r w:rsidRPr="00216965">
        <w:t xml:space="preserve"> precipitates has been previously reported on Cd-loaded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Technology","id":"ITEM-1","issued":{"date-parts":[["2017"]]},"page":"887-899","title":"Indispensable role of biochar-inherent mineral constituents in its environmental applications: A review","type":"article-journal","volume":"241"},"uris":["http://www.mendeley.com/documents/?uuid=efa5db54-ddfb-4f53-810a-d6892d9dd827"]},{"id":"ITEM-2","itemData":{"DOI":"10.1016/j.jenvman.2015.01.043","ISSN":"10958630","PMID":"25660498","abstract":"This study investigated the efficiency and mechanisms of Cd removal by biochar pyrolyzed from water hyacinth (BC) at 250-550°C. BC450 out-performed the other BCs at varying Cd concentrations and can remove nearly 100% Cd from aqueous solution within 1h at initial Cd≤50mgl-1. The process of Cd sorption by BC450 followed the pseudo-second order kinetics with the equilibrium being achieved after 24h with initial Cd ranging from 100 to 500mgl-1. The maximum Cd sorption capacity of BC450 was estimated to be 70.3mgg-1 based on Langmuir model, which is prominent among a range of low-cost sorbents. Based on the balance analysis between cations released and Cd sorbed onto BC450 in combination with SEM-EDX and XPS data, ion-exchange followed by surface complexation is proposed as the dominant mechanism responsible for Cd immobilization by BC450. In parallel, XRD analysis also suggested the formation of insoluble Cd minerals (CdCO3, Cd3P2, Cd3(PO4)2 and K4CdCl6) from either (co)-precipitation or ion exchange. Results from this study highlighted that the conversion of water hyacinth into biochar is a promising method to achieve effective Cd immobilization and improved management of this highly problematic invasive species.","author":[{"dropping-particle":"","family":"Zhang","given":"Feng","non-dropping-particle":"","parse-names":false,"suffix":""},{"dropping-particle":"","family":"Wang","given":"Xin","non-dropping-particle":"","parse-names":false,"suffix":""},{"dropping-particle":"","family":"Yin","given":"Daixia","non-dropping-particle":"","parse-names":false,"suffix":""},{"dropping-particle":"","family":"Peng","given":"Bo","non-dropping-particle":"","parse-names":false,"suffix":""},{"dropping-particle":"","family":"Tan","given":"Changyin","non-dropping-particle":"","parse-names":false,"suffix":""},{"dropping-particle":"","family":"Liu","given":"Yunguo","non-dropping-particle":"","parse-names":false,"suffix":""},{"dropping-particle":"","family":"Tan","given":"Xiaofei","non-dropping-particle":"","parse-names":false,"suffix":""},{"dropping-particle":"","family":"Wu","given":"Shixue","non-dropping-particle":"","parse-names":false,"suffix":""}],"container-title":"Journal of Environmental Management","id":"ITEM-2","issued":{"date-parts":[["2015","4","5"]]},"page":"68-73","publisher":"Academic Press","title":"Efficiency and mechanisms of Cd removal from aqueous solution by biochar derived from water hyacinth (Eichornia crassipes)","type":"article-journal","volume":"153"},"uris":["http://www.mendeley.com/documents/?uuid=8757a091-fc64-3109-9dff-36ad469f1232"]},{"id":"ITEM-3","itemData":{"DOI":"10.1007/s11356-018-1292-z","ISSN":"16147499","PMID":"29446023","abstract":"Biochar was considered as an effective and novel sorbent for cadmium (Cd) adsorption from aqueous solution. In this study, the adsorption isotherm investigations were conducted to examine the effect of biochar produced via pyrolysis from rice straw on removing aqueous Cd before and after modification by 2 M KOH solution. Langmuir and Freundlich adsorption isotherms can preferably describe the adsorption process. Results showed that the highest adsorption capacity of pristine rice straw biochar was 12.17 mg g−1. The chemically modified rice straw biochar showed greater Cd adsorption capacity of 41.9 mg g−1, which was more than three times that of pristine biochar. Increase of surface area and changes of porous structure, especially the functional groups on the surface of modified biochar, were the major contributors to its more efficient adsorption of Cd. The possible mechanisms for Cd adsorption by biochar mainly involve (1) surface precipitation by forming insoluble Cd compounds in alkaline condition and (2) ion exchange for Cd with exchangeable cations in the biochar, such as calcium ions, which were confirmed by FTIR, XRD, SEM, and zeta potential determination.","author":[{"dropping-particle":"","family":"Bashir","given":"Saqib","non-dropping-particle":"","parse-names":false,"suffix":""},{"dropping-particle":"","family":"Zhu","given":"Jun","non-dropping-particle":"","parse-names":false,"suffix":""},{"dropping-particle":"","family":"Fu","given":"Qingling","non-dropping-particle":"","parse-names":false,"suffix":""},{"dropping-particle":"","family":"Hu","given":"Hongqing","non-dropping-particle":"","parse-names":false,"suffix":""}],"container-title":"Environmental Science and Pollution Research","id":"ITEM-3","issue":"12","issued":{"date-parts":[["2018","4","1"]]},"page":"11875-11883","publisher":"Springer Verlag","title":"Comparing the adsorption mechanism of Cd by rice straw pristine and KOH-modified biochar","type":"article-journal","volume":"25"},"uris":["http://www.mendeley.com/documents/?uuid=7bf48cc4-3ae5-38d5-9f0d-8adcd55daddc"]}],"mendeley":{"formattedCitation":"(Bashir et al., 2018; Xu et al., 2017; Zhang et al., 2015)","plainTextFormattedCitation":"(Bashir et al., 2018; Xu et al., 2017; Zhang et al., 2015)","previouslyFormattedCitation":"(Bashir et al., 2018; Xu et al., 2017; Zhang et al., 2015)"},"properties":{"noteIndex":0},"schema":"https://github.com/citation-style-language/schema/raw/master/csl-citation.json"}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(Bashir et al., 2018; Xu et al., 2017; Zhang et al., 2015)</w:t>
      </w:r>
      <w:r w:rsidRPr="00216965">
        <w:rPr>
          <w:rFonts w:cs="Times New Roman"/>
          <w:bCs/>
          <w:szCs w:val="24"/>
        </w:rPr>
        <w:fldChar w:fldCharType="end"/>
      </w:r>
      <w:r w:rsidRPr="00216965">
        <w:t>. Likewise, the images revealed that Pb occurred together with S. In other studies precipitates of Pb with sulphate compounds such as Pb</w:t>
      </w:r>
      <w:r w:rsidRPr="00216965">
        <w:rPr>
          <w:vertAlign w:val="subscript"/>
        </w:rPr>
        <w:t>2</w:t>
      </w:r>
      <w:r w:rsidRPr="00216965">
        <w:t>(SO</w:t>
      </w:r>
      <w:r w:rsidRPr="00216965">
        <w:rPr>
          <w:vertAlign w:val="subscript"/>
        </w:rPr>
        <w:t>4</w:t>
      </w:r>
      <w:r w:rsidRPr="00216965">
        <w:t>)O and Pb</w:t>
      </w:r>
      <w:r w:rsidRPr="00216965">
        <w:rPr>
          <w:vertAlign w:val="subscript"/>
        </w:rPr>
        <w:t>4</w:t>
      </w:r>
      <w:r w:rsidRPr="00216965">
        <w:t>(CO</w:t>
      </w:r>
      <w:r w:rsidRPr="00216965">
        <w:rPr>
          <w:vertAlign w:val="subscript"/>
        </w:rPr>
        <w:t>3</w:t>
      </w:r>
      <w:r w:rsidRPr="00216965">
        <w:t>)</w:t>
      </w:r>
      <w:r w:rsidRPr="00216965">
        <w:rPr>
          <w:vertAlign w:val="subscript"/>
        </w:rPr>
        <w:t>2</w:t>
      </w:r>
      <w:r w:rsidRPr="00216965">
        <w:t>(SO</w:t>
      </w:r>
      <w:r w:rsidRPr="00216965">
        <w:rPr>
          <w:vertAlign w:val="subscript"/>
        </w:rPr>
        <w:t>4</w:t>
      </w:r>
      <w:r w:rsidRPr="00216965">
        <w:t>)(OH)</w:t>
      </w:r>
      <w:r w:rsidRPr="00216965">
        <w:rPr>
          <w:vertAlign w:val="subscript"/>
        </w:rPr>
        <w:t>2</w:t>
      </w:r>
      <w:r w:rsidRPr="00216965">
        <w:t xml:space="preserve"> have been reported to contribute to Pb metal sorption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{"citationItems":[{"id":"ITEM-1","itemData":{"DOI":"10.1016/j.biortech.2014.11.077","ISSN":"18732976","abstract":"The objective of this study was to investigate the relationship between Pb2+ adsorption and physicochemical properties of biochars produced at different pyrolytic temperatures. Ten biochars were prepared from peanut shell (PS) and Chinese medicine material residue (MR) at 300-600°C. Adsorption kinetics and isotherms were determined, and the untreated and Pb2+-loaded biochars were analyzed by FTIR, SEM-EDX and XRD. Functional groups complexation, Pb2+-π interaction and precipitation with minerals jointly contributed to Pb2+ adsorption on these biochars. New mineral precipitates (e.g., Pb2(SO4)O and Pb4(CO3)2(SO4)(OH)2) formed during Pb2+ sorption. For high-temperature biochars (≥500°C), Pb2+ sorption via complexation reduced, but the contribution of Pb2+-π interaction was enhanced. Dramatic reduction of Pb2+ sorption on demineralized biochars indicated the dominant role of minerals. These results are useful for screening effective biochars as engineered sorbents to remove or immobilize Pb2+ in polluted water and soil.","author":[{"dropping-particle":"","family":"Wang","given":"Zhenyu","non-dropping-particle":"","parse-names":false,"suffix":""},{"dropping-particle":"","family":"Liu","given":"Guocheng","non-dropping-particle":"","parse-names":false,"suffix":""},{"dropping-particle":"","family":"Zheng","given":"Hao","non-dropping-particle":"","parse-names":false,"suffix":""},{"dropping-particle":"","family":"Li","given":"Fengmin","non-dropping-particle":"","parse-names":false,"suffix":""},{"dropping-particle":"","family":"Ngo","given":"Huu Hao","non-dropping-particle":"","parse-names":false,"suffix":""},{"dropping-particle":"","family":"Guo","given":"Wenshan","non-dropping-particle":"","parse-names":false,"suffix":""},{"dropping-particle":"","family":"Liu","given":"Cui","non-dropping-particle":"","parse-names":false,"suffix":""},{"dropping-particle":"","family":"Chen","given":"Lei","non-dropping-particle":"","parse-names":false,"suffix":""},{"dropping-particle":"","family":"Xing","given":"Baoshan","non-dropping-particle":"","parse-names":false,"suffix":""}],"container-title":"Bioresource Technology","id":"ITEM-1","issued":{"date-parts":[["2015","2","1"]]},"page":"308-317","publisher":"Elsevier Ltd","title":"Investigating the mechanisms of biochar’s removal of lead from solution","type":"article-journal","volume":"177"},"uris":["http://www.mendeley.com/documents/?uuid=a61e7b78-989f-349e-9f9a-c3fc86f603f6"]}],"mendeley":{"formattedCitation":"(Z. Wang et al., 2015)","plainTextFormattedCitation":"(Z. Wang et al., 2015)","previouslyFormattedCitation":"(Z. Wang et al., 2015)"},"properties":{"noteIndex":0},"schema":"https://github.com/citation-style-language/schema/raw/master/csl-citation.json"}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(Z. Wang et al., 2015)</w:t>
      </w:r>
      <w:r w:rsidRPr="00216965">
        <w:rPr>
          <w:rFonts w:cs="Times New Roman"/>
          <w:bCs/>
          <w:szCs w:val="24"/>
        </w:rPr>
        <w:fldChar w:fldCharType="end"/>
      </w:r>
      <w:r w:rsidRPr="00216965">
        <w:t xml:space="preserve">. Regarding Zn-loaded samples, there was no clear indication of elements occurring at the same positions as Zn, apart from O, for any biochar analysed.      </w:t>
      </w:r>
    </w:p>
    <w:p w14:paraId="3CB6053C" w14:textId="5D0CCAC7" w:rsidR="005563EE" w:rsidRPr="00216965" w:rsidRDefault="005563EE" w:rsidP="008A33DA">
      <w:pPr>
        <w:spacing w:line="360" w:lineRule="auto"/>
        <w:jc w:val="both"/>
      </w:pPr>
      <w:r w:rsidRPr="00216965">
        <w:t xml:space="preserve">These SEM-EDX results suggest that in the case of Cd and Pb, in addition to the interactions with functional groups indicated in </w:t>
      </w:r>
      <w:r w:rsidRPr="00216965">
        <w:rPr>
          <w:b/>
          <w:bCs/>
        </w:rPr>
        <w:t xml:space="preserve">section </w:t>
      </w:r>
      <w:r w:rsidRPr="00216965">
        <w:rPr>
          <w:b/>
          <w:bCs/>
        </w:rPr>
        <w:fldChar w:fldCharType="begin"/>
      </w:r>
      <w:r w:rsidRPr="00216965">
        <w:rPr>
          <w:b/>
          <w:bCs/>
        </w:rPr>
        <w:instrText xml:space="preserve"> REF _Ref86333709 \r \h  \* MERGEFORMAT </w:instrText>
      </w:r>
      <w:r w:rsidRPr="00216965">
        <w:rPr>
          <w:b/>
          <w:bCs/>
        </w:rPr>
      </w:r>
      <w:r w:rsidRPr="00216965">
        <w:rPr>
          <w:b/>
          <w:bCs/>
        </w:rPr>
        <w:fldChar w:fldCharType="separate"/>
      </w:r>
      <w:r w:rsidR="006E23EA" w:rsidRPr="00216965">
        <w:rPr>
          <w:b/>
          <w:bCs/>
        </w:rPr>
        <w:t>3.3.3.1</w:t>
      </w:r>
      <w:r w:rsidRPr="00216965">
        <w:rPr>
          <w:b/>
          <w:bCs/>
        </w:rPr>
        <w:fldChar w:fldCharType="end"/>
      </w:r>
      <w:r w:rsidRPr="00216965">
        <w:t>, sorption could have also be mediated by the formation of mineral precipitates containing K</w:t>
      </w:r>
      <w:r w:rsidRPr="00216965">
        <w:rPr>
          <w:vertAlign w:val="superscript"/>
        </w:rPr>
        <w:t>+</w:t>
      </w:r>
      <w:r w:rsidRPr="00216965">
        <w:t xml:space="preserve"> and S.</w:t>
      </w:r>
    </w:p>
    <w:p w14:paraId="2DF3A26B" w14:textId="77777777" w:rsidR="005563EE" w:rsidRPr="00216965" w:rsidRDefault="005563EE" w:rsidP="008A33DA">
      <w:pPr>
        <w:spacing w:line="480" w:lineRule="auto"/>
        <w:jc w:val="both"/>
      </w:pPr>
    </w:p>
    <w:p w14:paraId="76AAB19E" w14:textId="77777777" w:rsidR="005563EE" w:rsidRPr="00216965" w:rsidRDefault="005563EE" w:rsidP="008A33DA">
      <w:pPr>
        <w:spacing w:line="480" w:lineRule="auto"/>
        <w:jc w:val="both"/>
        <w:sectPr w:rsidR="005563EE" w:rsidRPr="00216965" w:rsidSect="00A0457B">
          <w:pgSz w:w="11906" w:h="16838"/>
          <w:pgMar w:top="1440" w:right="1440" w:bottom="1440" w:left="1440" w:header="708" w:footer="708" w:gutter="0"/>
          <w:cols w:space="708"/>
          <w:docGrid w:linePitch="360"/>
        </w:sectPr>
      </w:pPr>
    </w:p>
    <w:p w14:paraId="0D6CF6EF" w14:textId="77777777" w:rsidR="005563EE" w:rsidRPr="00216965" w:rsidRDefault="005563EE" w:rsidP="008A33DA">
      <w:pPr>
        <w:spacing w:after="0" w:line="480" w:lineRule="auto"/>
        <w:ind w:right="1558"/>
        <w:rPr>
          <w:rFonts w:eastAsia="Times New Roman" w:cs="Times New Roman"/>
        </w:rPr>
      </w:pPr>
      <w:r w:rsidRPr="00216965">
        <w:rPr>
          <w:noProof/>
        </w:rPr>
        <w:lastRenderedPageBreak/>
        <w:drawing>
          <wp:inline distT="0" distB="0" distL="0" distR="0" wp14:anchorId="6752DBF2" wp14:editId="70CCBBD0">
            <wp:extent cx="8801100" cy="4229100"/>
            <wp:effectExtent l="0" t="0" r="0" b="0"/>
            <wp:docPr id="27" name="image11.png" descr="A picture containing dark&#10;&#10;Description automatically generated"/>
            <wp:cNvGraphicFramePr/>
            <a:graphic xmlns:a="http://schemas.openxmlformats.org/drawingml/2006/main">
              <a:graphicData uri="http://schemas.openxmlformats.org/drawingml/2006/picture">
                <pic:pic xmlns:pic="http://schemas.openxmlformats.org/drawingml/2006/picture">
                  <pic:nvPicPr>
                    <pic:cNvPr id="27" name="image11.png" descr="A picture containing dark&#10;&#10;Description automatically generated"/>
                    <pic:cNvPicPr preferRelativeResize="0"/>
                  </pic:nvPicPr>
                  <pic:blipFill>
                    <a:blip r:embed="rId34"/>
                    <a:srcRect/>
                    <a:stretch>
                      <a:fillRect/>
                    </a:stretch>
                  </pic:blipFill>
                  <pic:spPr>
                    <a:xfrm>
                      <a:off x="0" y="0"/>
                      <a:ext cx="8801100" cy="4229100"/>
                    </a:xfrm>
                    <a:prstGeom prst="rect">
                      <a:avLst/>
                    </a:prstGeom>
                    <a:ln/>
                  </pic:spPr>
                </pic:pic>
              </a:graphicData>
            </a:graphic>
          </wp:inline>
        </w:drawing>
      </w:r>
    </w:p>
    <w:p w14:paraId="2849DE1B" w14:textId="3D8C38A7" w:rsidR="005563EE" w:rsidRPr="00216965" w:rsidRDefault="005563EE" w:rsidP="008A33DA">
      <w:pPr>
        <w:pStyle w:val="Caption"/>
        <w:rPr>
          <w:rFonts w:cs="Times New Roman"/>
          <w:b/>
          <w:bCs w:val="0"/>
          <w:szCs w:val="24"/>
        </w:rPr>
      </w:pPr>
      <w:bookmarkStart w:id="170" w:name="_Ref54554919"/>
      <w:bookmarkStart w:id="171" w:name="_Toc86439360"/>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9</w:t>
      </w:r>
      <w:r w:rsidR="00BF3EBE" w:rsidRPr="00216965">
        <w:rPr>
          <w:rFonts w:cs="Times New Roman"/>
          <w:b/>
          <w:bCs w:val="0"/>
          <w:szCs w:val="24"/>
        </w:rPr>
        <w:fldChar w:fldCharType="end"/>
      </w:r>
      <w:bookmarkEnd w:id="170"/>
      <w:r w:rsidRPr="00216965">
        <w:rPr>
          <w:rFonts w:cs="Times New Roman"/>
          <w:b/>
          <w:bCs w:val="0"/>
          <w:szCs w:val="24"/>
        </w:rPr>
        <w:t>.</w:t>
      </w:r>
      <w:r w:rsidRPr="00216965">
        <w:rPr>
          <w:b/>
          <w:bCs w:val="0"/>
        </w:rPr>
        <w:t xml:space="preserve"> </w:t>
      </w:r>
      <w:r w:rsidRPr="00216965">
        <w:rPr>
          <w:rFonts w:cs="Times New Roman"/>
          <w:b/>
          <w:bCs w:val="0"/>
          <w:szCs w:val="24"/>
        </w:rPr>
        <w:t>SEM-EDX images of biochar MSP550 after sorption of Cd, Pb and Zn and the main elements identified on its surface</w:t>
      </w:r>
      <w:bookmarkEnd w:id="171"/>
      <w:r w:rsidR="0031210E" w:rsidRPr="00216965">
        <w:rPr>
          <w:rFonts w:cs="Times New Roman"/>
          <w:b/>
          <w:bCs w:val="0"/>
          <w:szCs w:val="24"/>
        </w:rPr>
        <w:t>.</w:t>
      </w:r>
    </w:p>
    <w:p w14:paraId="34DA7CE3" w14:textId="77777777" w:rsidR="005563EE" w:rsidRPr="00216965" w:rsidRDefault="005563EE" w:rsidP="008A33DA">
      <w:pPr>
        <w:spacing w:line="480" w:lineRule="auto"/>
        <w:jc w:val="both"/>
        <w:sectPr w:rsidR="005563EE" w:rsidRPr="00216965" w:rsidSect="00A0457B">
          <w:pgSz w:w="16838" w:h="11906" w:orient="landscape"/>
          <w:pgMar w:top="1440" w:right="1440" w:bottom="1440" w:left="1440" w:header="708" w:footer="708" w:gutter="0"/>
          <w:cols w:space="708"/>
          <w:docGrid w:linePitch="360"/>
        </w:sectPr>
      </w:pPr>
    </w:p>
    <w:p w14:paraId="3CF5EA74" w14:textId="77777777" w:rsidR="005563EE" w:rsidRPr="00216965" w:rsidRDefault="005563EE" w:rsidP="008A33DA">
      <w:pPr>
        <w:pStyle w:val="Heading3"/>
      </w:pPr>
      <w:bookmarkStart w:id="172" w:name="_Toc86504657"/>
      <w:r w:rsidRPr="00216965">
        <w:lastRenderedPageBreak/>
        <w:t>Competitive sorption</w:t>
      </w:r>
      <w:bookmarkEnd w:id="172"/>
    </w:p>
    <w:p w14:paraId="50DFE608" w14:textId="77777777" w:rsidR="008574C0" w:rsidRPr="00216965" w:rsidRDefault="005563EE" w:rsidP="008A33DA">
      <w:pPr>
        <w:spacing w:line="360" w:lineRule="auto"/>
        <w:jc w:val="both"/>
      </w:pPr>
      <w:r w:rsidRPr="00216965">
        <w:t xml:space="preserve">The effect of metal competition on the sorption capacity of biochars in binary and ternary      equimolar systems is illustrated in </w:t>
      </w:r>
      <w:r w:rsidRPr="00216965">
        <w:fldChar w:fldCharType="begin"/>
      </w:r>
      <w:r w:rsidRPr="00216965">
        <w:instrText xml:space="preserve"> REF _Ref52749732 \h </w:instrText>
      </w:r>
      <w:r w:rsidR="006D2F0E" w:rsidRPr="00216965">
        <w:instrText xml:space="preserve"> \* MERGEFORMAT </w:instrText>
      </w:r>
      <w:r w:rsidRPr="00216965">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10</w:t>
      </w:r>
      <w:r w:rsidRPr="00216965">
        <w:fldChar w:fldCharType="end"/>
      </w:r>
      <w:r w:rsidRPr="00216965">
        <w:t xml:space="preserve">. The presence of additional elements in synthetic soil pore water had a significant effect (p &lt; 0.001) on the sorption capacity of the biochars for HMs. In the systems containing equimolar concentrations of Zn and Cd the sorption capacity for Zn was higher than for Cd (p &lt; 0.05) for all the biochars. When Pb was present, either in Zn-Pb or Pb-Cd binary systems, or the ternary system containing Pb, Cd and Zn; the sorption capacity for Pb was significantly higher (p &lt; 0.001), limiting the binding of the other elements for all the biochars. </w:t>
      </w:r>
    </w:p>
    <w:p w14:paraId="413043C0" w14:textId="4F126D7A" w:rsidR="005563EE" w:rsidRPr="00216965" w:rsidRDefault="005563EE" w:rsidP="008A33DA">
      <w:pPr>
        <w:spacing w:line="360" w:lineRule="auto"/>
        <w:jc w:val="both"/>
      </w:pPr>
      <w:r w:rsidRPr="00216965">
        <w:t>The higher sorption capacity for Pb in the multi-element sorption studies regardless of the biochar type is consistent with the higher sorption capacity for Pb observed in the mono-element sorption studies (</w:t>
      </w:r>
      <w:r w:rsidRPr="00216965">
        <w:rPr>
          <w:b/>
          <w:bCs/>
        </w:rPr>
        <w:t xml:space="preserve">section </w:t>
      </w:r>
      <w:r w:rsidRPr="00216965">
        <w:rPr>
          <w:b/>
          <w:bCs/>
        </w:rPr>
        <w:fldChar w:fldCharType="begin"/>
      </w:r>
      <w:r w:rsidRPr="00216965">
        <w:rPr>
          <w:b/>
          <w:bCs/>
        </w:rPr>
        <w:instrText xml:space="preserve"> REF _Ref86333806 \r \h  \* MERGEFORMAT </w:instrText>
      </w:r>
      <w:r w:rsidRPr="00216965">
        <w:rPr>
          <w:b/>
          <w:bCs/>
        </w:rPr>
      </w:r>
      <w:r w:rsidRPr="00216965">
        <w:rPr>
          <w:b/>
          <w:bCs/>
        </w:rPr>
        <w:fldChar w:fldCharType="separate"/>
      </w:r>
      <w:r w:rsidR="006E23EA" w:rsidRPr="00216965">
        <w:rPr>
          <w:b/>
          <w:bCs/>
        </w:rPr>
        <w:t>3.3.2.3</w:t>
      </w:r>
      <w:r w:rsidRPr="00216965">
        <w:rPr>
          <w:b/>
          <w:bCs/>
        </w:rPr>
        <w:fldChar w:fldCharType="end"/>
      </w:r>
      <w:r w:rsidRPr="00216965">
        <w:t xml:space="preserve">). This finding is supported by the results of </w:t>
      </w:r>
      <w:r w:rsidRPr="00216965">
        <w:rPr>
          <w:rStyle w:val="Heading2Char"/>
          <w:rFonts w:eastAsiaTheme="minorHAnsi" w:cs="Times New Roman"/>
          <w:b w:val="0"/>
          <w:i/>
        </w:rPr>
        <w:fldChar w:fldCharType="begin" w:fldLock="1"/>
      </w:r>
      <w:r w:rsidR="006C06AA" w:rsidRPr="00216965">
        <w:rPr>
          <w:rStyle w:val="Heading2Char"/>
          <w:rFonts w:eastAsiaTheme="minorHAnsi" w:cs="Times New Roman"/>
          <w:b w:val="0"/>
        </w:rPr>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solutions","type":"article-journal","volume":"142"},"uris":["http://www.mendeley.com/documents/?uuid=1cae7d89-3ac3-3524-b831-95328bd4d82f"]}],"mendeley":{"formattedCitation":"(Park et al., 2016)","manualFormatting":"Park et al. (2016)","plainTextFormattedCitation":"(Park et al., 2016)","previouslyFormattedCitation":"(Park et al., 2016)"},"properties":{"noteIndex":0},"schema":"https://github.com/citation-style-language/schema/raw/master/csl-citation.json"}</w:instrText>
      </w:r>
      <w:r w:rsidRPr="00216965">
        <w:rPr>
          <w:rStyle w:val="Heading2Char"/>
          <w:rFonts w:eastAsiaTheme="minorHAnsi" w:cs="Times New Roman"/>
          <w:b w:val="0"/>
          <w:i/>
        </w:rPr>
        <w:fldChar w:fldCharType="separate"/>
      </w:r>
      <w:r w:rsidRPr="00216965">
        <w:rPr>
          <w:rStyle w:val="Heading2Char"/>
          <w:rFonts w:eastAsiaTheme="minorHAnsi" w:cs="Times New Roman"/>
          <w:b w:val="0"/>
          <w:noProof/>
        </w:rPr>
        <w:t xml:space="preserve">Park </w:t>
      </w:r>
      <w:r w:rsidR="009B2252" w:rsidRPr="00216965">
        <w:rPr>
          <w:rStyle w:val="Heading2Char"/>
          <w:rFonts w:eastAsiaTheme="minorHAnsi" w:cs="Times New Roman"/>
          <w:b w:val="0"/>
          <w:iCs/>
          <w:noProof/>
        </w:rPr>
        <w:t>et al</w:t>
      </w:r>
      <w:r w:rsidRPr="00216965">
        <w:rPr>
          <w:rStyle w:val="Heading2Char"/>
          <w:rFonts w:eastAsiaTheme="minorHAnsi" w:cs="Times New Roman"/>
          <w:b w:val="0"/>
          <w:noProof/>
        </w:rPr>
        <w:t>. (2016)</w:t>
      </w:r>
      <w:r w:rsidRPr="00216965">
        <w:rPr>
          <w:rStyle w:val="Heading2Char"/>
          <w:rFonts w:eastAsiaTheme="minorHAnsi" w:cs="Times New Roman"/>
          <w:b w:val="0"/>
          <w:i/>
        </w:rPr>
        <w:fldChar w:fldCharType="end"/>
      </w:r>
      <w:r w:rsidRPr="00216965">
        <w:t xml:space="preserve">, who reported a sorption capacity in the order of Pb &gt;Cu &gt;Cr &gt; Zn&gt; Cd for a multi-element sorption experiment using sesame straw biochar. These results are consistent with our findings and indicate that in spite of a lower Zn sorption capacity (Zn&lt;Cd) in mono-metal systems, Zn sorption was higher than Cd (Zn&gt;Cd) when in competition. </w:t>
      </w:r>
    </w:p>
    <w:p w14:paraId="6E8DE190" w14:textId="77777777" w:rsidR="008574C0" w:rsidRPr="00216965" w:rsidRDefault="005563EE" w:rsidP="008A33DA">
      <w:pPr>
        <w:spacing w:line="360" w:lineRule="auto"/>
        <w:jc w:val="both"/>
      </w:pPr>
      <w:r w:rsidRPr="00216965">
        <w:t xml:space="preserve">The negligible sorption of Zn or Cd in the presence of Pb suggests that these trace elements compete for the same sorption sites. The sorption of HMs onto biochar depends on the nature of the elements involved. The adsorption preference exhibited by biochars for Pb over Zn and Cd when in competition could be due to (i) the hydrolysis constant, (ii) the ionic radius, and subsequently hydrated radius, and (iii) its Misono softness value due to a stronger surface electrostatic attraction. </w:t>
      </w:r>
    </w:p>
    <w:p w14:paraId="7F5F9DD8" w14:textId="3F7AC4C5" w:rsidR="008574C0" w:rsidRPr="00216965" w:rsidRDefault="005563EE" w:rsidP="008A33DA">
      <w:pPr>
        <w:spacing w:line="360" w:lineRule="auto"/>
        <w:jc w:val="both"/>
      </w:pPr>
      <w:r w:rsidRPr="00216965">
        <w:t>The first hydrolysis constant (pK) of Pb</w:t>
      </w:r>
      <w:r w:rsidRPr="00216965">
        <w:rPr>
          <w:vertAlign w:val="superscript"/>
        </w:rPr>
        <w:t>2+</w:t>
      </w:r>
      <w:r w:rsidRPr="00216965">
        <w:t xml:space="preserve"> (7.71) is lower than that of Cd</w:t>
      </w:r>
      <w:r w:rsidRPr="00216965">
        <w:rPr>
          <w:vertAlign w:val="superscript"/>
        </w:rPr>
        <w:t>2+</w:t>
      </w:r>
      <w:r w:rsidRPr="00216965">
        <w:t xml:space="preserve"> (10.1) and Zn</w:t>
      </w:r>
      <w:r w:rsidRPr="00216965">
        <w:rPr>
          <w:vertAlign w:val="superscript"/>
        </w:rPr>
        <w:t>2+</w:t>
      </w:r>
      <w:r w:rsidRPr="00216965">
        <w:t xml:space="preserve"> (9.0) </w:t>
      </w:r>
      <w:sdt>
        <w:sdtPr>
          <w:tag w:val="goog_rdk_1913"/>
          <w:id w:val="-293910376"/>
        </w:sdtPr>
        <w:sdtEndPr/>
        <w:sdtContent>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solutions","type":"article-journal","volume":"142"},"uris":["http://www.mendeley.com/documents/?uuid=1cae7d89-3ac3-3524-b831-95328bd4d82f"]}],"mendeley":{"formattedCitation":"(Park et al., 2016)","plainTextFormattedCitation":"(Park et al., 2016)","previouslyFormattedCitation":"(Park et al., 2016)"},"properties":{"noteIndex":0},"schema":"https://github.com/citation-style-language/schema/raw/master/csl-citation.json"}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(Park et al., 2016)</w:t>
          </w:r>
          <w:r w:rsidRPr="00216965">
            <w:rPr>
              <w:rFonts w:cs="Times New Roman"/>
              <w:bCs/>
              <w:szCs w:val="24"/>
            </w:rPr>
            <w:fldChar w:fldCharType="end"/>
          </w:r>
        </w:sdtContent>
      </w:sdt>
      <w:r w:rsidRPr="00216965">
        <w:t xml:space="preserve">. The first hydrolysis product of divalent ions is capable of forming complexes with the adsorbent, which result in stronger element retention (inner-sphere complexes) than the electrostatic attraction of hydrated ion elements. Thus, the lower the hydrolysis constant of the element, the stronger the element specific sorption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(Shaheen et al., 2013)</w:t>
      </w:r>
      <w:r w:rsidRPr="00216965">
        <w:rPr>
          <w:rFonts w:cs="Times New Roman"/>
          <w:bCs/>
          <w:szCs w:val="24"/>
        </w:rPr>
        <w:fldChar w:fldCharType="end"/>
      </w:r>
      <w:r w:rsidRPr="00216965">
        <w:t xml:space="preserve">. </w:t>
      </w:r>
    </w:p>
    <w:p w14:paraId="73A3EDE5" w14:textId="6AFFDB83" w:rsidR="005563EE" w:rsidRPr="00216965" w:rsidRDefault="005563EE" w:rsidP="008A33DA">
      <w:pPr>
        <w:spacing w:line="360" w:lineRule="auto"/>
        <w:jc w:val="both"/>
      </w:pPr>
      <w:r w:rsidRPr="00216965">
        <w:t>Pb</w:t>
      </w:r>
      <w:r w:rsidRPr="00216965">
        <w:rPr>
          <w:vertAlign w:val="superscript"/>
        </w:rPr>
        <w:t>2+</w:t>
      </w:r>
      <w:r w:rsidRPr="00216965">
        <w:t xml:space="preserve"> has a smaller hydrated radius of 4.01 Å compared with Cd</w:t>
      </w:r>
      <w:r w:rsidRPr="00216965">
        <w:rPr>
          <w:vertAlign w:val="superscript"/>
        </w:rPr>
        <w:t>2+</w:t>
      </w:r>
      <w:r w:rsidRPr="00216965">
        <w:t xml:space="preserve"> (4.26 Å) or Zn</w:t>
      </w:r>
      <w:r w:rsidRPr="00216965">
        <w:rPr>
          <w:vertAlign w:val="superscript"/>
        </w:rPr>
        <w:t>2+</w:t>
      </w:r>
      <w:r w:rsidRPr="00216965">
        <w:t xml:space="preserve"> (4.30 Å). The larger the hydrated radius the higher the activation energy required to initiate cation exchange </w:t>
      </w:r>
      <w:r w:rsidRPr="00216965">
        <w:rPr>
          <w:rFonts w:cs="Times New Roman"/>
          <w:bCs/>
          <w:szCs w:val="24"/>
        </w:rPr>
        <w:fldChar w:fldCharType="begin" w:fldLock="1"/>
      </w:r>
      <w:r w:rsidR="006C06AA" w:rsidRPr="00216965">
        <w:rPr>
          <w:rFonts w:cs="Times New Roman"/>
          <w:bCs/>
          <w:szCs w:val="24"/>
        </w:rPr>
        <w:instrText>ADDIN CSL_CITATION {"citationItems":[{"id":"ITEM-1","itemData":{"DOI":"10.1021/es104401h","abstract":"b S Supporting Information ' INTRODUCTION The role of black carbon (BC) materials in biogeochemical cycles has received significant attention in recent years. 1À4 In addition to their ubiquity and long-term stability in the environment , much of the attention on black carbon materials is attributable to their physicochemical diversity. Hence, despite a general consensus that BC materials can be divided into two major categories (char/charcoal and soot), it is widely recognized that significant heterogeneity exists within categories. 5À7 For plant-derived biochars (char/charcoal formed via incomplete combustion of plant biomass) physicochemical heterogeneity is driven by the degree of thermal alteration À as controlled by plant biomass chemistry and combustion conditions. 5À9 Plant-derived biochars with different degrees of thermal alteration exhibit significantly different bulk and surface properties. 1,4À7 Systematic evaluations of how variations in the bulk and surface properties of plant-derived biochars influence their sorptive characteristics with respect to organic contaminants have been done. 1,4 For example, Chen et al. 1 found that pine-needle biochars exhibit transitional sorptive behavior toward naphthalene, nitrobenzene, and m-nitrobenzene depending on biochar aromaticity, porosity, and surface area. Recent studies show that plant-derived biochars also have the ability to adsorb environmentally significant ionic species, such as heavy metals. 2,3 However, a systematic understanding of how surface and bulk chemistry of plant-derived biochar influences biochar-metal interaction is still needed. The reality is that research on the sorption of ionic species, including heavy metals, to plant-derived biochars is still in its infancy. 2 In contrast, sorption of heavy metals onto other carbonized materials (e.g., activated carbons) has been widely studied. 10À13 Despite significant physicochemical differences between plant-derived bio-chars and other carbonized materials, 7,14 useful insights can be ABSTRACT: Plant-derived biochars exhibit large physicochemical hetero-geneity due to variations in biomass chemistry and combustion conditions. However, the influence of biochar heterogeneity on biochar-metal interaction mechanisms has not been systematically described. We used flow adsorption microcalorimetry to study structure-sorption relationships between twelve plant-derived biochars and two metals (K þ and Cd 2þ) of different Lewis acidity. Irrespe…","author":[{"dropping-particle":"","family":"Harvey","given":"Omar R","non-dropping-particle":"","parse-names":false,"suffix":""},{"dropping-particle":"","family":"Herbert","given":"Bruce E","non-dropping-particle":"","parse-names":false,"suffix":""},{"dropping-particle":"","family":"Rhue","given":"Roy D","non-dropping-particle":"","parse-names":false,"suffix":""},{"dropping-particle":"","family":"Kuo","given":"Li-Jung","non-dropping-particle":"","parse-names":false,"suffix":""}],"container-title":"Environmental Science &amp; Technology","id":"ITEM-1","issued":{"date-parts":[["2011"]]},"page":"5550-5556","publisher":"UTC","title":"Metal interactions at the biochar-water interface: Energetics and structure-sorption relationships elucidated by flow adsorption microcalorimetry","type":"article-journal","volume":"45"},"uris":["http://www.mendeley.com/documents/?uuid=2c247f1a-4aa2-373f-ac7e-47e4d4ac6f29"]}],"mendeley":{"formattedCitation":"(Harvey et al., 2011)","plainTextFormattedCitation":"(Harvey et al., 2011)","previouslyFormattedCitation":"(Harvey et al., 2011)"},"properties":{"noteIndex":0},"schema":"https://github.com/citation-style-language/schema/raw/master/csl-citation.json"}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(Harvey et al., 2011)</w:t>
      </w:r>
      <w:r w:rsidRPr="00216965">
        <w:rPr>
          <w:rFonts w:cs="Times New Roman"/>
          <w:bCs/>
          <w:szCs w:val="24"/>
        </w:rPr>
        <w:fldChar w:fldCharType="end"/>
      </w:r>
      <w:r w:rsidRPr="00216965">
        <w:t xml:space="preserve">, besides a smaller hydrated radius favours Coulombic interactions (outer-sphere complexes) between the cation and exchange sites of the adsorbent </w:t>
      </w:r>
      <w:r w:rsidRPr="00216965">
        <w:rPr>
          <w:rFonts w:cs="Times New Roman"/>
          <w:bCs/>
          <w:szCs w:val="24"/>
        </w:rPr>
        <w:lastRenderedPageBreak/>
        <w:fldChar w:fldCharType="begin" w:fldLock="1"/>
      </w:r>
      <w:r w:rsidR="006C06AA" w:rsidRPr="00216965">
        <w:rPr>
          <w:rFonts w:cs="Times New Roman"/>
          <w:bCs/>
          <w:szCs w:val="24"/>
        </w:rPr>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(Shaheen et al., 2013)</w:t>
      </w:r>
      <w:r w:rsidRPr="00216965">
        <w:rPr>
          <w:rFonts w:cs="Times New Roman"/>
          <w:bCs/>
          <w:szCs w:val="24"/>
        </w:rPr>
        <w:fldChar w:fldCharType="end"/>
      </w:r>
      <w:r w:rsidRPr="00216965">
        <w:t>. The scale of Misono represents the acidity of metal ions as Lewis acids based on two parameters, one associated with the softness and the second to the electronegativity of the ion. Considering these two parameters respectively, Pb</w:t>
      </w:r>
      <w:r w:rsidRPr="00216965">
        <w:rPr>
          <w:vertAlign w:val="superscript"/>
        </w:rPr>
        <w:t>2+</w:t>
      </w:r>
      <w:r w:rsidRPr="00216965">
        <w:t xml:space="preserve"> (3.58, 4.15) is a harder acid than Zn</w:t>
      </w:r>
      <w:r w:rsidRPr="00216965">
        <w:rPr>
          <w:vertAlign w:val="superscript"/>
        </w:rPr>
        <w:t>2+</w:t>
      </w:r>
      <w:r w:rsidRPr="00216965">
        <w:t xml:space="preserve"> (2.34, 4.64), while Cd</w:t>
      </w:r>
      <w:r w:rsidRPr="00216965">
        <w:rPr>
          <w:vertAlign w:val="superscript"/>
        </w:rPr>
        <w:t>2+</w:t>
      </w:r>
      <w:r w:rsidRPr="00216965">
        <w:t xml:space="preserve"> (3.04, 4.60) is considered a soft acid </w:t>
      </w:r>
      <w:r w:rsidRPr="00216965">
        <w:rPr>
          <w:rFonts w:cs="Times New Roman"/>
          <w:bCs/>
          <w:szCs w:val="24"/>
        </w:rPr>
        <w:fldChar w:fldCharType="begin" w:fldLock="1"/>
      </w:r>
      <w:r w:rsidR="006C06AA" w:rsidRPr="00216965">
        <w:rPr>
          <w:rFonts w:cs="Times New Roman"/>
          <w:bCs/>
          <w:szCs w:val="24"/>
        </w:rPr>
        <w:instrText>ADDIN CSL_CITATION {"citationItems":[{"id":"ITEM-1","itemData":{"DOI":"10.1016/0022-1902(67)80006-X","ISSN":"00221902","abstract":"A dual parameter scale has been proposed to represent the acidity of metal ions as Lewis acids. One parameter, X, is related to the electronegativity of the ion and is derived from the equation: (10 X)1 2 = xi = xM0 + (ΣIn)sol1 2, where xi and xM0 are the electronegativities of the metal ion and the neutral metal atom, respectively, and In is the n-th ionization potential (M(n-1)+ → Mn+). Another parameter, Y, is calculated by Y = 10(In/In+1)(ri/√n), where ri is the ionic radius of the metal ion and n is its formal charge. This parameter, Y, can be considered to express the tendency of a metal ion to form a dative pi-bond and consequently should correspond to its \"softness\". The instability constant of a metal ion complex, K, can be described by these parameters as follows, pK = log K = αX + βY + γ, where α and β dual basicity parameters of the ligand corresponding to X and Y, respectively, and γ is a constant determined for each ligand. Some examples of the applications of these parameters are given. © 1967.","author":[{"dropping-particle":"","family":"Misono","given":"Makoto","non-dropping-particle":"","parse-names":false,"suffix":""},{"dropping-particle":"","family":"Ochiai","given":"Ei'ichiro","non-dropping-particle":"","parse-names":false,"suffix":""},{"dropping-particle":"","family":"Saito","given":"Yasukazu","non-dropping-particle":"","parse-names":false,"suffix":""},{"dropping-particle":"","family":"Yoneda","given":"Yukio","non-dropping-particle":"","parse-names":false,"suffix":""}],"container-title":"Journal of Inorganic and Nuclear Chemistry","id":"ITEM-1","issue":"11","issued":{"date-parts":[["1967"]]},"page":"2685-2691","title":"A new dual parameter scale for the strength of lewis acids and bases with the evaluation of their softness","type":"article-journal","volume":"29"},"uris":["http://www.mendeley.com/documents/?uuid=c09ab5a8-29d7-422b-811a-c6b9fabeb5cc"]}],"mendeley":{"formattedCitation":"(Misono et al., 1967)","plainTextFormattedCitation":"(Misono et al., 1967)","previouslyFormattedCitation":"(Misono et al., 1967)"},"properties":{"noteIndex":0},"schema":"https://github.com/citation-style-language/schema/raw/master/csl-citation.json"}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(Misono et al., 1967)</w:t>
      </w:r>
      <w:r w:rsidRPr="00216965">
        <w:rPr>
          <w:rFonts w:cs="Times New Roman"/>
          <w:bCs/>
          <w:szCs w:val="24"/>
        </w:rPr>
        <w:fldChar w:fldCharType="end"/>
      </w:r>
      <w:r w:rsidRPr="00216965">
        <w:t xml:space="preserve">. According to the HSBA theory </w:t>
      </w:r>
      <w:r w:rsidRPr="00216965">
        <w:rPr>
          <w:rFonts w:cs="Times New Roman"/>
          <w:bCs/>
          <w:szCs w:val="24"/>
        </w:rPr>
        <w:fldChar w:fldCharType="begin" w:fldLock="1"/>
      </w:r>
      <w:r w:rsidR="006C06AA" w:rsidRPr="00216965">
        <w:rPr>
          <w:rFonts w:cs="Times New Roman"/>
          <w:bCs/>
          <w:szCs w:val="24"/>
        </w:rPr>
        <w:instrText>ADDIN CSL_CITATION {"citationItems":[{"id":"ITEM-1","itemData":{"DOI":"10.1016/j.apsusc.2003.12.033","ISSN":"01694332","abstract":"While activated carbons (ACs) are extensively used for metal ions trapping in aqueous medium, the physico-chemical factors responsible of this phenomenon are not yet clearly understood, that is an important drawback for improving the adsorption properties of these materials. The main interpretations are related either to a cationic exchange with the acid surface groups or to an interaction with the π-orbitals of the surface polyaromatic units. However, it remains very unclear why some ions interact mainly with one type of site and rather not the other, and why the interaction might depend whether the ions are coordinated or not. In this paper, we show that the hard and soft acids and bases (HSAB) concept allows quite a large number of published data dealing with ions adsorption on activated carbons to be interpreted. In this concept, the surface of the basal structural units of carbon is soft and can trap soft ions, whereas the oxygen surface groups are the hard sites that fix hard metal ions. On the other hand, using either special treatments for the activated carbon or the coordination of metal ions by various ligands allows the hardness of the two interacting species to be matched for a better control of adsorption. According to the HSAB concept, one is able to predict the potential sites of adsorption on the carbon surface as a function of the hardness of each ion. Changing the experimental conditions, metal ions with a borderline hardness can be adsorbed by the hard and/or the soft sites of carbon. © 2004 Elsevier B.V. All rights reserved.","author":[{"dropping-particle":"","family":"Alfarra","given":"Ahmad","non-dropping-particle":"","parse-names":false,"suffix":""},{"dropping-particle":"","family":"Frackowiak","given":"Elzbieta","non-dropping-particle":"","parse-names":false,"suffix":""},{"dropping-particle":"","family":"Béguin","given":"François","non-dropping-particle":"","parse-names":false,"suffix":""}],"container-title":"Applied Surface Science","id":"ITEM-1","issue":"1-4","issued":{"date-parts":[["2004","4","30"]]},"page":"84-92","publisher":"Elsevier","title":"The HSAB concept as a means to interpret the adsorption of metal ions onto activated carbons","type":"article-journal","volume":"228"},"uris":["http://www.mendeley.com/documents/?uuid=8bbba059-c4b8-3b2e-a4ad-525084bfdca6"]}],"mendeley":{"formattedCitation":"(Alfarra et al., 2004)","plainTextFormattedCitation":"(Alfarra et al., 2004)","previouslyFormattedCitation":"(Alfarra et al., 2004)"},"properties":{"noteIndex":0},"schema":"https://github.com/citation-style-language/schema/raw/master/csl-citation.json"}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(Alfarra et al., 2004)</w:t>
      </w:r>
      <w:r w:rsidRPr="00216965">
        <w:rPr>
          <w:rFonts w:cs="Times New Roman"/>
          <w:bCs/>
          <w:szCs w:val="24"/>
        </w:rPr>
        <w:fldChar w:fldCharType="end"/>
      </w:r>
      <w:r w:rsidRPr="00216965">
        <w:t>, as a harder acid Pb would have greater affinity than Zn or Cd for the carboxylic functional groups (band at 1590 cm</w:t>
      </w:r>
      <w:r w:rsidRPr="00216965">
        <w:rPr>
          <w:vertAlign w:val="superscript"/>
        </w:rPr>
        <w:t>-1</w:t>
      </w:r>
      <w:r w:rsidRPr="00216965">
        <w:t>) and phenolic groups (band 1380-1420 cm</w:t>
      </w:r>
      <w:r w:rsidRPr="00216965">
        <w:rPr>
          <w:vertAlign w:val="superscript"/>
        </w:rPr>
        <w:t>-1</w:t>
      </w:r>
      <w:r w:rsidRPr="00216965">
        <w:t>) identified on biochars, which are hard Lewis bases. Thus, the preferential retention of Pb to Zn or Cd is in agreement with differences in ionic radius, first hydrolysis constants, and the Misono softness parameter, making Pb a better candidate than the other elements for both electrostatic and inner-sphere surface complexation reactions.</w:t>
      </w:r>
    </w:p>
    <w:p w14:paraId="245FA944" w14:textId="77777777" w:rsidR="005563EE" w:rsidRPr="00216965" w:rsidRDefault="005563EE" w:rsidP="008A33DA">
      <w:pPr>
        <w:spacing w:line="480" w:lineRule="auto"/>
        <w:jc w:val="both"/>
      </w:pPr>
      <w:r w:rsidRPr="00216965">
        <w:rPr>
          <w:noProof/>
        </w:rPr>
        <w:drawing>
          <wp:inline distT="0" distB="0" distL="0" distR="0" wp14:anchorId="794DFFCA" wp14:editId="405AD182">
            <wp:extent cx="5731510" cy="4124195"/>
            <wp:effectExtent l="0" t="0" r="2540" b="0"/>
            <wp:docPr id="6" name="Picture 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lendar&#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124195"/>
                    </a:xfrm>
                    <a:prstGeom prst="rect">
                      <a:avLst/>
                    </a:prstGeom>
                    <a:noFill/>
                    <a:ln>
                      <a:noFill/>
                    </a:ln>
                  </pic:spPr>
                </pic:pic>
              </a:graphicData>
            </a:graphic>
          </wp:inline>
        </w:drawing>
      </w:r>
    </w:p>
    <w:p w14:paraId="04ED6CD9" w14:textId="4CBB860F" w:rsidR="005563EE" w:rsidRPr="00216965" w:rsidRDefault="005563EE" w:rsidP="008A33DA">
      <w:pPr>
        <w:spacing w:after="0" w:line="240" w:lineRule="auto"/>
        <w:ind w:right="282"/>
        <w:jc w:val="both"/>
      </w:pPr>
      <w:bookmarkStart w:id="173" w:name="_Ref52749732"/>
      <w:bookmarkStart w:id="174" w:name="_Toc86439361"/>
      <w:r w:rsidRPr="00216965">
        <w:rPr>
          <w:rFonts w:cs="Times New Roman"/>
          <w:b/>
          <w:bCs/>
          <w:szCs w:val="24"/>
        </w:rPr>
        <w:t xml:space="preserve">Fig. </w:t>
      </w:r>
      <w:r w:rsidR="00BF3EBE" w:rsidRPr="00216965">
        <w:rPr>
          <w:rFonts w:cs="Times New Roman"/>
          <w:b/>
          <w:bCs/>
          <w:szCs w:val="24"/>
        </w:rPr>
        <w:fldChar w:fldCharType="begin"/>
      </w:r>
      <w:r w:rsidR="00BF3EBE" w:rsidRPr="00216965">
        <w:rPr>
          <w:rFonts w:cs="Times New Roman"/>
          <w:b/>
          <w:bCs/>
          <w:szCs w:val="24"/>
        </w:rPr>
        <w:instrText xml:space="preserve"> STYLEREF 1 \s </w:instrText>
      </w:r>
      <w:r w:rsidR="00BF3EBE" w:rsidRPr="00216965">
        <w:rPr>
          <w:rFonts w:cs="Times New Roman"/>
          <w:b/>
          <w:bCs/>
          <w:szCs w:val="24"/>
        </w:rPr>
        <w:fldChar w:fldCharType="separate"/>
      </w:r>
      <w:r w:rsidR="006E23EA" w:rsidRPr="00216965">
        <w:rPr>
          <w:rFonts w:cs="Times New Roman"/>
          <w:b/>
          <w:bCs/>
          <w:noProof/>
          <w:szCs w:val="24"/>
        </w:rPr>
        <w:t>3</w:t>
      </w:r>
      <w:r w:rsidR="00BF3EBE" w:rsidRPr="00216965">
        <w:rPr>
          <w:rFonts w:cs="Times New Roman"/>
          <w:b/>
          <w:bCs/>
          <w:szCs w:val="24"/>
        </w:rPr>
        <w:fldChar w:fldCharType="end"/>
      </w:r>
      <w:r w:rsidR="00BF3EBE" w:rsidRPr="00216965">
        <w:rPr>
          <w:rFonts w:cs="Times New Roman"/>
          <w:b/>
          <w:bCs/>
          <w:szCs w:val="24"/>
        </w:rPr>
        <w:noBreakHyphen/>
      </w:r>
      <w:r w:rsidR="00BF3EBE" w:rsidRPr="00216965">
        <w:rPr>
          <w:rFonts w:cs="Times New Roman"/>
          <w:b/>
          <w:bCs/>
          <w:szCs w:val="24"/>
        </w:rPr>
        <w:fldChar w:fldCharType="begin"/>
      </w:r>
      <w:r w:rsidR="00BF3EBE" w:rsidRPr="00216965">
        <w:rPr>
          <w:rFonts w:cs="Times New Roman"/>
          <w:b/>
          <w:bCs/>
          <w:szCs w:val="24"/>
        </w:rPr>
        <w:instrText xml:space="preserve"> SEQ Figure \* ARABIC \s 1 </w:instrText>
      </w:r>
      <w:r w:rsidR="00BF3EBE" w:rsidRPr="00216965">
        <w:rPr>
          <w:rFonts w:cs="Times New Roman"/>
          <w:b/>
          <w:bCs/>
          <w:szCs w:val="24"/>
        </w:rPr>
        <w:fldChar w:fldCharType="separate"/>
      </w:r>
      <w:r w:rsidR="006E23EA" w:rsidRPr="00216965">
        <w:rPr>
          <w:rFonts w:cs="Times New Roman"/>
          <w:b/>
          <w:bCs/>
          <w:noProof/>
          <w:szCs w:val="24"/>
        </w:rPr>
        <w:t>10</w:t>
      </w:r>
      <w:r w:rsidR="00BF3EBE" w:rsidRPr="00216965">
        <w:rPr>
          <w:rFonts w:cs="Times New Roman"/>
          <w:b/>
          <w:bCs/>
          <w:szCs w:val="24"/>
        </w:rPr>
        <w:fldChar w:fldCharType="end"/>
      </w:r>
      <w:bookmarkEnd w:id="173"/>
      <w:r w:rsidRPr="00216965">
        <w:rPr>
          <w:rFonts w:cs="Times New Roman"/>
          <w:b/>
          <w:bCs/>
          <w:szCs w:val="24"/>
        </w:rPr>
        <w:t xml:space="preserve">. </w:t>
      </w:r>
      <w:r w:rsidRPr="00216965">
        <w:rPr>
          <w:rFonts w:eastAsia="Times New Roman" w:cs="Times New Roman"/>
          <w:b/>
          <w:bCs/>
          <w:color w:val="000000"/>
          <w:szCs w:val="24"/>
        </w:rPr>
        <w:t xml:space="preserve">Competitive sorption of </w:t>
      </w:r>
      <w:sdt>
        <w:sdtPr>
          <w:rPr>
            <w:rFonts w:cs="Times New Roman"/>
            <w:b/>
            <w:bCs/>
            <w:szCs w:val="24"/>
          </w:rPr>
          <w:tag w:val="goog_rdk_1857"/>
          <w:id w:val="-1230920781"/>
        </w:sdtPr>
        <w:sdtEndPr/>
        <w:sdtContent>
          <w:r w:rsidRPr="00216965">
            <w:rPr>
              <w:rFonts w:eastAsia="Times New Roman" w:cs="Times New Roman"/>
              <w:b/>
              <w:bCs/>
              <w:color w:val="000000"/>
              <w:szCs w:val="24"/>
            </w:rPr>
            <w:t>PTE</w:t>
          </w:r>
        </w:sdtContent>
      </w:sdt>
      <w:r w:rsidRPr="00216965">
        <w:rPr>
          <w:rFonts w:eastAsia="Times New Roman" w:cs="Times New Roman"/>
          <w:b/>
          <w:bCs/>
          <w:szCs w:val="24"/>
        </w:rPr>
        <w:t>s</w:t>
      </w:r>
      <w:r w:rsidRPr="00216965">
        <w:rPr>
          <w:rFonts w:eastAsia="Times New Roman" w:cs="Times New Roman"/>
          <w:b/>
          <w:bCs/>
          <w:color w:val="000000"/>
          <w:szCs w:val="24"/>
        </w:rPr>
        <w:t xml:space="preserve"> onto biochar using binary and tertiary systems</w:t>
      </w:r>
      <w:r w:rsidRPr="00216965">
        <w:rPr>
          <w:rFonts w:eastAsia="Times New Roman" w:cs="Times New Roman"/>
          <w:color w:val="000000"/>
          <w:szCs w:val="24"/>
        </w:rPr>
        <w:t>. Initial concentrations</w:t>
      </w:r>
      <w:sdt>
        <w:sdtPr>
          <w:rPr>
            <w:rFonts w:cs="Times New Roman"/>
            <w:szCs w:val="24"/>
          </w:rPr>
          <w:tag w:val="goog_rdk_1860"/>
          <w:id w:val="-1436200961"/>
        </w:sdtPr>
        <w:sdtEndPr/>
        <w:sdtContent>
          <w:r w:rsidRPr="00216965">
            <w:rPr>
              <w:rFonts w:eastAsia="Times New Roman" w:cs="Times New Roman"/>
              <w:color w:val="000000"/>
              <w:szCs w:val="24"/>
            </w:rPr>
            <w:t xml:space="preserve"> were for </w:t>
          </w:r>
          <w:sdt>
            <w:sdtPr>
              <w:rPr>
                <w:rFonts w:cs="Times New Roman"/>
                <w:szCs w:val="24"/>
              </w:rPr>
              <w:tag w:val="goog_rdk_1861"/>
              <w:id w:val="1202208669"/>
            </w:sdtPr>
            <w:sdtEndPr/>
            <w:sdtContent>
              <w:r w:rsidRPr="00216965">
                <w:rPr>
                  <w:rFonts w:eastAsia="Times New Roman" w:cs="Times New Roman"/>
                  <w:color w:val="000000"/>
                  <w:szCs w:val="24"/>
                </w:rPr>
                <w:t>Zn 13 mg.L</w:t>
              </w:r>
            </w:sdtContent>
          </w:sdt>
          <w:sdt>
            <w:sdtPr>
              <w:rPr>
                <w:rFonts w:cs="Times New Roman"/>
                <w:szCs w:val="24"/>
              </w:rPr>
              <w:tag w:val="goog_rdk_1862"/>
              <w:id w:val="-1231843146"/>
            </w:sdtPr>
            <w:sdtEndPr/>
            <w:sdtContent>
              <w:r w:rsidRPr="00216965">
                <w:rPr>
                  <w:rFonts w:eastAsia="Times New Roman" w:cs="Times New Roman"/>
                  <w:color w:val="000000"/>
                  <w:szCs w:val="24"/>
                  <w:vertAlign w:val="superscript"/>
                </w:rPr>
                <w:t>-1</w:t>
              </w:r>
            </w:sdtContent>
          </w:sdt>
          <w:sdt>
            <w:sdtPr>
              <w:rPr>
                <w:rFonts w:cs="Times New Roman"/>
                <w:szCs w:val="24"/>
              </w:rPr>
              <w:tag w:val="goog_rdk_1863"/>
              <w:id w:val="-247890214"/>
            </w:sdtPr>
            <w:sdtEndPr/>
            <w:sdtContent>
              <w:r w:rsidRPr="00216965">
                <w:rPr>
                  <w:rFonts w:eastAsia="Times New Roman" w:cs="Times New Roman"/>
                  <w:color w:val="000000"/>
                  <w:szCs w:val="24"/>
                </w:rPr>
                <w:t>, Pb 41 mg.L</w:t>
              </w:r>
            </w:sdtContent>
          </w:sdt>
          <w:sdt>
            <w:sdtPr>
              <w:rPr>
                <w:rFonts w:cs="Times New Roman"/>
                <w:szCs w:val="24"/>
              </w:rPr>
              <w:tag w:val="goog_rdk_1864"/>
              <w:id w:val="-577214129"/>
            </w:sdtPr>
            <w:sdtEndPr/>
            <w:sdtContent>
              <w:r w:rsidRPr="00216965">
                <w:rPr>
                  <w:rFonts w:eastAsia="Times New Roman" w:cs="Times New Roman"/>
                  <w:color w:val="000000"/>
                  <w:szCs w:val="24"/>
                  <w:vertAlign w:val="superscript"/>
                </w:rPr>
                <w:t>-1</w:t>
              </w:r>
            </w:sdtContent>
          </w:sdt>
          <w:sdt>
            <w:sdtPr>
              <w:rPr>
                <w:rFonts w:cs="Times New Roman"/>
                <w:szCs w:val="24"/>
              </w:rPr>
              <w:tag w:val="goog_rdk_1865"/>
              <w:id w:val="1682852930"/>
            </w:sdtPr>
            <w:sdtEndPr/>
            <w:sdtContent>
              <w:r w:rsidRPr="00216965">
                <w:rPr>
                  <w:rFonts w:eastAsia="Times New Roman" w:cs="Times New Roman"/>
                  <w:color w:val="000000"/>
                  <w:szCs w:val="24"/>
                </w:rPr>
                <w:t xml:space="preserve"> and Cd 22</w:t>
              </w:r>
            </w:sdtContent>
          </w:sdt>
          <w:r w:rsidRPr="00216965">
            <w:rPr>
              <w:rFonts w:eastAsia="Times New Roman" w:cs="Times New Roman"/>
              <w:color w:val="000000"/>
              <w:szCs w:val="24"/>
            </w:rPr>
            <w:t xml:space="preserve"> </w:t>
          </w:r>
          <w:sdt>
            <w:sdtPr>
              <w:rPr>
                <w:rFonts w:cs="Times New Roman"/>
                <w:szCs w:val="24"/>
              </w:rPr>
              <w:tag w:val="goog_rdk_1866"/>
              <w:id w:val="-577055612"/>
            </w:sdtPr>
            <w:sdtEndPr/>
            <w:sdtContent>
              <w:r w:rsidRPr="00216965">
                <w:rPr>
                  <w:rFonts w:eastAsia="Times New Roman" w:cs="Times New Roman"/>
                  <w:color w:val="000000"/>
                  <w:szCs w:val="24"/>
                </w:rPr>
                <w:t>mg.L</w:t>
              </w:r>
            </w:sdtContent>
          </w:sdt>
          <w:sdt>
            <w:sdtPr>
              <w:rPr>
                <w:rFonts w:cs="Times New Roman"/>
                <w:szCs w:val="24"/>
              </w:rPr>
              <w:tag w:val="goog_rdk_1867"/>
              <w:id w:val="780762908"/>
            </w:sdtPr>
            <w:sdtEndPr/>
            <w:sdtContent>
              <w:r w:rsidRPr="00216965">
                <w:rPr>
                  <w:rFonts w:eastAsia="Times New Roman" w:cs="Times New Roman"/>
                  <w:color w:val="000000"/>
                  <w:szCs w:val="24"/>
                  <w:vertAlign w:val="superscript"/>
                </w:rPr>
                <w:t>-1</w:t>
              </w:r>
            </w:sdtContent>
          </w:sdt>
          <w:r w:rsidRPr="00216965">
            <w:rPr>
              <w:rFonts w:eastAsia="Times New Roman" w:cs="Times New Roman"/>
              <w:color w:val="000000"/>
              <w:szCs w:val="24"/>
            </w:rPr>
            <w:t xml:space="preserve"> which equals 0.2 mM of each metal.</w:t>
          </w:r>
        </w:sdtContent>
      </w:sdt>
      <w:r w:rsidRPr="00216965">
        <w:rPr>
          <w:rFonts w:eastAsia="Times New Roman" w:cs="Times New Roman"/>
          <w:color w:val="000000"/>
          <w:szCs w:val="24"/>
        </w:rPr>
        <w:t xml:space="preserve"> </w:t>
      </w:r>
      <w:sdt>
        <w:sdtPr>
          <w:rPr>
            <w:rFonts w:cs="Times New Roman"/>
            <w:szCs w:val="24"/>
          </w:rPr>
          <w:tag w:val="goog_rdk_1870"/>
          <w:id w:val="-323973015"/>
        </w:sdtPr>
        <w:sdtEndPr/>
        <w:sdtContent>
          <w:r w:rsidRPr="00216965">
            <w:rPr>
              <w:rFonts w:eastAsia="Times New Roman" w:cs="Times New Roman"/>
              <w:color w:val="000000"/>
              <w:szCs w:val="24"/>
            </w:rPr>
            <w:t>C</w:t>
          </w:r>
        </w:sdtContent>
      </w:sdt>
      <w:r w:rsidRPr="00216965">
        <w:rPr>
          <w:rFonts w:eastAsia="Times New Roman" w:cs="Times New Roman"/>
          <w:color w:val="000000"/>
          <w:szCs w:val="24"/>
        </w:rPr>
        <w:t>ontact time</w:t>
      </w:r>
      <w:sdt>
        <w:sdtPr>
          <w:rPr>
            <w:rFonts w:cs="Times New Roman"/>
            <w:szCs w:val="24"/>
          </w:rPr>
          <w:tag w:val="goog_rdk_1871"/>
          <w:id w:val="1774818854"/>
        </w:sdtPr>
        <w:sdtEndPr/>
        <w:sdtContent>
          <w:r w:rsidRPr="00216965">
            <w:rPr>
              <w:rFonts w:eastAsia="Times New Roman" w:cs="Times New Roman"/>
              <w:color w:val="000000"/>
              <w:szCs w:val="24"/>
            </w:rPr>
            <w:t xml:space="preserve"> = 24 hours, t= 22 ± 2 °C.</w:t>
          </w:r>
        </w:sdtContent>
      </w:sdt>
      <w:r w:rsidRPr="00216965">
        <w:rPr>
          <w:rFonts w:eastAsia="Times New Roman" w:cs="Times New Roman"/>
          <w:color w:val="000000"/>
          <w:szCs w:val="24"/>
        </w:rPr>
        <w:t xml:space="preserve"> Results are the average of 3 measurements </w:t>
      </w:r>
      <w:sdt>
        <w:sdtPr>
          <w:rPr>
            <w:rFonts w:cs="Times New Roman"/>
            <w:szCs w:val="24"/>
          </w:rPr>
          <w:tag w:val="goog_rdk_1873"/>
          <w:id w:val="-369842431"/>
        </w:sdtPr>
        <w:sdtEndPr/>
        <w:sdtContent>
          <w:r w:rsidRPr="00216965">
            <w:rPr>
              <w:rFonts w:eastAsia="Times New Roman" w:cs="Times New Roman"/>
              <w:color w:val="000000"/>
              <w:szCs w:val="24"/>
            </w:rPr>
            <w:t>±</w:t>
          </w:r>
        </w:sdtContent>
      </w:sdt>
      <w:r w:rsidRPr="00216965">
        <w:rPr>
          <w:rFonts w:eastAsia="Times New Roman" w:cs="Times New Roman"/>
          <w:color w:val="000000"/>
          <w:szCs w:val="24"/>
        </w:rPr>
        <w:t xml:space="preserve"> standard error</w:t>
      </w:r>
      <w:sdt>
        <w:sdtPr>
          <w:rPr>
            <w:rFonts w:cs="Times New Roman"/>
            <w:szCs w:val="24"/>
          </w:rPr>
          <w:tag w:val="goog_rdk_1875"/>
          <w:id w:val="-172042005"/>
        </w:sdtPr>
        <w:sdtEndPr/>
        <w:sdtContent>
          <w:r w:rsidRPr="00216965">
            <w:rPr>
              <w:rFonts w:eastAsia="Times New Roman" w:cs="Times New Roman"/>
              <w:color w:val="000000"/>
              <w:szCs w:val="24"/>
            </w:rPr>
            <w:t>. Initial pH 6.5 for binary system Zn-Cd and pH 5 for the rest of combinations;  pH</w:t>
          </w:r>
          <w:sdt>
            <w:sdtPr>
              <w:rPr>
                <w:rFonts w:cs="Times New Roman"/>
                <w:szCs w:val="24"/>
              </w:rPr>
              <w:tag w:val="goog_rdk_1876"/>
              <w:id w:val="-269169701"/>
            </w:sdtPr>
            <w:sdtEndPr/>
            <w:sdtContent>
              <w:r w:rsidRPr="00216965">
                <w:rPr>
                  <w:rFonts w:cs="Times New Roman"/>
                  <w:szCs w:val="24"/>
                  <w:vertAlign w:val="subscript"/>
                </w:rPr>
                <w:t>e</w:t>
              </w:r>
            </w:sdtContent>
          </w:sdt>
          <w:r w:rsidRPr="00216965">
            <w:rPr>
              <w:rFonts w:eastAsia="Times New Roman" w:cs="Times New Roman"/>
              <w:color w:val="000000"/>
              <w:szCs w:val="24"/>
            </w:rPr>
            <w:t xml:space="preserve"> is the pH value at equilibrium ± standard error.</w:t>
          </w:r>
          <w:r w:rsidRPr="00216965">
            <w:rPr>
              <w:rFonts w:cs="Times New Roman"/>
              <w:szCs w:val="24"/>
            </w:rPr>
            <w:t xml:space="preserve"> </w:t>
          </w:r>
        </w:sdtContent>
      </w:sdt>
      <w:bookmarkEnd w:id="174"/>
    </w:p>
    <w:p w14:paraId="23757DD3" w14:textId="6A500B78" w:rsidR="005563EE" w:rsidRPr="00216965" w:rsidRDefault="005563EE" w:rsidP="008A33DA">
      <w:pPr>
        <w:spacing w:line="480" w:lineRule="auto"/>
        <w:jc w:val="both"/>
      </w:pPr>
    </w:p>
    <w:p w14:paraId="518719BC" w14:textId="7A688061" w:rsidR="006D2F0E" w:rsidRPr="00216965" w:rsidRDefault="006D2F0E" w:rsidP="008A33DA">
      <w:pPr>
        <w:spacing w:line="360" w:lineRule="auto"/>
        <w:jc w:val="both"/>
      </w:pPr>
      <w:r w:rsidRPr="00216965">
        <w:lastRenderedPageBreak/>
        <w:t xml:space="preserve">The same reasoning can be applied to explain Zn preferential sorption over Cd, in that the first hydrolysis constants as well as the Misono scale and the HSBA theory accurately predict the observed sequence Zn &gt; Cd, however the hydrated ionic radius reasoning predicts Cd &gt; Zn which is the opposite of the results obtained. This suggests that Zn </w:t>
      </w:r>
      <w:r w:rsidRPr="00216965">
        <w:rPr>
          <w:i/>
          <w:iCs/>
        </w:rPr>
        <w:t>vs</w:t>
      </w:r>
      <w:r w:rsidRPr="00216965">
        <w:t xml:space="preserve"> Cd competitive sorption was not entirely electrostatic, since elements with larger ionic radius would have been sorbed less strongly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(Shaheen et al., 2013)</w:t>
      </w:r>
      <w:r w:rsidRPr="00216965">
        <w:rPr>
          <w:rFonts w:cs="Times New Roman"/>
          <w:bCs/>
          <w:szCs w:val="24"/>
        </w:rPr>
        <w:fldChar w:fldCharType="end"/>
      </w:r>
      <w:r w:rsidRPr="00216965">
        <w:t>, which was not the case.</w:t>
      </w:r>
    </w:p>
    <w:p w14:paraId="6D68DBF2" w14:textId="142B6595" w:rsidR="005563EE" w:rsidRPr="00216965" w:rsidRDefault="005563EE" w:rsidP="008A33DA">
      <w:pPr>
        <w:spacing w:line="360" w:lineRule="auto"/>
        <w:jc w:val="both"/>
      </w:pPr>
      <w:r w:rsidRPr="00216965">
        <w:t xml:space="preserve">Other authors have suggested that the hydrolysis constant may be a good predictor of selective element retention rather than the Misono (HSBA theory) or the ionic radius </w:t>
      </w:r>
      <w:sdt>
        <w:sdtPr>
          <w:tag w:val="goog_rdk_1971"/>
          <w:id w:val="362182007"/>
        </w:sdtPr>
        <w:sdtEndPr/>
        <w:sdtContent>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solutions","type":"article-journal","volume":"142"},"uris":["http://www.mendeley.com/documents/?uuid=1cae7d89-3ac3-3524-b831-95328bd4d82f"]},{"id":"ITEM-2","itemData":{"DOI":"10.1016/j.cis.2013.10.005","ISSN":"00018686","PMID":"24168932","abstract":"Knowledge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Science","id":"ITEM-2","issued":{"date-parts":[["2013"]]},"page":"43-56","publisher":"Elsevier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properties","type":"article-journal","volume":"201-202"},"uris":["http://www.mendeley.com/documents/?uuid=184558af-830d-3e86-b90e-4588b68b3e0d"]}],"mendeley":{"formattedCitation":"(Park et al., 2016; Shaheen et al., 2013)","plainTextFormattedCitation":"(Park et al., 2016; Shaheen et al., 2013)","previouslyFormattedCitation":"(Park et al., 2016; Shaheen et al., 2013)"},"properties":{"noteIndex":0},"schema":"https://github.com/citation-style-language/schema/raw/master/csl-citation.json"}</w:instrText>
          </w:r>
          <w:r w:rsidRPr="00216965">
            <w:rPr>
              <w:rFonts w:cs="Times New Roman"/>
              <w:bCs/>
              <w:szCs w:val="24"/>
            </w:rPr>
            <w:fldChar w:fldCharType="separate"/>
          </w:r>
          <w:r w:rsidR="001974AA" w:rsidRPr="00216965">
            <w:rPr>
              <w:rFonts w:cs="Times New Roman"/>
              <w:bCs/>
              <w:noProof/>
              <w:szCs w:val="24"/>
            </w:rPr>
            <w:t>(Park et al., 2016; Shaheen et al., 2013)</w:t>
          </w:r>
          <w:r w:rsidRPr="00216965">
            <w:rPr>
              <w:rFonts w:cs="Times New Roman"/>
              <w:bCs/>
              <w:szCs w:val="24"/>
            </w:rPr>
            <w:fldChar w:fldCharType="end"/>
          </w:r>
        </w:sdtContent>
      </w:sdt>
      <w:r w:rsidRPr="00216965">
        <w:t xml:space="preserve">. HMs in polluted soils are usually present as mixtures and their interactions are known to influence their transport and fate between phases </w:t>
      </w:r>
      <w:r w:rsidRPr="00216965">
        <w:rPr>
          <w:rStyle w:val="Heading2Char"/>
          <w:rFonts w:eastAsiaTheme="minorHAnsi" w:cs="Times New Roman"/>
          <w:b w:val="0"/>
          <w:i/>
        </w:rPr>
        <w:fldChar w:fldCharType="begin" w:fldLock="1"/>
      </w:r>
      <w:r w:rsidR="006C06AA" w:rsidRPr="00216965">
        <w:rPr>
          <w:rStyle w:val="Heading2Char"/>
          <w:rFonts w:eastAsiaTheme="minorHAnsi" w:cs="Times New Roman"/>
          <w:b w:val="0"/>
        </w:rPr>
        <w:instrText>ADDIN CSL_CITATION {"citationItems":[{"id":"ITEM-1","itemData":{"DOI":"10.1016/j.biortech.2011.06.078","ISBN":"1873-2976 (Electronic)\\n0960-8524 (Linking)","ISSN":"09608524","PMID":"21764299","abstract":"Biochars produced by pyrolysis of hardwood at 450 ??C (HW450) and corn straw at 600 ??C (CS600) were characterized and investigated as adsorbents for the removal of Cu(II) and Zn(II) from aqueous solution. The adsorption data were well described by a Langmuir isotherm, with maximum Cu(II) and Zn(II) adsorption capacities of 12.52 and 11.0. mg/g for CS600, 6.79 and 4.54. mg/g for HW450, respectively. Thermodynamic analysis suggested that the adsorption was an endothermic process and did not occur spontaneously. Although Cu(II) adsorption was only marginally affected by Zn(II), Cu(II) competed with Zn(II) for binding sites at Cu(II) and Zn(II) concentrations ???1.0. mM. Results from this study indicated that plant-residue or agricultural waste derived biochar can act as effective surface sorbent, but their ability to treat mixed waste streams needs to be carefully evaluated on an individual basis. ?? 2011 Elsevier Ltd.","author":[{"dropping-particle":"","family":"Chen","given":"Xincai","non-dropping-particle":"","parse-names":false,"suffix":""},{"dropping-particle":"","family":"Chen","given":"Guangcun","non-dropping-particle":"","parse-names":false,"suffix":""},{"dropping-particle":"","family":"Chen","given":"Linggui","non-dropping-particle":"","parse-names":false,"suffix":""},{"dropping-particle":"","family":"Chen","given":"Yingxu","non-dropping-particle":"","parse-names":false,"suffix":""},{"dropping-particle":"","family":"Lehmann","given":"Johannes","non-dropping-particle":"","parse-names":false,"suffix":""},{"dropping-particle":"","family":"McBride","given":"Murray B.","non-dropping-particle":"","parse-names":false,"suffix":""},{"dropping-particle":"","family":"Hay","given":"Anthony G.","non-dropping-particle":"","parse-names":false,"suffix":""}],"container-title":"Bioresource Technology","id":"ITEM-1","issue":"19","issued":{"date-parts":[["2011"]]},"page":"8877-8884","publisher":"Elsevier Ltd","title":"Adsorption of copper and zinc by biochars produced from pyrolysis of hardwood and corn straw in aqueous solution","type":"article-journal","volume":"102"},"uris":["http://www.mendeley.com/documents/?uuid=e6db82ea-68dc-4d5f-a68d-462b2e348f9f"]},{"id":"ITEM-2","itemData":{"DOI":"10.1007/s11270-013-1711-1","ISSN":"15732932","abstract":"Biochar has great potential as a soil amendment to immobilize heavy metals, thereby reducing their bioavailability. In this study, biochars derived from chicken manure and green waste were compared with commercial activated carbon (AC) and laboratory produced black carbon (BC) for the sorption of Pb and Cd. Sorption kinetics and equilibrium sorption isotherms for Pb and Cd were obtained for the char materials and the data were fitted to kinetic and sorption isotherm models. Chicken manure-derived biochar (CM) showed the highest sorption capacity for both Pb and Cd, and the Pb sorption by biochars was higher than the Cd sorption because of the precipitation of Pb with various ions released from the biochars such as carbonate, phosphate, and sulfate. The sorption data for both Pb and Cd were better represented by the pseudo-second order kinetic model than the pseudo-first order kinetic model, which indicates chemical sorption between biochar and metals. For the isotherm studies, char materials was mixed with various amount of Pb or Cd solutions and the remaining metal concentration was measured. The equilibrium sorption data followed a Langmuir isotherm with a maximum sorption capacity of 6.8-11 and 1.7-8.0 mg/g by biochars for Pb and Cd, respectively. Furthermore, CM immobilized Pb and Cd up to 93.5 and 88.4 %, respectively, while BC was not effective in the immobilization of Pb in soil. Overall, the sorption experiments in solution and the immobilization experiment in soil showed that biochars are more effective than AC in the sorption of Pb and Cd, and that they have the potential to be used as a soil amendment to remediate metal-contaminated soil. © 2013 Springer Science+Business Media Dordrecht.","author":[{"dropping-particle":"","family":"Park","given":"Jin Hee","non-dropping-particle":"","parse-names":false,"suffix":""},{"dropping-particle":"","family":"Choppala","given":"Girish","non-dropping-particle":"","parse-names":false,"suffix":""},{"dropping-particle":"","family":"Lee","given":"Seul Ji","non-dropping-particle":"","parse-names":false,"suffix":""},{"dropping-particle":"","family":"Bolan","given":"Nanthi","non-dropping-particle":"","parse-names":false,"suffix":""},{"dropping-particle":"","family":"Chung","given":"Jae Woo","non-dropping-particle":"","parse-names":false,"suffix":""},{"dropping-particle":"","family":"Edraki","given":"Mansour","non-dropping-particle":"","parse-names":false,"suffix":""}],"container-title":"Water, Air, and Soil Pollution","id":"ITEM-2","issue":"1711","issued":{"date-parts":[["2013"]]},"page":"1-12","publisher":"Kluwer Academic Publishers","title":"Comparative sorption of Pb and Cd by biochars and its implication for metal immobilization in soils","type":"article-journal","volume":"224"},"uris":["http://www.mendeley.com/documents/?uuid=1a6e29a8-e0ab-3b08-b39d-de67a76cc7b7"]}],"mendeley":{"formattedCitation":"(Chen et al., 2011; Park et al., 2013)","plainTextFormattedCitation":"(Chen et al., 2011; Park et al., 2013)","previouslyFormattedCitation":"(Chen et al., 2011; Park et al., 2013)"},"properties":{"noteIndex":0},"schema":"https://github.com/citation-style-language/schema/raw/master/csl-citation.json"}</w:instrText>
      </w:r>
      <w:r w:rsidRPr="00216965">
        <w:rPr>
          <w:rStyle w:val="Heading2Char"/>
          <w:rFonts w:eastAsiaTheme="minorHAnsi" w:cs="Times New Roman"/>
          <w:b w:val="0"/>
          <w:i/>
        </w:rPr>
        <w:fldChar w:fldCharType="separate"/>
      </w:r>
      <w:r w:rsidR="00C83E62" w:rsidRPr="00216965">
        <w:rPr>
          <w:rStyle w:val="Heading2Char"/>
          <w:rFonts w:eastAsiaTheme="minorHAnsi" w:cs="Times New Roman"/>
          <w:b w:val="0"/>
          <w:noProof/>
        </w:rPr>
        <w:t>(Chen et al., 2011; Park et al., 2013)</w:t>
      </w:r>
      <w:r w:rsidRPr="00216965">
        <w:rPr>
          <w:rStyle w:val="Heading2Char"/>
          <w:rFonts w:eastAsiaTheme="minorHAnsi" w:cs="Times New Roman"/>
          <w:b w:val="0"/>
          <w:i/>
        </w:rPr>
        <w:fldChar w:fldCharType="end"/>
      </w:r>
      <w:r w:rsidRPr="00216965">
        <w:t>. Therefore, it is important to conduct competitive sorption tests. The results indicate that in a scenario where Pb, Cd and Zn</w:t>
      </w:r>
      <w:r w:rsidR="00F71164" w:rsidRPr="00216965">
        <w:t xml:space="preserve"> </w:t>
      </w:r>
      <w:r w:rsidRPr="00216965">
        <w:t>coexist in a polluted soil, regardless of the type of biochar applied as a remediation measure, the adsorbent will preferentially immobilize Pb over the other elements, requiring a higher biochar application rate to maximize binding of additional HMs.</w:t>
      </w:r>
    </w:p>
    <w:p w14:paraId="6ACABA03" w14:textId="77777777" w:rsidR="005563EE" w:rsidRPr="00216965" w:rsidRDefault="005563EE" w:rsidP="008A33DA">
      <w:pPr>
        <w:pStyle w:val="Heading3"/>
      </w:pPr>
      <w:bookmarkStart w:id="175" w:name="_Toc86504658"/>
      <w:r w:rsidRPr="00216965">
        <w:t>Linking biochar properties to HMs immobilization</w:t>
      </w:r>
      <w:bookmarkEnd w:id="175"/>
      <w:r w:rsidRPr="00216965">
        <w:t xml:space="preserve"> </w:t>
      </w:r>
    </w:p>
    <w:p w14:paraId="71BF2CBF" w14:textId="77777777" w:rsidR="008574C0" w:rsidRPr="00216965" w:rsidRDefault="005563EE" w:rsidP="008A33DA">
      <w:pPr>
        <w:spacing w:line="360" w:lineRule="auto"/>
        <w:jc w:val="both"/>
      </w:pPr>
      <w:r w:rsidRPr="00216965">
        <w:t xml:space="preserve">The Pearson correlation analysis illustrated in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11</w:t>
      </w:r>
      <w:r w:rsidRPr="00216965">
        <w:rPr>
          <w:b/>
          <w:bCs/>
        </w:rPr>
        <w:fldChar w:fldCharType="end"/>
      </w:r>
      <w:r w:rsidRPr="00216965">
        <w:rPr>
          <w:b/>
          <w:bCs/>
        </w:rPr>
        <w:t>A</w:t>
      </w:r>
      <w:r w:rsidRPr="00216965">
        <w:t>. indicated that CEC, pH, electric conductivity (EC) and total K</w:t>
      </w:r>
      <w:r w:rsidRPr="00216965">
        <w:rPr>
          <w:vertAlign w:val="superscript"/>
        </w:rPr>
        <w:t>+</w:t>
      </w:r>
      <w:r w:rsidRPr="00216965">
        <w:t xml:space="preserve"> were highly correlated (&gt;0.8) with Cd sorption capacity (</w:t>
      </w:r>
      <w:r w:rsidRPr="00216965">
        <w:rPr>
          <w:i/>
          <w:iCs/>
        </w:rPr>
        <w:t>q</w:t>
      </w:r>
      <w:r w:rsidRPr="00216965">
        <w:rPr>
          <w:i/>
          <w:iCs/>
          <w:vertAlign w:val="subscript"/>
        </w:rPr>
        <w:t>m</w:t>
      </w:r>
      <w:r w:rsidRPr="00216965">
        <w:t>Cd). Pb sorption capacity (</w:t>
      </w:r>
      <w:r w:rsidRPr="00216965">
        <w:rPr>
          <w:i/>
          <w:iCs/>
        </w:rPr>
        <w:t>q</w:t>
      </w:r>
      <w:r w:rsidRPr="00216965">
        <w:rPr>
          <w:vertAlign w:val="subscript"/>
        </w:rPr>
        <w:t>m</w:t>
      </w:r>
      <w:r w:rsidRPr="00216965">
        <w:t>Pb) was highly correlated (&gt;0.8) with pH, CEC, EC and total P. Zn sorption capacity (</w:t>
      </w:r>
      <w:r w:rsidRPr="00216965">
        <w:rPr>
          <w:i/>
          <w:iCs/>
        </w:rPr>
        <w:t>q</w:t>
      </w:r>
      <w:r w:rsidRPr="00216965">
        <w:rPr>
          <w:i/>
          <w:iCs/>
          <w:vertAlign w:val="subscript"/>
        </w:rPr>
        <w:t>m</w:t>
      </w:r>
      <w:r w:rsidRPr="00216965">
        <w:t>Zn) had a correlation coefficient of 1.0 with EC and &gt; 0.8 with pH, total P and total K. The high correlations between biochar sorption capacities (</w:t>
      </w:r>
      <w:r w:rsidRPr="00216965">
        <w:rPr>
          <w:i/>
          <w:iCs/>
        </w:rPr>
        <w:t>q</w:t>
      </w:r>
      <w:r w:rsidRPr="00216965">
        <w:rPr>
          <w:i/>
          <w:iCs/>
          <w:vertAlign w:val="subscript"/>
        </w:rPr>
        <w:t>m</w:t>
      </w:r>
      <w:r w:rsidRPr="00216965">
        <w:t>) and CEC, EC and biochar pH suggest that the HM sorption is dominated by electrostatic interactions and precipitation mechanisms.</w:t>
      </w:r>
    </w:p>
    <w:p w14:paraId="7E4F02E4" w14:textId="1A2BC95B" w:rsidR="005563EE" w:rsidRPr="00216965" w:rsidRDefault="005563EE" w:rsidP="008A33DA">
      <w:pPr>
        <w:spacing w:line="360" w:lineRule="auto"/>
        <w:jc w:val="both"/>
      </w:pPr>
      <w:r w:rsidRPr="00216965">
        <w:t>This implies that the surface complexes formed with Cd, Pb and Zn on biochars are mainly outer-sphere complexes. This is in agreement with the speciation diagram (</w:t>
      </w:r>
      <w:r w:rsidRPr="00216965">
        <w:rPr>
          <w:b/>
          <w:bCs/>
        </w:rPr>
        <w:fldChar w:fldCharType="begin"/>
      </w:r>
      <w:r w:rsidRPr="00216965">
        <w:rPr>
          <w:b/>
          <w:bCs/>
        </w:rPr>
        <w:instrText xml:space="preserve"> REF _Ref52749008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2</w:t>
      </w:r>
      <w:r w:rsidRPr="00216965">
        <w:rPr>
          <w:b/>
          <w:bCs/>
        </w:rPr>
        <w:fldChar w:fldCharType="end"/>
      </w:r>
      <w:r w:rsidRPr="00216965">
        <w:t>) which indicated that for the range of pH found at equilibrium (</w:t>
      </w:r>
      <w:r w:rsidR="00EA0F51" w:rsidRPr="00216965">
        <w:fldChar w:fldCharType="begin"/>
      </w:r>
      <w:r w:rsidR="00EA0F51" w:rsidRPr="00216965">
        <w:instrText xml:space="preserve"> REF _Ref86421363 \h </w:instrText>
      </w:r>
      <w:r w:rsidR="00216965" w:rsidRPr="00216965">
        <w:instrText xml:space="preserve"> \* MERGEFORMAT </w:instrText>
      </w:r>
      <w:r w:rsidR="00EA0F51" w:rsidRPr="00216965">
        <w:fldChar w:fldCharType="separate"/>
      </w:r>
      <w:r w:rsidR="006E23EA" w:rsidRPr="00216965">
        <w:rPr>
          <w:b/>
        </w:rPr>
        <w:t xml:space="preserve">Fig. </w:t>
      </w:r>
      <w:r w:rsidR="006E23EA" w:rsidRPr="00216965">
        <w:rPr>
          <w:b/>
          <w:bCs/>
          <w:noProof/>
        </w:rPr>
        <w:t>3</w:t>
      </w:r>
      <w:r w:rsidR="006E23EA" w:rsidRPr="00216965">
        <w:rPr>
          <w:b/>
        </w:rPr>
        <w:noBreakHyphen/>
      </w:r>
      <w:r w:rsidR="006E23EA" w:rsidRPr="00216965">
        <w:rPr>
          <w:b/>
          <w:bCs/>
          <w:noProof/>
        </w:rPr>
        <w:t>7</w:t>
      </w:r>
      <w:r w:rsidR="00EA0F51" w:rsidRPr="00216965">
        <w:fldChar w:fldCharType="end"/>
      </w:r>
      <w:r w:rsidRPr="00216965">
        <w:t>), the dominant trace element species would be the free cation species Cd</w:t>
      </w:r>
      <w:r w:rsidRPr="00216965">
        <w:rPr>
          <w:vertAlign w:val="superscript"/>
        </w:rPr>
        <w:t>2+</w:t>
      </w:r>
      <w:r w:rsidRPr="00216965">
        <w:t xml:space="preserve"> (96 %), Pb</w:t>
      </w:r>
      <w:r w:rsidRPr="00216965">
        <w:rPr>
          <w:vertAlign w:val="superscript"/>
        </w:rPr>
        <w:t>2+</w:t>
      </w:r>
      <w:r w:rsidRPr="00216965">
        <w:t xml:space="preserve"> (95-81 %) and Zn</w:t>
      </w:r>
      <w:r w:rsidRPr="00216965">
        <w:rPr>
          <w:vertAlign w:val="superscript"/>
        </w:rPr>
        <w:t>2+</w:t>
      </w:r>
      <w:r w:rsidRPr="00216965">
        <w:t xml:space="preserve"> (96-83 %), while the hydrolysed forms CdOH</w:t>
      </w:r>
      <w:r w:rsidRPr="00216965">
        <w:rPr>
          <w:vertAlign w:val="superscript"/>
        </w:rPr>
        <w:t>+</w:t>
      </w:r>
      <w:r w:rsidRPr="00216965">
        <w:t xml:space="preserve"> (0.5 %), PbOH</w:t>
      </w:r>
      <w:r w:rsidRPr="00216965">
        <w:rPr>
          <w:vertAlign w:val="superscript"/>
        </w:rPr>
        <w:t>+</w:t>
      </w:r>
      <w:r w:rsidRPr="00216965">
        <w:t xml:space="preserve"> (3-10%) and ZnOH</w:t>
      </w:r>
      <w:r w:rsidRPr="00216965">
        <w:rPr>
          <w:vertAlign w:val="superscript"/>
        </w:rPr>
        <w:t>+</w:t>
      </w:r>
      <w:r w:rsidRPr="00216965">
        <w:t xml:space="preserve"> (2-5%) that enhance inner-sphere complexes formation are expected in smaller amounts. It is important to highlight that outer- and inner-sphere complexation can occur simultaneously </w:t>
      </w:r>
      <w:sdt>
        <w:sdtPr>
          <w:tag w:val="goog_rdk_2031"/>
          <w:id w:val="-956332001"/>
        </w:sdtPr>
        <w:sdtEndPr/>
        <w:sdtContent>
          <w:r w:rsidRPr="00216965">
            <w:rPr>
              <w:rFonts w:cs="Times New Roman"/>
              <w:bCs/>
              <w:szCs w:val="24"/>
            </w:rPr>
            <w:fldChar w:fldCharType="begin" w:fldLock="1"/>
          </w:r>
          <w:r w:rsidR="00F56BD7" w:rsidRPr="00216965">
            <w:rPr>
              <w:rFonts w:cs="Times New Roman"/>
              <w:bCs/>
              <w:szCs w:val="24"/>
            </w:rPr>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Chemistry","type":"book"},"uris":["http://www.mendeley.com/documents/?uuid=2e8cdb2d-9122-4c0b-8580-27a612fa364d"]}],"mendeley":{"formattedCitation":"(Sparks, 2003)","plainTextFormattedCitation":"(Sparks, 2003)","previouslyFormattedCitation":"(Sparks, 2003)"},"properties":{"noteIndex":0},"schema":"https://github.com/citation-style-language/schema/raw/master/csl-citation.json"}</w:instrText>
          </w:r>
          <w:r w:rsidRPr="00216965">
            <w:rPr>
              <w:rFonts w:cs="Times New Roman"/>
              <w:bCs/>
              <w:szCs w:val="24"/>
            </w:rPr>
            <w:fldChar w:fldCharType="separate"/>
          </w:r>
          <w:r w:rsidR="00330A4F" w:rsidRPr="00216965">
            <w:rPr>
              <w:rFonts w:cs="Times New Roman"/>
              <w:bCs/>
              <w:noProof/>
              <w:szCs w:val="24"/>
            </w:rPr>
            <w:t>(Sparks, 2003)</w:t>
          </w:r>
          <w:r w:rsidRPr="00216965">
            <w:rPr>
              <w:rFonts w:cs="Times New Roman"/>
              <w:bCs/>
              <w:szCs w:val="24"/>
            </w:rPr>
            <w:fldChar w:fldCharType="end"/>
          </w:r>
        </w:sdtContent>
      </w:sdt>
      <w:r w:rsidRPr="00216965">
        <w:t>.</w:t>
      </w:r>
    </w:p>
    <w:p w14:paraId="382EE422" w14:textId="3C3E3864" w:rsidR="005563EE" w:rsidRPr="00216965" w:rsidRDefault="005563EE" w:rsidP="008A33DA">
      <w:pPr>
        <w:spacing w:line="360" w:lineRule="auto"/>
        <w:jc w:val="both"/>
      </w:pPr>
      <w:r w:rsidRPr="00216965">
        <w:lastRenderedPageBreak/>
        <w:t xml:space="preserve">Our findings are similar to that of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2014)","manualFormatting":"Trakal et al. (2014)","plainTextFormattedCitation":"(Trakal et al., 2014)","previouslyFormattedCitation":"(Trakal et al., 2014)"},"properties":{"noteIndex":0},"schema":"https://github.com/citation-style-language/schema/raw/master/csl-citation.json"}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Trakal </w:t>
      </w:r>
      <w:r w:rsidR="009B2252" w:rsidRPr="00216965">
        <w:rPr>
          <w:rFonts w:cs="Times New Roman"/>
          <w:bCs/>
          <w:iCs/>
          <w:noProof/>
          <w:szCs w:val="24"/>
        </w:rPr>
        <w:t>et al</w:t>
      </w:r>
      <w:r w:rsidRPr="00216965">
        <w:rPr>
          <w:rFonts w:cs="Times New Roman"/>
          <w:bCs/>
          <w:noProof/>
          <w:szCs w:val="24"/>
        </w:rPr>
        <w:t>. (2014)</w:t>
      </w:r>
      <w:r w:rsidRPr="00216965">
        <w:rPr>
          <w:rFonts w:cs="Times New Roman"/>
          <w:bCs/>
          <w:szCs w:val="24"/>
        </w:rPr>
        <w:fldChar w:fldCharType="end"/>
      </w:r>
      <w:r w:rsidRPr="00216965">
        <w:t xml:space="preserve">, who reported a high correlation between Cd and Pb removal and the CEC and pH of various biochars, although they did not consider EC, biochar mineral constituents or functional groups. </w:t>
      </w:r>
    </w:p>
    <w:p w14:paraId="58871C54" w14:textId="0AE43052" w:rsidR="008574C0" w:rsidRPr="00216965" w:rsidRDefault="005563EE" w:rsidP="008A33DA">
      <w:pPr>
        <w:spacing w:line="360" w:lineRule="auto"/>
        <w:jc w:val="both"/>
      </w:pPr>
      <w:r w:rsidRPr="00216965">
        <w:t xml:space="preserve">The high correlation of </w:t>
      </w:r>
      <w:r w:rsidRPr="00216965">
        <w:rPr>
          <w:i/>
          <w:iCs/>
        </w:rPr>
        <w:t>q</w:t>
      </w:r>
      <w:r w:rsidRPr="00216965">
        <w:rPr>
          <w:i/>
          <w:iCs/>
          <w:vertAlign w:val="subscript"/>
        </w:rPr>
        <w:t>m</w:t>
      </w:r>
      <w:r w:rsidRPr="00216965">
        <w:t xml:space="preserve">Pb and </w:t>
      </w:r>
      <w:r w:rsidRPr="00216965">
        <w:rPr>
          <w:i/>
          <w:iCs/>
        </w:rPr>
        <w:t>q</w:t>
      </w:r>
      <w:r w:rsidRPr="00216965">
        <w:rPr>
          <w:i/>
          <w:iCs/>
          <w:vertAlign w:val="subscript"/>
        </w:rPr>
        <w:t>m</w:t>
      </w:r>
      <w:r w:rsidRPr="00216965">
        <w:t>Zn  with total P and EC is supported by the ATR-FTIR analysis, where shifts in the intensity of PO</w:t>
      </w:r>
      <w:r w:rsidRPr="00216965">
        <w:rPr>
          <w:vertAlign w:val="subscript"/>
        </w:rPr>
        <w:t>4</w:t>
      </w:r>
      <w:r w:rsidRPr="00216965">
        <w:rPr>
          <w:vertAlign w:val="superscript"/>
        </w:rPr>
        <w:t>3-</w:t>
      </w:r>
      <w:r w:rsidRPr="00216965">
        <w:t xml:space="preserve">  were observed after contact with Zn, but also Pb. This implies that formation of precipitates with soluble phosphates released from biochar contributes to Pb and Zn immobilization. Previously the formation of phosphate precipitates with Pb such as Pb</w:t>
      </w:r>
      <w:r w:rsidRPr="00216965">
        <w:rPr>
          <w:vertAlign w:val="subscript"/>
        </w:rPr>
        <w:t>5</w:t>
      </w:r>
      <w:r w:rsidRPr="00216965">
        <w:t>(PO</w:t>
      </w:r>
      <w:r w:rsidRPr="00216965">
        <w:rPr>
          <w:vertAlign w:val="subscript"/>
        </w:rPr>
        <w:t>4</w:t>
      </w:r>
      <w:r w:rsidRPr="00216965">
        <w:t>)</w:t>
      </w:r>
      <w:r w:rsidRPr="00216965">
        <w:rPr>
          <w:vertAlign w:val="subscript"/>
        </w:rPr>
        <w:t>3</w:t>
      </w:r>
      <w:r w:rsidRPr="00216965">
        <w:t xml:space="preserve">OH </w:t>
      </w:r>
      <w:r w:rsidRPr="00216965">
        <w:rPr>
          <w:rFonts w:cs="Times New Roman"/>
          <w:bCs/>
          <w:szCs w:val="24"/>
          <w:lang w:val="en-US"/>
        </w:rPr>
        <w:fldChar w:fldCharType="begin" w:fldLock="1"/>
      </w:r>
      <w:r w:rsidR="006C06AA" w:rsidRPr="00216965">
        <w:rPr>
          <w:rFonts w:cs="Times New Roman"/>
          <w:bCs/>
          <w:szCs w:val="24"/>
          <w:lang w:val="en-US"/>
        </w:rPr>
        <w:instrText>ADDIN CSL_CITATION {"citationItems":[{"id":"ITEM-1","itemData":{"DOI":"10.1021/es803092k","author":[{"dropping-particle":"","family":"Cao","given":"Xinde","non-dropping-particle":"","parse-names":false,"suffix":""},{"dropping-particle":"","family":"Ma","given":"Lena","non-dropping-particle":"","parse-names":false,"suffix":""},{"dropping-particle":"","family":"Gao","given":"Bin","non-dropping-particle":"","parse-names":false,"suffix":""},{"dropping-particle":"","family":"Harris","given":"Willie","non-dropping-particle":"","parse-names":false,"suffix":""}],"container-title":"Environmental Science &amp; Technology","id":"ITEM-1","issue":"9","issued":{"date-parts":[["2009"]]},"page":"3285-3291","title":"Dairy-manure derived biochar effectively sorbs lead and atrazine","type":"article-journal","volume":"43"},"uris":["http://www.mendeley.com/documents/?uuid=4584eef4-88a1-3cc5-b365-1f59f2b5c584"]}],"mendeley":{"formattedCitation":"(Cao et al., 2009)","plainTextFormattedCitation":"(Cao et al., 2009)","previouslyFormattedCitation":"(Cao et al., 2009)"},"properties":{"noteIndex":0},"schema":"https://github.com/citation-style-language/schema/raw/master/csl-citation.json"}</w:instrText>
      </w:r>
      <w:r w:rsidRPr="00216965">
        <w:rPr>
          <w:rFonts w:cs="Times New Roman"/>
          <w:bCs/>
          <w:szCs w:val="24"/>
          <w:lang w:val="en-US"/>
        </w:rPr>
        <w:fldChar w:fldCharType="separate"/>
      </w:r>
      <w:r w:rsidR="00C83E62" w:rsidRPr="00216965">
        <w:rPr>
          <w:rFonts w:cs="Times New Roman"/>
          <w:bCs/>
          <w:noProof/>
          <w:szCs w:val="24"/>
          <w:lang w:val="en-US"/>
        </w:rPr>
        <w:t>(Cao et al., 2009)</w:t>
      </w:r>
      <w:r w:rsidRPr="00216965">
        <w:rPr>
          <w:rFonts w:cs="Times New Roman"/>
          <w:bCs/>
          <w:szCs w:val="24"/>
          <w:lang w:val="en-US"/>
        </w:rPr>
        <w:fldChar w:fldCharType="end"/>
      </w:r>
      <w:r w:rsidRPr="00216965">
        <w:t>, Pb</w:t>
      </w:r>
      <w:r w:rsidRPr="00216965">
        <w:rPr>
          <w:vertAlign w:val="subscript"/>
        </w:rPr>
        <w:t>3</w:t>
      </w:r>
      <w:r w:rsidRPr="00216965">
        <w:t>(PO</w:t>
      </w:r>
      <w:r w:rsidRPr="00216965">
        <w:rPr>
          <w:vertAlign w:val="subscript"/>
        </w:rPr>
        <w:t>4</w:t>
      </w:r>
      <w:r w:rsidRPr="00216965">
        <w:t>)</w:t>
      </w:r>
      <w:r w:rsidRPr="00216965">
        <w:rPr>
          <w:vertAlign w:val="subscript"/>
        </w:rPr>
        <w:t>2</w:t>
      </w:r>
      <w:r w:rsidRPr="00216965">
        <w:t xml:space="preserve"> </w:t>
      </w:r>
      <w:r w:rsidRPr="00216965">
        <w:rPr>
          <w:rFonts w:cs="Times New Roman"/>
          <w:bCs/>
          <w:szCs w:val="24"/>
          <w:lang w:val="en-US"/>
        </w:rPr>
        <w:fldChar w:fldCharType="begin" w:fldLock="1"/>
      </w:r>
      <w:r w:rsidR="006C06AA" w:rsidRPr="00216965">
        <w:rPr>
          <w:rFonts w:cs="Times New Roman"/>
          <w:bCs/>
          <w:szCs w:val="24"/>
          <w:lang w:val="en-US"/>
        </w:rPr>
        <w:instrText>ADDIN CSL_CITATION {"citationItems":[{"id":"ITEM-1","itemData":{"DOI":"10.1016/j.scitotenv.2016.10.163","ISSN":"18791026","abstract":"In this study, we examined the efficacy of nine different types of coconut-fiber derived biochars (CFBs), prepared at different temperatures and chemically modified with ammonia, hydrogen peroxide and nitric acid, to remove lead (Pb2 +) from aqueous solutions. Langmuir-qm values of the biochars pyrolyzed at 300 °C and modified with ammonia and nitric acid increased from 49.5 to 105.5 and 85.2 mg g− 1, respectively, compared to control (unmodified), whereas hydrogen peroxide treatment had no effect. The maximum amount of Pb adsorbed on biochars was in the order of CFB-700 &gt; MCFB-300-NH3·H2O &gt; CFB-500 &gt; MCFB-300-HNO3 &gt; CFB-300. X-ray absorption fine structure (XAFS) spectroscopy results revealed that Pb-montmorillonite, Pb(C2H3O2)2, PbSO4, Pb-Al2O3 and Pb3(PO4)2 were the five most important Pb species observed in Pb-loaded biochars, and as such, favoring Pb immobilization in aqueous solutions. Overall, the sorption capacity of CFBs pyrolyzed at 300 °C substantially increased for Pb2 + with ammonia and nitric acid modification. However, these chemical modifications did not improve the sorption of Pb on CFBs pyrolyzed at temperatures ≥ 500 °C, thereby highlighting a temperature dependent response of chemically modified biochars to Pb sorption in this study.","author":[{"dropping-particle":"","family":"Wu","given":"Weidong","non-dropping-particle":"","parse-names":false,"suffix":""},{"dropping-particle":"","family":"Li","given":"Jianhong","non-dropping-particle":"","parse-names":false,"suffix":""},{"dropping-particle":"","family":"Lan","given":"Tian","non-dropping-particle":"","parse-names":false,"suffix":""},{"dropping-particle":"","family":"Müller","given":"Karin","non-dropping-particle":"","parse-names":false,"suffix":""},{"dropping-particle":"","family":"Niazi","given":"Nabeel Khan","non-dropping-particle":"","parse-names":false,"suffix":""},{"dropping-particle":"","family":"Chen","given":"Xin","non-dropping-particle":"","parse-names":false,"suffix":""},{"dropping-particle":"","family":"Xu","given":"Song","non-dropping-particle":"","parse-names":false,"suffix":""},{"dropping-particle":"","family":"Zheng","given":"Lirong","non-dropping-particle":"","parse-names":false,"suffix":""},{"dropping-particle":"","family":"Chu","given":"Yingchao","non-dropping-particle":"","parse-names":false,"suffix":""},{"dropping-particle":"","family":"Li","given":"Jianwu","non-dropping-particle":"","parse-names":false,"suffix":""},{"dropping-particle":"","family":"Yuan","given":"Guodong","non-dropping-particle":"","parse-names":false,"suffix":""},{"dropping-particle":"","family":"Wang","given":"Hailong","non-dropping-particle":"","parse-names":false,"suffix":""}],"container-title":"Science of the Total Environment","id":"ITEM-1","issued":{"date-parts":[["2017","1","15"]]},"page":"766-774","publisher":"Elsevier B.V.","title":"Unraveling sorption of lead in aqueous solutions by chemically modified biochar derived from coconut fiber: A microscopic and spectroscopic investigation","type":"article-journal","volume":"576"},"uris":["http://www.mendeley.com/documents/?uuid=6336341b-1564-3a16-85e0-c7bfb871b9a0"]}],"mendeley":{"formattedCitation":"(W. Wu et al., 2017)","plainTextFormattedCitation":"(W. Wu et al., 2017)","previouslyFormattedCitation":"(W. Wu et al., 2017)"},"properties":{"noteIndex":0},"schema":"https://github.com/citation-style-language/schema/raw/master/csl-citation.json"}</w:instrText>
      </w:r>
      <w:r w:rsidRPr="00216965">
        <w:rPr>
          <w:rFonts w:cs="Times New Roman"/>
          <w:bCs/>
          <w:szCs w:val="24"/>
          <w:lang w:val="en-US"/>
        </w:rPr>
        <w:fldChar w:fldCharType="separate"/>
      </w:r>
      <w:r w:rsidR="00C83E62" w:rsidRPr="00216965">
        <w:rPr>
          <w:rFonts w:cs="Times New Roman"/>
          <w:bCs/>
          <w:noProof/>
          <w:szCs w:val="24"/>
          <w:lang w:val="en-US"/>
        </w:rPr>
        <w:t>(W. Wu et al., 2017)</w:t>
      </w:r>
      <w:r w:rsidRPr="00216965">
        <w:rPr>
          <w:rFonts w:cs="Times New Roman"/>
          <w:bCs/>
          <w:szCs w:val="24"/>
          <w:lang w:val="en-US"/>
        </w:rPr>
        <w:fldChar w:fldCharType="end"/>
      </w:r>
      <w:r w:rsidRPr="00216965">
        <w:t xml:space="preserve"> or Zn precipitates such as Zn</w:t>
      </w:r>
      <w:r w:rsidRPr="00216965">
        <w:rPr>
          <w:vertAlign w:val="subscript"/>
        </w:rPr>
        <w:t>3</w:t>
      </w:r>
      <w:r w:rsidRPr="00216965">
        <w:t>(PO</w:t>
      </w:r>
      <w:r w:rsidRPr="00216965">
        <w:rPr>
          <w:vertAlign w:val="subscript"/>
        </w:rPr>
        <w:t>4</w:t>
      </w:r>
      <w:r w:rsidRPr="00216965">
        <w:t>)</w:t>
      </w:r>
      <w:r w:rsidRPr="00216965">
        <w:rPr>
          <w:vertAlign w:val="subscript"/>
        </w:rPr>
        <w:t>2</w:t>
      </w:r>
      <w:r w:rsidRPr="00216965">
        <w:t xml:space="preserve"> </w:t>
      </w:r>
      <w:r w:rsidRPr="00216965">
        <w:rPr>
          <w:rFonts w:cs="Times New Roman"/>
          <w:bCs/>
          <w:szCs w:val="24"/>
          <w:vertAlign w:val="subscript"/>
          <w:lang w:val="en-US"/>
        </w:rPr>
        <w:fldChar w:fldCharType="begin" w:fldLock="1"/>
      </w:r>
      <w:r w:rsidR="006C06AA" w:rsidRPr="00216965">
        <w:rPr>
          <w:rFonts w:cs="Times New Roman"/>
          <w:bCs/>
          <w:szCs w:val="24"/>
          <w:vertAlign w:val="subscript"/>
          <w:lang w:val="en-US"/>
        </w:rPr>
        <w:instrText>ADDIN CSL_CITATION {"citationItems":[{"id":"ITEM-1","itemData":{"DOI":"10.1038/srep33630","ISSN":"20452322","abstract":"Biochar is considered to be a promising material for heavy metal immobilization in soil. However, the immobilization mechanisms of Zn 2+ on biochars derived from many common waste biomasses are not completely understood. Herein, biochars (denoted as PN350, PN550, WS350, and WS550) derived from pine needle (PN) and wheat straw (WS) were prepared at two pyrolysis temperatures (350 °C and 550 °C). The immobilization behaviors and mechanisms of Zn 2+ on these biochars were systematically investigated. The results show that compared with biochars produced at low temperature, biochars produced at high temperature contained higher amounts of ash and exhibited much higher sorption capacities of Zn 2+. By using Zn K-edge EXAFS spectroscopy, we find that the formation of various Zn precipitates/minerals, which was caused by the release of OH â ', CO 3 2â ', and Si species from biochar, was the immobilization mechanism of Zn 2+ on PN and WS biochars. Hydrozincite and Zn(OH) 2 were the main species formed on PN350, PN550, and WS350; while on WS550, besides hydrozincite, a large fraction of hemimorphite was formed. The occurrence of hydrozincite and hemimorphite on biochar during Zn 2+ immobilization is firstly reported in our study, which provides a new insight into the immobilization mechanism of Zn 2+ on biochar.","author":[{"dropping-particle":"","family":"Qian","given":"Tingting","non-dropping-particle":"","parse-names":false,"suffix":""},{"dropping-particle":"","family":"Wang","given":"Yujun","non-dropping-particle":"","parse-names":false,"suffix":""},{"dropping-particle":"","family":"Fan","given":"Tingting","non-dropping-particle":"","parse-names":false,"suffix":""},{"dropping-particle":"","family":"Fang","given":"Guodong","non-dropping-particle":"","parse-names":false,"suffix":""},{"dropping-particle":"","family":"Zhou","given":"Dongmei","non-dropping-particle":"","parse-names":false,"suffix":""}],"container-title":"Scientific Reports","id":"ITEM-1","issued":{"date-parts":[["2016","9","19"]]},"page":"33630","publisher":"Nature Publishing Group","title":"A new insight into the immobilization mechanism of Zn on biochar: The role of anions dissolved from ash","type":"article-journal","volume":"6"},"uris":["http://www.mendeley.com/documents/?uuid=f74e7ab3-4643-3138-b9ad-8060ce08498f"]}],"mendeley":{"formattedCitation":"(Qian et al., 2016)","plainTextFormattedCitation":"(Qian et al., 2016)","previouslyFormattedCitation":"(Qian et al., 2016)"},"properties":{"noteIndex":0},"schema":"https://github.com/citation-style-language/schema/raw/master/csl-citation.json"}</w:instrText>
      </w:r>
      <w:r w:rsidRPr="00216965">
        <w:rPr>
          <w:rFonts w:cs="Times New Roman"/>
          <w:bCs/>
          <w:szCs w:val="24"/>
          <w:vertAlign w:val="subscript"/>
          <w:lang w:val="en-US"/>
        </w:rPr>
        <w:fldChar w:fldCharType="separate"/>
      </w:r>
      <w:r w:rsidR="00C83E62" w:rsidRPr="00216965">
        <w:rPr>
          <w:rFonts w:cs="Times New Roman"/>
          <w:bCs/>
          <w:noProof/>
          <w:szCs w:val="24"/>
          <w:lang w:val="en-US"/>
        </w:rPr>
        <w:t>(Qian et al., 2016)</w:t>
      </w:r>
      <w:r w:rsidRPr="00216965">
        <w:rPr>
          <w:rFonts w:cs="Times New Roman"/>
          <w:bCs/>
          <w:szCs w:val="24"/>
          <w:vertAlign w:val="subscript"/>
          <w:lang w:val="en-US"/>
        </w:rPr>
        <w:fldChar w:fldCharType="end"/>
      </w:r>
      <w:r w:rsidRPr="00216965">
        <w:rPr>
          <w:rFonts w:cs="Times New Roman"/>
          <w:bCs/>
          <w:szCs w:val="24"/>
          <w:vertAlign w:val="subscript"/>
          <w:lang w:val="en-US"/>
        </w:rPr>
        <w:t xml:space="preserve"> </w:t>
      </w:r>
      <w:r w:rsidRPr="00216965">
        <w:t>or Zn</w:t>
      </w:r>
      <w:r w:rsidRPr="00216965">
        <w:rPr>
          <w:vertAlign w:val="subscript"/>
        </w:rPr>
        <w:t>3</w:t>
      </w:r>
      <w:r w:rsidRPr="00216965">
        <w:t>(PO</w:t>
      </w:r>
      <w:r w:rsidRPr="00216965">
        <w:rPr>
          <w:vertAlign w:val="subscript"/>
        </w:rPr>
        <w:t>4</w:t>
      </w:r>
      <w:r w:rsidRPr="00216965">
        <w:t>)</w:t>
      </w:r>
      <w:r w:rsidRPr="00216965">
        <w:rPr>
          <w:vertAlign w:val="subscript"/>
        </w:rPr>
        <w:t>2</w:t>
      </w:r>
      <w:r w:rsidRPr="00216965">
        <w:t>.4H</w:t>
      </w:r>
      <w:r w:rsidRPr="00216965">
        <w:rPr>
          <w:vertAlign w:val="subscript"/>
        </w:rPr>
        <w:t>2</w:t>
      </w:r>
      <w:r w:rsidRPr="00216965">
        <w:t xml:space="preserve">O </w:t>
      </w:r>
      <w:r w:rsidRPr="00216965">
        <w:rPr>
          <w:rFonts w:cs="Times New Roman"/>
          <w:bCs/>
          <w:szCs w:val="24"/>
          <w:lang w:val="en-US"/>
        </w:rPr>
        <w:fldChar w:fldCharType="begin" w:fldLock="1"/>
      </w:r>
      <w:r w:rsidR="006C06AA" w:rsidRPr="00216965">
        <w:rPr>
          <w:rFonts w:cs="Times New Roman"/>
          <w:bCs/>
          <w:szCs w:val="24"/>
          <w:lang w:val="en-US"/>
        </w:rPr>
        <w:instrText>ADDIN CSL_CITATION {"citationItems":[{"id":"ITEM-1","itemData":{"DOI":"10.1007/s11356-012-0873-5","ISBN":"1135601208735","ISSN":"09441344","PMID":"22477163","abstract":"PURPOSE: Biochar derived from waste biomass is now gaining much attention for its function as a biosorbent for environmental remediation. The objective of this study was to determine the effectiveness of biochar as a sorbent in removing Cd, Cu, and Zn from aqueous solutions.\\n\\nMETHODS: Biochar was produced from dairy manure (DM) at two temperatures: 200 °C and 350 °C, referred to as DM200 and DM350, respectively. The obtained biochars were then equilibrated with 0-5 mM Cu, Zn or Cd in 0.01 M NaNO(3) solution for 10 h. The changes in solution metal concentrations after sorption were evaluated for sorption capacity using isotherm modeling and chemical speciation Visual MINTEQ modeling, while the solid was collected for species characterization using infrared spectroscopy and X-ray elemental dot mapping techniques.\\n\\nRESULTS: The isotherms of Cu, Zn, and Cd sorption by DM200 were better fitted to Langmuir model, whereas Freundlich model well described the sorption of the three metals by DM350. The DM350 were more effective in sorbing all three metals than DM200 with both biochars had the highest affinity for Cu, followed by Zn and Cd. The maximum sorption capacities of Cu, Zn, and Cd by DM200 were 48.4, 31.6, and 31.9 mg g(-1), respectively, and those of Cu, Zn, and Cd by DM350 were 54.4, 32.8, and 51.4 mg g(-1), respectively. Sorption of the metals by the biochar was mainly attributed to their precipitation with PO(4)(3-) or CO(3)(2-) originating in biochar, with less to the surface complexation through -OH groups or delocalized π electrons. At the initial metal concentration of 5 mM, 80-100 % of Cu, Zn, and Cd retention by DM200 resulted from the precipitation, with less than 20 % from surface adsorption through phenonic -OH complexation. Among the precipitation, 20-30 % of the precipitation occurred as metal phosphate and 70-80 % as metal carbonate. For DM350, 75-100 % of Cu, Zn, and Cd retention were due to the precipitation, with less than 25 % to surface adsorption through complexation of heavy metal by phenonic -OH site or delocalized π electrons. Among the precipitation, only less than 10 % of the precipitation was present as metal phosphate and more than 90 % as metal carbonate.\\n\\nCONCLUSIONS: Results indicated that dairy manure waste can be converted into value-added biochar as a sorbent for sorption of heavy metals, and the mineral components originated in the biochar play an important role in the biochar's high sorption capacity.","author":[{"dropping-particle":"","family":"Xu","given":"Xiaoyun","non-dropping-particle":"","parse-names":false,"suffix":""},{"dropping-particle":"","family":"Cao","given":"Xinde","non-dropping-particle":"","parse-names":false,"suffix":""},{"dropping-particle":"","family":"Zhao","given":"Ling","non-dropping-particle":"","parse-names":false,"suffix":""},{"dropping-particle":"","family":"Wang","given":"Hailong","non-dropping-particle":"","parse-names":false,"suffix":""},{"dropping-particle":"","family":"Yu","given":"Hongran","non-dropping-particle":"","parse-names":false,"suffix":""},{"dropping-particle":"","family":"Gao","given":"Bin","non-dropping-particle":"","parse-names":false,"suffix":""}],"container-title":"Environmental Science and Pollution Research","id":"ITEM-1","issue":"1","issued":{"date-parts":[["2013"]]},"page":"358-368","title":"Removal of Cu, Zn, and Cd from aqueous solutions by the dairy manure-derived biochar","type":"article-journal","volume":"20"},"uris":["http://www.mendeley.com/documents/?uuid=0c3f0b49-7112-445e-9233-2501ca907b14"]}],"mendeley":{"formattedCitation":"(Xu et al., 2013)","plainTextFormattedCitation":"(Xu et al., 2013)","previouslyFormattedCitation":"(Xu et al., 2013)"},"properties":{"noteIndex":0},"schema":"https://github.com/citation-style-language/schema/raw/master/csl-citation.json"}</w:instrText>
      </w:r>
      <w:r w:rsidRPr="00216965">
        <w:rPr>
          <w:rFonts w:cs="Times New Roman"/>
          <w:bCs/>
          <w:szCs w:val="24"/>
          <w:lang w:val="en-US"/>
        </w:rPr>
        <w:fldChar w:fldCharType="separate"/>
      </w:r>
      <w:r w:rsidR="00C83E62" w:rsidRPr="00216965">
        <w:rPr>
          <w:rFonts w:cs="Times New Roman"/>
          <w:bCs/>
          <w:noProof/>
          <w:szCs w:val="24"/>
          <w:lang w:val="en-US"/>
        </w:rPr>
        <w:t>(Xu et al., 2013)</w:t>
      </w:r>
      <w:r w:rsidRPr="00216965">
        <w:rPr>
          <w:rFonts w:cs="Times New Roman"/>
          <w:bCs/>
          <w:szCs w:val="24"/>
          <w:lang w:val="en-US"/>
        </w:rPr>
        <w:fldChar w:fldCharType="end"/>
      </w:r>
      <w:r w:rsidRPr="00216965">
        <w:rPr>
          <w:rFonts w:cs="Times New Roman"/>
          <w:bCs/>
          <w:szCs w:val="24"/>
          <w:lang w:val="en-US"/>
        </w:rPr>
        <w:t xml:space="preserve"> </w:t>
      </w:r>
      <w:r w:rsidRPr="00216965">
        <w:t xml:space="preserve">have been reported on biochar surfaces. </w:t>
      </w:r>
    </w:p>
    <w:p w14:paraId="79F2B734" w14:textId="583F5404" w:rsidR="005563EE" w:rsidRPr="00216965" w:rsidRDefault="005563EE" w:rsidP="008A33DA">
      <w:pPr>
        <w:spacing w:line="360" w:lineRule="auto"/>
        <w:jc w:val="both"/>
      </w:pPr>
      <w:r w:rsidRPr="00216965">
        <w:t xml:space="preserve">Furthermore, the high correlation of </w:t>
      </w:r>
      <w:r w:rsidRPr="00216965">
        <w:rPr>
          <w:i/>
          <w:iCs/>
        </w:rPr>
        <w:t>q</w:t>
      </w:r>
      <w:r w:rsidRPr="00216965">
        <w:rPr>
          <w:i/>
          <w:iCs/>
          <w:vertAlign w:val="subscript"/>
        </w:rPr>
        <w:t>m</w:t>
      </w:r>
      <w:r w:rsidRPr="00216965">
        <w:t>Zn  with EC and total K</w:t>
      </w:r>
      <w:r w:rsidRPr="00216965">
        <w:rPr>
          <w:vertAlign w:val="superscript"/>
        </w:rPr>
        <w:t>+</w:t>
      </w:r>
      <w:r w:rsidRPr="00216965">
        <w:t xml:space="preserve"> suggests the interaction of Zn with soluble minerals containing K</w:t>
      </w:r>
      <w:r w:rsidRPr="00216965">
        <w:rPr>
          <w:vertAlign w:val="superscript"/>
        </w:rPr>
        <w:t>+</w:t>
      </w:r>
      <w:r w:rsidRPr="00216965">
        <w:t xml:space="preserve"> as an important contributor in Zn immobilization. The formation of large amounts of hemimorphite (Zn</w:t>
      </w:r>
      <w:r w:rsidRPr="00216965">
        <w:rPr>
          <w:vertAlign w:val="subscript"/>
        </w:rPr>
        <w:t>4</w:t>
      </w:r>
      <w:r w:rsidRPr="00216965">
        <w:t>(Si</w:t>
      </w:r>
      <w:r w:rsidRPr="00216965">
        <w:rPr>
          <w:vertAlign w:val="subscript"/>
        </w:rPr>
        <w:t>2</w:t>
      </w:r>
      <w:r w:rsidRPr="00216965">
        <w:t>O</w:t>
      </w:r>
      <w:r w:rsidRPr="00216965">
        <w:rPr>
          <w:vertAlign w:val="subscript"/>
        </w:rPr>
        <w:t>7</w:t>
      </w:r>
      <w:r w:rsidRPr="00216965">
        <w:t>)(OH)</w:t>
      </w:r>
      <w:r w:rsidRPr="00216965">
        <w:rPr>
          <w:vertAlign w:val="subscript"/>
        </w:rPr>
        <w:t>2</w:t>
      </w:r>
      <w:r w:rsidRPr="00216965">
        <w:t>·H</w:t>
      </w:r>
      <w:r w:rsidRPr="00216965">
        <w:rPr>
          <w:vertAlign w:val="subscript"/>
        </w:rPr>
        <w:t>2</w:t>
      </w:r>
      <w:r w:rsidRPr="00216965">
        <w:t>O) mediated by soluble K</w:t>
      </w:r>
      <w:r w:rsidRPr="00216965">
        <w:rPr>
          <w:vertAlign w:val="subscript"/>
        </w:rPr>
        <w:t>2</w:t>
      </w:r>
      <w:r w:rsidRPr="00216965">
        <w:t>SiO</w:t>
      </w:r>
      <w:r w:rsidRPr="00216965">
        <w:rPr>
          <w:vertAlign w:val="subscript"/>
        </w:rPr>
        <w:t>3</w:t>
      </w:r>
      <w:r w:rsidRPr="00216965">
        <w:t xml:space="preserve"> released from wheat straw biochar produced at 550 °C was reported by </w:t>
      </w:r>
      <w:r w:rsidRPr="00216965">
        <w:rPr>
          <w:rFonts w:cs="Times New Roman"/>
          <w:iCs/>
          <w:szCs w:val="24"/>
        </w:rPr>
        <w:fldChar w:fldCharType="begin" w:fldLock="1"/>
      </w:r>
      <w:r w:rsidR="006C06AA" w:rsidRPr="00216965">
        <w:rPr>
          <w:rFonts w:cs="Times New Roman"/>
          <w:iCs/>
          <w:szCs w:val="24"/>
        </w:rPr>
        <w:instrText>ADDIN CSL_CITATION {"citationItems":[{"id":"ITEM-1","itemData":{"DOI":"10.1038/srep33630","ISSN":"20452322","abstract":"Biochar is considered to be a promising material for heavy metal immobilization in soil. However, the immobilization mechanisms of Zn 2+ on biochars derived from many common waste biomasses are not completely understood. Herein, biochars (denoted as PN350, PN550, WS350, and WS550) derived from pine needle (PN) and wheat straw (WS) were prepared at two pyrolysis temperatures (350 °C and 550 °C). The immobilization behaviors and mechanisms of Zn 2+ on these biochars were systematically investigated. The results show that compared with biochars produced at low temperature, biochars produced at high temperature contained higher amounts of ash and exhibited much higher sorption capacities of Zn 2+. By using Zn K-edge EXAFS spectroscopy, we find that the formation of various Zn precipitates/minerals, which was caused by the release of OH â ', CO 3 2â ', and Si species from biochar, was the immobilization mechanism of Zn 2+ on PN and WS biochars. Hydrozincite and Zn(OH) 2 were the main species formed on PN350, PN550, and WS350; while on WS550, besides hydrozincite, a large fraction of hemimorphite was formed. The occurrence of hydrozincite and hemimorphite on biochar during Zn 2+ immobilization is firstly reported in our study, which provides a new insight into the immobilization mechanism of Zn 2+ on biochar.","author":[{"dropping-particle":"","family":"Qian","given":"Tingting","non-dropping-particle":"","parse-names":false,"suffix":""},{"dropping-particle":"","family":"Wang","given":"Yujun","non-dropping-particle":"","parse-names":false,"suffix":""},{"dropping-particle":"","family":"Fan","given":"Tingting","non-dropping-particle":"","parse-names":false,"suffix":""},{"dropping-particle":"","family":"Fang","given":"Guodong","non-dropping-particle":"","parse-names":false,"suffix":""},{"dropping-particle":"","family":"Zhou","given":"Dongmei","non-dropping-particle":"","parse-names":false,"suffix":""}],"container-title":"Scientific Reports","id":"ITEM-1","issued":{"date-parts":[["2016","9","19"]]},"page":"33630","publisher":"Nature Publishing Group","title":"A new insight into the immobilization mechanism of Zn on biochar: The role of anions dissolved from ash","type":"article-journal","volume":"6"},"uris":["http://www.mendeley.com/documents/?uuid=f74e7ab3-4643-3138-b9ad-8060ce08498f"]}],"mendeley":{"formattedCitation":"(Qian et al., 2016)","manualFormatting":"Qian et al. (2016)","plainTextFormattedCitation":"(Qian et al., 2016)","previouslyFormattedCitation":"(Qian et al., 2016)"},"properties":{"noteIndex":0},"schema":"https://github.com/citation-style-language/schema/raw/master/csl-citation.json"}</w:instrText>
      </w:r>
      <w:r w:rsidRPr="00216965">
        <w:rPr>
          <w:rFonts w:cs="Times New Roman"/>
          <w:iCs/>
          <w:szCs w:val="24"/>
        </w:rPr>
        <w:fldChar w:fldCharType="separate"/>
      </w:r>
      <w:r w:rsidRPr="00216965">
        <w:rPr>
          <w:rFonts w:cs="Times New Roman"/>
          <w:iCs/>
          <w:noProof/>
          <w:szCs w:val="24"/>
        </w:rPr>
        <w:t xml:space="preserve">Qian </w:t>
      </w:r>
      <w:r w:rsidR="009B2252" w:rsidRPr="00216965">
        <w:rPr>
          <w:rFonts w:cs="Times New Roman"/>
          <w:noProof/>
          <w:szCs w:val="24"/>
        </w:rPr>
        <w:t>et al</w:t>
      </w:r>
      <w:r w:rsidRPr="00216965">
        <w:rPr>
          <w:rFonts w:cs="Times New Roman"/>
          <w:iCs/>
          <w:noProof/>
          <w:szCs w:val="24"/>
        </w:rPr>
        <w:t>. (2016)</w:t>
      </w:r>
      <w:r w:rsidRPr="00216965">
        <w:rPr>
          <w:rFonts w:cs="Times New Roman"/>
          <w:iCs/>
          <w:szCs w:val="24"/>
        </w:rPr>
        <w:fldChar w:fldCharType="end"/>
      </w:r>
      <w:r w:rsidRPr="00216965">
        <w:t xml:space="preserve"> as one of the main Zn sorption mechanisms. The interaction of Zn with Si-O and PO</w:t>
      </w:r>
      <w:r w:rsidRPr="00216965">
        <w:rPr>
          <w:vertAlign w:val="subscript"/>
        </w:rPr>
        <w:t>4</w:t>
      </w:r>
      <w:r w:rsidRPr="00216965">
        <w:rPr>
          <w:vertAlign w:val="superscript"/>
        </w:rPr>
        <w:t>3-</w:t>
      </w:r>
      <w:r w:rsidRPr="00216965">
        <w:t xml:space="preserve"> groups observed in the ATR-FTIR analysis of Zn-loaded biochars is in agreement with the direct correlation between EC and </w:t>
      </w:r>
      <w:r w:rsidRPr="00216965">
        <w:rPr>
          <w:i/>
          <w:iCs/>
        </w:rPr>
        <w:t>q</w:t>
      </w:r>
      <w:r w:rsidRPr="00216965">
        <w:rPr>
          <w:i/>
          <w:iCs/>
          <w:vertAlign w:val="subscript"/>
        </w:rPr>
        <w:t>m</w:t>
      </w:r>
      <w:r w:rsidRPr="00216965">
        <w:t xml:space="preserve">Zn., implying that besides the observed interaction of Zn with oxygenated functional groups (phenolic and carboxylic), another important mechanism for Zn immobilization was precipitation with phosphate and silicate soluble minerals. </w:t>
      </w:r>
    </w:p>
    <w:p w14:paraId="624E42FC" w14:textId="6D1CB595" w:rsidR="008574C0" w:rsidRPr="00216965" w:rsidRDefault="005563EE" w:rsidP="008A33DA">
      <w:pPr>
        <w:spacing w:line="360" w:lineRule="auto"/>
        <w:jc w:val="both"/>
      </w:pPr>
      <w:r w:rsidRPr="00216965">
        <w:t xml:space="preserve">The high correlation of </w:t>
      </w:r>
      <w:r w:rsidRPr="00216965">
        <w:rPr>
          <w:i/>
          <w:iCs/>
        </w:rPr>
        <w:t>q</w:t>
      </w:r>
      <w:r w:rsidRPr="00216965">
        <w:rPr>
          <w:i/>
          <w:iCs/>
          <w:vertAlign w:val="subscript"/>
        </w:rPr>
        <w:t>m</w:t>
      </w:r>
      <w:r w:rsidRPr="00216965">
        <w:t>Cd with total K</w:t>
      </w:r>
      <w:r w:rsidRPr="00216965">
        <w:rPr>
          <w:vertAlign w:val="superscript"/>
        </w:rPr>
        <w:t>+</w:t>
      </w:r>
      <w:r w:rsidRPr="00216965">
        <w:t xml:space="preserve"> and CEC suggests the occurrence of cation exchange mechanisms between Cd and K</w:t>
      </w:r>
      <w:r w:rsidRPr="00216965">
        <w:rPr>
          <w:vertAlign w:val="superscript"/>
        </w:rPr>
        <w:t>+</w:t>
      </w:r>
      <w:r w:rsidRPr="00216965">
        <w:t xml:space="preserve">  by electrostatic ion exchange with surface functional groups of biochar or with K</w:t>
      </w:r>
      <w:r w:rsidRPr="00216965">
        <w:rPr>
          <w:vertAlign w:val="superscript"/>
        </w:rPr>
        <w:t>+</w:t>
      </w:r>
      <w:r w:rsidRPr="00216965">
        <w:t xml:space="preserve"> present in biochar minerals.</w:t>
      </w:r>
      <w:r w:rsidR="006D2F0E" w:rsidRPr="00216965">
        <w:t xml:space="preserve"> </w:t>
      </w:r>
      <w:r w:rsidRPr="00216965">
        <w:t>The EC values (dS.m</w:t>
      </w:r>
      <w:r w:rsidRPr="00216965">
        <w:rPr>
          <w:vertAlign w:val="superscript"/>
        </w:rPr>
        <w:t>-1</w:t>
      </w:r>
      <w:r w:rsidRPr="00216965">
        <w:t xml:space="preserve">) indicate the amount of biochar water-soluble salts </w:t>
      </w:r>
      <w:r w:rsidRPr="00216965">
        <w:rPr>
          <w:rFonts w:cs="Times New Roman"/>
          <w:bCs/>
          <w:szCs w:val="24"/>
        </w:rPr>
        <w:fldChar w:fldCharType="begin" w:fldLock="1"/>
      </w:r>
      <w:r w:rsidR="006C06AA" w:rsidRPr="00216965">
        <w:rPr>
          <w:rFonts w:cs="Times New Roman"/>
          <w:bCs/>
          <w:szCs w:val="24"/>
        </w:rPr>
        <w:instrText>ADDIN CSL_CITATION {"citationItems":[{"id":"ITEM-1","itemData":{"DOI":"10.1007/s10653-016-9873-6","ISSN":"15732983","author":[{"dropping-particle":"","family":"Jiang","given":"Shasha","non-dropping-particle":"","parse-names":false,"suffix":""},{"dropping-particle":"","family":"Nguyen","given":"Tuan A H","non-dropping-particle":"","parse-names":false,"suffix":""},{"dropping-particle":"","family":"Rudolph","given":"Victor","non-dropping-particle":"","parse-names":false,"suffix":""},{"dropping-particle":"","family":"Yang","given":"Hong","non-dropping-particle":"","parse-names":false,"suffix":""},{"dropping-particle":"","family":"Zhang","given":"Dongke","non-dropping-particle":"","parse-names":false,"suffix":""},{"dropping-particle":"","family":"Ok","given":"Yong Sik","non-dropping-particle":"","parse-names":false,"suffix":""},{"dropping-particle":"","family":"Huang","given":"Longbin","non-dropping-particle":"","parse-names":false,"suffix":""}],"container-title":"Environmental Geochemistry and Health","id":"ITEM-1","issued":{"date-parts":[["2017"]]},"page":"403-415","publisher":"Springer Netherlands","title":"Characterization of hard- and softwood biochars pyrolyzed at high temperature","type":"article-journal","volume":"39"},"uris":["http://www.mendeley.com/documents/?uuid=88cb6f94-5835-415f-bc83-bee9828a938c"]}],"mendeley":{"formattedCitation":"(Jiang et al., 2017)","plainTextFormattedCitation":"(Jiang et al., 2017)","previouslyFormattedCitation":"(Jiang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(Jiang et al., 2017)</w:t>
      </w:r>
      <w:r w:rsidRPr="00216965">
        <w:rPr>
          <w:rFonts w:cs="Times New Roman"/>
          <w:bCs/>
          <w:szCs w:val="24"/>
        </w:rPr>
        <w:fldChar w:fldCharType="end"/>
      </w:r>
      <w:r w:rsidRPr="00216965">
        <w:t xml:space="preserve">. Soluble cations and anions released from biochar can show a strong positive correlation with CEC and anion exchange capacity (AEC)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Technology","id":"ITEM-1","issued":{"date-parts":[["2017"]]},"page":"887-899","title":"Indispensable role of biochar-inherent mineral constituents in its environmental applications: A review","type":"article-journal","volume":"241"},"uris":["http://www.mendeley.com/documents/?uuid=efa5db54-ddfb-4f53-810a-d6892d9dd827"]}],"mendeley":{"formattedCitation":"(Xu et al., 2017)","plainTextFormattedCitation":"(Xu et al., 2017)","previouslyFormattedCitation":"(Xu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(Xu et al., 2017)</w:t>
      </w:r>
      <w:r w:rsidRPr="00216965">
        <w:rPr>
          <w:rFonts w:cs="Times New Roman"/>
          <w:bCs/>
          <w:szCs w:val="24"/>
        </w:rPr>
        <w:fldChar w:fldCharType="end"/>
      </w:r>
      <w:r w:rsidRPr="00216965">
        <w:t xml:space="preserve">, both mechanisms associated with Pb, Zn and Cd immobilization by biochar </w:t>
      </w:r>
      <w:r w:rsidRPr="00216965">
        <w:rPr>
          <w:rFonts w:cs="Times New Roman"/>
          <w:szCs w:val="24"/>
        </w:rPr>
        <w:fldChar w:fldCharType="begin" w:fldLock="1"/>
      </w:r>
      <w:r w:rsidR="006C06AA" w:rsidRPr="00216965">
        <w:rPr>
          <w:rFonts w:cs="Times New Roman"/>
          <w:szCs w:val="24"/>
        </w:rPr>
        <w:instrText>ADDIN CSL_CITATION {"citationItems":[{"id":"ITEM-1","itemData":{"DOI":"10.1016/j.watres.2011.11.058","ISSN":"00431354","abstract":"Lead sorption capacity and mechanisms by sludge-derived biochar (SDBC) were investigated to determine if treatment of acid mine drainage (AMD) containing metals with SDBC is feasible. It was found that the biochar derived from pyrolysis treatment of sewage sludge could effectively remove Pb 2+ from acidic solution with the capacities of 16.11, 20.11, 24.80, and 30.88mgg -1 at initial pH 2, 3, 4 and 5, respectively. Lead sorption processes were pseudo-second order kinetic and faster at a higher pH. Furthermore, the relative contribution of both inorganic mineral composition and organic functional groups of SDBC for Pb 2+ removal mechanisms, was quantitatively studied at pH 2-5. The results showed that Pb sorption primarily involved the coordination with organic hydroxyl and carboxyl functional groups, which was 38.2-42.3% of the total sorbed Pb varying with pH, as well as the coprecipitation or complex on mineral surfaces, which accounted for 57.7-61.8% and led to a bulk of Ca 2+ and Mg 2+ release during sorption process. A new precipitate was solely observed on Pb-loaded SDBC as 5PbO·P 2 O 5 ·SiO 2 (lead phosphate silicate) at initial pH 5, confirmed by XRD and SEM-EDX. The coordination of Pb 2+ with carboxyl and hydroxyl functional groups was demonstrated by FT-IR, and the contribution of free carboxyl was significant, ranging from 26.1% to 35.5%. Results from this study may suggest that the application of SDBC is a feasible strategy for removing metal contaminants from acid solutions. © 2011 Elsevier Ltd.","author":[{"dropping-particle":"","family":"Lu","given":"Huanliang","non-dropping-particle":"","parse-names":false,"suffix":""},{"dropping-particle":"","family":"Zhang","given":"Weihua","non-dropping-particle":"","parse-names":false,"suffix":""},{"dropping-particle":"","family":"Yang","given":"Yuxi","non-dropping-particle":"","parse-names":false,"suffix":""},{"dropping-particle":"","family":"Huang","given":"Xiongfei","non-dropping-particle":"","parse-names":false,"suffix":""},{"dropping-particle":"","family":"Wang","given":"Shizhong","non-dropping-particle":"","parse-names":false,"suffix":""},{"dropping-particle":"","family":"Qiu","given":"Rongliang","non-dropping-particle":"","parse-names":false,"suffix":""}],"container-title":"Water Research","id":"ITEM-1","issue":"3","issued":{"date-parts":[["2012","3","1"]]},"page":"854-862","title":"Relative distribution of Pb 2+ sorption mechanisms by sludge-derived biochar","type":"article-journal","volume":"46"},"uris":["http://www.mendeley.com/documents/?uuid=f7802b4c-67dd-310b-bb52-3a4488b1ecdd"]},{"id":"ITEM-2","itemData":{"DOI":"10.2166/wst.2016.319","ISSN":"02731223","abstract":"The purpose of this work is to investigate adsorption characteristic of\\ncorn stalk (CS) biochar for removal of cadmium ions (Cd2+) from aqueous\\nsolution. Batch adsorption experiments were carried out to evaluate the\\neffects of pH value of solution, adsorbent particle size, adsorbent\\ndosage, and ionic strength of solution on the adsorption of Cd2+ onto\\nbiochar that was pyrolytically produced from CS at 300 degrees C. The\\nresults showed that the initial pH value of solution played an important\\nrole in adsorption. The adsorptive amount of Cd2+ onto the biochar\\ndecreased with increasing the adsorbent dosage, adsorbent particle size,\\nand ionic strength, while it increased with increasing the initial pH\\nvalue of solution and temperature. Cd2+ was removed efficiently and\\nquickly from aqueous solutions by the biochar with a maximum capacity of\\n33.94 mg/g. The adsorption process was well described by the\\npseudo-second-order kinetic model with the correlation coefficients\\ngreater than 0.986. The adsorption isotherm could be well fitted by the\\nLangmuir model. The thermodynamic studies showed that the adsorption of\\nCd2+ onto the biochar was a spontaneous and exothermic process. The\\nresults indicate that CS biochar can be considered as an efficient\\nadsorbent.","author":[{"dropping-particle":"","family":"Ma","given":"Fengfeng","non-dropping-particle":"","parse-names":false,"suffix":""},{"dropping-particle":"","family":"Zhao","given":"Baowei","non-dropping-particle":"","parse-names":false,"suffix":""},{"dropping-particle":"","family":"Diao","given":"Jingru","non-dropping-particle":"","parse-names":false,"suffix":""}],"container-title":"Water Science and Technology","id":"ITEM-2","issue":"6","issued":{"date-parts":[["2016"]]},"page":"1335-1345","title":"Adsorption of cadmium by biochar produced from pyrolysis of corn stalk in aqueous solution","type":"article-journal","volume":"74"},"uris":["http://www.mendeley.com/documents/?uuid=396013fb-fcd3-4afa-b9bf-2725ea358950"]},{"id":"ITEM-3","itemData":{"DOI":"10.1007/s13762-015-0873-3","abstract":"The removal of the most prevalent heavy metal ions [cadmium(II), lead(II), copper(II), and zinc(II)] by adsorption on Scots pine (Pinus sylvestris L.) biochar and Silver birch (Betula pendula) biochar has been investigated , following the determination of physical and chemical adsorption properties of biochar. The efficiency of adsorption of heavy metal ions [cadmium(II), lead(II), copper(II), and zinc(II)] on biochar was studied at different concentrations of heavy metals [onefold maximum contaminant level, twofold maximum contaminant level, fivefold maximum contaminant level (in accordance with the requirements set out in the Water Framework Directive 2000/60/EC), dosages of biochar (1.6-140 g), and biochar types (Scots pine (P. sylvestris L.) biochar and Silver birch (B. pendula) biochar produced at slow and fast pyrolysis) at constant pH of leaching solution, temperature, and contact time. Adsorption capacity of Scots pine (P. sylvestris L.) biochar and Silver birch (B. pendula) biochar was assessed by the application of extended Freundlich isotherm. In this study, biochar was evaluated as a potential adsorbent to efficiently reduce concentration of heavy metal ions in metal-contaminated water. The maximum adsorption capacity were reached of copper(II) on Silver birch (B. pendula) biochar (128.7 lg g-1) and of zinc(II) on Scots pine (P. sylvestris L.) biochar (107.0 lg g-1). Adsorption capacity of lead(II) on Silver birch (B. pendula) and Scots pine (P. sylvestris L.) biochar varied from 1.29 to 3.77 and from 2.37 to 4.49 lg g-1 , respectively.","author":[{"dropping-particle":"","family":"Komkiene","given":"J","non-dropping-particle":"","parse-names":false,"suffix":""},{"dropping-particle":"","family":"Baltrenaite","given":"E","non-dropping-particle":"","parse-names":false,"suffix":""}],"container-title":"International Journal of Environmental Science and Technology","id":"ITEM-3","issued":{"date-parts":[["2016"]]},"page":"471-482","title":"Biochar as adsorbent for removal of heavy metal ions [cadmium(II), copper(II), lead(II), zinc(II)] from aqueous phase","type":"article-journal","volume":"13"},"uris":["http://www.mendeley.com/documents/?uuid=c701edfd-44ce-3024-870e-53b9f16b6132"]}],"mendeley":{"formattedCitation":"(Komkiene and Baltrenaite, 2016; Lu et al., 2012; Ma et al., 2016)","plainTextFormattedCitation":"(Komkiene and Baltrenaite, 2016; Lu et al., 2012; Ma et al., 2016)","previouslyFormattedCitation":"(Komkiene and Baltrenaite, 2016; Lu et al., 2012; Ma et al., 2016)"},"properties":{"noteIndex":0},"schema":"https://github.com/citation-style-language/schema/raw/master/csl-citation.json"}</w:instrText>
      </w:r>
      <w:r w:rsidRPr="00216965">
        <w:rPr>
          <w:rFonts w:cs="Times New Roman"/>
          <w:szCs w:val="24"/>
        </w:rPr>
        <w:fldChar w:fldCharType="separate"/>
      </w:r>
      <w:r w:rsidR="001974AA" w:rsidRPr="00216965">
        <w:rPr>
          <w:rFonts w:cs="Times New Roman"/>
          <w:noProof/>
          <w:szCs w:val="24"/>
        </w:rPr>
        <w:t>(Komkiene and Baltrenaite, 2016; Lu et al., 2012; Ma et al., 2016)</w:t>
      </w:r>
      <w:r w:rsidRPr="00216965">
        <w:rPr>
          <w:rFonts w:cs="Times New Roman"/>
          <w:szCs w:val="24"/>
        </w:rPr>
        <w:fldChar w:fldCharType="end"/>
      </w:r>
      <w:r w:rsidRPr="00216965">
        <w:t xml:space="preserve">. </w:t>
      </w:r>
    </w:p>
    <w:p w14:paraId="7E509C5C" w14:textId="3BB264E0" w:rsidR="005563EE" w:rsidRPr="00216965" w:rsidRDefault="005563EE" w:rsidP="008A33DA">
      <w:pPr>
        <w:spacing w:line="360" w:lineRule="auto"/>
        <w:jc w:val="both"/>
      </w:pPr>
      <w:r w:rsidRPr="00216965">
        <w:t xml:space="preserve">The adsorption affinity of water-soluble mineral fractions in biochar for HMs is much higher than that of water-insoluble minerals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Technology","id":"ITEM-1","issued":{"date-parts":[["2017"]]},"page":"887-899","title":"Indispensable role of biochar-inherent mineral constituents in its environmental applications: A review","type":"article-journal","volume":"241"},"uris":["http://www.mendeley.com/documents/?uuid=efa5db54-ddfb-4f53-810a-d6892d9dd827"]}],"mendeley":{"formattedCitation":"(Xu et al., 2017)","plainTextFormattedCitation":"(Xu et al., 2017)","previouslyFormattedCitation":"(Xu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(Xu et al., 2017)</w:t>
      </w:r>
      <w:r w:rsidRPr="00216965">
        <w:rPr>
          <w:rFonts w:cs="Times New Roman"/>
          <w:bCs/>
          <w:szCs w:val="24"/>
        </w:rPr>
        <w:fldChar w:fldCharType="end"/>
      </w:r>
      <w:r w:rsidRPr="00216965">
        <w:t>. For instance, soluble cations including potassium (K</w:t>
      </w:r>
      <w:r w:rsidRPr="00216965">
        <w:rPr>
          <w:vertAlign w:val="superscript"/>
        </w:rPr>
        <w:t>+</w:t>
      </w:r>
      <w:r w:rsidRPr="00216965">
        <w:t>), calcium (Ca</w:t>
      </w:r>
      <w:r w:rsidRPr="00216965">
        <w:rPr>
          <w:vertAlign w:val="superscript"/>
        </w:rPr>
        <w:t>2+</w:t>
      </w:r>
      <w:r w:rsidRPr="00216965">
        <w:t>), magnesium (Mg</w:t>
      </w:r>
      <w:r w:rsidRPr="00216965">
        <w:rPr>
          <w:vertAlign w:val="superscript"/>
        </w:rPr>
        <w:t>2+</w:t>
      </w:r>
      <w:r w:rsidRPr="00216965">
        <w:t>), and anions (PO</w:t>
      </w:r>
      <w:r w:rsidRPr="00216965">
        <w:rPr>
          <w:vertAlign w:val="subscript"/>
        </w:rPr>
        <w:t>4</w:t>
      </w:r>
      <w:r w:rsidRPr="00216965">
        <w:rPr>
          <w:vertAlign w:val="superscript"/>
        </w:rPr>
        <w:t>3-</w:t>
      </w:r>
      <w:r w:rsidRPr="00216965">
        <w:t xml:space="preserve"> or CO</w:t>
      </w:r>
      <w:r w:rsidRPr="00216965">
        <w:rPr>
          <w:vertAlign w:val="subscript"/>
        </w:rPr>
        <w:t>3</w:t>
      </w:r>
      <w:r w:rsidRPr="00216965">
        <w:rPr>
          <w:vertAlign w:val="superscript"/>
        </w:rPr>
        <w:t>2-</w:t>
      </w:r>
      <w:r w:rsidRPr="00216965">
        <w:t xml:space="preserve">) in biochar participate in ion exchange reactions or form precipitates with HMs, reducing their availability </w:t>
      </w:r>
      <w:r w:rsidRPr="00216965">
        <w:rPr>
          <w:rFonts w:cs="Times New Roman"/>
          <w:bCs/>
          <w:szCs w:val="24"/>
        </w:rPr>
        <w:fldChar w:fldCharType="begin" w:fldLock="1"/>
      </w:r>
      <w:r w:rsidR="006C06AA" w:rsidRPr="00216965">
        <w:rPr>
          <w:rFonts w:cs="Times New Roman"/>
          <w:bCs/>
          <w:szCs w:val="24"/>
        </w:rPr>
        <w:instrText>ADDIN CSL_CITATION {"citationItems":[{"id":"ITEM-1","itemData":{"DOI":"10.1016/J.CHEMOSPHERE.2017.03.072","ISSN":"0045-6535","abstract":"Biochar produced by thermal decomposition of biomass under oxygen-limited conditions has received increasing attention as a cost-effective sorbent to treat metal-contaminated waters. However, there is a lack of information on the roles of different sorption mechanisms for different metals and recent development of biochar modification to enhance metal sorption capacity, which is critical for biochar field application. This review summarizes the characteristics of biochar (e.g., surface area, porosity, pH, surface charge, functional groups, and mineral components) and main mechanisms governing sorption of As, Cr, Cd, Pb, and Hg by biochar. Biochar properties vary considerably with feedstock material and pyrolysis temperature, with high temperature producing biochars with higher surface area, porosity, pH, and mineral contents, but less functional groups. Different mechanisms dominate sorption of As (complexation and electrostatic interactions), Cr (electrostatic interactions, reduction, and complexation), Cd and Pb (complexation, cation exchange, and precipitation), and Hg (complexation and reduction). Besides sorption mechanisms, recent advance in modifying biochar by loading with minerals, reductants, organic functional groups, and nanoparticles, and activation with alkali solution to enhance metal sorption capacity is discussed. Future research needs for field application of biochar include competitive sorption mechanisms of co-existing metals, biochar reuse, and cost reduction of biochar production.","author":[{"dropping-particle":"","family":"Li","given":"Hongbo","non-dropping-particle":"","parse-names":false,"suffix":""},{"dropping-particle":"","family":"Dong","given":"Xiaoling","non-dropping-particle":"","parse-names":false,"suffix":""},{"dropping-particle":"","family":"Silva","given":"Evandro","non-dropping-particle":"da","parse-names":false,"suffix":""},{"dropping-particle":"","family":"Oliveira","given":"Letuzia","non-dropping-particle":"de","parse-names":false,"suffix":""},{"dropping-particle":"","family":"Chen","given":"Yanshan","non-dropping-particle":"","parse-names":false,"suffix":""},{"dropping-particle":"","family":"Ma","given":"Lena Q","non-dropping-particle":"","parse-names":false,"suffix":""}],"container-title":"Chemosphere","id":"ITEM-1","issued":{"date-parts":[["2017","7","1"]]},"page":"466-478","publisher":"Pergamon","title":"Mechanisms of metal sorption by biochars: Biochar characteristics and modifications","type":"article-journal","volume":"178"},"uris":["http://www.mendeley.com/documents/?uuid=86ada9eb-8f5a-356c-ba86-8ed24fd91759"]},{"id":"ITEM-2","itemData":{"DOI":"10.1016/j.biortech.2017.06.023","ISSN":"18732976","abstract":"Biochar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Technology","id":"ITEM-2","issued":{"date-parts":[["2017"]]},"page":"887-899","title":"Indispensable role of biochar-inherent mineral constituents in its environmental applications: A review","type":"article-journal","volume":"241"},"uris":["http://www.mendeley.com/documents/?uuid=efa5db54-ddfb-4f53-810a-d6892d9dd827"]}],"mendeley":{"formattedCitation":"(Hongbo Li et al., 2017; Xu et al., 2017)","plainTextFormattedCitation":"(Hongbo Li et al., 2017; Xu et al., 2017)","previouslyFormattedCitation":"(Hongbo Li et al., 2017; Xu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(Hongbo Li et al., 2017; Xu et al., 2017)</w:t>
      </w:r>
      <w:r w:rsidRPr="00216965">
        <w:rPr>
          <w:rFonts w:cs="Times New Roman"/>
          <w:bCs/>
          <w:szCs w:val="24"/>
        </w:rPr>
        <w:fldChar w:fldCharType="end"/>
      </w:r>
      <w:r w:rsidRPr="00216965">
        <w:t xml:space="preserve">.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2014)","manualFormatting":"Trakal et al. (2014)","plainTextFormattedCitation":"(Trakal et al., 2014)","previouslyFormattedCitation":"(Trakal et al., 2014)"},"properties":{"noteIndex":0},"schema":"https://github.com/citation-style-language/schema/raw/master/csl-citation.json"}</w:instrText>
      </w:r>
      <w:r w:rsidRPr="00216965">
        <w:rPr>
          <w:rFonts w:cs="Times New Roman"/>
          <w:bCs/>
          <w:szCs w:val="24"/>
        </w:rPr>
        <w:fldChar w:fldCharType="separate"/>
      </w:r>
      <w:r w:rsidRPr="00216965">
        <w:rPr>
          <w:rFonts w:cs="Times New Roman"/>
          <w:bCs/>
          <w:noProof/>
          <w:szCs w:val="24"/>
        </w:rPr>
        <w:t xml:space="preserve">Trakal </w:t>
      </w:r>
      <w:r w:rsidR="009B2252" w:rsidRPr="00216965">
        <w:rPr>
          <w:rFonts w:cs="Times New Roman"/>
          <w:bCs/>
          <w:iCs/>
          <w:noProof/>
          <w:szCs w:val="24"/>
        </w:rPr>
        <w:t>et al</w:t>
      </w:r>
      <w:r w:rsidRPr="00216965">
        <w:rPr>
          <w:rFonts w:cs="Times New Roman"/>
          <w:bCs/>
          <w:noProof/>
          <w:szCs w:val="24"/>
        </w:rPr>
        <w:t>. (2014)</w:t>
      </w:r>
      <w:r w:rsidRPr="00216965">
        <w:rPr>
          <w:rFonts w:cs="Times New Roman"/>
          <w:bCs/>
          <w:szCs w:val="24"/>
        </w:rPr>
        <w:fldChar w:fldCharType="end"/>
      </w:r>
      <w:r w:rsidRPr="00216965">
        <w:rPr>
          <w:rFonts w:cs="Times New Roman"/>
          <w:bCs/>
          <w:szCs w:val="24"/>
        </w:rPr>
        <w:t xml:space="preserve"> </w:t>
      </w:r>
      <w:r w:rsidRPr="00216965">
        <w:t>suggested the release of cations as the most important characteristic in biochar selection for metal sorption.</w:t>
      </w:r>
    </w:p>
    <w:p w14:paraId="758B79D1" w14:textId="77777777" w:rsidR="005563EE" w:rsidRPr="00216965" w:rsidRDefault="005563EE" w:rsidP="008A33DA">
      <w:pPr>
        <w:spacing w:line="480" w:lineRule="auto"/>
        <w:jc w:val="both"/>
      </w:pPr>
    </w:p>
    <w:p w14:paraId="02CD45A2" w14:textId="77777777" w:rsidR="005563EE" w:rsidRPr="00216965" w:rsidRDefault="005563EE" w:rsidP="008A33DA">
      <w:pPr>
        <w:spacing w:line="480" w:lineRule="auto"/>
        <w:jc w:val="both"/>
      </w:pPr>
      <w:r w:rsidRPr="00216965">
        <w:rPr>
          <w:noProof/>
        </w:rPr>
        <w:drawing>
          <wp:inline distT="0" distB="0" distL="0" distR="0" wp14:anchorId="77243C11" wp14:editId="44216232">
            <wp:extent cx="5400040" cy="5510530"/>
            <wp:effectExtent l="0" t="0" r="0" b="0"/>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5510530"/>
                    </a:xfrm>
                    <a:prstGeom prst="rect">
                      <a:avLst/>
                    </a:prstGeom>
                    <a:noFill/>
                    <a:ln>
                      <a:noFill/>
                    </a:ln>
                  </pic:spPr>
                </pic:pic>
              </a:graphicData>
            </a:graphic>
          </wp:inline>
        </w:drawing>
      </w:r>
    </w:p>
    <w:p w14:paraId="17F51153" w14:textId="77777777" w:rsidR="005563EE" w:rsidRPr="00216965" w:rsidRDefault="005563EE" w:rsidP="008A33DA">
      <w:pPr>
        <w:spacing w:line="276" w:lineRule="auto"/>
        <w:jc w:val="both"/>
      </w:pPr>
      <w:r w:rsidRPr="00216965">
        <w:t xml:space="preserve"> </w:t>
      </w:r>
    </w:p>
    <w:p w14:paraId="2FA65CD8" w14:textId="285A38EF" w:rsidR="005563EE" w:rsidRPr="00216965" w:rsidRDefault="005563EE" w:rsidP="008A33DA">
      <w:pPr>
        <w:pStyle w:val="Caption"/>
        <w:ind w:right="282"/>
        <w:jc w:val="both"/>
        <w:rPr>
          <w:rFonts w:eastAsia="Times New Roman" w:cs="Times New Roman"/>
          <w:b/>
          <w:bCs w:val="0"/>
          <w:color w:val="000000"/>
          <w:szCs w:val="24"/>
        </w:rPr>
      </w:pPr>
      <w:bookmarkStart w:id="176" w:name="_Ref52819727"/>
      <w:bookmarkStart w:id="177" w:name="_Toc86439362"/>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11</w:t>
      </w:r>
      <w:r w:rsidR="00BF3EBE" w:rsidRPr="00216965">
        <w:rPr>
          <w:rFonts w:cs="Times New Roman"/>
          <w:b/>
          <w:bCs w:val="0"/>
          <w:szCs w:val="24"/>
        </w:rPr>
        <w:fldChar w:fldCharType="end"/>
      </w:r>
      <w:bookmarkEnd w:id="176"/>
      <w:r w:rsidRPr="00216965">
        <w:rPr>
          <w:rFonts w:cs="Times New Roman"/>
          <w:b/>
          <w:bCs w:val="0"/>
          <w:szCs w:val="24"/>
        </w:rPr>
        <w:t>.</w:t>
      </w:r>
      <w:r w:rsidRPr="00216965">
        <w:rPr>
          <w:b/>
          <w:bCs w:val="0"/>
          <w:szCs w:val="24"/>
        </w:rPr>
        <w:t xml:space="preserve"> </w:t>
      </w:r>
      <w:r w:rsidRPr="00216965">
        <w:rPr>
          <w:rFonts w:eastAsia="Times New Roman" w:cs="Times New Roman"/>
          <w:b/>
          <w:bCs w:val="0"/>
          <w:color w:val="000000"/>
          <w:szCs w:val="24"/>
        </w:rPr>
        <w:t>Relationship between biochar sorption performance and physico-chemical properties</w:t>
      </w:r>
      <w:r w:rsidRPr="00216965">
        <w:rPr>
          <w:rFonts w:eastAsia="Times New Roman" w:cs="Times New Roman"/>
          <w:color w:val="000000"/>
          <w:szCs w:val="24"/>
        </w:rPr>
        <w:t>.</w:t>
      </w:r>
      <w:r w:rsidRPr="00216965">
        <w:rPr>
          <w:rFonts w:eastAsia="Times New Roman" w:cs="Times New Roman"/>
          <w:bCs w:val="0"/>
          <w:color w:val="000000"/>
          <w:szCs w:val="24"/>
        </w:rPr>
        <w:t xml:space="preserve"> A) Pearson correlation matrix of physico-chemical properties of biochar and sorption capacity </w:t>
      </w:r>
      <w:r w:rsidRPr="00216965">
        <w:rPr>
          <w:rFonts w:eastAsia="Times New Roman" w:cs="Times New Roman"/>
          <w:bCs w:val="0"/>
          <w:i/>
          <w:color w:val="000000"/>
          <w:szCs w:val="24"/>
        </w:rPr>
        <w:t>q</w:t>
      </w:r>
      <w:r w:rsidRPr="00216965">
        <w:rPr>
          <w:rFonts w:eastAsia="Times New Roman" w:cs="Times New Roman"/>
          <w:bCs w:val="0"/>
          <w:i/>
          <w:color w:val="000000"/>
          <w:szCs w:val="24"/>
          <w:vertAlign w:val="subscript"/>
        </w:rPr>
        <w:t>m</w:t>
      </w:r>
      <w:r w:rsidRPr="00216965">
        <w:rPr>
          <w:rFonts w:eastAsia="Times New Roman" w:cs="Times New Roman"/>
          <w:bCs w:val="0"/>
          <w:color w:val="000000"/>
          <w:szCs w:val="24"/>
        </w:rPr>
        <w:t xml:space="preserve"> (mg.g</w:t>
      </w:r>
      <w:r w:rsidRPr="00216965">
        <w:rPr>
          <w:rFonts w:eastAsia="Times New Roman" w:cs="Times New Roman"/>
          <w:bCs w:val="0"/>
          <w:color w:val="000000"/>
          <w:szCs w:val="24"/>
          <w:vertAlign w:val="superscript"/>
        </w:rPr>
        <w:t>-1</w:t>
      </w:r>
      <w:r w:rsidRPr="00216965">
        <w:rPr>
          <w:rFonts w:eastAsia="Times New Roman" w:cs="Times New Roman"/>
          <w:bCs w:val="0"/>
          <w:color w:val="000000"/>
          <w:szCs w:val="24"/>
        </w:rPr>
        <w:t>) for Cd, Zn and Pb. Plots showing predicted sorption capacity versus the maximum sorption capacity (mg.g</w:t>
      </w:r>
      <w:r w:rsidRPr="00216965">
        <w:rPr>
          <w:rFonts w:eastAsia="Times New Roman" w:cs="Times New Roman"/>
          <w:bCs w:val="0"/>
          <w:color w:val="000000"/>
          <w:szCs w:val="24"/>
          <w:vertAlign w:val="superscript"/>
        </w:rPr>
        <w:t>-1</w:t>
      </w:r>
      <w:r w:rsidRPr="00216965">
        <w:rPr>
          <w:rFonts w:eastAsia="Times New Roman" w:cs="Times New Roman"/>
          <w:bCs w:val="0"/>
          <w:color w:val="000000"/>
          <w:szCs w:val="24"/>
        </w:rPr>
        <w:t xml:space="preserve">) observed for B) Zn with single variable linear regression, C) Cd multi variable linear regression, D) Cd single variable linear regression and E) Pb single variable linear regression. </w:t>
      </w:r>
      <w:r w:rsidRPr="00216965">
        <w:rPr>
          <w:rFonts w:eastAsia="Symbol" w:cs="Times New Roman"/>
          <w:color w:val="0070C0"/>
          <w:sz w:val="36"/>
          <w:szCs w:val="36"/>
        </w:rPr>
        <w:t>−</w:t>
      </w:r>
      <w:r w:rsidRPr="00216965">
        <w:rPr>
          <w:rFonts w:eastAsia="Times New Roman" w:cs="Times New Roman"/>
          <w:bCs w:val="0"/>
          <w:color w:val="0070C0"/>
          <w:szCs w:val="24"/>
        </w:rPr>
        <w:t xml:space="preserve"> </w:t>
      </w:r>
      <w:r w:rsidRPr="00216965">
        <w:rPr>
          <w:rFonts w:eastAsia="Times New Roman" w:cs="Times New Roman"/>
          <w:bCs w:val="0"/>
          <w:color w:val="000000"/>
          <w:szCs w:val="24"/>
        </w:rPr>
        <w:t xml:space="preserve"> represent the regression line and  grey areas indicate 95% confidence intervals for predicted biochar sorption capacity.</w:t>
      </w:r>
      <w:bookmarkEnd w:id="177"/>
    </w:p>
    <w:p w14:paraId="10579CC3" w14:textId="331C4D87" w:rsidR="005563EE" w:rsidRPr="00216965" w:rsidRDefault="005563EE" w:rsidP="008A33DA">
      <w:pPr>
        <w:spacing w:before="360" w:line="360" w:lineRule="auto"/>
        <w:jc w:val="both"/>
      </w:pPr>
      <w:r w:rsidRPr="00216965">
        <w:t xml:space="preserve">The high correlation between </w:t>
      </w:r>
      <w:r w:rsidRPr="00216965">
        <w:rPr>
          <w:i/>
          <w:iCs/>
        </w:rPr>
        <w:t>q</w:t>
      </w:r>
      <w:r w:rsidRPr="00216965">
        <w:rPr>
          <w:i/>
          <w:iCs/>
          <w:vertAlign w:val="subscript"/>
        </w:rPr>
        <w:t>m</w:t>
      </w:r>
      <w:r w:rsidRPr="00216965">
        <w:t xml:space="preserve"> and pH also reflects the importance of biochar mineral constituents; alkali metals (Na</w:t>
      </w:r>
      <w:r w:rsidRPr="00216965">
        <w:rPr>
          <w:vertAlign w:val="superscript"/>
        </w:rPr>
        <w:t>+</w:t>
      </w:r>
      <w:r w:rsidRPr="00216965">
        <w:t>, K</w:t>
      </w:r>
      <w:r w:rsidRPr="00216965">
        <w:rPr>
          <w:vertAlign w:val="superscript"/>
        </w:rPr>
        <w:t>+</w:t>
      </w:r>
      <w:r w:rsidRPr="00216965">
        <w:t>) or alkaline earth metals (Ca</w:t>
      </w:r>
      <w:r w:rsidRPr="00216965">
        <w:rPr>
          <w:vertAlign w:val="superscript"/>
        </w:rPr>
        <w:t>2+</w:t>
      </w:r>
      <w:r w:rsidRPr="00216965">
        <w:t>, Mg</w:t>
      </w:r>
      <w:r w:rsidRPr="00216965">
        <w:rPr>
          <w:vertAlign w:val="superscript"/>
        </w:rPr>
        <w:t>2+</w:t>
      </w:r>
      <w:r w:rsidRPr="00216965">
        <w:t xml:space="preserve">) in the form of carbonates are the main alkaline substances responsible for the high pH of biochar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Technology","id":"ITEM-1","issued":{"date-parts":[["2017"]]},"page":"887-899","title":"Indispensable role of biochar-inherent mineral constituents in its environmental applications: A review","type":"article-journal","volume":"241"},"uris":["http://www.mendeley.com/documents/?uuid=efa5db54-ddfb-4f53-810a-d6892d9dd827"]}],"mendeley":{"formattedCitation":"(Xu et al., 2017)","plainTextFormattedCitation":"(Xu et al., 2017)","previouslyFormattedCitation":"(Xu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 xml:space="preserve">(Xu et al., </w:t>
      </w:r>
      <w:r w:rsidR="00C83E62" w:rsidRPr="00216965">
        <w:rPr>
          <w:rFonts w:cs="Times New Roman"/>
          <w:bCs/>
          <w:noProof/>
          <w:szCs w:val="24"/>
        </w:rPr>
        <w:lastRenderedPageBreak/>
        <w:t>2017)</w:t>
      </w:r>
      <w:r w:rsidRPr="00216965">
        <w:rPr>
          <w:rFonts w:cs="Times New Roman"/>
          <w:bCs/>
          <w:szCs w:val="24"/>
        </w:rPr>
        <w:fldChar w:fldCharType="end"/>
      </w:r>
      <w:r w:rsidRPr="00216965">
        <w:t xml:space="preserve">. Furthermore, higher pH values favour deprotonation of carboxylic and other functional groups, thus negatively charged sorption sites are created on the surface of all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2014)","plainTextFormattedCitation":"(Trakal et al., 2014)","previouslyFormattedCitation":"(Trakal et al., 2014)"},"properties":{"noteIndex":0},"schema":"https://github.com/citation-style-language/schema/raw/master/csl-citation.json"}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(Trakal et al., 2014)</w:t>
      </w:r>
      <w:r w:rsidRPr="00216965">
        <w:rPr>
          <w:rFonts w:cs="Times New Roman"/>
          <w:bCs/>
          <w:szCs w:val="24"/>
        </w:rPr>
        <w:fldChar w:fldCharType="end"/>
      </w:r>
      <w:r w:rsidRPr="00216965">
        <w:t xml:space="preserve">. Therefore, the high correlation of </w:t>
      </w:r>
      <w:r w:rsidRPr="00216965">
        <w:rPr>
          <w:i/>
          <w:iCs/>
        </w:rPr>
        <w:t>q</w:t>
      </w:r>
      <w:r w:rsidRPr="00216965">
        <w:rPr>
          <w:i/>
          <w:iCs/>
          <w:vertAlign w:val="subscript"/>
        </w:rPr>
        <w:t>m</w:t>
      </w:r>
      <w:r w:rsidRPr="00216965">
        <w:t xml:space="preserve"> with biochar pH suggests that a higher biochar pH is associated with a higher immobilization potential due to different mechanisms (complexation or precipitation). As per EC, these correlations suggest that biochars with a high soluble mineral content would have a higher pH, EC and CEC, supporting HMs immobilization.</w:t>
      </w:r>
    </w:p>
    <w:p w14:paraId="0C25A43C" w14:textId="2DC81004" w:rsidR="005563EE" w:rsidRPr="00216965" w:rsidRDefault="005563EE" w:rsidP="008A33DA">
      <w:pPr>
        <w:spacing w:line="360" w:lineRule="auto"/>
        <w:jc w:val="both"/>
      </w:pPr>
      <w:r w:rsidRPr="00216965">
        <w:t xml:space="preserve">The low potential for Cd, Pb and Zn sorption on SWP550 can be related to the feedstock type. Wood-derived biochars, such as SWP550, are reported to have low EC values </w:t>
      </w:r>
      <w:r w:rsidRPr="00216965">
        <w:rPr>
          <w:rFonts w:cs="Times New Roman"/>
          <w:bCs/>
          <w:szCs w:val="24"/>
        </w:rPr>
        <w:fldChar w:fldCharType="begin" w:fldLock="1"/>
      </w:r>
      <w:r w:rsidR="006C06AA" w:rsidRPr="00216965">
        <w:rPr>
          <w:rFonts w:cs="Times New Roman"/>
          <w:bCs/>
          <w:szCs w:val="24"/>
        </w:rPr>
        <w:instrText>ADDIN CSL_CITATION {"citationItems":[{"id":"ITEM-1","itemData":{"DOI":"10.1371/journal.pone.0176884","ISSN":"1932-6203","abstract":"Biochar production and use are part of the modern agenda to recycle wastes, and to retain nutrients, pollutants, and heavy metals in the soil and to offset some greenhouse gas emissions. Biochars from wood (eucalyptus sawdust, pine bark), sugarcane bagasse, and substances rich in nutrients (coffee husk, chicken manure) produced at 350, 450 and 750°C were characterized to identify agronomic and environmental benefits, which may enhance soil quality. Biochars derived from wood and sugarcane have greater potential for improving C storage in tropical soils due to a higher aromatic character, high C concentration, low H/C ratio, and FTIR spectra features as compared to nutrient-rich biochars. The high ash content associated with alkaline chemical species such as KHCO3 and CaCO3, verified by XRD analysis, made chicken manure and coffee husk biochars potential liming agents for remediating acidic soils. High Ca and K contents in chicken manure and coffee husk biomass can significantly replace conventional sources of K (mostly imported in Brazil) and Ca, suggesting a high agronomic value for these biochars. High-ash biochars, such as chicken manure and coffee husk, produced at loweratures (350 and 450C) exhibited high CEC values, which can be considered as a potential applicable material to increase nutrient retention in soil. Therefore, the agronomic value of the biochars in this study is predominantly regulated by the nutrient richness of the biomass, but an increase in pyrolysis temperature to 750C can strongly decrease the adsorptive capacities of chicken manure and coffee husk biochars. A diagram of the agronomic potential and environmental benefits is presented, along with some guidelines to relate biochar properties with potential agronomic and environmental uses. Based on biochar properties, research needs are identified and directions for future trials are delineated.","author":[{"dropping-particle":"","family":"Domingues","given":"Rimena R.","non-dropping-particle":"","parse-names":false,"suffix":""},{"dropping-particle":"","family":"Trugilho","given":"Paulo F.","non-dropping-particle":"","parse-names":false,"suffix":""},{"dropping-particle":"","family":"Silva","given":"Carlos A.","non-dropping-particle":"","parse-names":false,"suffix":""},{"dropping-particle":"","family":"Melo","given":"Isabel Cristina","non-dropping-particle":"de","parse-names":false,"suffix":""},{"dropping-particle":"","family":"Melo","given":"Leônidas C. A.","non-dropping-particle":"","parse-names":false,"suffix":""},{"dropping-particle":"","family":"Magriotis","given":"Zuy M.","non-dropping-particle":"","parse-names":false,"suffix":""},{"dropping-particle":"","family":"Sánchez-Monedero","given":"Miguel A.","non-dropping-particle":"","parse-names":false,"suffix":""}],"container-title":"PLOS ONE","editor":[{"dropping-particle":"","family":"Paz-Ferreiro","given":"Jorge","non-dropping-particle":"","parse-names":false,"suffix":""}],"id":"ITEM-1","issue":"5","issued":{"date-parts":[["2017","5","11"]]},"page":"e0176884","publisher":"Public Library of Science","title":"Properties of biochar derived from wood and high-nutrient biomasses with the aim of agronomic and environmental benefits","type":"article-journal","volume":"12"},"uris":["http://www.mendeley.com/documents/?uuid=ca76da3f-ee2b-3484-b359-2d2ed0c558ad"]}],"mendeley":{"formattedCitation":"(Domingues et al., 2017)","plainTextFormattedCitation":"(Domingues et al., 2017)","previouslyFormattedCitation":"(Domingues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(Domingues et al., 2017)</w:t>
      </w:r>
      <w:r w:rsidRPr="00216965">
        <w:rPr>
          <w:rFonts w:cs="Times New Roman"/>
          <w:bCs/>
          <w:szCs w:val="24"/>
        </w:rPr>
        <w:fldChar w:fldCharType="end"/>
      </w:r>
      <w:r w:rsidRPr="00216965">
        <w:t xml:space="preserve">, whereas crop-derived biochars often exhibit greater EC values. This is consistent with SWP550, which has the lowest EC, CEC, lowest ash content and pH. </w:t>
      </w:r>
    </w:p>
    <w:p w14:paraId="1B1A388A" w14:textId="57204660" w:rsidR="005563EE" w:rsidRPr="00216965" w:rsidRDefault="005563EE" w:rsidP="008A33DA">
      <w:pPr>
        <w:spacing w:line="360" w:lineRule="auto"/>
        <w:jc w:val="both"/>
      </w:pPr>
      <w:r w:rsidRPr="00216965">
        <w:t xml:space="preserve">No direct correlation between HM sorption capacity and surface area (BET) was found. Previous studies have also reported a poor correlation between the surface areas of plant-derived biochars and Cd </w:t>
      </w:r>
      <w:r w:rsidRPr="00216965">
        <w:rPr>
          <w:rFonts w:cs="Times New Roman"/>
          <w:bCs/>
          <w:szCs w:val="24"/>
        </w:rPr>
        <w:fldChar w:fldCharType="begin" w:fldLock="1"/>
      </w:r>
      <w:r w:rsidR="006C06AA" w:rsidRPr="00216965">
        <w:rPr>
          <w:rFonts w:cs="Times New Roman"/>
          <w:bCs/>
          <w:szCs w:val="24"/>
        </w:rPr>
        <w:instrText>ADDIN CSL_CITATION {"citationItems":[{"id":"ITEM-1","itemData":{"DOI":"10.1016/j.ecoenv.2014.04.042","abstract":"Five types of biochars prepared from four crop straws and one wood shaving at 600 1C were characterized, and their sorption to Cd(II) were determined to investigate the differences in capacity to function as sorbents to heavy metals. Surface areas and pore volumes of the biochars were inversely correlated to the lignin content of raw biomass. The biochars derived from crop straws displayed more developed pore structure than wood char due to the higher lignin content of wood. Sorption capacity of the biochars to Cd(II) followed the order of corn straw4cotton straw4wheat straw4rice straw4poplar shaving, which was not strictly consistent with the surface area of the chars. The surface characteristics of chars before and after Cd(II) sorption were investigated with scanning electron microscopy equipped with an energy dispersive X-ray spectroscopy and Fourier transform infrared spectroscopy, which suggested that the higher sorption of Cd(II) on corn straw chars was mainly attributed to cation exchange, surface precipitation of carbonate, and surface complexation with oxygen-containing groups. This study indicated that crop straw biochars exhibit distinct sorption capacities to heavy metals due to various surface characteristics, and thus the sorption efficiency should be carefully evaluated specific to target contaminant.","author":[{"dropping-particle":"","family":"Sun","given":"Jingkuan","non-dropping-particle":"","parse-names":false,"suffix":""},{"dropping-particle":"","family":"Lian","given":"Fei","non-dropping-particle":"","parse-names":false,"suffix":""},{"dropping-particle":"","family":"Liu","given":"Zhongqi","non-dropping-particle":"","parse-names":false,"suffix":""},{"dropping-particle":"","family":"Zhu","given":"Lingyan","non-dropping-particle":"","parse-names":false,"suffix":""},{"dropping-particle":"","family":"Song","given":"Zhengguo","non-dropping-particle":"","parse-names":false,"suffix":""}],"container-title":"Ecotoxicology and Environmental Safety","id":"ITEM-1","issue":"106","issued":{"date-parts":[["2014"]]},"page":"226-231","title":"Biochars derived from various crop straws: Characterization and Cd(II) removal potential","type":"article-journal"},"uris":["http://www.mendeley.com/documents/?uuid=b62ef779-1580-3f61-9c7b-fbda5517dba9"]}],"mendeley":{"formattedCitation":"(Sun et al., 2014)","plainTextFormattedCitation":"(Sun et al., 2014)","previouslyFormattedCitation":"(Sun et al., 2014)"},"properties":{"noteIndex":0},"schema":"https://github.com/citation-style-language/schema/raw/master/csl-citation.json"}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(Sun et al., 2014)</w:t>
      </w:r>
      <w:r w:rsidRPr="00216965">
        <w:rPr>
          <w:rFonts w:cs="Times New Roman"/>
          <w:bCs/>
          <w:szCs w:val="24"/>
        </w:rPr>
        <w:fldChar w:fldCharType="end"/>
      </w:r>
      <w:r w:rsidRPr="00216965">
        <w:t xml:space="preserve">, and Cd and Pb sorption capacities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{"citationItems":[{"id":"ITEM-1","itemData":{"DOI":"10.1016/j.biortech.2014.08.108","ISSN":"18732976","abstract":"Biochars prepared from nut shells, plum stones, wheat straws, grape stalks and grape husks were tested as potential sorbents for Cd and Pb. Mechanisms responsible for metal retention were investigated and optimal sorption conditions were evaluated using the RSM approach. Results indicated that all tested biochars can effectively remove Cd and Pb from aqueous solution (efficiency varied between 43.8% and 100%). The removal rate of both metals is the least affected by the biochar morphology and specific surface but this removal efficiency is strongly pH-dependent. Results of variable metal removal combined with different optimized conditions explain the different metal sorption mechanisms, where the predominant mechanism is ion exchange. In addition, this mechanism showed very strong binding of sorbed metals as confirmed by the post-desorption of the fully metal-loaded biochars. Finally, these biochars could thus also be applicable for metal contaminated soils to reduce mobility and bioavailability of Cd and Pb.","author":[{"dropping-particle":"","family":"Trakal","given":"Lukáš","non-dropping-particle":"","parse-names":false,"suffix":""},{"dropping-particle":"","family":"Bingöl","given":"Deniz","non-dropping-particle":"","parse-names":false,"suffix":""},{"dropping-particle":"","family":"Pohořelý","given":"Michael","non-dropping-particle":"","parse-names":false,"suffix":""},{"dropping-particle":"","family":"Hruška","given":"Miroslav","non-dropping-particle":"","parse-names":false,"suffix":""},{"dropping-particle":"","family":"Komárek","given":"Michael","non-dropping-particle":"","parse-names":false,"suffix":""}],"container-title":"Bioresource Technology","id":"ITEM-1","issued":{"date-parts":[["2014","11","1"]]},"page":"442-451","publisher":"Elsevier Ltd","title":"Geochemical and spectroscopic investigations of Cd and Pb sorption mechanisms on contrasting biochars: Engineering implications","type":"article-journal","volume":"171"},"uris":["http://www.mendeley.com/documents/?uuid=680d3a80-587e-3c90-acaa-edb38fc1baf8"]}],"mendeley":{"formattedCitation":"(Trakal et al., 2014)","plainTextFormattedCitation":"(Trakal et al., 2014)","previouslyFormattedCitation":"(Trakal et al., 2014)"},"properties":{"noteIndex":0},"schema":"https://github.com/citation-style-language/schema/raw/master/csl-citation.json"}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(Trakal et al., 2014)</w:t>
      </w:r>
      <w:r w:rsidRPr="00216965">
        <w:rPr>
          <w:rFonts w:cs="Times New Roman"/>
          <w:bCs/>
          <w:szCs w:val="24"/>
        </w:rPr>
        <w:fldChar w:fldCharType="end"/>
      </w:r>
      <w:r w:rsidRPr="00216965">
        <w:t>. Similarly, no direct correlation was identified between sorption capacity (</w:t>
      </w:r>
      <w:r w:rsidRPr="00216965">
        <w:rPr>
          <w:i/>
          <w:iCs/>
        </w:rPr>
        <w:t>q</w:t>
      </w:r>
      <w:r w:rsidRPr="00216965">
        <w:rPr>
          <w:i/>
          <w:iCs/>
          <w:vertAlign w:val="subscript"/>
        </w:rPr>
        <w:t>m</w:t>
      </w:r>
      <w:r w:rsidRPr="00216965">
        <w:t xml:space="preserve">) and the absorbance of the functional groups used in the correlation analysis despite their known role in sorption of HMs. This indicates that there is no quantitative relationship between surface area and </w:t>
      </w:r>
      <w:r w:rsidRPr="00216965">
        <w:rPr>
          <w:i/>
          <w:iCs/>
        </w:rPr>
        <w:t>q</w:t>
      </w:r>
      <w:r w:rsidRPr="00216965">
        <w:rPr>
          <w:i/>
          <w:iCs/>
          <w:vertAlign w:val="subscript"/>
        </w:rPr>
        <w:t>m</w:t>
      </w:r>
      <w:r w:rsidRPr="00216965">
        <w:t xml:space="preserve"> and between functional groups and </w:t>
      </w:r>
      <w:r w:rsidRPr="00216965">
        <w:rPr>
          <w:i/>
          <w:iCs/>
        </w:rPr>
        <w:t>q</w:t>
      </w:r>
      <w:r w:rsidRPr="00216965">
        <w:rPr>
          <w:i/>
          <w:iCs/>
          <w:vertAlign w:val="subscript"/>
        </w:rPr>
        <w:t>m</w:t>
      </w:r>
      <w:r w:rsidRPr="00216965">
        <w:t xml:space="preserve">, suggesting that the importance of these biochar properties is of a qualitative nature instead. </w:t>
      </w:r>
    </w:p>
    <w:p w14:paraId="57F7B616" w14:textId="7034B667" w:rsidR="005563EE" w:rsidRPr="00216965" w:rsidRDefault="005563EE" w:rsidP="008A33DA">
      <w:pPr>
        <w:spacing w:line="360" w:lineRule="auto"/>
        <w:jc w:val="both"/>
      </w:pPr>
      <w:r w:rsidRPr="00216965">
        <w:t xml:space="preserve">Overall, the correlation analysis highlighted the importance of the biochar water soluble mineral fraction as a potential indicator of HM immobilization. The inherent mineral constituents in biochar may explain up to 90% of metal removal by biochars </w:t>
      </w:r>
      <w:r w:rsidRPr="00216965">
        <w:rPr>
          <w:rFonts w:cs="Times New Roman"/>
          <w:bCs/>
          <w:szCs w:val="24"/>
        </w:rPr>
        <w:fldChar w:fldCharType="begin" w:fldLock="1"/>
      </w:r>
      <w:r w:rsidR="006C06AA" w:rsidRPr="00216965">
        <w:rPr>
          <w:rFonts w:cs="Times New Roman"/>
          <w:bCs/>
          <w:szCs w:val="24"/>
        </w:rPr>
        <w:instrText>ADDIN CSL_CITATION {"citationItems":[{"id":"ITEM-1","itemData":{"DOI":"10.1016/j.biortech.2017.06.023","ISSN":"18732976","abstract":"Biochar typically consists of both carbon and mineral fractions, and the carbon fraction has been generally considered to determine its properties and applications. Recently, an increasing body of research has demonstrated that mineral components inherent in biochar, such as alkali or alkaline earth metals in the form of carbonates, phosphates, or oxides, could also influence the properties and thus the applications. The review articles published thus far have mainly focused on multiple environmental and agronomic applications of biochar, including carbon sequestration, soil improvement, environmental remediation, etc. This review aims to highlight the indispensable role of the mineral fraction of biochar in these different applications, especially in environmental applications. Specifically, it provides a critical review of current research findings related to the mineral composition of biochar and the effect of the mineral fraction on the physicochemical properties, contaminant sorption, carbon retention and stability, and nutrient bioavailability of biochar. Furthermore, the role of minerals in the emerging applications of biochar, as a precursor for fuel cells, supercapacitors, and photoactive components, is also summarized. Overall, inherent minerals should be fully considered while determining the most appropriate application for any given biochar. A thorough understanding of the role of biochar-bound minerals in different applications will also allow the design or selection of the most suitable biochar for specific applications based on the consideration of feedstock composition, production parameters, and post-treatment.","author":[{"dropping-particle":"","family":"Xu","given":"Xiaoyun","non-dropping-particle":"","parse-names":false,"suffix":""},{"dropping-particle":"","family":"Zhao","given":"Yinghao","non-dropping-particle":"","parse-names":false,"suffix":""},{"dropping-particle":"","family":"Sima","given":"Jingke","non-dropping-particle":"","parse-names":false,"suffix":""},{"dropping-particle":"","family":"Zhao","given":"Ling","non-dropping-particle":"","parse-names":false,"suffix":""},{"dropping-particle":"","family":"Mašek","given":"Ondřej","non-dropping-particle":"","parse-names":false,"suffix":""},{"dropping-particle":"","family":"Cao","given":"Xinde","non-dropping-particle":"","parse-names":false,"suffix":""}],"container-title":"Bioresource Technology","id":"ITEM-1","issued":{"date-parts":[["2017"]]},"page":"887-899","title":"Indispensable role of biochar-inherent mineral constituents in its environmental applications: A review","type":"article-journal","volume":"241"},"uris":["http://www.mendeley.com/documents/?uuid=efa5db54-ddfb-4f53-810a-d6892d9dd827"]}],"mendeley":{"formattedCitation":"(Xu et al., 2017)","plainTextFormattedCitation":"(Xu et al., 2017)","previouslyFormattedCitation":"(Xu et al., 2017)"},"properties":{"noteIndex":0},"schema":"https://github.com/citation-style-language/schema/raw/master/csl-citation.json"}</w:instrText>
      </w:r>
      <w:r w:rsidRPr="00216965">
        <w:rPr>
          <w:rFonts w:cs="Times New Roman"/>
          <w:bCs/>
          <w:szCs w:val="24"/>
        </w:rPr>
        <w:fldChar w:fldCharType="separate"/>
      </w:r>
      <w:r w:rsidR="00C83E62" w:rsidRPr="00216965">
        <w:rPr>
          <w:rFonts w:cs="Times New Roman"/>
          <w:bCs/>
          <w:noProof/>
          <w:szCs w:val="24"/>
        </w:rPr>
        <w:t>(Xu et al., 2017)</w:t>
      </w:r>
      <w:r w:rsidRPr="00216965">
        <w:rPr>
          <w:rFonts w:cs="Times New Roman"/>
          <w:bCs/>
          <w:szCs w:val="24"/>
        </w:rPr>
        <w:fldChar w:fldCharType="end"/>
      </w:r>
      <w:r w:rsidRPr="00216965">
        <w:t xml:space="preserve">. In this respect EC, CEC and pH are properties of biochar that directly reflect HM sorption potential and should be considered as the most important criteria when selecting a biochar for the remediation of soils polluted with Pb, Cd and Zn. Consequently, herbaceous biochars may exhibit a greater potential for HM immobilization as they are characterized by higher EC, CEC and pH than wood derived biochars. </w:t>
      </w:r>
    </w:p>
    <w:p w14:paraId="55114D6C" w14:textId="77777777" w:rsidR="005563EE" w:rsidRPr="00216965" w:rsidRDefault="005563EE" w:rsidP="008A33DA">
      <w:pPr>
        <w:pStyle w:val="Heading3"/>
      </w:pPr>
      <w:bookmarkStart w:id="178" w:name="_Toc86504659"/>
      <w:r w:rsidRPr="00216965">
        <w:t>Models describing HM sorption potential</w:t>
      </w:r>
      <w:bookmarkEnd w:id="178"/>
      <w:r w:rsidRPr="00216965">
        <w:t xml:space="preserve"> </w:t>
      </w:r>
    </w:p>
    <w:p w14:paraId="13D40380" w14:textId="1CD85877" w:rsidR="005563EE" w:rsidRPr="00216965" w:rsidRDefault="005563EE" w:rsidP="008A33DA">
      <w:pPr>
        <w:spacing w:line="360" w:lineRule="auto"/>
        <w:jc w:val="both"/>
      </w:pPr>
      <w:r w:rsidRPr="00216965">
        <w:t xml:space="preserve">The models obtained to describe biochar sorption capacity for Cd, Pb and Zn as a function of biochar physico-chemical properties is presented in </w:t>
      </w:r>
      <w:r w:rsidR="00F71164" w:rsidRPr="00216965">
        <w:fldChar w:fldCharType="begin"/>
      </w:r>
      <w:r w:rsidR="00F71164" w:rsidRPr="00216965">
        <w:instrText xml:space="preserve"> REF _Ref86494494 \h </w:instrText>
      </w:r>
      <w:r w:rsidR="00216965" w:rsidRPr="00216965">
        <w:instrText xml:space="preserve"> \* MERGEFORMAT </w:instrText>
      </w:r>
      <w:r w:rsidR="00F71164"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4</w:t>
      </w:r>
      <w:r w:rsidR="00F71164" w:rsidRPr="00216965">
        <w:fldChar w:fldCharType="end"/>
      </w:r>
      <w:r w:rsidR="00F71164" w:rsidRPr="00216965">
        <w:t xml:space="preserve"> </w:t>
      </w:r>
      <w:r w:rsidRPr="00216965">
        <w:t xml:space="preserve">and illustrated in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11</w:t>
      </w:r>
      <w:r w:rsidRPr="00216965">
        <w:rPr>
          <w:b/>
          <w:bCs/>
        </w:rPr>
        <w:fldChar w:fldCharType="end"/>
      </w:r>
      <w:r w:rsidRPr="00216965">
        <w:rPr>
          <w:b/>
          <w:bCs/>
        </w:rPr>
        <w:t>A</w:t>
      </w:r>
      <w:r w:rsidRPr="00216965">
        <w:t>. Pb sorption (</w:t>
      </w:r>
      <w:r w:rsidRPr="00216965">
        <w:rPr>
          <w:i/>
          <w:iCs/>
        </w:rPr>
        <w:t>q</w:t>
      </w:r>
      <w:r w:rsidRPr="00216965">
        <w:rPr>
          <w:i/>
          <w:iCs/>
          <w:vertAlign w:val="subscript"/>
        </w:rPr>
        <w:t>m</w:t>
      </w:r>
      <w:r w:rsidRPr="00216965">
        <w:t xml:space="preserve">Pb) was described mainly as a function of biochar pH, as shown in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11</w:t>
      </w:r>
      <w:r w:rsidRPr="00216965">
        <w:rPr>
          <w:b/>
          <w:bCs/>
        </w:rPr>
        <w:fldChar w:fldCharType="end"/>
      </w:r>
      <w:r w:rsidRPr="00216965">
        <w:rPr>
          <w:b/>
          <w:bCs/>
        </w:rPr>
        <w:t>E</w:t>
      </w:r>
      <w:r w:rsidRPr="00216965">
        <w:t>. The sorption capacity for Zn (</w:t>
      </w:r>
      <w:r w:rsidRPr="00216965">
        <w:rPr>
          <w:i/>
          <w:iCs/>
        </w:rPr>
        <w:t>q</w:t>
      </w:r>
      <w:r w:rsidRPr="00216965">
        <w:rPr>
          <w:i/>
          <w:iCs/>
          <w:vertAlign w:val="subscript"/>
        </w:rPr>
        <w:t>m</w:t>
      </w:r>
      <w:r w:rsidRPr="00216965">
        <w:t>Zn) was fully explained by the biochar EC (dS.m</w:t>
      </w:r>
      <w:r w:rsidRPr="00216965">
        <w:rPr>
          <w:vertAlign w:val="superscript"/>
        </w:rPr>
        <w:t>-1</w:t>
      </w:r>
      <w:r w:rsidRPr="00216965">
        <w:t>)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lastRenderedPageBreak/>
        <w:t>3</w:t>
      </w:r>
      <w:r w:rsidR="006E23EA" w:rsidRPr="00216965">
        <w:rPr>
          <w:rFonts w:cs="Times New Roman"/>
          <w:b/>
          <w:bCs/>
          <w:noProof/>
          <w:szCs w:val="24"/>
        </w:rPr>
        <w:noBreakHyphen/>
        <w:t>11</w:t>
      </w:r>
      <w:r w:rsidRPr="00216965">
        <w:rPr>
          <w:b/>
          <w:bCs/>
        </w:rPr>
        <w:fldChar w:fldCharType="end"/>
      </w:r>
      <w:r w:rsidRPr="00216965">
        <w:rPr>
          <w:b/>
          <w:bCs/>
        </w:rPr>
        <w:t>B</w:t>
      </w:r>
      <w:r w:rsidRPr="00216965">
        <w:t>.). For Cd sorption (</w:t>
      </w:r>
      <w:r w:rsidRPr="00216965">
        <w:rPr>
          <w:i/>
          <w:iCs/>
        </w:rPr>
        <w:t>q</w:t>
      </w:r>
      <w:r w:rsidRPr="00216965">
        <w:rPr>
          <w:i/>
          <w:iCs/>
          <w:vertAlign w:val="subscript"/>
        </w:rPr>
        <w:t>m</w:t>
      </w:r>
      <w:r w:rsidRPr="00216965">
        <w:t>Cd) the best predictor was EC (dS.m</w:t>
      </w:r>
      <w:r w:rsidRPr="00216965">
        <w:rPr>
          <w:vertAlign w:val="superscript"/>
        </w:rPr>
        <w:t>-1</w:t>
      </w:r>
      <w:r w:rsidRPr="00216965">
        <w:t xml:space="preserve">), however as illustrated in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11</w:t>
      </w:r>
      <w:r w:rsidRPr="00216965">
        <w:rPr>
          <w:b/>
          <w:bCs/>
        </w:rPr>
        <w:fldChar w:fldCharType="end"/>
      </w:r>
      <w:r w:rsidRPr="00216965">
        <w:rPr>
          <w:b/>
          <w:bCs/>
        </w:rPr>
        <w:t>D</w:t>
      </w:r>
      <w:r w:rsidRPr="00216965">
        <w:t>, the relationship was not linear. A second parameter (H:C ratio) was introduced into this regression which improved its linearity (</w:t>
      </w:r>
      <w:r w:rsidRPr="00216965">
        <w:rPr>
          <w:b/>
          <w:bCs/>
        </w:rPr>
        <w:fldChar w:fldCharType="begin"/>
      </w:r>
      <w:r w:rsidRPr="00216965">
        <w:rPr>
          <w:b/>
          <w:bCs/>
        </w:rPr>
        <w:instrText xml:space="preserve"> REF _Ref52819727 \h  \* MERGEFORMAT </w:instrText>
      </w:r>
      <w:r w:rsidRPr="00216965">
        <w:rPr>
          <w:b/>
          <w:bCs/>
        </w:rPr>
      </w:r>
      <w:r w:rsidRPr="00216965">
        <w:rPr>
          <w:b/>
          <w:bCs/>
        </w:rPr>
        <w:fldChar w:fldCharType="separate"/>
      </w:r>
      <w:r w:rsidR="006E23EA" w:rsidRPr="00216965">
        <w:rPr>
          <w:rFonts w:cs="Times New Roman"/>
          <w:b/>
          <w:bCs/>
          <w:szCs w:val="24"/>
        </w:rPr>
        <w:t xml:space="preserve">Fig. </w:t>
      </w:r>
      <w:r w:rsidR="006E23EA" w:rsidRPr="00216965">
        <w:rPr>
          <w:rFonts w:cs="Times New Roman"/>
          <w:b/>
          <w:bCs/>
          <w:noProof/>
          <w:szCs w:val="24"/>
        </w:rPr>
        <w:t>3</w:t>
      </w:r>
      <w:r w:rsidR="006E23EA" w:rsidRPr="00216965">
        <w:rPr>
          <w:rFonts w:cs="Times New Roman"/>
          <w:b/>
          <w:bCs/>
          <w:noProof/>
          <w:szCs w:val="24"/>
        </w:rPr>
        <w:noBreakHyphen/>
        <w:t>11</w:t>
      </w:r>
      <w:r w:rsidRPr="00216965">
        <w:rPr>
          <w:b/>
          <w:bCs/>
        </w:rPr>
        <w:fldChar w:fldCharType="end"/>
      </w:r>
      <w:r w:rsidRPr="00216965">
        <w:rPr>
          <w:b/>
          <w:bCs/>
        </w:rPr>
        <w:t>C</w:t>
      </w:r>
      <w:r w:rsidRPr="00216965">
        <w:t>.). The addition of H:C ratio as a predictor of Cd sorption implies that biochar aromaticity is related to Cd immobilization mechanisms, which is consistent with results from the ATR-FTIR analysis.</w:t>
      </w:r>
    </w:p>
    <w:p w14:paraId="4797021E" w14:textId="77777777" w:rsidR="005563EE" w:rsidRPr="00216965" w:rsidRDefault="005563EE" w:rsidP="008A33DA">
      <w:pPr>
        <w:pStyle w:val="Heading2"/>
      </w:pPr>
      <w:bookmarkStart w:id="179" w:name="_Toc86504660"/>
      <w:r w:rsidRPr="00216965">
        <w:t>Conclusions</w:t>
      </w:r>
      <w:bookmarkEnd w:id="179"/>
      <w:r w:rsidRPr="00216965">
        <w:t xml:space="preserve"> </w:t>
      </w:r>
    </w:p>
    <w:p w14:paraId="35967004" w14:textId="77777777" w:rsidR="008574C0" w:rsidRPr="00216965" w:rsidRDefault="005563EE" w:rsidP="008A33DA">
      <w:pPr>
        <w:spacing w:line="360" w:lineRule="auto"/>
        <w:jc w:val="both"/>
      </w:pPr>
      <w:r w:rsidRPr="00216965">
        <w:t xml:space="preserve">Regardless of biochar type, the immobilization of Pb was favoured over Cd and Zn in both single and competitive systems. The sorption between the studied HMs and plant-based biochars was dominated by electrostatic interactions. Cd and Pb sorption was mediated by complexation with carboxylic groups mainly enhanced by cation exchange mechanisms, cation ̶ π interactions and precipitation with biochar phosphates and silicates; while Zn sorption was mediated by complexation with phenolic groups and precipitation with biochar phosphates. </w:t>
      </w:r>
    </w:p>
    <w:p w14:paraId="073910B8" w14:textId="6F6CA22C" w:rsidR="005563EE" w:rsidRPr="00216965" w:rsidRDefault="005563EE" w:rsidP="008A33DA">
      <w:pPr>
        <w:spacing w:line="360" w:lineRule="auto"/>
        <w:jc w:val="both"/>
      </w:pPr>
      <w:r w:rsidRPr="00216965">
        <w:t>Statistical analysis showed that biochar sorption capacity was highly correlated with biochar properties EC, CEC and pH, which are associated with biochar water-soluble minerals. These results confirmed the hypothesis that the potential for HM sorption by plant-based biochars can be predicted from a relatively limited suite of physico-chemical properties, which may facilitate the selection of biochars for the immobilization of HMs in soils. Accordingly, biochars derived from herbaceous feedstock were demonstrated to be better candidates for the remediation of soil polluted with HMs than wood-derived materials.</w:t>
      </w:r>
    </w:p>
    <w:p w14:paraId="334311D3" w14:textId="77777777" w:rsidR="005563EE" w:rsidRPr="00216965" w:rsidRDefault="005563EE" w:rsidP="008A33DA">
      <w:pPr>
        <w:spacing w:line="360" w:lineRule="auto"/>
        <w:jc w:val="both"/>
      </w:pPr>
      <w:r w:rsidRPr="00216965">
        <w:t>However, a limitation of this study is the small number of plant-based biochars analysed in relation to the wide variety of feedstock existing as well as the absence of dissolved organic matter as part of the synthetic soil pore water solution. Further research should focus on developing robust mathematical models to optimize estimates of biochar sorption capacity and application for different soil remediation scenarios. Predictive models are required to optimize soil restoration strategies which reduce biochar application costs by selecting the most suitable materials.</w:t>
      </w:r>
    </w:p>
    <w:p w14:paraId="1670D7B5" w14:textId="77777777" w:rsidR="005563EE" w:rsidRPr="00216965" w:rsidRDefault="005563EE" w:rsidP="008A33DA">
      <w:pPr>
        <w:spacing w:line="480" w:lineRule="auto"/>
        <w:jc w:val="both"/>
      </w:pPr>
    </w:p>
    <w:p w14:paraId="3B7A7958" w14:textId="77777777" w:rsidR="00D62864" w:rsidRPr="00216965" w:rsidRDefault="00D62864" w:rsidP="008A33DA"/>
    <w:p w14:paraId="34478CF7" w14:textId="31BC3998" w:rsidR="00D62864" w:rsidRPr="00216965" w:rsidRDefault="00D62864" w:rsidP="008A33DA">
      <w:pPr>
        <w:tabs>
          <w:tab w:val="left" w:pos="3552"/>
        </w:tabs>
      </w:pPr>
      <w:r w:rsidRPr="00216965">
        <w:tab/>
      </w:r>
    </w:p>
    <w:p w14:paraId="437E050E" w14:textId="77777777" w:rsidR="00D62864" w:rsidRPr="00216965" w:rsidRDefault="00D62864" w:rsidP="008A33DA">
      <w:pPr>
        <w:tabs>
          <w:tab w:val="left" w:pos="3552"/>
        </w:tabs>
        <w:sectPr w:rsidR="00D62864" w:rsidRPr="00216965" w:rsidSect="00A0457B">
          <w:pgSz w:w="11906" w:h="16838"/>
          <w:pgMar w:top="1440" w:right="1440" w:bottom="1440" w:left="1440" w:header="708" w:footer="708" w:gutter="0"/>
          <w:cols w:space="708"/>
          <w:docGrid w:linePitch="360"/>
        </w:sectPr>
      </w:pPr>
    </w:p>
    <w:p w14:paraId="68AE6E30" w14:textId="77041442" w:rsidR="00D62864" w:rsidRPr="00216965" w:rsidRDefault="00E569FA" w:rsidP="008A33DA">
      <w:pPr>
        <w:pStyle w:val="Caption"/>
        <w:rPr>
          <w:b/>
          <w:bCs w:val="0"/>
        </w:rPr>
      </w:pPr>
      <w:bookmarkStart w:id="180" w:name="_Hlk86426483"/>
      <w:r w:rsidRPr="00216965">
        <w:lastRenderedPageBreak/>
        <w:tab/>
      </w:r>
      <w:bookmarkStart w:id="181" w:name="_Ref86494494"/>
      <w:bookmarkStart w:id="182" w:name="_Toc86440367"/>
      <w:r w:rsidRPr="00216965">
        <w:rPr>
          <w:b/>
          <w:bCs w:val="0"/>
        </w:rPr>
        <w:t xml:space="preserve">Table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3</w:t>
      </w:r>
      <w:r w:rsidRPr="00216965">
        <w:rPr>
          <w:b/>
          <w:bCs w:val="0"/>
        </w:rPr>
        <w:fldChar w:fldCharType="end"/>
      </w:r>
      <w:r w:rsidRPr="00216965">
        <w:rPr>
          <w:b/>
          <w:bCs w:val="0"/>
        </w:rPr>
        <w:noBreakHyphen/>
      </w:r>
      <w:r w:rsidRPr="00216965">
        <w:rPr>
          <w:b/>
          <w:bCs w:val="0"/>
        </w:rPr>
        <w:fldChar w:fldCharType="begin"/>
      </w:r>
      <w:r w:rsidRPr="00216965">
        <w:rPr>
          <w:b/>
          <w:bCs w:val="0"/>
        </w:rPr>
        <w:instrText xml:space="preserve"> SEQ Table \* ARABIC \s 1 </w:instrText>
      </w:r>
      <w:r w:rsidRPr="00216965">
        <w:rPr>
          <w:b/>
          <w:bCs w:val="0"/>
        </w:rPr>
        <w:fldChar w:fldCharType="separate"/>
      </w:r>
      <w:r w:rsidR="006E23EA" w:rsidRPr="00216965">
        <w:rPr>
          <w:b/>
          <w:bCs w:val="0"/>
          <w:noProof/>
        </w:rPr>
        <w:t>4</w:t>
      </w:r>
      <w:r w:rsidRPr="00216965">
        <w:rPr>
          <w:b/>
          <w:bCs w:val="0"/>
        </w:rPr>
        <w:fldChar w:fldCharType="end"/>
      </w:r>
      <w:bookmarkEnd w:id="181"/>
      <w:r w:rsidRPr="00216965">
        <w:rPr>
          <w:b/>
          <w:bCs w:val="0"/>
        </w:rPr>
        <w:t xml:space="preserve"> Linear models which describe biochar sorption capacity (</w:t>
      </w:r>
      <w:r w:rsidRPr="00216965">
        <w:rPr>
          <w:b/>
          <w:bCs w:val="0"/>
          <w:i/>
          <w:iCs/>
        </w:rPr>
        <w:t>q</w:t>
      </w:r>
      <w:r w:rsidRPr="00216965">
        <w:rPr>
          <w:b/>
          <w:bCs w:val="0"/>
          <w:i/>
          <w:iCs/>
          <w:vertAlign w:val="subscript"/>
        </w:rPr>
        <w:t>m</w:t>
      </w:r>
      <w:r w:rsidRPr="00216965">
        <w:rPr>
          <w:b/>
          <w:bCs w:val="0"/>
        </w:rPr>
        <w:t>) for Pb, Zn and Cd.</w:t>
      </w:r>
      <w:bookmarkEnd w:id="182"/>
    </w:p>
    <w:tbl>
      <w:tblPr>
        <w:tblW w:w="0" w:type="auto"/>
        <w:tblBorders>
          <w:top w:val="single" w:sz="4" w:space="0" w:color="auto"/>
          <w:bottom w:val="single" w:sz="4" w:space="0" w:color="auto"/>
        </w:tblBorders>
        <w:tblLook w:val="0400" w:firstRow="0" w:lastRow="0" w:firstColumn="0" w:lastColumn="0" w:noHBand="0" w:noVBand="1"/>
      </w:tblPr>
      <w:tblGrid>
        <w:gridCol w:w="571"/>
        <w:gridCol w:w="2067"/>
        <w:gridCol w:w="1182"/>
        <w:gridCol w:w="1750"/>
        <w:gridCol w:w="1107"/>
        <w:gridCol w:w="1365"/>
        <w:gridCol w:w="974"/>
        <w:gridCol w:w="1011"/>
        <w:gridCol w:w="1084"/>
        <w:gridCol w:w="876"/>
      </w:tblGrid>
      <w:tr w:rsidR="00D62864" w:rsidRPr="00216965" w14:paraId="1B3762BB" w14:textId="77777777" w:rsidTr="008A33DA">
        <w:trPr>
          <w:trHeight w:val="600"/>
        </w:trPr>
        <w:tc>
          <w:tcPr>
            <w:tcW w:w="0" w:type="auto"/>
            <w:tcBorders>
              <w:top w:val="single" w:sz="4" w:space="0" w:color="auto"/>
              <w:bottom w:val="single" w:sz="4" w:space="0" w:color="auto"/>
            </w:tcBorders>
            <w:shd w:val="clear" w:color="auto" w:fill="A8D08D" w:themeFill="accent6" w:themeFillTint="99"/>
            <w:vAlign w:val="center"/>
          </w:tcPr>
          <w:p w14:paraId="42274F86" w14:textId="13670070" w:rsidR="00D62864" w:rsidRPr="00216965" w:rsidRDefault="00C84F12" w:rsidP="00A0457B">
            <w:pPr>
              <w:spacing w:after="0" w:line="240" w:lineRule="auto"/>
              <w:jc w:val="center"/>
              <w:rPr>
                <w:rFonts w:eastAsia="Times New Roman" w:cs="Times New Roman"/>
                <w:color w:val="000000"/>
              </w:rPr>
            </w:pPr>
            <w:r w:rsidRPr="00216965">
              <w:rPr>
                <w:rFonts w:eastAsia="Times New Roman" w:cs="Times New Roman"/>
                <w:color w:val="000000"/>
                <w:sz w:val="22"/>
              </w:rPr>
              <w:t>HM</w:t>
            </w:r>
          </w:p>
        </w:tc>
        <w:tc>
          <w:tcPr>
            <w:tcW w:w="0" w:type="auto"/>
            <w:tcBorders>
              <w:top w:val="single" w:sz="4" w:space="0" w:color="auto"/>
              <w:bottom w:val="single" w:sz="4" w:space="0" w:color="auto"/>
            </w:tcBorders>
            <w:shd w:val="clear" w:color="auto" w:fill="A8D08D" w:themeFill="accent6" w:themeFillTint="99"/>
            <w:vAlign w:val="center"/>
          </w:tcPr>
          <w:p w14:paraId="7922AC88"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Type of linear model</w:t>
            </w:r>
          </w:p>
        </w:tc>
        <w:tc>
          <w:tcPr>
            <w:tcW w:w="0" w:type="auto"/>
            <w:tcBorders>
              <w:top w:val="single" w:sz="4" w:space="0" w:color="auto"/>
              <w:bottom w:val="single" w:sz="4" w:space="0" w:color="auto"/>
            </w:tcBorders>
            <w:shd w:val="clear" w:color="auto" w:fill="A8D08D" w:themeFill="accent6" w:themeFillTint="99"/>
            <w:vAlign w:val="center"/>
          </w:tcPr>
          <w:p w14:paraId="4241C9FA"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Graph</w:t>
            </w:r>
          </w:p>
        </w:tc>
        <w:tc>
          <w:tcPr>
            <w:tcW w:w="0" w:type="auto"/>
            <w:tcBorders>
              <w:top w:val="single" w:sz="4" w:space="0" w:color="auto"/>
              <w:bottom w:val="single" w:sz="4" w:space="0" w:color="auto"/>
            </w:tcBorders>
            <w:shd w:val="clear" w:color="auto" w:fill="A8D08D" w:themeFill="accent6" w:themeFillTint="99"/>
            <w:vAlign w:val="center"/>
          </w:tcPr>
          <w:p w14:paraId="70EE5D4D"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Coefficients</w:t>
            </w:r>
          </w:p>
        </w:tc>
        <w:tc>
          <w:tcPr>
            <w:tcW w:w="0" w:type="auto"/>
            <w:tcBorders>
              <w:top w:val="single" w:sz="4" w:space="0" w:color="auto"/>
              <w:bottom w:val="single" w:sz="4" w:space="0" w:color="auto"/>
            </w:tcBorders>
            <w:shd w:val="clear" w:color="auto" w:fill="A8D08D" w:themeFill="accent6" w:themeFillTint="99"/>
            <w:vAlign w:val="center"/>
          </w:tcPr>
          <w:p w14:paraId="037E38E1"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Estimate</w:t>
            </w:r>
          </w:p>
        </w:tc>
        <w:tc>
          <w:tcPr>
            <w:tcW w:w="0" w:type="auto"/>
            <w:tcBorders>
              <w:top w:val="single" w:sz="4" w:space="0" w:color="auto"/>
              <w:bottom w:val="single" w:sz="4" w:space="0" w:color="auto"/>
            </w:tcBorders>
            <w:shd w:val="clear" w:color="auto" w:fill="A8D08D" w:themeFill="accent6" w:themeFillTint="99"/>
            <w:vAlign w:val="center"/>
          </w:tcPr>
          <w:p w14:paraId="1C58C46A"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Signif. codes</w:t>
            </w:r>
          </w:p>
        </w:tc>
        <w:tc>
          <w:tcPr>
            <w:tcW w:w="0" w:type="auto"/>
            <w:tcBorders>
              <w:top w:val="single" w:sz="4" w:space="0" w:color="auto"/>
              <w:bottom w:val="single" w:sz="4" w:space="0" w:color="auto"/>
            </w:tcBorders>
            <w:shd w:val="clear" w:color="auto" w:fill="A8D08D" w:themeFill="accent6" w:themeFillTint="99"/>
            <w:vAlign w:val="center"/>
          </w:tcPr>
          <w:p w14:paraId="1473E496"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Multiple</w:t>
            </w:r>
          </w:p>
          <w:p w14:paraId="3D150C4F"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R</w:t>
            </w:r>
            <w:r w:rsidRPr="00216965">
              <w:rPr>
                <w:rFonts w:eastAsia="Times New Roman" w:cs="Times New Roman"/>
                <w:color w:val="000000"/>
                <w:sz w:val="22"/>
                <w:vertAlign w:val="superscript"/>
              </w:rPr>
              <w:t>2</w:t>
            </w:r>
          </w:p>
        </w:tc>
        <w:tc>
          <w:tcPr>
            <w:tcW w:w="0" w:type="auto"/>
            <w:tcBorders>
              <w:top w:val="single" w:sz="4" w:space="0" w:color="auto"/>
              <w:bottom w:val="single" w:sz="4" w:space="0" w:color="auto"/>
            </w:tcBorders>
            <w:shd w:val="clear" w:color="auto" w:fill="A8D08D" w:themeFill="accent6" w:themeFillTint="99"/>
            <w:vAlign w:val="center"/>
          </w:tcPr>
          <w:p w14:paraId="6B8606EB"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Adjusted</w:t>
            </w:r>
          </w:p>
          <w:p w14:paraId="0FC44582"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R</w:t>
            </w:r>
            <w:r w:rsidRPr="00216965">
              <w:rPr>
                <w:rFonts w:eastAsia="Times New Roman" w:cs="Times New Roman"/>
                <w:color w:val="000000"/>
                <w:sz w:val="22"/>
                <w:vertAlign w:val="superscript"/>
              </w:rPr>
              <w:t>2</w:t>
            </w:r>
          </w:p>
        </w:tc>
        <w:tc>
          <w:tcPr>
            <w:tcW w:w="0" w:type="auto"/>
            <w:tcBorders>
              <w:top w:val="single" w:sz="4" w:space="0" w:color="auto"/>
              <w:bottom w:val="single" w:sz="4" w:space="0" w:color="auto"/>
            </w:tcBorders>
            <w:shd w:val="clear" w:color="auto" w:fill="A8D08D" w:themeFill="accent6" w:themeFillTint="99"/>
            <w:vAlign w:val="center"/>
          </w:tcPr>
          <w:p w14:paraId="77AB417F"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F-statistic</w:t>
            </w:r>
          </w:p>
        </w:tc>
        <w:tc>
          <w:tcPr>
            <w:tcW w:w="0" w:type="auto"/>
            <w:tcBorders>
              <w:top w:val="single" w:sz="4" w:space="0" w:color="auto"/>
              <w:bottom w:val="single" w:sz="4" w:space="0" w:color="auto"/>
            </w:tcBorders>
            <w:shd w:val="clear" w:color="auto" w:fill="A8D08D" w:themeFill="accent6" w:themeFillTint="99"/>
            <w:vAlign w:val="center"/>
          </w:tcPr>
          <w:p w14:paraId="7FFCAAF5"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p-value</w:t>
            </w:r>
          </w:p>
        </w:tc>
      </w:tr>
      <w:tr w:rsidR="00D62864" w:rsidRPr="00216965" w14:paraId="4D5204D6" w14:textId="77777777" w:rsidTr="008A33DA">
        <w:trPr>
          <w:trHeight w:val="300"/>
        </w:trPr>
        <w:tc>
          <w:tcPr>
            <w:tcW w:w="0" w:type="auto"/>
            <w:vMerge w:val="restart"/>
            <w:tcBorders>
              <w:top w:val="single" w:sz="4" w:space="0" w:color="auto"/>
            </w:tcBorders>
            <w:shd w:val="clear" w:color="auto" w:fill="auto"/>
            <w:vAlign w:val="center"/>
          </w:tcPr>
          <w:p w14:paraId="36D35ECD"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Zn</w:t>
            </w:r>
          </w:p>
        </w:tc>
        <w:tc>
          <w:tcPr>
            <w:tcW w:w="0" w:type="auto"/>
            <w:tcBorders>
              <w:top w:val="single" w:sz="4" w:space="0" w:color="auto"/>
            </w:tcBorders>
            <w:shd w:val="clear" w:color="auto" w:fill="auto"/>
            <w:vAlign w:val="bottom"/>
          </w:tcPr>
          <w:p w14:paraId="65E8A128"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Single variable</w:t>
            </w:r>
            <w:r w:rsidRPr="00216965">
              <w:rPr>
                <w:rFonts w:eastAsia="Times New Roman" w:cs="Times New Roman"/>
                <w:color w:val="000000"/>
                <w:sz w:val="22"/>
                <w:vertAlign w:val="superscript"/>
              </w:rPr>
              <w:t>a</w:t>
            </w:r>
          </w:p>
        </w:tc>
        <w:tc>
          <w:tcPr>
            <w:tcW w:w="0" w:type="auto"/>
            <w:tcBorders>
              <w:top w:val="single" w:sz="4" w:space="0" w:color="auto"/>
            </w:tcBorders>
            <w:vAlign w:val="bottom"/>
          </w:tcPr>
          <w:p w14:paraId="287B6EB3" w14:textId="13C46AC0"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fldChar w:fldCharType="begin"/>
            </w:r>
            <w:r w:rsidRPr="00216965">
              <w:rPr>
                <w:rFonts w:eastAsia="Times New Roman" w:cs="Times New Roman"/>
                <w:color w:val="000000"/>
                <w:sz w:val="22"/>
              </w:rPr>
              <w:instrText xml:space="preserve"> REF _Ref52819727 \h  \* MERGEFORMAT </w:instrText>
            </w:r>
            <w:r w:rsidRPr="00216965">
              <w:rPr>
                <w:rFonts w:eastAsia="Times New Roman" w:cs="Times New Roman"/>
                <w:color w:val="000000"/>
                <w:sz w:val="22"/>
              </w:rPr>
            </w:r>
            <w:r w:rsidRPr="00216965">
              <w:rPr>
                <w:rFonts w:eastAsia="Times New Roman" w:cs="Times New Roman"/>
                <w:color w:val="000000"/>
                <w:sz w:val="22"/>
              </w:rPr>
              <w:fldChar w:fldCharType="separate"/>
            </w:r>
            <w:r w:rsidR="006E23EA" w:rsidRPr="00216965">
              <w:rPr>
                <w:rFonts w:cs="Times New Roman"/>
                <w:sz w:val="22"/>
              </w:rPr>
              <w:t xml:space="preserve">Fig. </w:t>
            </w:r>
            <w:r w:rsidR="006E23EA" w:rsidRPr="00216965">
              <w:rPr>
                <w:rFonts w:cs="Times New Roman"/>
                <w:noProof/>
                <w:sz w:val="22"/>
              </w:rPr>
              <w:t>3</w:t>
            </w:r>
            <w:r w:rsidR="006E23EA" w:rsidRPr="00216965">
              <w:rPr>
                <w:rFonts w:cs="Times New Roman"/>
                <w:noProof/>
                <w:sz w:val="22"/>
              </w:rPr>
              <w:noBreakHyphen/>
              <w:t>11</w:t>
            </w:r>
            <w:r w:rsidRPr="00216965">
              <w:rPr>
                <w:rFonts w:eastAsia="Times New Roman" w:cs="Times New Roman"/>
                <w:color w:val="000000"/>
                <w:sz w:val="22"/>
              </w:rPr>
              <w:fldChar w:fldCharType="end"/>
            </w:r>
            <w:r w:rsidRPr="00216965">
              <w:rPr>
                <w:rFonts w:eastAsia="Times New Roman" w:cs="Times New Roman"/>
                <w:color w:val="000000"/>
                <w:sz w:val="22"/>
              </w:rPr>
              <w:t>B</w:t>
            </w:r>
          </w:p>
        </w:tc>
        <w:tc>
          <w:tcPr>
            <w:tcW w:w="0" w:type="auto"/>
            <w:tcBorders>
              <w:top w:val="single" w:sz="4" w:space="0" w:color="auto"/>
            </w:tcBorders>
            <w:shd w:val="clear" w:color="auto" w:fill="auto"/>
            <w:vAlign w:val="bottom"/>
          </w:tcPr>
          <w:p w14:paraId="22528379"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Intercept</w:t>
            </w:r>
          </w:p>
        </w:tc>
        <w:tc>
          <w:tcPr>
            <w:tcW w:w="0" w:type="auto"/>
            <w:tcBorders>
              <w:top w:val="single" w:sz="4" w:space="0" w:color="auto"/>
            </w:tcBorders>
            <w:shd w:val="clear" w:color="auto" w:fill="auto"/>
            <w:vAlign w:val="bottom"/>
          </w:tcPr>
          <w:p w14:paraId="528A8682"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0.</w:t>
            </w:r>
            <w:sdt>
              <w:sdtPr>
                <w:rPr>
                  <w:rFonts w:cs="Times New Roman"/>
                  <w:sz w:val="22"/>
                </w:rPr>
                <w:tag w:val="goog_rdk_2184"/>
                <w:id w:val="1624492446"/>
              </w:sdtPr>
              <w:sdtEndPr/>
              <w:sdtContent>
                <w:r w:rsidRPr="00216965">
                  <w:rPr>
                    <w:rFonts w:eastAsia="Times New Roman" w:cs="Times New Roman"/>
                    <w:color w:val="000000"/>
                    <w:sz w:val="22"/>
                  </w:rPr>
                  <w:t>5</w:t>
                </w:r>
              </w:sdtContent>
            </w:sdt>
            <w:r w:rsidRPr="00216965">
              <w:rPr>
                <w:rFonts w:eastAsia="Times New Roman" w:cs="Times New Roman"/>
                <w:color w:val="000000"/>
                <w:sz w:val="22"/>
              </w:rPr>
              <w:t xml:space="preserve"> ± 0.2</w:t>
            </w:r>
          </w:p>
        </w:tc>
        <w:tc>
          <w:tcPr>
            <w:tcW w:w="0" w:type="auto"/>
            <w:tcBorders>
              <w:top w:val="single" w:sz="4" w:space="0" w:color="auto"/>
            </w:tcBorders>
            <w:shd w:val="clear" w:color="auto" w:fill="auto"/>
            <w:vAlign w:val="bottom"/>
          </w:tcPr>
          <w:p w14:paraId="275702FE" w14:textId="77777777" w:rsidR="00D62864" w:rsidRPr="00216965" w:rsidRDefault="00D62864" w:rsidP="00A0457B">
            <w:pPr>
              <w:spacing w:after="0" w:line="240" w:lineRule="auto"/>
              <w:rPr>
                <w:rFonts w:eastAsia="Times New Roman" w:cs="Times New Roman"/>
                <w:color w:val="000000"/>
              </w:rPr>
            </w:pPr>
          </w:p>
        </w:tc>
        <w:tc>
          <w:tcPr>
            <w:tcW w:w="0" w:type="auto"/>
            <w:tcBorders>
              <w:top w:val="single" w:sz="4" w:space="0" w:color="auto"/>
            </w:tcBorders>
            <w:shd w:val="clear" w:color="auto" w:fill="auto"/>
            <w:vAlign w:val="bottom"/>
          </w:tcPr>
          <w:p w14:paraId="501A94FA"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0.99</w:t>
            </w:r>
          </w:p>
        </w:tc>
        <w:tc>
          <w:tcPr>
            <w:tcW w:w="0" w:type="auto"/>
            <w:tcBorders>
              <w:top w:val="single" w:sz="4" w:space="0" w:color="auto"/>
            </w:tcBorders>
            <w:shd w:val="clear" w:color="auto" w:fill="auto"/>
            <w:vAlign w:val="bottom"/>
          </w:tcPr>
          <w:p w14:paraId="26D21855"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0.99</w:t>
            </w:r>
          </w:p>
        </w:tc>
        <w:tc>
          <w:tcPr>
            <w:tcW w:w="0" w:type="auto"/>
            <w:tcBorders>
              <w:top w:val="single" w:sz="4" w:space="0" w:color="auto"/>
            </w:tcBorders>
            <w:shd w:val="clear" w:color="auto" w:fill="auto"/>
            <w:vAlign w:val="bottom"/>
          </w:tcPr>
          <w:p w14:paraId="64FC42BA"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747</w:t>
            </w:r>
          </w:p>
        </w:tc>
        <w:tc>
          <w:tcPr>
            <w:tcW w:w="0" w:type="auto"/>
            <w:tcBorders>
              <w:top w:val="single" w:sz="4" w:space="0" w:color="auto"/>
            </w:tcBorders>
            <w:shd w:val="clear" w:color="auto" w:fill="auto"/>
            <w:vAlign w:val="bottom"/>
          </w:tcPr>
          <w:p w14:paraId="3C98CF35"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0.00</w:t>
            </w:r>
            <w:sdt>
              <w:sdtPr>
                <w:rPr>
                  <w:rFonts w:cs="Times New Roman"/>
                  <w:sz w:val="22"/>
                </w:rPr>
                <w:tag w:val="goog_rdk_2186"/>
                <w:id w:val="-538433724"/>
              </w:sdtPr>
              <w:sdtEndPr/>
              <w:sdtContent>
                <w:sdt>
                  <w:sdtPr>
                    <w:rPr>
                      <w:rFonts w:cs="Times New Roman"/>
                      <w:sz w:val="22"/>
                    </w:rPr>
                    <w:tag w:val="goog_rdk_2187"/>
                    <w:id w:val="-410545227"/>
                  </w:sdtPr>
                  <w:sdtEndPr/>
                  <w:sdtContent>
                    <w:r w:rsidRPr="00216965">
                      <w:rPr>
                        <w:rFonts w:eastAsia="Times New Roman" w:cs="Times New Roman"/>
                        <w:color w:val="000000"/>
                        <w:sz w:val="22"/>
                        <w:vertAlign w:val="superscript"/>
                      </w:rPr>
                      <w:t>c</w:t>
                    </w:r>
                  </w:sdtContent>
                </w:sdt>
              </w:sdtContent>
            </w:sdt>
          </w:p>
        </w:tc>
      </w:tr>
      <w:tr w:rsidR="00D62864" w:rsidRPr="00216965" w14:paraId="04E3EB61" w14:textId="77777777" w:rsidTr="008A33DA">
        <w:trPr>
          <w:trHeight w:val="300"/>
        </w:trPr>
        <w:tc>
          <w:tcPr>
            <w:tcW w:w="0" w:type="auto"/>
            <w:vMerge/>
            <w:shd w:val="clear" w:color="auto" w:fill="auto"/>
            <w:vAlign w:val="center"/>
          </w:tcPr>
          <w:p w14:paraId="5E9064C0"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6475FFE0" w14:textId="77777777" w:rsidR="00D62864" w:rsidRPr="00216965" w:rsidRDefault="00D62864" w:rsidP="00A0457B">
            <w:pPr>
              <w:spacing w:after="0" w:line="240" w:lineRule="auto"/>
              <w:rPr>
                <w:rFonts w:eastAsia="Times New Roman" w:cs="Times New Roman"/>
                <w:color w:val="000000"/>
              </w:rPr>
            </w:pPr>
          </w:p>
        </w:tc>
        <w:tc>
          <w:tcPr>
            <w:tcW w:w="0" w:type="auto"/>
            <w:vAlign w:val="bottom"/>
          </w:tcPr>
          <w:p w14:paraId="1DE62452"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210C1F81"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EC (dS.m</w:t>
            </w:r>
            <w:r w:rsidRPr="00216965">
              <w:rPr>
                <w:rFonts w:eastAsia="Times New Roman" w:cs="Times New Roman"/>
                <w:color w:val="000000"/>
                <w:sz w:val="22"/>
                <w:vertAlign w:val="superscript"/>
              </w:rPr>
              <w:t>-1</w:t>
            </w:r>
            <w:r w:rsidRPr="00216965">
              <w:rPr>
                <w:rFonts w:eastAsia="Times New Roman" w:cs="Times New Roman"/>
                <w:color w:val="000000"/>
                <w:sz w:val="22"/>
              </w:rPr>
              <w:t>)</w:t>
            </w:r>
          </w:p>
        </w:tc>
        <w:tc>
          <w:tcPr>
            <w:tcW w:w="0" w:type="auto"/>
            <w:shd w:val="clear" w:color="auto" w:fill="auto"/>
            <w:vAlign w:val="bottom"/>
          </w:tcPr>
          <w:p w14:paraId="692156CD"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3.</w:t>
            </w:r>
            <w:sdt>
              <w:sdtPr>
                <w:rPr>
                  <w:rFonts w:cs="Times New Roman"/>
                  <w:sz w:val="22"/>
                </w:rPr>
                <w:tag w:val="goog_rdk_2188"/>
                <w:id w:val="-567809883"/>
              </w:sdtPr>
              <w:sdtEndPr/>
              <w:sdtContent>
                <w:r w:rsidRPr="00216965">
                  <w:rPr>
                    <w:rFonts w:eastAsia="Times New Roman" w:cs="Times New Roman"/>
                    <w:color w:val="000000"/>
                    <w:sz w:val="22"/>
                  </w:rPr>
                  <w:t>4</w:t>
                </w:r>
              </w:sdtContent>
            </w:sdt>
            <w:r w:rsidRPr="00216965">
              <w:rPr>
                <w:rFonts w:eastAsia="Times New Roman" w:cs="Times New Roman"/>
                <w:color w:val="000000"/>
                <w:sz w:val="22"/>
              </w:rPr>
              <w:t xml:space="preserve"> ± 0.1</w:t>
            </w:r>
          </w:p>
        </w:tc>
        <w:tc>
          <w:tcPr>
            <w:tcW w:w="0" w:type="auto"/>
            <w:shd w:val="clear" w:color="auto" w:fill="auto"/>
            <w:vAlign w:val="bottom"/>
          </w:tcPr>
          <w:p w14:paraId="3F0BE67E"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46963874"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0C009B53"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0E53892F"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35C2953C" w14:textId="77777777" w:rsidR="00D62864" w:rsidRPr="00216965" w:rsidRDefault="00D62864" w:rsidP="00A0457B">
            <w:pPr>
              <w:spacing w:after="0" w:line="240" w:lineRule="auto"/>
              <w:jc w:val="center"/>
              <w:rPr>
                <w:rFonts w:eastAsia="Times New Roman" w:cs="Times New Roman"/>
                <w:color w:val="000000"/>
              </w:rPr>
            </w:pPr>
          </w:p>
        </w:tc>
      </w:tr>
      <w:tr w:rsidR="00D62864" w:rsidRPr="00216965" w14:paraId="5A58657D" w14:textId="77777777" w:rsidTr="008A33DA">
        <w:trPr>
          <w:trHeight w:val="377"/>
        </w:trPr>
        <w:tc>
          <w:tcPr>
            <w:tcW w:w="0" w:type="auto"/>
            <w:vMerge w:val="restart"/>
            <w:shd w:val="clear" w:color="auto" w:fill="auto"/>
            <w:vAlign w:val="center"/>
          </w:tcPr>
          <w:p w14:paraId="36C98DC7"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Pb</w:t>
            </w:r>
          </w:p>
        </w:tc>
        <w:tc>
          <w:tcPr>
            <w:tcW w:w="0" w:type="auto"/>
            <w:shd w:val="clear" w:color="auto" w:fill="auto"/>
            <w:vAlign w:val="bottom"/>
          </w:tcPr>
          <w:p w14:paraId="6D50E534"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Single variable</w:t>
            </w:r>
            <w:r w:rsidRPr="00216965">
              <w:rPr>
                <w:rFonts w:eastAsia="Times New Roman" w:cs="Times New Roman"/>
                <w:color w:val="000000"/>
                <w:sz w:val="22"/>
                <w:vertAlign w:val="superscript"/>
              </w:rPr>
              <w:t>a</w:t>
            </w:r>
          </w:p>
        </w:tc>
        <w:tc>
          <w:tcPr>
            <w:tcW w:w="0" w:type="auto"/>
            <w:vAlign w:val="bottom"/>
          </w:tcPr>
          <w:p w14:paraId="5375FAE5" w14:textId="53BD4FF9"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fldChar w:fldCharType="begin"/>
            </w:r>
            <w:r w:rsidRPr="00216965">
              <w:rPr>
                <w:rFonts w:eastAsia="Times New Roman" w:cs="Times New Roman"/>
                <w:color w:val="000000"/>
                <w:sz w:val="22"/>
              </w:rPr>
              <w:instrText xml:space="preserve"> REF _Ref52819727 \h  \* MERGEFORMAT </w:instrText>
            </w:r>
            <w:r w:rsidRPr="00216965">
              <w:rPr>
                <w:rFonts w:eastAsia="Times New Roman" w:cs="Times New Roman"/>
                <w:color w:val="000000"/>
                <w:sz w:val="22"/>
              </w:rPr>
            </w:r>
            <w:r w:rsidRPr="00216965">
              <w:rPr>
                <w:rFonts w:eastAsia="Times New Roman" w:cs="Times New Roman"/>
                <w:color w:val="000000"/>
                <w:sz w:val="22"/>
              </w:rPr>
              <w:fldChar w:fldCharType="separate"/>
            </w:r>
            <w:r w:rsidR="006E23EA" w:rsidRPr="00216965">
              <w:rPr>
                <w:rFonts w:cs="Times New Roman"/>
                <w:sz w:val="22"/>
              </w:rPr>
              <w:t xml:space="preserve">Fig. </w:t>
            </w:r>
            <w:r w:rsidR="006E23EA" w:rsidRPr="00216965">
              <w:rPr>
                <w:rFonts w:cs="Times New Roman"/>
                <w:noProof/>
                <w:sz w:val="22"/>
              </w:rPr>
              <w:t>3</w:t>
            </w:r>
            <w:r w:rsidR="006E23EA" w:rsidRPr="00216965">
              <w:rPr>
                <w:rFonts w:cs="Times New Roman"/>
                <w:noProof/>
                <w:sz w:val="22"/>
              </w:rPr>
              <w:noBreakHyphen/>
              <w:t>11</w:t>
            </w:r>
            <w:r w:rsidRPr="00216965">
              <w:rPr>
                <w:rFonts w:eastAsia="Times New Roman" w:cs="Times New Roman"/>
                <w:color w:val="000000"/>
                <w:sz w:val="22"/>
              </w:rPr>
              <w:fldChar w:fldCharType="end"/>
            </w:r>
            <w:r w:rsidRPr="00216965">
              <w:rPr>
                <w:rFonts w:eastAsia="Times New Roman" w:cs="Times New Roman"/>
                <w:color w:val="000000"/>
                <w:sz w:val="22"/>
              </w:rPr>
              <w:t>E</w:t>
            </w:r>
          </w:p>
        </w:tc>
        <w:tc>
          <w:tcPr>
            <w:tcW w:w="0" w:type="auto"/>
            <w:shd w:val="clear" w:color="auto" w:fill="auto"/>
            <w:vAlign w:val="bottom"/>
          </w:tcPr>
          <w:p w14:paraId="7026F888"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Intercept</w:t>
            </w:r>
          </w:p>
        </w:tc>
        <w:tc>
          <w:tcPr>
            <w:tcW w:w="0" w:type="auto"/>
            <w:shd w:val="clear" w:color="auto" w:fill="auto"/>
            <w:vAlign w:val="bottom"/>
          </w:tcPr>
          <w:p w14:paraId="22197557"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-129 ± 15</w:t>
            </w:r>
          </w:p>
        </w:tc>
        <w:tc>
          <w:tcPr>
            <w:tcW w:w="0" w:type="auto"/>
            <w:shd w:val="clear" w:color="auto" w:fill="auto"/>
            <w:vAlign w:val="bottom"/>
          </w:tcPr>
          <w:p w14:paraId="45B74EDD"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24596055"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0.98</w:t>
            </w:r>
          </w:p>
        </w:tc>
        <w:tc>
          <w:tcPr>
            <w:tcW w:w="0" w:type="auto"/>
            <w:shd w:val="clear" w:color="auto" w:fill="auto"/>
            <w:vAlign w:val="bottom"/>
          </w:tcPr>
          <w:p w14:paraId="13D173E0"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0.97</w:t>
            </w:r>
          </w:p>
        </w:tc>
        <w:tc>
          <w:tcPr>
            <w:tcW w:w="0" w:type="auto"/>
            <w:shd w:val="clear" w:color="auto" w:fill="auto"/>
            <w:vAlign w:val="bottom"/>
          </w:tcPr>
          <w:p w14:paraId="6557076E"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123</w:t>
            </w:r>
          </w:p>
        </w:tc>
        <w:tc>
          <w:tcPr>
            <w:tcW w:w="0" w:type="auto"/>
            <w:shd w:val="clear" w:color="auto" w:fill="auto"/>
            <w:vAlign w:val="bottom"/>
          </w:tcPr>
          <w:p w14:paraId="56C4E37F"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0.00</w:t>
            </w:r>
            <w:sdt>
              <w:sdtPr>
                <w:rPr>
                  <w:rFonts w:cs="Times New Roman"/>
                  <w:sz w:val="22"/>
                </w:rPr>
                <w:tag w:val="goog_rdk_2190"/>
                <w:id w:val="-45916285"/>
              </w:sdtPr>
              <w:sdtEndPr/>
              <w:sdtContent>
                <w:sdt>
                  <w:sdtPr>
                    <w:rPr>
                      <w:rFonts w:cs="Times New Roman"/>
                      <w:sz w:val="22"/>
                    </w:rPr>
                    <w:tag w:val="goog_rdk_2191"/>
                    <w:id w:val="1844962829"/>
                  </w:sdtPr>
                  <w:sdtEndPr/>
                  <w:sdtContent>
                    <w:r w:rsidRPr="00216965">
                      <w:rPr>
                        <w:rFonts w:eastAsia="Times New Roman" w:cs="Times New Roman"/>
                        <w:color w:val="000000"/>
                        <w:sz w:val="22"/>
                        <w:vertAlign w:val="superscript"/>
                      </w:rPr>
                      <w:t>c</w:t>
                    </w:r>
                  </w:sdtContent>
                </w:sdt>
              </w:sdtContent>
            </w:sdt>
          </w:p>
        </w:tc>
      </w:tr>
      <w:tr w:rsidR="00D62864" w:rsidRPr="00216965" w14:paraId="564F84B6" w14:textId="77777777" w:rsidTr="008A33DA">
        <w:trPr>
          <w:trHeight w:val="300"/>
        </w:trPr>
        <w:tc>
          <w:tcPr>
            <w:tcW w:w="0" w:type="auto"/>
            <w:vMerge/>
            <w:shd w:val="clear" w:color="auto" w:fill="auto"/>
            <w:vAlign w:val="center"/>
          </w:tcPr>
          <w:p w14:paraId="0C3A4AE6"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33580EE8" w14:textId="77777777" w:rsidR="00D62864" w:rsidRPr="00216965" w:rsidRDefault="00D62864" w:rsidP="00A0457B">
            <w:pPr>
              <w:spacing w:after="0" w:line="240" w:lineRule="auto"/>
              <w:rPr>
                <w:rFonts w:eastAsia="Times New Roman" w:cs="Times New Roman"/>
                <w:color w:val="000000"/>
              </w:rPr>
            </w:pPr>
          </w:p>
        </w:tc>
        <w:tc>
          <w:tcPr>
            <w:tcW w:w="0" w:type="auto"/>
            <w:vAlign w:val="bottom"/>
          </w:tcPr>
          <w:p w14:paraId="54409A58"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4D6E076C"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pH</w:t>
            </w:r>
          </w:p>
        </w:tc>
        <w:tc>
          <w:tcPr>
            <w:tcW w:w="0" w:type="auto"/>
            <w:shd w:val="clear" w:color="auto" w:fill="auto"/>
            <w:vAlign w:val="bottom"/>
          </w:tcPr>
          <w:p w14:paraId="111F91D4"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1</w:t>
            </w:r>
            <w:sdt>
              <w:sdtPr>
                <w:rPr>
                  <w:rFonts w:cs="Times New Roman"/>
                  <w:sz w:val="22"/>
                </w:rPr>
                <w:tag w:val="goog_rdk_2192"/>
                <w:id w:val="-20714109"/>
              </w:sdtPr>
              <w:sdtEndPr/>
              <w:sdtContent>
                <w:r w:rsidRPr="00216965">
                  <w:rPr>
                    <w:rFonts w:eastAsia="Times New Roman" w:cs="Times New Roman"/>
                    <w:color w:val="000000"/>
                    <w:sz w:val="22"/>
                  </w:rPr>
                  <w:t>8</w:t>
                </w:r>
              </w:sdtContent>
            </w:sdt>
            <w:r w:rsidRPr="00216965">
              <w:rPr>
                <w:rFonts w:eastAsia="Times New Roman" w:cs="Times New Roman"/>
                <w:color w:val="000000"/>
                <w:sz w:val="22"/>
              </w:rPr>
              <w:t xml:space="preserve"> ±</w:t>
            </w:r>
            <w:sdt>
              <w:sdtPr>
                <w:rPr>
                  <w:rFonts w:cs="Times New Roman"/>
                  <w:sz w:val="22"/>
                </w:rPr>
                <w:tag w:val="goog_rdk_2194"/>
                <w:id w:val="-1924948533"/>
              </w:sdtPr>
              <w:sdtEndPr/>
              <w:sdtContent>
                <w:r w:rsidRPr="00216965">
                  <w:rPr>
                    <w:rFonts w:eastAsia="Times New Roman" w:cs="Times New Roman"/>
                    <w:color w:val="000000"/>
                    <w:sz w:val="22"/>
                  </w:rPr>
                  <w:t xml:space="preserve"> 2</w:t>
                </w:r>
              </w:sdtContent>
            </w:sdt>
            <w:sdt>
              <w:sdtPr>
                <w:rPr>
                  <w:rFonts w:cs="Times New Roman"/>
                  <w:sz w:val="22"/>
                </w:rPr>
                <w:tag w:val="goog_rdk_2195"/>
                <w:id w:val="-710810323"/>
                <w:showingPlcHdr/>
              </w:sdtPr>
              <w:sdtEndPr/>
              <w:sdtContent>
                <w:r w:rsidRPr="00216965">
                  <w:rPr>
                    <w:rFonts w:cs="Times New Roman"/>
                    <w:sz w:val="22"/>
                  </w:rPr>
                  <w:t xml:space="preserve">     </w:t>
                </w:r>
              </w:sdtContent>
            </w:sdt>
          </w:p>
        </w:tc>
        <w:tc>
          <w:tcPr>
            <w:tcW w:w="0" w:type="auto"/>
            <w:shd w:val="clear" w:color="auto" w:fill="auto"/>
            <w:vAlign w:val="bottom"/>
          </w:tcPr>
          <w:p w14:paraId="032A3275"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04DE6E13"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643191E4"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5CB6B122"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67B643AF" w14:textId="77777777" w:rsidR="00D62864" w:rsidRPr="00216965" w:rsidRDefault="00D62864" w:rsidP="00A0457B">
            <w:pPr>
              <w:spacing w:after="0" w:line="240" w:lineRule="auto"/>
              <w:jc w:val="center"/>
              <w:rPr>
                <w:rFonts w:eastAsia="Times New Roman" w:cs="Times New Roman"/>
                <w:color w:val="000000"/>
              </w:rPr>
            </w:pPr>
          </w:p>
        </w:tc>
      </w:tr>
      <w:tr w:rsidR="00D62864" w:rsidRPr="00216965" w14:paraId="74B590E6" w14:textId="77777777" w:rsidTr="008A33DA">
        <w:trPr>
          <w:trHeight w:val="387"/>
        </w:trPr>
        <w:tc>
          <w:tcPr>
            <w:tcW w:w="0" w:type="auto"/>
            <w:vMerge w:val="restart"/>
            <w:shd w:val="clear" w:color="auto" w:fill="auto"/>
            <w:vAlign w:val="center"/>
          </w:tcPr>
          <w:p w14:paraId="43A328C9"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Cd</w:t>
            </w:r>
          </w:p>
        </w:tc>
        <w:tc>
          <w:tcPr>
            <w:tcW w:w="0" w:type="auto"/>
            <w:shd w:val="clear" w:color="auto" w:fill="auto"/>
            <w:vAlign w:val="bottom"/>
          </w:tcPr>
          <w:p w14:paraId="65608BB9"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Single variable</w:t>
            </w:r>
            <w:r w:rsidRPr="00216965">
              <w:rPr>
                <w:rFonts w:eastAsia="Times New Roman" w:cs="Times New Roman"/>
                <w:color w:val="000000"/>
                <w:sz w:val="22"/>
                <w:vertAlign w:val="superscript"/>
              </w:rPr>
              <w:t>a</w:t>
            </w:r>
          </w:p>
        </w:tc>
        <w:tc>
          <w:tcPr>
            <w:tcW w:w="0" w:type="auto"/>
            <w:vAlign w:val="bottom"/>
          </w:tcPr>
          <w:p w14:paraId="43DD16D7" w14:textId="5374861A"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fldChar w:fldCharType="begin"/>
            </w:r>
            <w:r w:rsidRPr="00216965">
              <w:rPr>
                <w:rFonts w:eastAsia="Times New Roman" w:cs="Times New Roman"/>
                <w:color w:val="000000"/>
                <w:sz w:val="22"/>
              </w:rPr>
              <w:instrText xml:space="preserve"> REF _Ref52819727 \h  \* MERGEFORMAT </w:instrText>
            </w:r>
            <w:r w:rsidRPr="00216965">
              <w:rPr>
                <w:rFonts w:eastAsia="Times New Roman" w:cs="Times New Roman"/>
                <w:color w:val="000000"/>
                <w:sz w:val="22"/>
              </w:rPr>
            </w:r>
            <w:r w:rsidRPr="00216965">
              <w:rPr>
                <w:rFonts w:eastAsia="Times New Roman" w:cs="Times New Roman"/>
                <w:color w:val="000000"/>
                <w:sz w:val="22"/>
              </w:rPr>
              <w:fldChar w:fldCharType="separate"/>
            </w:r>
            <w:r w:rsidR="006E23EA" w:rsidRPr="00216965">
              <w:rPr>
                <w:rFonts w:cs="Times New Roman"/>
                <w:sz w:val="22"/>
              </w:rPr>
              <w:t xml:space="preserve">Fig. </w:t>
            </w:r>
            <w:r w:rsidR="006E23EA" w:rsidRPr="00216965">
              <w:rPr>
                <w:rFonts w:cs="Times New Roman"/>
                <w:noProof/>
                <w:sz w:val="22"/>
              </w:rPr>
              <w:t>3</w:t>
            </w:r>
            <w:r w:rsidR="006E23EA" w:rsidRPr="00216965">
              <w:rPr>
                <w:rFonts w:cs="Times New Roman"/>
                <w:noProof/>
                <w:sz w:val="22"/>
              </w:rPr>
              <w:noBreakHyphen/>
              <w:t>11</w:t>
            </w:r>
            <w:r w:rsidRPr="00216965">
              <w:rPr>
                <w:rFonts w:eastAsia="Times New Roman" w:cs="Times New Roman"/>
                <w:color w:val="000000"/>
                <w:sz w:val="22"/>
              </w:rPr>
              <w:fldChar w:fldCharType="end"/>
            </w:r>
            <w:r w:rsidRPr="00216965">
              <w:rPr>
                <w:rFonts w:eastAsia="Times New Roman" w:cs="Times New Roman"/>
                <w:color w:val="000000"/>
                <w:sz w:val="22"/>
              </w:rPr>
              <w:t xml:space="preserve">D </w:t>
            </w:r>
          </w:p>
        </w:tc>
        <w:tc>
          <w:tcPr>
            <w:tcW w:w="0" w:type="auto"/>
            <w:shd w:val="clear" w:color="auto" w:fill="auto"/>
            <w:vAlign w:val="bottom"/>
          </w:tcPr>
          <w:p w14:paraId="13C21FC2"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Intercept</w:t>
            </w:r>
          </w:p>
        </w:tc>
        <w:tc>
          <w:tcPr>
            <w:tcW w:w="0" w:type="auto"/>
            <w:shd w:val="clear" w:color="auto" w:fill="auto"/>
            <w:vAlign w:val="bottom"/>
          </w:tcPr>
          <w:p w14:paraId="19490D4D"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 xml:space="preserve">2 ± </w:t>
            </w:r>
            <w:sdt>
              <w:sdtPr>
                <w:rPr>
                  <w:rFonts w:cs="Times New Roman"/>
                  <w:sz w:val="22"/>
                </w:rPr>
                <w:tag w:val="goog_rdk_2197"/>
                <w:id w:val="1088044397"/>
              </w:sdtPr>
              <w:sdtEndPr/>
              <w:sdtContent>
                <w:r w:rsidRPr="00216965">
                  <w:rPr>
                    <w:rFonts w:eastAsia="Times New Roman" w:cs="Times New Roman"/>
                    <w:color w:val="000000"/>
                    <w:sz w:val="22"/>
                  </w:rPr>
                  <w:t>3</w:t>
                </w:r>
              </w:sdtContent>
            </w:sdt>
            <w:sdt>
              <w:sdtPr>
                <w:rPr>
                  <w:rFonts w:cs="Times New Roman"/>
                  <w:sz w:val="22"/>
                </w:rPr>
                <w:tag w:val="goog_rdk_2198"/>
                <w:id w:val="-1068504087"/>
                <w:showingPlcHdr/>
              </w:sdtPr>
              <w:sdtEndPr/>
              <w:sdtContent>
                <w:r w:rsidRPr="00216965">
                  <w:rPr>
                    <w:rFonts w:cs="Times New Roman"/>
                    <w:sz w:val="22"/>
                  </w:rPr>
                  <w:t xml:space="preserve">     </w:t>
                </w:r>
              </w:sdtContent>
            </w:sdt>
          </w:p>
        </w:tc>
        <w:tc>
          <w:tcPr>
            <w:tcW w:w="0" w:type="auto"/>
            <w:shd w:val="clear" w:color="auto" w:fill="auto"/>
            <w:vAlign w:val="bottom"/>
          </w:tcPr>
          <w:p w14:paraId="229002D0"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09C8B61D"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0.88</w:t>
            </w:r>
          </w:p>
        </w:tc>
        <w:tc>
          <w:tcPr>
            <w:tcW w:w="0" w:type="auto"/>
            <w:shd w:val="clear" w:color="auto" w:fill="auto"/>
            <w:vAlign w:val="bottom"/>
          </w:tcPr>
          <w:p w14:paraId="73FF3420"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0.84</w:t>
            </w:r>
          </w:p>
        </w:tc>
        <w:tc>
          <w:tcPr>
            <w:tcW w:w="0" w:type="auto"/>
            <w:shd w:val="clear" w:color="auto" w:fill="auto"/>
            <w:vAlign w:val="bottom"/>
          </w:tcPr>
          <w:p w14:paraId="207F954E"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21.9</w:t>
            </w:r>
          </w:p>
        </w:tc>
        <w:tc>
          <w:tcPr>
            <w:tcW w:w="0" w:type="auto"/>
            <w:shd w:val="clear" w:color="auto" w:fill="auto"/>
            <w:vAlign w:val="bottom"/>
          </w:tcPr>
          <w:p w14:paraId="598F978B"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0.02</w:t>
            </w:r>
          </w:p>
        </w:tc>
      </w:tr>
      <w:tr w:rsidR="00D62864" w:rsidRPr="00216965" w14:paraId="15EC368F" w14:textId="77777777" w:rsidTr="008A33DA">
        <w:trPr>
          <w:trHeight w:val="300"/>
        </w:trPr>
        <w:tc>
          <w:tcPr>
            <w:tcW w:w="0" w:type="auto"/>
            <w:vMerge/>
            <w:shd w:val="clear" w:color="auto" w:fill="auto"/>
            <w:vAlign w:val="center"/>
          </w:tcPr>
          <w:p w14:paraId="7484CCD9"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25B3A66E" w14:textId="77777777" w:rsidR="00D62864" w:rsidRPr="00216965" w:rsidRDefault="00D62864" w:rsidP="00A0457B">
            <w:pPr>
              <w:spacing w:after="0" w:line="240" w:lineRule="auto"/>
              <w:rPr>
                <w:rFonts w:eastAsia="Times New Roman" w:cs="Times New Roman"/>
                <w:color w:val="000000"/>
              </w:rPr>
            </w:pPr>
          </w:p>
        </w:tc>
        <w:tc>
          <w:tcPr>
            <w:tcW w:w="0" w:type="auto"/>
            <w:vAlign w:val="bottom"/>
          </w:tcPr>
          <w:p w14:paraId="78049EB4"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644949F0"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EC (dS.m</w:t>
            </w:r>
            <w:r w:rsidRPr="00216965">
              <w:rPr>
                <w:rFonts w:eastAsia="Times New Roman" w:cs="Times New Roman"/>
                <w:color w:val="000000"/>
                <w:sz w:val="22"/>
                <w:vertAlign w:val="superscript"/>
              </w:rPr>
              <w:t>-1</w:t>
            </w:r>
            <w:r w:rsidRPr="00216965">
              <w:rPr>
                <w:rFonts w:eastAsia="Times New Roman" w:cs="Times New Roman"/>
                <w:color w:val="000000"/>
                <w:sz w:val="22"/>
              </w:rPr>
              <w:t>)</w:t>
            </w:r>
          </w:p>
        </w:tc>
        <w:tc>
          <w:tcPr>
            <w:tcW w:w="0" w:type="auto"/>
            <w:shd w:val="clear" w:color="auto" w:fill="auto"/>
            <w:vAlign w:val="bottom"/>
          </w:tcPr>
          <w:p w14:paraId="6AA6616A" w14:textId="77777777" w:rsidR="00D62864" w:rsidRPr="00216965" w:rsidRDefault="00BB30F1" w:rsidP="00A0457B">
            <w:pPr>
              <w:spacing w:after="0" w:line="240" w:lineRule="auto"/>
              <w:rPr>
                <w:rFonts w:eastAsia="Times New Roman" w:cs="Times New Roman"/>
                <w:color w:val="000000"/>
              </w:rPr>
            </w:pPr>
            <w:sdt>
              <w:sdtPr>
                <w:rPr>
                  <w:rFonts w:cs="Times New Roman"/>
                  <w:sz w:val="22"/>
                </w:rPr>
                <w:tag w:val="goog_rdk_2200"/>
                <w:id w:val="-1540967673"/>
              </w:sdtPr>
              <w:sdtEndPr/>
              <w:sdtContent>
                <w:r w:rsidR="00D62864" w:rsidRPr="00216965">
                  <w:rPr>
                    <w:rFonts w:eastAsia="Times New Roman" w:cs="Times New Roman"/>
                    <w:color w:val="000000"/>
                    <w:sz w:val="22"/>
                  </w:rPr>
                  <w:t>7</w:t>
                </w:r>
              </w:sdtContent>
            </w:sdt>
            <w:r w:rsidR="00D62864" w:rsidRPr="00216965">
              <w:rPr>
                <w:rFonts w:eastAsia="Times New Roman" w:cs="Times New Roman"/>
                <w:color w:val="000000"/>
                <w:sz w:val="22"/>
              </w:rPr>
              <w:t xml:space="preserve"> ± </w:t>
            </w:r>
            <w:sdt>
              <w:sdtPr>
                <w:rPr>
                  <w:rFonts w:cs="Times New Roman"/>
                  <w:sz w:val="22"/>
                </w:rPr>
                <w:tag w:val="goog_rdk_2202"/>
                <w:id w:val="-324973480"/>
              </w:sdtPr>
              <w:sdtEndPr/>
              <w:sdtContent>
                <w:r w:rsidR="00D62864" w:rsidRPr="00216965">
                  <w:rPr>
                    <w:rFonts w:eastAsia="Times New Roman" w:cs="Times New Roman"/>
                    <w:color w:val="000000"/>
                    <w:sz w:val="22"/>
                  </w:rPr>
                  <w:t>2</w:t>
                </w:r>
              </w:sdtContent>
            </w:sdt>
            <w:sdt>
              <w:sdtPr>
                <w:rPr>
                  <w:rFonts w:cs="Times New Roman"/>
                  <w:sz w:val="22"/>
                </w:rPr>
                <w:tag w:val="goog_rdk_2203"/>
                <w:id w:val="647944075"/>
                <w:showingPlcHdr/>
              </w:sdtPr>
              <w:sdtEndPr/>
              <w:sdtContent>
                <w:r w:rsidR="00D62864" w:rsidRPr="00216965">
                  <w:rPr>
                    <w:rFonts w:cs="Times New Roman"/>
                    <w:sz w:val="22"/>
                  </w:rPr>
                  <w:t xml:space="preserve">     </w:t>
                </w:r>
              </w:sdtContent>
            </w:sdt>
          </w:p>
        </w:tc>
        <w:tc>
          <w:tcPr>
            <w:tcW w:w="0" w:type="auto"/>
            <w:shd w:val="clear" w:color="auto" w:fill="auto"/>
            <w:vAlign w:val="bottom"/>
          </w:tcPr>
          <w:p w14:paraId="0BF40890"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2BF922C1"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0FB70090"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7A9D3B7F"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7D007743" w14:textId="77777777" w:rsidR="00D62864" w:rsidRPr="00216965" w:rsidRDefault="00D62864" w:rsidP="00A0457B">
            <w:pPr>
              <w:spacing w:after="0" w:line="240" w:lineRule="auto"/>
              <w:jc w:val="center"/>
              <w:rPr>
                <w:rFonts w:eastAsia="Times New Roman" w:cs="Times New Roman"/>
                <w:color w:val="000000"/>
              </w:rPr>
            </w:pPr>
          </w:p>
        </w:tc>
      </w:tr>
      <w:tr w:rsidR="00D62864" w:rsidRPr="00216965" w14:paraId="7F8769CE" w14:textId="77777777" w:rsidTr="008A33DA">
        <w:trPr>
          <w:trHeight w:val="300"/>
        </w:trPr>
        <w:tc>
          <w:tcPr>
            <w:tcW w:w="0" w:type="auto"/>
            <w:vMerge/>
            <w:shd w:val="clear" w:color="auto" w:fill="auto"/>
            <w:vAlign w:val="center"/>
          </w:tcPr>
          <w:p w14:paraId="21F5D11C"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6E63EBBF"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Two variables</w:t>
            </w:r>
            <w:r w:rsidRPr="00216965">
              <w:rPr>
                <w:rFonts w:eastAsia="Times New Roman" w:cs="Times New Roman"/>
                <w:color w:val="000000"/>
                <w:sz w:val="22"/>
                <w:vertAlign w:val="superscript"/>
              </w:rPr>
              <w:t>b</w:t>
            </w:r>
            <w:r w:rsidRPr="00216965">
              <w:rPr>
                <w:rFonts w:eastAsia="Times New Roman" w:cs="Times New Roman"/>
                <w:color w:val="000000"/>
                <w:sz w:val="22"/>
              </w:rPr>
              <w:t xml:space="preserve"> </w:t>
            </w:r>
          </w:p>
        </w:tc>
        <w:tc>
          <w:tcPr>
            <w:tcW w:w="0" w:type="auto"/>
            <w:vAlign w:val="bottom"/>
          </w:tcPr>
          <w:p w14:paraId="0A57F0A8" w14:textId="07D5E676"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fldChar w:fldCharType="begin"/>
            </w:r>
            <w:r w:rsidRPr="00216965">
              <w:rPr>
                <w:rFonts w:eastAsia="Times New Roman" w:cs="Times New Roman"/>
                <w:color w:val="000000"/>
                <w:sz w:val="22"/>
              </w:rPr>
              <w:instrText xml:space="preserve"> REF _Ref52819727 \h  \* MERGEFORMAT </w:instrText>
            </w:r>
            <w:r w:rsidRPr="00216965">
              <w:rPr>
                <w:rFonts w:eastAsia="Times New Roman" w:cs="Times New Roman"/>
                <w:color w:val="000000"/>
                <w:sz w:val="22"/>
              </w:rPr>
            </w:r>
            <w:r w:rsidRPr="00216965">
              <w:rPr>
                <w:rFonts w:eastAsia="Times New Roman" w:cs="Times New Roman"/>
                <w:color w:val="000000"/>
                <w:sz w:val="22"/>
              </w:rPr>
              <w:fldChar w:fldCharType="separate"/>
            </w:r>
            <w:r w:rsidR="006E23EA" w:rsidRPr="00216965">
              <w:rPr>
                <w:rFonts w:cs="Times New Roman"/>
                <w:sz w:val="22"/>
              </w:rPr>
              <w:t xml:space="preserve">Fig. </w:t>
            </w:r>
            <w:r w:rsidR="006E23EA" w:rsidRPr="00216965">
              <w:rPr>
                <w:rFonts w:cs="Times New Roman"/>
                <w:noProof/>
                <w:sz w:val="22"/>
              </w:rPr>
              <w:t>3</w:t>
            </w:r>
            <w:r w:rsidR="006E23EA" w:rsidRPr="00216965">
              <w:rPr>
                <w:rFonts w:cs="Times New Roman"/>
                <w:noProof/>
                <w:sz w:val="22"/>
              </w:rPr>
              <w:noBreakHyphen/>
              <w:t>11</w:t>
            </w:r>
            <w:r w:rsidRPr="00216965">
              <w:rPr>
                <w:rFonts w:eastAsia="Times New Roman" w:cs="Times New Roman"/>
                <w:color w:val="000000"/>
                <w:sz w:val="22"/>
              </w:rPr>
              <w:fldChar w:fldCharType="end"/>
            </w:r>
            <w:r w:rsidRPr="00216965">
              <w:rPr>
                <w:rFonts w:eastAsia="Times New Roman" w:cs="Times New Roman"/>
                <w:color w:val="000000"/>
                <w:sz w:val="22"/>
              </w:rPr>
              <w:t>C</w:t>
            </w:r>
          </w:p>
        </w:tc>
        <w:tc>
          <w:tcPr>
            <w:tcW w:w="0" w:type="auto"/>
            <w:shd w:val="clear" w:color="auto" w:fill="auto"/>
            <w:vAlign w:val="bottom"/>
          </w:tcPr>
          <w:p w14:paraId="6AB810A8"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 xml:space="preserve">Intercept </w:t>
            </w:r>
          </w:p>
        </w:tc>
        <w:tc>
          <w:tcPr>
            <w:tcW w:w="0" w:type="auto"/>
            <w:shd w:val="clear" w:color="auto" w:fill="auto"/>
            <w:vAlign w:val="bottom"/>
          </w:tcPr>
          <w:p w14:paraId="3263DCA4"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-29 ± 5</w:t>
            </w:r>
            <w:sdt>
              <w:sdtPr>
                <w:rPr>
                  <w:rFonts w:cs="Times New Roman"/>
                  <w:sz w:val="22"/>
                </w:rPr>
                <w:tag w:val="goog_rdk_2205"/>
                <w:id w:val="-1120519989"/>
                <w:showingPlcHdr/>
              </w:sdtPr>
              <w:sdtEndPr/>
              <w:sdtContent>
                <w:r w:rsidRPr="00216965">
                  <w:rPr>
                    <w:rFonts w:cs="Times New Roman"/>
                    <w:sz w:val="22"/>
                  </w:rPr>
                  <w:t xml:space="preserve">     </w:t>
                </w:r>
              </w:sdtContent>
            </w:sdt>
          </w:p>
        </w:tc>
        <w:tc>
          <w:tcPr>
            <w:tcW w:w="0" w:type="auto"/>
            <w:shd w:val="clear" w:color="auto" w:fill="auto"/>
            <w:vAlign w:val="bottom"/>
          </w:tcPr>
          <w:p w14:paraId="3C1450BA"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7269BE8B"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0.99</w:t>
            </w:r>
          </w:p>
        </w:tc>
        <w:tc>
          <w:tcPr>
            <w:tcW w:w="0" w:type="auto"/>
            <w:shd w:val="clear" w:color="auto" w:fill="auto"/>
            <w:vAlign w:val="bottom"/>
          </w:tcPr>
          <w:p w14:paraId="5DBFC591"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0.99</w:t>
            </w:r>
          </w:p>
        </w:tc>
        <w:tc>
          <w:tcPr>
            <w:tcW w:w="0" w:type="auto"/>
            <w:shd w:val="clear" w:color="auto" w:fill="auto"/>
            <w:vAlign w:val="bottom"/>
          </w:tcPr>
          <w:p w14:paraId="210B3B3F"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163</w:t>
            </w:r>
          </w:p>
        </w:tc>
        <w:tc>
          <w:tcPr>
            <w:tcW w:w="0" w:type="auto"/>
            <w:shd w:val="clear" w:color="auto" w:fill="auto"/>
            <w:vAlign w:val="bottom"/>
          </w:tcPr>
          <w:p w14:paraId="46ECA51F"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0.01</w:t>
            </w:r>
          </w:p>
        </w:tc>
      </w:tr>
      <w:tr w:rsidR="00D62864" w:rsidRPr="00216965" w14:paraId="4F02F670" w14:textId="77777777" w:rsidTr="008A33DA">
        <w:trPr>
          <w:trHeight w:val="300"/>
        </w:trPr>
        <w:tc>
          <w:tcPr>
            <w:tcW w:w="0" w:type="auto"/>
            <w:vMerge/>
            <w:shd w:val="clear" w:color="auto" w:fill="auto"/>
            <w:vAlign w:val="center"/>
          </w:tcPr>
          <w:p w14:paraId="08F2F1FC"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6B3A049F" w14:textId="77777777" w:rsidR="00D62864" w:rsidRPr="00216965" w:rsidRDefault="00D62864" w:rsidP="00A0457B">
            <w:pPr>
              <w:spacing w:after="0" w:line="240" w:lineRule="auto"/>
              <w:rPr>
                <w:rFonts w:eastAsia="Times New Roman" w:cs="Times New Roman"/>
                <w:color w:val="000000"/>
              </w:rPr>
            </w:pPr>
          </w:p>
        </w:tc>
        <w:tc>
          <w:tcPr>
            <w:tcW w:w="0" w:type="auto"/>
            <w:vAlign w:val="bottom"/>
          </w:tcPr>
          <w:p w14:paraId="2BD02AD2"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6C0772DC"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EC (dS.m</w:t>
            </w:r>
            <w:r w:rsidRPr="00216965">
              <w:rPr>
                <w:rFonts w:eastAsia="Times New Roman" w:cs="Times New Roman"/>
                <w:color w:val="000000"/>
                <w:sz w:val="22"/>
                <w:vertAlign w:val="superscript"/>
              </w:rPr>
              <w:t>-1</w:t>
            </w:r>
            <w:r w:rsidRPr="00216965">
              <w:rPr>
                <w:rFonts w:eastAsia="Times New Roman" w:cs="Times New Roman"/>
                <w:color w:val="000000"/>
                <w:sz w:val="22"/>
              </w:rPr>
              <w:t>)</w:t>
            </w:r>
          </w:p>
        </w:tc>
        <w:tc>
          <w:tcPr>
            <w:tcW w:w="0" w:type="auto"/>
            <w:shd w:val="clear" w:color="auto" w:fill="auto"/>
            <w:vAlign w:val="bottom"/>
          </w:tcPr>
          <w:p w14:paraId="74CE4114"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11.4</w:t>
            </w:r>
            <w:r w:rsidRPr="00216965">
              <w:rPr>
                <w:rFonts w:cs="Times New Roman"/>
                <w:sz w:val="22"/>
              </w:rPr>
              <w:t xml:space="preserve"> </w:t>
            </w:r>
            <w:r w:rsidRPr="00216965">
              <w:rPr>
                <w:rFonts w:eastAsia="Times New Roman" w:cs="Times New Roman"/>
                <w:color w:val="000000"/>
                <w:sz w:val="22"/>
              </w:rPr>
              <w:t>± 0.8</w:t>
            </w:r>
          </w:p>
        </w:tc>
        <w:tc>
          <w:tcPr>
            <w:tcW w:w="0" w:type="auto"/>
            <w:shd w:val="clear" w:color="auto" w:fill="auto"/>
            <w:vAlign w:val="bottom"/>
          </w:tcPr>
          <w:p w14:paraId="27A3907B"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48EA8E08"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6957B074"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64195364"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3AA109D5" w14:textId="77777777" w:rsidR="00D62864" w:rsidRPr="00216965" w:rsidRDefault="00D62864" w:rsidP="00A0457B">
            <w:pPr>
              <w:spacing w:after="0" w:line="240" w:lineRule="auto"/>
              <w:rPr>
                <w:rFonts w:eastAsia="Times New Roman" w:cs="Times New Roman"/>
                <w:color w:val="000000"/>
              </w:rPr>
            </w:pPr>
          </w:p>
        </w:tc>
      </w:tr>
      <w:tr w:rsidR="00D62864" w:rsidRPr="00216965" w14:paraId="08C28394" w14:textId="77777777" w:rsidTr="008A33DA">
        <w:trPr>
          <w:trHeight w:val="300"/>
        </w:trPr>
        <w:tc>
          <w:tcPr>
            <w:tcW w:w="0" w:type="auto"/>
            <w:vMerge/>
            <w:shd w:val="clear" w:color="auto" w:fill="auto"/>
            <w:vAlign w:val="center"/>
          </w:tcPr>
          <w:p w14:paraId="3FB4FA28" w14:textId="77777777" w:rsidR="00D62864" w:rsidRPr="00216965" w:rsidRDefault="00D62864" w:rsidP="00A0457B">
            <w:pPr>
              <w:widowControl w:val="0"/>
              <w:pBdr>
                <w:top w:val="nil"/>
                <w:left w:val="nil"/>
                <w:bottom w:val="nil"/>
                <w:right w:val="nil"/>
                <w:between w:val="nil"/>
              </w:pBdr>
              <w:spacing w:after="0" w:line="240" w:lineRule="auto"/>
              <w:rPr>
                <w:rFonts w:eastAsia="Times New Roman" w:cs="Times New Roman"/>
                <w:color w:val="000000"/>
              </w:rPr>
            </w:pPr>
          </w:p>
        </w:tc>
        <w:tc>
          <w:tcPr>
            <w:tcW w:w="0" w:type="auto"/>
            <w:shd w:val="clear" w:color="auto" w:fill="auto"/>
            <w:vAlign w:val="bottom"/>
          </w:tcPr>
          <w:p w14:paraId="1CEDB7B6" w14:textId="77777777" w:rsidR="00D62864" w:rsidRPr="00216965" w:rsidRDefault="00D62864" w:rsidP="00A0457B">
            <w:pPr>
              <w:spacing w:after="0" w:line="240" w:lineRule="auto"/>
              <w:rPr>
                <w:rFonts w:eastAsia="Times New Roman" w:cs="Times New Roman"/>
                <w:color w:val="000000"/>
              </w:rPr>
            </w:pPr>
          </w:p>
        </w:tc>
        <w:tc>
          <w:tcPr>
            <w:tcW w:w="0" w:type="auto"/>
            <w:vAlign w:val="bottom"/>
          </w:tcPr>
          <w:p w14:paraId="66AD7929" w14:textId="77777777" w:rsidR="00D62864" w:rsidRPr="00216965" w:rsidRDefault="00D62864" w:rsidP="00A0457B">
            <w:pPr>
              <w:spacing w:after="0" w:line="240" w:lineRule="auto"/>
              <w:jc w:val="center"/>
              <w:rPr>
                <w:rFonts w:eastAsia="Times New Roman" w:cs="Times New Roman"/>
                <w:color w:val="000000"/>
              </w:rPr>
            </w:pPr>
          </w:p>
        </w:tc>
        <w:tc>
          <w:tcPr>
            <w:tcW w:w="0" w:type="auto"/>
            <w:shd w:val="clear" w:color="auto" w:fill="auto"/>
            <w:vAlign w:val="bottom"/>
          </w:tcPr>
          <w:p w14:paraId="280E1501"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 xml:space="preserve">H.C </w:t>
            </w:r>
            <w:r w:rsidRPr="00216965">
              <w:rPr>
                <w:rFonts w:eastAsia="Times New Roman" w:cs="Times New Roman"/>
                <w:sz w:val="22"/>
              </w:rPr>
              <w:t>(molar ratio)</w:t>
            </w:r>
          </w:p>
        </w:tc>
        <w:tc>
          <w:tcPr>
            <w:tcW w:w="0" w:type="auto"/>
            <w:shd w:val="clear" w:color="auto" w:fill="auto"/>
            <w:vAlign w:val="bottom"/>
          </w:tcPr>
          <w:p w14:paraId="3F488B8C" w14:textId="77777777" w:rsidR="00D62864" w:rsidRPr="00216965" w:rsidRDefault="00D62864" w:rsidP="00A0457B">
            <w:pPr>
              <w:spacing w:after="0" w:line="240" w:lineRule="auto"/>
              <w:rPr>
                <w:rFonts w:eastAsia="Times New Roman" w:cs="Times New Roman"/>
                <w:color w:val="000000"/>
              </w:rPr>
            </w:pPr>
            <w:r w:rsidRPr="00216965">
              <w:rPr>
                <w:rFonts w:eastAsia="Times New Roman" w:cs="Times New Roman"/>
                <w:color w:val="000000"/>
                <w:sz w:val="22"/>
              </w:rPr>
              <w:t>7</w:t>
            </w:r>
            <w:sdt>
              <w:sdtPr>
                <w:rPr>
                  <w:rFonts w:cs="Times New Roman"/>
                  <w:sz w:val="22"/>
                </w:rPr>
                <w:tag w:val="goog_rdk_2208"/>
                <w:id w:val="-1393950664"/>
              </w:sdtPr>
              <w:sdtEndPr/>
              <w:sdtContent>
                <w:r w:rsidRPr="00216965">
                  <w:rPr>
                    <w:rFonts w:eastAsia="Times New Roman" w:cs="Times New Roman"/>
                    <w:color w:val="000000"/>
                    <w:sz w:val="22"/>
                  </w:rPr>
                  <w:t>4</w:t>
                </w:r>
              </w:sdtContent>
            </w:sdt>
            <w:r w:rsidRPr="00216965">
              <w:rPr>
                <w:rFonts w:eastAsia="Times New Roman" w:cs="Times New Roman"/>
                <w:color w:val="000000"/>
                <w:sz w:val="22"/>
              </w:rPr>
              <w:t xml:space="preserve"> ± 12</w:t>
            </w:r>
            <w:sdt>
              <w:sdtPr>
                <w:rPr>
                  <w:rFonts w:cs="Times New Roman"/>
                  <w:sz w:val="22"/>
                </w:rPr>
                <w:tag w:val="goog_rdk_2210"/>
                <w:id w:val="2125570808"/>
                <w:showingPlcHdr/>
              </w:sdtPr>
              <w:sdtEndPr/>
              <w:sdtContent>
                <w:r w:rsidRPr="00216965">
                  <w:rPr>
                    <w:rFonts w:cs="Times New Roman"/>
                    <w:sz w:val="22"/>
                  </w:rPr>
                  <w:t xml:space="preserve">     </w:t>
                </w:r>
              </w:sdtContent>
            </w:sdt>
          </w:p>
        </w:tc>
        <w:tc>
          <w:tcPr>
            <w:tcW w:w="0" w:type="auto"/>
            <w:shd w:val="clear" w:color="auto" w:fill="auto"/>
            <w:vAlign w:val="bottom"/>
          </w:tcPr>
          <w:p w14:paraId="5D1E5EF0" w14:textId="77777777" w:rsidR="00D62864" w:rsidRPr="00216965" w:rsidRDefault="00D62864" w:rsidP="00A0457B">
            <w:pPr>
              <w:spacing w:after="0" w:line="240" w:lineRule="auto"/>
              <w:jc w:val="center"/>
              <w:rPr>
                <w:rFonts w:eastAsia="Times New Roman" w:cs="Times New Roman"/>
                <w:color w:val="000000"/>
              </w:rPr>
            </w:pPr>
            <w:r w:rsidRPr="00216965">
              <w:rPr>
                <w:rFonts w:eastAsia="Times New Roman" w:cs="Times New Roman"/>
                <w:color w:val="000000"/>
                <w:sz w:val="22"/>
              </w:rPr>
              <w:t>*</w:t>
            </w:r>
          </w:p>
        </w:tc>
        <w:tc>
          <w:tcPr>
            <w:tcW w:w="0" w:type="auto"/>
            <w:shd w:val="clear" w:color="auto" w:fill="auto"/>
            <w:vAlign w:val="bottom"/>
          </w:tcPr>
          <w:p w14:paraId="712CF84C"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653E7704"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2868B496" w14:textId="77777777" w:rsidR="00D62864" w:rsidRPr="00216965" w:rsidRDefault="00D62864" w:rsidP="00A0457B">
            <w:pPr>
              <w:spacing w:after="0" w:line="240" w:lineRule="auto"/>
              <w:rPr>
                <w:rFonts w:eastAsia="Times New Roman" w:cs="Times New Roman"/>
                <w:color w:val="000000"/>
              </w:rPr>
            </w:pPr>
          </w:p>
        </w:tc>
        <w:tc>
          <w:tcPr>
            <w:tcW w:w="0" w:type="auto"/>
            <w:shd w:val="clear" w:color="auto" w:fill="auto"/>
            <w:vAlign w:val="bottom"/>
          </w:tcPr>
          <w:p w14:paraId="53E4BA0E" w14:textId="77777777" w:rsidR="00D62864" w:rsidRPr="00216965" w:rsidRDefault="00D62864" w:rsidP="00A0457B">
            <w:pPr>
              <w:spacing w:after="0" w:line="240" w:lineRule="auto"/>
              <w:rPr>
                <w:rFonts w:eastAsia="Times New Roman" w:cs="Times New Roman"/>
                <w:color w:val="000000"/>
              </w:rPr>
            </w:pPr>
          </w:p>
        </w:tc>
      </w:tr>
    </w:tbl>
    <w:p w14:paraId="293E8C19" w14:textId="77777777" w:rsidR="00D62864" w:rsidRPr="00216965" w:rsidRDefault="00D62864" w:rsidP="008A33DA">
      <w:pPr>
        <w:spacing w:after="0" w:line="240" w:lineRule="auto"/>
        <w:ind w:right="1558"/>
        <w:rPr>
          <w:rFonts w:eastAsia="Times New Roman" w:cs="Times New Roman"/>
          <w:sz w:val="20"/>
          <w:szCs w:val="20"/>
          <w:lang w:val="es-419"/>
        </w:rPr>
      </w:pPr>
      <w:r w:rsidRPr="00216965">
        <w:rPr>
          <w:rFonts w:eastAsia="Times New Roman" w:cs="Times New Roman"/>
          <w:sz w:val="20"/>
          <w:szCs w:val="20"/>
          <w:vertAlign w:val="superscript"/>
          <w:lang w:val="es-419"/>
        </w:rPr>
        <w:t>a</w:t>
      </w:r>
      <w:r w:rsidRPr="00216965">
        <w:rPr>
          <w:rFonts w:eastAsia="Times New Roman" w:cs="Times New Roman"/>
          <w:sz w:val="20"/>
          <w:szCs w:val="20"/>
          <w:lang w:val="es-419"/>
        </w:rPr>
        <w:t xml:space="preserve"> formula, y = </w:t>
      </w:r>
      <w:r w:rsidRPr="00216965">
        <w:rPr>
          <w:rFonts w:eastAsia="Times New Roman" w:cs="Times New Roman"/>
          <w:i/>
          <w:sz w:val="20"/>
          <w:szCs w:val="20"/>
          <w:lang w:val="es-419"/>
        </w:rPr>
        <w:t>m</w:t>
      </w:r>
      <w:r w:rsidRPr="00216965">
        <w:rPr>
          <w:rFonts w:eastAsia="Times New Roman" w:cs="Times New Roman"/>
          <w:sz w:val="20"/>
          <w:szCs w:val="20"/>
          <w:lang w:val="es-419"/>
        </w:rPr>
        <w:t>x + b</w:t>
      </w:r>
    </w:p>
    <w:p w14:paraId="5F9171EC" w14:textId="77777777" w:rsidR="00D62864" w:rsidRPr="00216965" w:rsidRDefault="00D62864" w:rsidP="008A33DA">
      <w:pPr>
        <w:spacing w:after="0" w:line="240" w:lineRule="auto"/>
        <w:ind w:right="1558"/>
        <w:rPr>
          <w:lang w:val="es-419"/>
        </w:rPr>
      </w:pPr>
      <w:r w:rsidRPr="00216965">
        <w:rPr>
          <w:rFonts w:eastAsia="Times New Roman" w:cs="Times New Roman"/>
          <w:sz w:val="20"/>
          <w:szCs w:val="20"/>
          <w:vertAlign w:val="superscript"/>
          <w:lang w:val="es-419"/>
        </w:rPr>
        <w:t>b</w:t>
      </w:r>
      <w:r w:rsidRPr="00216965">
        <w:rPr>
          <w:rFonts w:eastAsia="Times New Roman" w:cs="Times New Roman"/>
          <w:sz w:val="20"/>
          <w:szCs w:val="20"/>
          <w:lang w:val="es-419"/>
        </w:rPr>
        <w:t xml:space="preserve"> formula, y =  </w:t>
      </w:r>
      <w:r w:rsidRPr="00216965">
        <w:rPr>
          <w:rFonts w:eastAsia="Times New Roman" w:cs="Times New Roman"/>
          <w:i/>
          <w:iCs/>
          <w:sz w:val="20"/>
          <w:szCs w:val="20"/>
          <w:lang w:val="es-419"/>
        </w:rPr>
        <w:t>m</w:t>
      </w:r>
      <w:r w:rsidRPr="00216965">
        <w:rPr>
          <w:rFonts w:eastAsia="Times New Roman" w:cs="Times New Roman"/>
          <w:i/>
          <w:iCs/>
          <w:sz w:val="20"/>
          <w:szCs w:val="20"/>
          <w:vertAlign w:val="subscript"/>
          <w:lang w:val="es-419"/>
        </w:rPr>
        <w:t>1</w:t>
      </w:r>
      <w:r w:rsidRPr="00216965">
        <w:rPr>
          <w:rFonts w:eastAsia="Times New Roman" w:cs="Times New Roman"/>
          <w:i/>
          <w:iCs/>
          <w:sz w:val="20"/>
          <w:szCs w:val="20"/>
          <w:lang w:val="es-419"/>
        </w:rPr>
        <w:t>x</w:t>
      </w:r>
      <w:r w:rsidRPr="00216965">
        <w:rPr>
          <w:rFonts w:eastAsia="Times New Roman" w:cs="Times New Roman"/>
          <w:i/>
          <w:iCs/>
          <w:sz w:val="20"/>
          <w:szCs w:val="20"/>
          <w:vertAlign w:val="subscript"/>
          <w:lang w:val="es-419"/>
        </w:rPr>
        <w:t>1</w:t>
      </w:r>
      <w:r w:rsidRPr="00216965">
        <w:rPr>
          <w:rFonts w:eastAsia="Times New Roman" w:cs="Times New Roman"/>
          <w:sz w:val="20"/>
          <w:szCs w:val="20"/>
          <w:lang w:val="es-419"/>
        </w:rPr>
        <w:t xml:space="preserve"> + </w:t>
      </w:r>
      <w:r w:rsidRPr="00216965">
        <w:rPr>
          <w:rFonts w:eastAsia="Times New Roman" w:cs="Times New Roman"/>
          <w:i/>
          <w:iCs/>
          <w:sz w:val="20"/>
          <w:szCs w:val="20"/>
          <w:lang w:val="es-419"/>
        </w:rPr>
        <w:t>m</w:t>
      </w:r>
      <w:r w:rsidRPr="00216965">
        <w:rPr>
          <w:rFonts w:eastAsia="Times New Roman" w:cs="Times New Roman"/>
          <w:i/>
          <w:iCs/>
          <w:sz w:val="20"/>
          <w:szCs w:val="20"/>
          <w:vertAlign w:val="subscript"/>
          <w:lang w:val="es-419"/>
        </w:rPr>
        <w:t>2</w:t>
      </w:r>
      <w:r w:rsidRPr="00216965">
        <w:rPr>
          <w:rFonts w:eastAsia="Times New Roman" w:cs="Times New Roman"/>
          <w:i/>
          <w:iCs/>
          <w:sz w:val="20"/>
          <w:szCs w:val="20"/>
          <w:lang w:val="es-419"/>
        </w:rPr>
        <w:t>x</w:t>
      </w:r>
      <w:r w:rsidRPr="00216965">
        <w:rPr>
          <w:rFonts w:eastAsia="Times New Roman" w:cs="Times New Roman"/>
          <w:sz w:val="20"/>
          <w:szCs w:val="20"/>
          <w:vertAlign w:val="subscript"/>
          <w:lang w:val="es-419"/>
        </w:rPr>
        <w:t>2</w:t>
      </w:r>
      <w:r w:rsidRPr="00216965">
        <w:rPr>
          <w:rFonts w:eastAsia="Times New Roman" w:cs="Times New Roman"/>
          <w:sz w:val="20"/>
          <w:szCs w:val="20"/>
          <w:lang w:val="es-419"/>
        </w:rPr>
        <w:t xml:space="preserve"> + b   </w:t>
      </w:r>
      <w:r w:rsidRPr="00216965">
        <w:rPr>
          <w:lang w:val="es-419"/>
        </w:rPr>
        <w:t xml:space="preserve">  </w:t>
      </w:r>
    </w:p>
    <w:p w14:paraId="4AD8F126" w14:textId="69CC5894" w:rsidR="00D62864" w:rsidRPr="00216965" w:rsidRDefault="00BB30F1" w:rsidP="008A33DA">
      <w:pPr>
        <w:tabs>
          <w:tab w:val="left" w:pos="2124"/>
        </w:tabs>
      </w:pPr>
      <w:sdt>
        <w:sdtPr>
          <w:tag w:val="goog_rdk_2213"/>
          <w:id w:val="-523869019"/>
        </w:sdtPr>
        <w:sdtEndPr/>
        <w:sdtContent>
          <w:sdt>
            <w:sdtPr>
              <w:tag w:val="goog_rdk_2214"/>
              <w:id w:val="1759795030"/>
            </w:sdtPr>
            <w:sdtEndPr/>
            <w:sdtContent>
              <w:r w:rsidR="00D62864" w:rsidRPr="00216965">
                <w:rPr>
                  <w:rFonts w:eastAsia="Times New Roman" w:cs="Times New Roman"/>
                  <w:sz w:val="20"/>
                  <w:szCs w:val="20"/>
                  <w:vertAlign w:val="superscript"/>
                </w:rPr>
                <w:t>c</w:t>
              </w:r>
            </w:sdtContent>
          </w:sdt>
          <w:r w:rsidR="00D62864" w:rsidRPr="00216965">
            <w:rPr>
              <w:rFonts w:eastAsia="Times New Roman" w:cs="Times New Roman"/>
              <w:sz w:val="20"/>
              <w:szCs w:val="20"/>
            </w:rPr>
            <w:t xml:space="preserve"> = low coefficients considered very significant</w:t>
          </w:r>
        </w:sdtContent>
      </w:sdt>
    </w:p>
    <w:bookmarkEnd w:id="180"/>
    <w:p w14:paraId="2F0FA139" w14:textId="58B7F30E" w:rsidR="00D62864" w:rsidRPr="00216965" w:rsidRDefault="00D62864" w:rsidP="008A33DA">
      <w:pPr>
        <w:tabs>
          <w:tab w:val="left" w:pos="2124"/>
        </w:tabs>
        <w:sectPr w:rsidR="00D62864" w:rsidRPr="00216965" w:rsidSect="00D62864">
          <w:pgSz w:w="16838" w:h="11906" w:orient="landscape"/>
          <w:pgMar w:top="1440" w:right="1440" w:bottom="1440" w:left="1440" w:header="708" w:footer="708" w:gutter="0"/>
          <w:cols w:space="708"/>
          <w:docGrid w:linePitch="360"/>
        </w:sectPr>
      </w:pPr>
    </w:p>
    <w:p w14:paraId="6F42B989" w14:textId="2D2050F3" w:rsidR="006D2F0E" w:rsidRPr="00216965" w:rsidRDefault="006B380D" w:rsidP="008A33DA">
      <w:pPr>
        <w:pStyle w:val="Heading1"/>
      </w:pPr>
      <w:bookmarkStart w:id="183" w:name="_Ref86417682"/>
      <w:bookmarkStart w:id="184" w:name="_Toc86504661"/>
      <w:r w:rsidRPr="00216965">
        <w:lastRenderedPageBreak/>
        <w:t>Potential of biochar to reduce toxicity of Cd(II), Pb(II) and Zn(II) to plants in a controlled environment incubation</w:t>
      </w:r>
      <w:bookmarkEnd w:id="183"/>
      <w:bookmarkEnd w:id="184"/>
    </w:p>
    <w:p w14:paraId="2FA00FB8" w14:textId="6C03F7B5" w:rsidR="006B380D" w:rsidRPr="00216965" w:rsidRDefault="006B380D" w:rsidP="008A33DA">
      <w:pPr>
        <w:pStyle w:val="Heading2"/>
      </w:pPr>
      <w:bookmarkStart w:id="185" w:name="_Toc86504662"/>
      <w:r w:rsidRPr="00216965">
        <w:t>Introduction</w:t>
      </w:r>
      <w:bookmarkEnd w:id="185"/>
    </w:p>
    <w:p w14:paraId="2A87BF9D" w14:textId="15625626" w:rsidR="006B380D" w:rsidRPr="00216965" w:rsidRDefault="006B380D" w:rsidP="008A33DA">
      <w:pPr>
        <w:spacing w:line="360" w:lineRule="auto"/>
        <w:jc w:val="both"/>
        <w:rPr>
          <w:szCs w:val="24"/>
        </w:rPr>
      </w:pPr>
      <w:r w:rsidRPr="00216965">
        <w:t>The most frequent soil contaminants are heavy metals (HMs) (</w:t>
      </w:r>
      <w:r w:rsidRPr="00216965">
        <w:rPr>
          <w:lang w:val="en-US"/>
        </w:rPr>
        <w:fldChar w:fldCharType="begin" w:fldLock="1"/>
      </w:r>
      <w:r w:rsidR="00F56BD7" w:rsidRPr="00216965">
        <w:rPr>
          <w:lang w:val="en-US"/>
        </w:rPr>
        <w:instrText>ADDIN CSL_CITATION {"citationItems":[{"id":"ITEM-1","itemData":{"abstract":"Soil contamination requiring clean up is present at approximately 250000 sites in the EEA member countries, according to recent estimates. And this number is expected to grow. Potentially polluting activities are estimated to have occurred at nearly 3 million sites (including the 250000 sites already mentioned) and investigation is needed to establish whether remediation is required. If current investigation trends continue, the number of sites needing remediation will increase by 50% by 2025. By contrast, more than 80000 sites have been cleaned up in the last 30 years in the countries where data on remediation is available. Although the range of polluting activities (and their relative importance as localised sources of soil contamination) may vary considerably across Europe, industrial and commercial activities as well as the treatment and disposal of waste are reported to be the most important sources. National reports indicate that heavy metals and mineral oil are the most frequent soil contaminants at investigated sites, while mineral oil and chlorinated hydrocarbons are the most frequent contaminants found in groundwater. A considerable share of remediation expenditure, about 35% on average, comes from public budgets. Although considerable efforts have been made already, it will take decades to clean up a legacy of contamination.","author":[{"dropping-particle":"","family":"EEA","given":"","non-dropping-particle":"","parse-names":false,"suffix":""}],"id":"ITEM-1","issued":{"date-parts":[["2014"]]},"page":"1-51","title":"Progress in management of contaminated sites - Indicator Assessment | Data and maps","type":"article-journal"},"uris":["http://www.mendeley.com/documents/?uuid=7c10cc44-d7d1-45d0-baab-c3cbf2894364"]}],"mendeley":{"formattedCitation":"(EEA, 2014)","manualFormatting":"European Environmental Agency, 2014)","plainTextFormattedCitation":"(EEA, 2014)","previouslyFormattedCitation":"(EEA, 2014)"},"properties":{"noteIndex":0},"schema":"https://github.com/citation-style-language/schema/raw/master/csl-citation.json"}</w:instrText>
      </w:r>
      <w:r w:rsidRPr="00216965">
        <w:rPr>
          <w:lang w:val="en-US"/>
        </w:rPr>
        <w:fldChar w:fldCharType="separate"/>
      </w:r>
      <w:r w:rsidRPr="00216965">
        <w:rPr>
          <w:noProof/>
          <w:lang w:val="en-US"/>
        </w:rPr>
        <w:t>European Environmental Agency, 2014)</w:t>
      </w:r>
      <w:r w:rsidRPr="00216965">
        <w:rPr>
          <w:lang w:val="en-US"/>
        </w:rPr>
        <w:fldChar w:fldCharType="end"/>
      </w:r>
      <w:r w:rsidRPr="00216965">
        <w:t xml:space="preserve">. These elements can have a natural origin but are mainly released to the biosphere by anthropogenic activities </w:t>
      </w:r>
      <w:r w:rsidRPr="00216965">
        <w:fldChar w:fldCharType="begin" w:fldLock="1"/>
      </w:r>
      <w:r w:rsidR="006C06AA" w:rsidRPr="00216965">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microbes","type":"article-journal","volume":"15"},"uris":["http://www.mendeley.com/documents/?uuid=b874bf00-8864-4188-90b6-39010f72c7e5"]},{"id":"ITEM-2","itemData":{"DOI":"10.1007/s10311-010-0297-8","ISBN":"1610-3653","ISSN":"16103653","abstract":"Metal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Letters","id":"ITEM-2","issue":"3","issued":{"date-parts":[["2010"]]},"page":"199-216","title":"Heavy metals, occurrence and toxicity for plants: A review","type":"article-journal","volume":"8"},"uris":["http://www.mendeley.com/documents/?uuid=c3cf0d3a-0f37-4d68-898c-8d5404c4a140"]}],"mendeley":{"formattedCitation":"(Abdu et al., 2017; Nagajyoti et al., 2010)","plainTextFormattedCitation":"(Abdu et al., 2017; Nagajyoti et al., 2010)","previouslyFormattedCitation":"(Abdu et al., 2017; Nagajyoti et al., 2010)"},"properties":{"noteIndex":0},"schema":"https://github.com/citation-style-language/schema/raw/master/csl-citation.json"}</w:instrText>
      </w:r>
      <w:r w:rsidRPr="00216965">
        <w:fldChar w:fldCharType="separate"/>
      </w:r>
      <w:r w:rsidR="001974AA" w:rsidRPr="00216965">
        <w:rPr>
          <w:noProof/>
        </w:rPr>
        <w:t>(Abdu et al., 2017; Nagajyoti et al., 2010)</w:t>
      </w:r>
      <w:r w:rsidRPr="00216965">
        <w:fldChar w:fldCharType="end"/>
      </w:r>
      <w:r w:rsidRPr="00216965">
        <w:t xml:space="preserve">. At trace level some are important in plant and animal nutrition </w:t>
      </w:r>
      <w:r w:rsidRPr="00216965">
        <w:fldChar w:fldCharType="begin" w:fldLock="1"/>
      </w:r>
      <w:r w:rsidR="006C06AA" w:rsidRPr="00216965">
        <w:instrText>ADDIN CSL_CITATION {"citationItems":[{"id":"ITEM-1","itemData":{"DOI":"10.3389/fenvs.2016.00069","ISSN":"2296665X","abstract":"Heavy metals (HMs) exists in the environment in both forms as essential and non-essential. These HM ions enter in soil biota from various sources like natural and anthropogenic. Essential HMs such as cobalt (Co), copper (Cu), iron (Fe), manganese (Mn), molybdenum (Mo), nickel (Ni), and zinc (Zn) plays a beneficial role in plant growth and development. At optimum level these beneficial elements improves the plant's nutritional level and also several mechanisms essential for the normal growth and better yield of plants. The range of their optimality for land plants is varied. Plant uptake heavy metals as a soluble component or solubilized them by root exudates. While their presence in excess become toxic for plants that switches the plant's ability to uptake and accumulate other non-essential elements. The increased amount of HMs within the plant tissue displays direct and indirect toxic impacts. Such direct effects are the generation of oxidative stress which further aggravates inhibition of cytoplasmic enzymes and damage to cell structures. Although, indirect possession is the substitution of essential nutrients at plant's cation exchange sites. These ions readily influence role of various enzymes and proteins, arrest metabolism, and reveal phytotoxicity. On account of recent advancements on beneficial HMs ions Co, Cu, Fe, Mn, Mo, Ni, and Zn in soil-plant system, the present paper: overview the sources of HMs in soils and their uptake and transportation mechanism, here we have discussed the role of metal transporters in transporting the essential metal ions from soil to plants. The role played by Co, Cu, Fe, Mn, Mo, Ni, and Zn at both low and high level on the plant growth and development and the mechanism to alleviate metal toxicity at high level have been also discussed. At the end, on concluding the article we have also discussed the future perspective in respect to beneficial HM ions interaction with plant at both levels.","author":[{"dropping-particle":"","family":"Arif","given":"Namira","non-dropping-particle":"","parse-names":false,"suffix":""},{"dropping-particle":"","family":"Yadav","given":"Vaishali","non-dropping-particle":"","parse-names":false,"suffix":""},{"dropping-particle":"","family":"Singh","given":"Shweta","non-dropping-particle":"","parse-names":false,"suffix":""},{"dropping-particle":"","family":"Singh","given":"Swati","non-dropping-particle":"","parse-names":false,"suffix":""},{"dropping-particle":"","family":"Ahmad","given":"Parvaiz","non-dropping-particle":"","parse-names":false,"suffix":""},{"dropping-particle":"","family":"Mishra","given":"Rohit K.","non-dropping-particle":"","parse-names":false,"suffix":""},{"dropping-particle":"","family":"Sharma","given":"Shivesh","non-dropping-particle":"","parse-names":false,"suffix":""},{"dropping-particle":"","family":"Tripathi","given":"Durgesh Kumar","non-dropping-particle":"","parse-names":false,"suffix":""},{"dropping-particle":"","family":"Dubey","given":"N. K.","non-dropping-particle":"","parse-names":false,"suffix":""},{"dropping-particle":"","family":"Chauhan","given":"Devendra K.","non-dropping-particle":"","parse-names":false,"suffix":""}],"container-title":"Frontiers in Environmental Science","id":"ITEM-1","issued":{"date-parts":[["2016","11","21"]]},"page":"69","publisher":"Frontiers Media S.A.","title":"Influence of high and low levels of plant-beneficial heavy metal ions on plant growth and development","type":"article-journal","volume":"4"},"uris":["http://www.mendeley.com/documents/?uuid=d4bbf953-50ac-3f0e-8cd5-b29d30b63e72"]}],"mendeley":{"formattedCitation":"(Arif et al., 2016)","plainTextFormattedCitation":"(Arif et al., 2016)","previouslyFormattedCitation":"(Arif et al., 2016)"},"properties":{"noteIndex":0},"schema":"https://github.com/citation-style-language/schema/raw/master/csl-citation.json"}</w:instrText>
      </w:r>
      <w:r w:rsidRPr="00216965">
        <w:fldChar w:fldCharType="separate"/>
      </w:r>
      <w:r w:rsidR="00C83E62" w:rsidRPr="00216965">
        <w:rPr>
          <w:noProof/>
        </w:rPr>
        <w:t>(Arif et al., 2016)</w:t>
      </w:r>
      <w:r w:rsidRPr="00216965">
        <w:fldChar w:fldCharType="end"/>
      </w:r>
      <w:r w:rsidRPr="00216965">
        <w:t xml:space="preserve">. However, beyond a certain threshold level, they are toxic as they interfere with the normal metabolism of living systems </w:t>
      </w:r>
      <w:bookmarkStart w:id="186" w:name="_Hlk99100027"/>
      <w:r w:rsidRPr="00216965">
        <w:fldChar w:fldCharType="begin" w:fldLock="1"/>
      </w:r>
      <w:r w:rsidR="006C06AA" w:rsidRPr="00216965">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microbes","type":"article-journal","volume":"15"},"uris":["http://www.mendeley.com/documents/?uuid=0023517c-32b4-42a2-b702-116e06791c54"]},{"id":"ITEM-2","itemData":{"DOI":"10.1016/j.scitotenv.2004.06.009","ISBN":"00489697","ISSN":"00489697","PMID":"15626388","abstract":"The aim of this work was to estimate, on the basis of soil extraction procedures, whether a given soil is suitable for cultivation of plants used as food or feed. The paper discusses the transfer of metal ions (As, Cd, Cr, Cu, Hg, Mn, Ni, Pb, Zn) from contaminated soils to plants in terms of transfer factors (TF). The knowledge of transfer factors for a given element should enable prediction, before plants are sowed, whether a given soil is suitable for the cultivation of plants for consumption purposes. TF can only be evaluated when a linear relationship is observed between soil and plant composition for a given element. Such a relationship is rarely observed between the total soil content of a given metal and that of the plant. For this reason, it was necessary to develop an extraction procedure that would represent the content of metal available to plants during growing season. Several extracting agents were tested. The extracting agent that fulfilled these criteria was 2% (w/v) ammonium citrate. Statistically significant correlation coefficients were determined between the citrate-soluble fraction of soil and content in plant in the case of all the elements studied, except Ni. If a statistically significant correlation exists, it is then possible to evaluate the soil-plant transfer factor for a given metal in plants. © 2004 Elsevier B.V. All rights reserved.","author":[{"dropping-particle":"","family":"Chojnacka","given":"K.","non-dropping-particle":"","parse-names":false,"suffix":""},{"dropping-particle":"","family":"Chojnacki","given":"A.","non-dropping-particle":"","parse-names":false,"suffix":""},{"dropping-particle":"","family":"Górecka","given":"H.","non-dropping-particle":"","parse-names":false,"suffix":""},{"dropping-particle":"","family":"Górecki","given":"H.","non-dropping-particle":"","parse-names":false,"suffix":""}],"container-title":"Science of the Total Environment","id":"ITEM-2","issue":"1-3","issued":{"date-parts":[["2005"]]},"page":"175-182","title":"Bioavailability of heavy metals from polluted soils to plants","type":"article-journal","volume":"337"},"uris":["http://www.mendeley.com/documents/?uuid=e71f1b9c-67ac-4c29-8a88-dc5136eff660"]},{"id":"ITEM-3","itemData":{"DOI":"10.5194/se-5-65-2014","ISBN":"00439339","ISSN":"18699510","abstract":"Abstract Anthropogenic activities are resulting in an increase on the use and extraction of heavy metals . Heavy metals cannot be degraded and hence accumulate in the environment having the potential to contaminate the food chain. This pollution threatens soil quality, ... \\n","author":[{"dropping-particle":"","family":"Paz-Ferreiro","given":"J.","non-dropping-particle":"","parse-names":false,"suffix":""},{"dropping-particle":"","family":"Lu","given":"H.","non-dropping-particle":"","parse-names":false,"suffix":""},{"dropping-particle":"","family":"Fu","given":"S.","non-dropping-particle":"","parse-names":false,"suffix":""},{"dropping-particle":"","family":"Méndez","given":"A.","non-dropping-particle":"","parse-names":false,"suffix":""},{"dropping-particle":"","family":"Gascó","given":"G.","non-dropping-particle":"","parse-names":false,"suffix":""}],"container-title":"Solid Earth","id":"ITEM-3","issue":"1","issued":{"date-parts":[["2014"]]},"page":"65-75","title":"Use of phytoremediation and biochar to remediate heavy metal polluted soils: A review","type":"article-journal","volume":"5"},"uris":["http://www.mendeley.com/documents/?uuid=ec72afca-9995-4d22-b356-cc7f8d8c7d01"]}],"mendeley":{"formattedCitation":"(Abdu et al., 2017; Chojnacka et al., 2005; Paz-Ferreiro et al., 2014)","plainTextFormattedCitation":"(Abdu et al., 2017; Chojnacka et al., 2005; Paz-Ferreiro et al., 2014)","previouslyFormattedCitation":"(Abdu et al., 2017; Chojnacka et al., 2005; Paz-Ferreiro et al., 2014)"},"properties":{"noteIndex":0},"schema":"https://github.com/citation-style-language/schema/raw/master/csl-citation.json"}</w:instrText>
      </w:r>
      <w:r w:rsidRPr="00216965">
        <w:fldChar w:fldCharType="separate"/>
      </w:r>
      <w:r w:rsidR="001974AA" w:rsidRPr="00216965">
        <w:rPr>
          <w:noProof/>
        </w:rPr>
        <w:t>(Abdu et al., 2017; Chojnacka et al., 2005; Paz-Ferreiro et al., 2014)</w:t>
      </w:r>
      <w:r w:rsidRPr="00216965">
        <w:fldChar w:fldCharType="end"/>
      </w:r>
      <w:bookmarkEnd w:id="186"/>
      <w:r w:rsidRPr="00216965">
        <w:t xml:space="preserve">. The major risk of soil contamination by HMs is bioaccumulation (increases in metal concentration as the element passes from lower to higher trophic levels), generating different toxic effects to different components of the ecosystem </w:t>
      </w:r>
      <w:r w:rsidRPr="00216965">
        <w:fldChar w:fldCharType="begin" w:fldLock="1"/>
      </w:r>
      <w:r w:rsidR="006C06AA" w:rsidRPr="00216965">
        <w:instrText>ADDIN CSL_CITATION {"citationItems":[{"id":"ITEM-1","itemData":{"DOI":"10.1016/J.ENVINT.2015.12.017","ISSN":"0160-4120","abstract":"Soil plays a central role in food safety as it determines the possible composition of food and feed at the root of the food chain. However, the quality of soil resources as defined by their potential impact on human health by propagation of harmful elements through the food chain has been poorly studied in Europe due to the lack of data of adequate detail and reliability. The European Union's first harmonized topsoil sampling and coherent analytical procedure produced trace element measurements from approximately 22,000 locations. This unique collection of information enables a reliable overview of the concentration of heavy metals, also referred to as metal(loid)s including As, Cd, Cr, Cu, Hg, Pb, Zn, Sb. Co, and Ni. In this article we propose that in some cases (e.g. Hg and Cd) the high concentrations of soil heavy metal attributed to human activity can be detected at a regional level. While the immense majority of European agricultural land can be considered adequately safe for food production, an estimated 6.24% or 137,000km2 needs local assessment and eventual remediation action.","author":[{"dropping-particle":"","family":"Tóth","given":"G.","non-dropping-particle":"","parse-names":false,"suffix":""},{"dropping-particle":"","family":"Hermann","given":"T.","non-dropping-particle":"","parse-names":false,"suffix":""},{"dropping-particle":"","family":"Silva","given":"M.R.","non-dropping-particle":"Da","parse-names":false,"suffix":""},{"dropping-particle":"","family":"Montanarella","given":"L.","non-dropping-particle":"","parse-names":false,"suffix":""}],"container-title":"Environment International","id":"ITEM-1","issued":{"date-parts":[["2016","3","1"]]},"page":"299-309","publisher":"Pergamon","title":"Heavy metals in agricultural soils of the European Union with implications for food safety","type":"article-journal","volume":"88"},"uris":["http://www.mendeley.com/documents/?uuid=ab6d38e2-0069-386b-b501-c97c8233eabf"]},{"id":"ITEM-2","itemData":{"DOI":"10.5194/se-5-65-2014","ISBN":"00439339","ISSN":"18699510","abstract":"Abstract Anthropogenic activities are resulting in an increase on the use and extraction of heavy metals . Heavy metals cannot be degraded and hence accumulate in the environment having the potential to contaminate the food chain. This pollution threatens soil quality, ... \\n","author":[{"dropping-particle":"","family":"Paz-Ferreiro","given":"J.","non-dropping-particle":"","parse-names":false,"suffix":""},{"dropping-particle":"","family":"Lu","given":"H.","non-dropping-particle":"","parse-names":false,"suffix":""},{"dropping-particle":"","family":"Fu","given":"S.","non-dropping-particle":"","parse-names":false,"suffix":""},{"dropping-particle":"","family":"Méndez","given":"A.","non-dropping-particle":"","parse-names":false,"suffix":""},{"dropping-particle":"","family":"Gascó","given":"G.","non-dropping-particle":"","parse-names":false,"suffix":""}],"container-title":"Solid Earth","id":"ITEM-2","issue":"1","issued":{"date-parts":[["2014"]]},"page":"65-75","title":"Use of phytoremediation and biochar to remediate heavy metal polluted soils: A review","type":"article-journal","volume":"5"},"uris":["http://www.mendeley.com/documents/?uuid=ec72afca-9995-4d22-b356-cc7f8d8c7d01"]},{"id":"ITEM-3","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Letters","id":"ITEM-3","issue":"1","issued":{"date-parts":[["2017"]]},"page":"65-84","publisher":"Springer International Publishing","title":"Heavy metals and soil microbes","type":"article-journal","volume":"15"},"uris":["http://www.mendeley.com/documents/?uuid=b874bf00-8864-4188-90b6-39010f72c7e5"]}],"mendeley":{"formattedCitation":"(Abdu et al., 2017; Paz-Ferreiro et al., 2014; Tóth et al., 2016)","plainTextFormattedCitation":"(Abdu et al., 2017; Paz-Ferreiro et al., 2014; Tóth et al., 2016)","previouslyFormattedCitation":"(Abdu et al., 2017; Paz-Ferreiro et al., 2014; Tóth et al., 2016)"},"properties":{"noteIndex":0},"schema":"https://github.com/citation-style-language/schema/raw/master/csl-citation.json"}</w:instrText>
      </w:r>
      <w:r w:rsidRPr="00216965">
        <w:fldChar w:fldCharType="separate"/>
      </w:r>
      <w:r w:rsidR="001974AA" w:rsidRPr="00216965">
        <w:rPr>
          <w:noProof/>
        </w:rPr>
        <w:t>(Abdu et al., 2017; Paz-Ferreiro et al., 2014; Tóth et al., 2016)</w:t>
      </w:r>
      <w:r w:rsidRPr="00216965">
        <w:fldChar w:fldCharType="end"/>
      </w:r>
      <w:r w:rsidRPr="00216965">
        <w:t>.</w:t>
      </w:r>
    </w:p>
    <w:p w14:paraId="34CEC599" w14:textId="3FD32C6C" w:rsidR="006B380D" w:rsidRPr="00216965" w:rsidRDefault="006B380D" w:rsidP="008A33DA">
      <w:pPr>
        <w:spacing w:line="360" w:lineRule="auto"/>
        <w:jc w:val="both"/>
        <w:rPr>
          <w:lang w:val="it-IT"/>
        </w:rPr>
      </w:pPr>
      <w:r w:rsidRPr="00216965">
        <w:t xml:space="preserve">Contaminated land often contains poorly developed soils with little or no vegetation cover </w:t>
      </w:r>
      <w:r w:rsidRPr="00216965">
        <w:fldChar w:fldCharType="begin" w:fldLock="1"/>
      </w:r>
      <w:r w:rsidR="006C06AA" w:rsidRPr="00216965">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fldChar w:fldCharType="separate"/>
      </w:r>
      <w:r w:rsidR="00C83E62" w:rsidRPr="00216965">
        <w:rPr>
          <w:noProof/>
        </w:rPr>
        <w:t>(Beesley et al., 2011)</w:t>
      </w:r>
      <w:r w:rsidRPr="00216965">
        <w:fldChar w:fldCharType="end"/>
      </w:r>
      <w:r w:rsidRPr="00216965">
        <w:t xml:space="preserve">, which may restrict soil functions </w:t>
      </w:r>
      <w:r w:rsidRPr="00216965">
        <w:fldChar w:fldCharType="begin" w:fldLock="1"/>
      </w:r>
      <w:r w:rsidR="006C06AA" w:rsidRPr="00216965">
        <w:instrText>ADDIN CSL_CITATION {"citationItems":[{"id":"ITEM-1","itemData":{"DOI":"10.1007/s11356-015-4977-6","ISBN":"0944-1344","ISSN":"16147499","PMID":"26146374","abstract":"Accumulation of heavy metals in unconsolidated soils can prove toxic to proximal environments, if measures are not taken to stabilize soils. One way to minimize the toxicity of metals in soils is the use of materials capable of immobilizing these contaminants by sorption. Biochar (BC) can retain large amts. of heavy metals due to, among other characteristics, its large surface area. In the current expt., sugarcane-straw-derived biochar, produced at 700 °C, was applied to a heavy-metal-contaminated mine soil at 1.5, 3.0, and 5.0 % (wt./wt.). Jack bean and Mucuna aterrima were grown in pots contg. a mine contaminated soil and soil mixed with BC. Pore water was sampled to assess the effects of biochar on zinc soly., while soils were analyzed by DTPA extn. to confirm available metal concns. The application of BC decreased the available concns. of Cd, Pb, and Zn in the mine contaminated soil leading to a consistent redn. in the concn. of Zn in the pore water. Amendment with BC reduced plant uptake of Cd, Pb, and Zn with the jack bean uptaking higher amts. of Cd and Pb than M. aterrima. This study indicates that biochar application during mine soil remediation could reduce plant concns. of heavy metals. Coupled with this, symptoms of heavy metal toxicity were absent only in plants growing in pots amended with biochar. The redn. in metal bioavailability and other modifications to the substrate induced by the application of biochar may be beneficial to the establishment of a green cover on top of mine soil to aid remediation and reduce risks. [on SciFinder(R)]","author":[{"dropping-particle":"","family":"Puga","given":"A. P.","non-dropping-particle":"","parse-names":false,"suffix":""},{"dropping-particle":"","family":"Abreu","given":"C. A.","non-dropping-particle":"","parse-names":false,"suffix":""},{"dropping-particle":"","family":"Melo","given":"L. C A","non-dropping-particle":"","parse-names":false,"suffix":""},{"dropping-particle":"","family":"Paz","given":"J.","non-dropping-particle":"","parse-names":false,"suffix":""},{"dropping-particle":"","family":"Beesley","given":"L.","non-dropping-particle":"","parse-names":false,"suffix":""}],"container-title":"Environmental Science and Pollution Research","id":"ITEM-1","issue":"22","issued":{"date-parts":[["2015"]]},"page":"17606-17614","title":"Cadmium, lead, and zinc mobility and plant uptake in a mine soil amended with sugarcane straw biochar","type":"article-journal","volume":"22"},"uris":["http://www.mendeley.com/documents/?uuid=0f1bab2d-fdd5-4530-815a-a23e1b3657eb"]}],"mendeley":{"formattedCitation":"(Puga et al., 2015b)","manualFormatting":"(Puga et al. 2015)","plainTextFormattedCitation":"(Puga et al., 2015b)","previouslyFormattedCitation":"(Puga et al., 2015b)"},"properties":{"noteIndex":0},"schema":"https://github.com/citation-style-language/schema/raw/master/csl-citation.json"}</w:instrText>
      </w:r>
      <w:r w:rsidRPr="00216965">
        <w:fldChar w:fldCharType="separate"/>
      </w:r>
      <w:r w:rsidRPr="00216965">
        <w:rPr>
          <w:noProof/>
        </w:rPr>
        <w:t xml:space="preserve">(Puga </w:t>
      </w:r>
      <w:r w:rsidRPr="00216965">
        <w:rPr>
          <w:iCs/>
          <w:noProof/>
        </w:rPr>
        <w:t>et al</w:t>
      </w:r>
      <w:r w:rsidRPr="00216965">
        <w:rPr>
          <w:i/>
          <w:noProof/>
        </w:rPr>
        <w:t>.</w:t>
      </w:r>
      <w:r w:rsidRPr="00216965">
        <w:rPr>
          <w:noProof/>
        </w:rPr>
        <w:t xml:space="preserve"> 2015)</w:t>
      </w:r>
      <w:r w:rsidRPr="00216965">
        <w:fldChar w:fldCharType="end"/>
      </w:r>
      <w:r w:rsidRPr="00216965">
        <w:t xml:space="preserve">. This is because HMs affect plant physiological processes such as water and nutrient uptake and transport, photosynthetic activity </w:t>
      </w:r>
      <w:r w:rsidRPr="00216965">
        <w:fldChar w:fldCharType="begin" w:fldLock="1"/>
      </w:r>
      <w:r w:rsidR="006C06AA" w:rsidRPr="00216965">
        <w:instrText>ADDIN CSL_CITATION {"citationItems":[{"id":"ITEM-1","itemData":{"DOI":"10.1080/15226514.2013.828020","ISSN":"1549-7879","abstract":"A hydroponic experiment was conducted to investigate the effects of cadmium (Cd) on chlorophyll fluorescence and photosynthetic parameters on a Cd accumulating plant of Elsholtzia argyi. Four weeks-seedlings of E. argyi were treated with 0 (CK) 5, 10, 15, 20, 25, 30, 40, 50 and 100 μmol L −1 Cd for 21days. Fv/Fo, Fv/Fm, qP, PSП, ETR and Fv /Fm were significantly increased under low Cd (5–15 μmol L −1 for Fv/Fo, Fv/Fm and qP, 5–10 μmol L −1 for PSП, ETR and Fv /Fm) stress, and these parameters were similar to control under Cd ≤ 50μmol L −1 . All above parameters were significantly decreased at 100 μmol L −1 Cd. Compared with control, Pn was significantly (P &lt; 0.05) increased under 5–30 μmol L −1 Cd. However, 50 and 100 μmol L −1 Cd significantly (P &lt; 0.05) reduced it. Gs and Tr were substantially decreased at 50–100 and 40–100 μmol L −1 Cd, respectively. Ci was significantly increased at 50 and 100 μmol L −1 Cd. High Cd-induced decrease of Pn is not only connected to stomatal limitation but also to the inhibition of Fv/Fo, Fv/Fm, PSП, qP, ETR and increase of NPQ. Maintain chlorophyll fluorescence and photosynthesis parameters under its Cd tolerance threshold were one of tolerance mechanisms in E. argyi.","author":[{"dropping-particle":"","family":"Li","given":"Siliang","non-dropping-particle":"","parse-names":false,"suffix":""},{"dropping-particle":"","family":"Yang","given":"Wenhao","non-dropping-particle":"","parse-names":false,"suffix":""},{"dropping-particle":"","family":"Yang","given":"Tingting","non-dropping-particle":"","parse-names":false,"suffix":""},{"dropping-particle":"","family":"Chen","given":"Yan","non-dropping-particle":"","parse-names":false,"suffix":""},{"dropping-particle":"","family":"Ni","given":"Wuzhong","non-dropping-particle":"","parse-names":false,"suffix":""}],"container-title":"International Journal of Phytoremediation","id":"</w:instrText>
      </w:r>
      <w:r w:rsidR="006C06AA" w:rsidRPr="00216965">
        <w:rPr>
          <w:lang w:val="it-IT"/>
        </w:rPr>
        <w:instrText>ITEM-1","issue":"1","issued":{"date-parts":[["2015"]]},"page":"85-92","title":"Effects of cadmium stress on leaf chlorophyll fluorescence and photosynthesis of Elsholtzia argyi—a cadmium accumulating plant","type":"article-journal","volume":"17"},"uris":["http://www.mendeley.com/documents/?uuid=fee1b38b-1e40-385e-bd6d-b3e00cb57ed1"]},{"id":"ITEM-2","itemData":{"DOI":"10.2478/s11535-012-0038-z","ISSN":"1895104X","author":[{"dropping-particle":"","family":"Razinger","given":"Jaka","non-dropping-particle":"","parse-names":false,"suffix":""},{"dropping-particle":"","family":"Drinovec","given":"Luka","non-dropping-particle":"","parse-names":false,"suffix":""},{"dropping-particle":"","family":"Berden-Zrimec","given":"Maja","non-dropping-particle":"","parse-names":false,"suffix":""}],"container-title":"Central European Journal of Biology","id":"ITEM-2","issue":"3","issued":{"date-parts":[["2012"]]},"page":"531-541","title":"Delayed fluorescence imaging of photosynthesis inhibitor and heavy metal induced stress in potato","type":"article-journal","volume":"7"},"uris":["http://www.mendeley.com/documents/?uuid=9a95fcad-7fd5-331f-a8ea-1f2a90d1664c"]}],"mendeley":{"formattedCitation":"(Li et al., 2015; Razinger et al., 2012)","plainTextFormattedCitation":"(Li et al., 2015; Razinger et al., 2012)","previouslyFormattedCitation":"(Li et al., 2015; Razinger et al., 2012)"},"properties":{"noteIndex":0},"schema":"https://github.com/citation-style-language/schema/raw/master/csl-citation.json"}</w:instrText>
      </w:r>
      <w:r w:rsidRPr="00216965">
        <w:fldChar w:fldCharType="separate"/>
      </w:r>
      <w:r w:rsidR="001974AA" w:rsidRPr="00216965">
        <w:rPr>
          <w:noProof/>
          <w:lang w:val="it-IT"/>
        </w:rPr>
        <w:t>(Li et al., 2015; Razinger et al., 2012)</w:t>
      </w:r>
      <w:r w:rsidRPr="00216965">
        <w:fldChar w:fldCharType="end"/>
      </w:r>
      <w:r w:rsidRPr="00216965">
        <w:rPr>
          <w:lang w:val="it-IT"/>
        </w:rPr>
        <w:t xml:space="preserve">, and nitrogen metabolism </w:t>
      </w:r>
      <w:r w:rsidRPr="00216965">
        <w:rPr>
          <w:lang w:val="it-IT"/>
        </w:rPr>
        <w:fldChar w:fldCharType="begin" w:fldLock="1"/>
      </w:r>
      <w:r w:rsidR="006C06AA" w:rsidRPr="00216965">
        <w:rPr>
          <w:lang w:val="it-IT"/>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extraction","type":"article-journal","volume":"111"},"uris":["http://www.mendeley.com/documents/?uuid=3f3115f6-bc94-48bc-bf3f-c1f3b198493d"]}],"mendeley":{"formattedCitation":"(Amari et al., 2017)","plainTextFormattedCitation":"(Amari et al., 2017)","previouslyFormattedCitation":"(Amari et al., 2017)"},"properties":{"noteIndex":0},"schema":"https://github.com/citation-style-language/schema/raw/master/csl-citation.json"}</w:instrText>
      </w:r>
      <w:r w:rsidRPr="00216965">
        <w:rPr>
          <w:lang w:val="it-IT"/>
        </w:rPr>
        <w:fldChar w:fldCharType="separate"/>
      </w:r>
      <w:r w:rsidR="001974AA" w:rsidRPr="00216965">
        <w:rPr>
          <w:noProof/>
          <w:lang w:val="it-IT"/>
        </w:rPr>
        <w:t>(Amari et al., 2017)</w:t>
      </w:r>
      <w:r w:rsidRPr="00216965">
        <w:rPr>
          <w:lang w:val="it-IT"/>
        </w:rPr>
        <w:fldChar w:fldCharType="end"/>
      </w:r>
      <w:r w:rsidRPr="00216965">
        <w:rPr>
          <w:lang w:val="it-IT"/>
        </w:rPr>
        <w:t xml:space="preserve">. </w:t>
      </w:r>
    </w:p>
    <w:p w14:paraId="7B7F5712" w14:textId="4649A66E" w:rsidR="006B380D" w:rsidRPr="00216965" w:rsidRDefault="006B380D" w:rsidP="008A33DA">
      <w:pPr>
        <w:spacing w:after="0" w:line="360" w:lineRule="auto"/>
        <w:jc w:val="both"/>
      </w:pPr>
      <w:r w:rsidRPr="00216965">
        <w:t xml:space="preserve">In-situ immobilization of metals via chemical stabilization is a particularly cost-effective way to reduce the risk of HM transfer to groundwater and soil ecosystems </w:t>
      </w:r>
      <w:bookmarkStart w:id="187" w:name="_Hlk86404813"/>
      <w:r w:rsidRPr="00216965">
        <w:fldChar w:fldCharType="begin" w:fldLock="1"/>
      </w:r>
      <w:r w:rsidR="006C06AA" w:rsidRPr="00216965">
        <w:instrText>ADDIN CSL_CITATION {"citationItems":[{"id":"ITEM-1","itemData":{"DOI":"10.1016/j.jenvman.2018.05.004","abstract":"Biochar can be an effective amendment for immobilizing heavy metals in contaminated soils but has variable effects depending on its chemical and physical properties and those of the treated soil. To investigate the range of biochar's effects on heavy metal accumulation in plants in responses to the variation of soil, biochar and plant, we carried out a meta-analysis of the literature that was published before March 2016. A total of 1298 independent observations were collected from 74 published papers. Results showed that across all studies, biochar addition to soils resulted in average decreases of 38, 39, 25 and 17%, respectively, in the accumulation of Cd, Pb, Cu and Zn in plant tissues. The effect of biochar on heavy metal concentrations in plants varied depending on soil properties, biochar type, plant species, and metal contaminants. The largest decreases in plant heavy metal concentrations occurred in coarse-textured soils amended with biochar. Biochar had a relatively small effect on plant tissue Pb concentrations, but a large effect on plant Cu concentrations when applied to alkaline soils. Plant uptake of Pb, Cu and Zn was less in soils with higher organic carbon contents. Manure-derived biochar was the most effective for reducing Cd and Pb concentrations in plants as compared to biochars derived from other feedstock. Biochar having a high pH and used at high application rates resulted in greater decreases in plant heavy metal uptake. The meta-analysis provides useful guidelines on the range of effects that can be anticipated for different biochar materials in different plant-soil systems.","author":[{"dropping-particle":"","family":"Chen","given":"De","non-dropping-particle":"","parse-names":false,"suffix":""},{"dropping-particle":"","family":"Liu","given":"Xiaoyu","non-dropping-particle":"","parse-names":false,"suffix":""},{"dropping-particle":"","family":"Bian","given":"Rongjun","non-dropping-particle":"","parse-names":false,"suffix":""},{"dropping-particle":"","family":"Cheng","given":"Kun","non-dropping-particle":"","parse-names":false,"suffix":""},{"dropping-particle":"","family":"Zhang","given":"Xuhui","non-dropping-particle":"","parse-names":false,"suffix":""},{"dropping-particle":"","family":"Zheng","given":"Jufeng","non-dropping-particle":"","parse-names":false,"suffix":""},{"dropping-particle":"","family":"Joseph","given":"Stephen","non-dropping-particle":"","parse-names":false,"suffix":""},{"dropping-particle":"","family":"Crowley","given":"David","non-dropping-particle":"","parse-names":false,"suffix":""},{"dropping-particle":"","family":"Pan","given":"Genxing","non-dropping-particle":"","parse-names":false,"suffix":""},{"dropping-particle":"","family":"Li","given":"Lianqing","non-dropping-particle":"","parse-names":false,"suffix":""}],"container-title":"Journal of Environmental Management","id":"ITEM-1","issued":{"date-parts":[["2018"]]},"page":"76-85","title":"Effects of biochar on availability and plant uptake of heavy metals-A meta-analysis","type":"article-journal","volume":"222"},"uris":["http://www.mendeley.com/documents/?uuid=6cc5a0cc-7619-3222-b07b-0f258c6d4817"]},{"id":"ITEM-2","itemData":{"DOI":"10.1016/j.jenvman.2015.05.036","ISSN":"10958630","PMID":"26048395","abstract":"Heavy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Management","id":"ITEM-2","issued":{"date-parts":[["2015"]]},"page":"86-93","publisher":"Elsevier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cadmium","type":"article-journal","volume":"159"},"uris":["http://www.mendeley.com/documents/?uuid=d81a5f4f-09c2-480c-8ac8-2c21cb1ed496"]}],"mendeley":{"formattedCitation":"(Chen et al., 2018; Puga et al., 2015a)","manualFormatting":"(Puga et al. 2015, Chen et al. 2018)","plainTextFormattedCitation":"(Chen et al., 2018; Puga et al., 2015a)","previouslyFormattedCitation":"(Chen et al., 2018; Puga et al., 2015a)"},"properties":{"noteIndex":0},"schema":"https://github.com/citation-style-language/schema/raw/master/csl-citation.json"}</w:instrText>
      </w:r>
      <w:r w:rsidRPr="00216965">
        <w:fldChar w:fldCharType="separate"/>
      </w:r>
      <w:r w:rsidRPr="00216965">
        <w:rPr>
          <w:noProof/>
        </w:rPr>
        <w:t>(Puga et al</w:t>
      </w:r>
      <w:r w:rsidRPr="00216965">
        <w:rPr>
          <w:i/>
          <w:iCs/>
          <w:noProof/>
        </w:rPr>
        <w:t>.</w:t>
      </w:r>
      <w:r w:rsidRPr="00216965">
        <w:rPr>
          <w:noProof/>
        </w:rPr>
        <w:t xml:space="preserve"> 2015, Chen </w:t>
      </w:r>
      <w:r w:rsidR="009B2252" w:rsidRPr="00216965">
        <w:rPr>
          <w:noProof/>
        </w:rPr>
        <w:t>et al</w:t>
      </w:r>
      <w:r w:rsidRPr="00216965">
        <w:rPr>
          <w:i/>
          <w:noProof/>
        </w:rPr>
        <w:t>.</w:t>
      </w:r>
      <w:r w:rsidRPr="00216965">
        <w:rPr>
          <w:noProof/>
        </w:rPr>
        <w:t xml:space="preserve"> 2018)</w:t>
      </w:r>
      <w:r w:rsidRPr="00216965">
        <w:fldChar w:fldCharType="end"/>
      </w:r>
      <w:bookmarkEnd w:id="187"/>
      <w:r w:rsidRPr="00216965">
        <w:t xml:space="preserve">. In recent years, numerous studies have investigated the use of biochar to immobilize HMs in soils and reduce metal bioavailability and mobility </w:t>
      </w:r>
      <w:r w:rsidRPr="00216965">
        <w:fldChar w:fldCharType="begin" w:fldLock="1"/>
      </w:r>
      <w:r w:rsidR="006C06AA" w:rsidRPr="00216965">
        <w:instrText>ADDIN CSL_CITATION {"citationItems":[{"id":"ITEM-1","itemData":{"DOI":"10.1680/jenge.18.00091","abstract":"Biochar has seized interest because of its significant effect on the remediation of heavy-metal-contaminated soil. Based on research achievements of biochar remediation of heavy-metal-contaminated soils in recent years, research status and progress in this field are reviewed from several important aspects, including production and properties of biochar, remediation mechanisms, remediation effect and affecting factors. The following findings were obtained: (a) biochar has the advantages of low price, high efficiency, greenness and soil improvement. (b) The physico-chemical properties of biochar are affected by biomass materials and pyrolysis temperatures. Activation, magnetisation, oxidation and digestion can improve the adsorption of heavy metals on biochar. (c) The effect of biochar on heavy metal mobility and bioavailability includes two conflicting aspects: immobilising heavy metals to reduce bioavailability or mobilising heavy metal to increase bioavailability. (d) Biochar can be applied with other solidifying materials to enhance the strength of treated soil. (e) The adsorption mechanisms of heavy metals on biochar include physical adsorption, ion exchange, electrostatic interaction, complexation and precipitation. Finally, future research is suggested, including establishing a uniform classification criterion of biochar; exploring the efficiency of biochar on the remediation of sites containing multicontaminants; illustrating the interactions between biochar and heavy metals in the complex soil environment; expanding the research scale from laboratory-and small-scale in situ tests to large-scale and long-term studies; and carrying out solidification experiments considering mechanical properties for biochar application in soil remediation.","author":[{"dropping-particle":"","family":"Wang","given":"Yue","non-dropping-particle":"","parse-names":false,"suffix":""},{"dropping-particle":"","family":"Wang","given":"Hong-Sheng","non-dropping-particle":"","parse-names":false,"suffix":""},{"dropping-particle":"","family":"Tang","given":"Chao-Sheng","non-dropping-particle":"","parse-names":false,"suffix":""},{"dropping-particle":"","family":"Gu","given":"Kai","non-dropping-particle":"","parse-names":false,"suffix":""},{"dropping-particle":"","family":"Shi","given":"Bin","non-dropping-particle":"","parse-names":false,"suffix":""}],"container-title":"Environmental Geotechnics","id":"ITEM-1","issued":{"date-parts":[["2019"]]},"page":"1800091","title":"Remediation of heavy metal contaminated soils by biochar: a Review","type":"article-journal"},"uris":["http://www.mendeley.com/documents/?uuid=a3345671-6b27-3ade-acd1-96d85979732c"]},{"id":"ITEM-2","itemData":{"DOI":"10.1016/j.jbiosc.2013.05.035","ISBN":"1347-4421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Bioengineering","id":"ITEM-2","issue":"6","issued":{"date-parts":[["2013"]]},"page":"653-659","publisher":"Elsevier Ltd","title":"Characteristics of biochar and its application in remediation of contaminated soil","type":"article-journal","volume":"116"},"uris":["http://www.mendeley.com/documents/?uuid=f1de9e6e-b7e1-4802-a8e9-d2fd999dd84c"]}],"mendeley":{"formattedCitation":"(Tang et al., 2013; Y. Wang et al., 2019)","manualFormatting":"(Tang et al., 2013; Y. Wang et al., 2019)","plainTextFormattedCitation":"(Tang et al., 2013; Y. Wang et al., 2019)","previouslyFormattedCitation":"(Tang et al., 2013; Y. Wang et al., 2019)"},"properties":{"noteIndex":0},"schema":"https://github.com/citation-style-language/schema/raw/master/csl-citation.json"}</w:instrText>
      </w:r>
      <w:r w:rsidRPr="00216965">
        <w:fldChar w:fldCharType="separate"/>
      </w:r>
      <w:r w:rsidR="002D5CDE" w:rsidRPr="00216965">
        <w:rPr>
          <w:noProof/>
        </w:rPr>
        <w:t xml:space="preserve">(Tang </w:t>
      </w:r>
      <w:r w:rsidR="009B2252" w:rsidRPr="00216965">
        <w:rPr>
          <w:noProof/>
        </w:rPr>
        <w:t>et al</w:t>
      </w:r>
      <w:r w:rsidR="002D5CDE" w:rsidRPr="00216965">
        <w:rPr>
          <w:i/>
          <w:noProof/>
        </w:rPr>
        <w:t>.</w:t>
      </w:r>
      <w:r w:rsidR="002D5CDE" w:rsidRPr="00216965">
        <w:rPr>
          <w:noProof/>
        </w:rPr>
        <w:t xml:space="preserve">, 2013; Y. Wang </w:t>
      </w:r>
      <w:r w:rsidR="009B2252" w:rsidRPr="00216965">
        <w:rPr>
          <w:noProof/>
        </w:rPr>
        <w:t>et al</w:t>
      </w:r>
      <w:r w:rsidR="002D5CDE" w:rsidRPr="00216965">
        <w:rPr>
          <w:i/>
          <w:noProof/>
        </w:rPr>
        <w:t>.</w:t>
      </w:r>
      <w:r w:rsidR="002D5CDE" w:rsidRPr="00216965">
        <w:rPr>
          <w:noProof/>
        </w:rPr>
        <w:t>, 2019)</w:t>
      </w:r>
      <w:r w:rsidRPr="00216965">
        <w:fldChar w:fldCharType="end"/>
      </w:r>
      <w:r w:rsidRPr="00216965">
        <w:t xml:space="preserve">. This application is a promising alternative for the restoration of soils contaminated with HMs as it can potentially immobilize pollutants while fostering the establishment of a green cover. This is especially important, since the revegetation of soils contaminated with HMs is a key step for stabilisation, as vegetation protects soil from erosion and reduces contaminant migration to water courses, limiting the transfer of the contaminants to ecosystems or humans </w:t>
      </w:r>
      <w:r w:rsidRPr="00216965">
        <w:fldChar w:fldCharType="begin" w:fldLock="1"/>
      </w:r>
      <w:r w:rsidR="006C06AA" w:rsidRPr="00216965">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fldChar w:fldCharType="separate"/>
      </w:r>
      <w:r w:rsidR="00C83E62" w:rsidRPr="00216965">
        <w:rPr>
          <w:noProof/>
        </w:rPr>
        <w:t>(Beesley et al., 2011)</w:t>
      </w:r>
      <w:r w:rsidRPr="00216965">
        <w:fldChar w:fldCharType="end"/>
      </w:r>
      <w:r w:rsidRPr="00216965">
        <w:t xml:space="preserve">. </w:t>
      </w:r>
    </w:p>
    <w:p w14:paraId="5F3C3B3C" w14:textId="37C5586C" w:rsidR="006B380D" w:rsidRPr="00216965" w:rsidRDefault="006B380D" w:rsidP="008A33DA">
      <w:pPr>
        <w:spacing w:line="360" w:lineRule="auto"/>
        <w:jc w:val="both"/>
      </w:pPr>
      <w:r w:rsidRPr="00216965">
        <w:lastRenderedPageBreak/>
        <w:t xml:space="preserve">An understanding of the interactions of biochar with plants, soil microorganisms, HMs and soil is important, given the extended contact time (years-decades) that biochar remains in soil. The reported impacts of biochar on plants range from inhibition to stimulation, depending on biochar properties and specific sensitivity of different plant species </w:t>
      </w:r>
      <w:r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Pr="00216965">
        <w:fldChar w:fldCharType="separate"/>
      </w:r>
      <w:r w:rsidR="00C83E62" w:rsidRPr="00216965">
        <w:rPr>
          <w:noProof/>
        </w:rPr>
        <w:t>(Joseph et al., 2021)</w:t>
      </w:r>
      <w:r w:rsidRPr="00216965">
        <w:fldChar w:fldCharType="end"/>
      </w:r>
      <w:r w:rsidRPr="00216965">
        <w:t xml:space="preserve">. Thus, the high variability of outcomes from biochar applications makes it difficult to identify specific biochars with suitable properties for immobilization of HMs that are also beneficial for plant growth. </w:t>
      </w:r>
    </w:p>
    <w:p w14:paraId="1F1D657A" w14:textId="7A77E7D8" w:rsidR="008574C0" w:rsidRPr="00216965" w:rsidRDefault="006B380D" w:rsidP="008A33DA">
      <w:pPr>
        <w:spacing w:line="360" w:lineRule="auto"/>
        <w:jc w:val="both"/>
      </w:pPr>
      <w:r w:rsidRPr="00216965">
        <w:t xml:space="preserve">Soil organisms and plants are sensitive to HMs in soil and provide useful insight about soil health. Biological performance indicators have been used to evaluate the health of biochar-amended soil, instead of direct measurement of HMs. For instance, plant uptake (i.e. concentration of HMs in roots/shoots) is commonly used to interpret the efficiency of remediation using biochar and assess the quality of agricultural products </w:t>
      </w:r>
      <w:r w:rsidRPr="00216965">
        <w:fldChar w:fldCharType="begin" w:fldLock="1"/>
      </w:r>
      <w:r w:rsidR="006C06AA" w:rsidRPr="00216965">
        <w:instrText>ADDIN CSL_CITATION {"citationItems":[{"id":"ITEM-1","itemData":{"DOI":"10.1016/j.jhazmat.2021.125378","author":[{"dropping-particle":"","family":"He","given":"Mingjing","non-dropping-particle":"","parse-names":false,"suffix":""},{"dropping-particle":"","family":"Xiong","given":"Xinni","non-dropping-particle":"","parse-names":false,"suffix":""},{"dropping-particle":"","family":"Wang","given":"Lei","non-dropping-particle":"","parse-names":false,"suffix":""},{"dropping-particle":"","family":"Hou","given":"Deyi","non-dropping-particle":"","parse-names":false,"suffix":""},{"dropping-particle":"","family":"Bolan","given":"Nanthi S","non-dropping-particle":"","parse-names":false,"suffix":""},{"dropping-particle":"","family":"Sik","given":"Yong","non-dropping-particle":"","parse-names":false,"suffix":""}],"container-title":"Journal of Hazardous Materials","id":"ITEM-1","issued":{"date-parts":[["2021"]]},"page":"125378","title":"A critical review on performance indicators for evaluating soil biota and soil health of biochar-amended soils","type":"article-journal","volume":"414"},"uris":["http://www.mendeley.com/documents/?uuid=3ae01258-c56c-4afd-9216-def44a8b101f"]},{"id":"ITEM-2","itemData":{"DOI":"10.1016/J.ECOENV.2017.02.028","ISSN":"0147-6513","abstract":"Cadmium (Cd) is a well-known and widespread toxic heavy metal while the effects of biochar (BC) on Cd bioavailability and toxicity in wheat, especially in soils with aged contamination are largely unknown. In the present study, the effect of rice straw BC on Cd immobilization in soil and uptake by wheat in an agricultural contaminated-soil was investigated. Different levels of rice straw BC (0%, 1.5%, 3.0% and 5% w/w) were incorporated into the soil and incubated for two weeks. After this, wheat plants were grown in the amended soil until maturity. The results show that the BC treatments increased the soil and soil solution pH and silicon contents in the plant tissues and in the soil solution while decreased the bioavailable Cd in soil. The BC application increased the plant-height, spike-length, shoot and root dry mass and grain yield in a dose additive manner when compared with control treatment. As compared to control, BC application increased the photosynthetic pigments and gas exchange parameters in leaves. Biochar treatments decreased the oxidative stress while increased the activities of antioxidant enzymes in shoots compared to the control. The BC treatments decreased the Cd and Ni while increased Zn and Mn concentrations in shoots, roots, and grains of wheat compared to the control. As compared to the control, Cd concentration in wheat grains decreased by 26%, 42%, and 57% after the application of 1.5%, 3.0%, and 5.0% BC respectively. Overall, the application of rice straw BC might be effective in immobilization of metal in the soil and reducing its uptake and translocation to grains.","author":[{"dropping-particle":"","family":"Abbas","given":"Tahir","non-dropping-particle":"","parse-names":false,"suffix":""},{"dropping-particle":"","family":"Rizwan","given":"Muhammad","non-dropping-particle":"","parse-names":false,"suffix":""},{"dropping-particle":"","family":"Ali","given":"Shafaqat","non-dropping-particle":"","parse-names":false,"suffix":""},{"dropping-particle":"","family":"Zia-ur-Rehman","given":"Muhammad","non-dropping-particle":"","parse-names":false,"suffix":""},{"dropping-particle":"","family":"Farooq Qayyum","given":"Muhammad","non-dropping-particle":"","parse-names":false,"suffix":""},{"dropping-particle":"","family":"Abbas","given":"Farhat","non-dropping-particle":"","parse-names":false,"suffix":""},{"dropping-particle":"","family":"Hannan","given":"Fakhir","non-dropping-particle":"","parse-names":false,"suffix":""},{"dropping-particle":"","family":"Rinklebe","given":"Jörg","non-dropping-particle":"","parse-names":false,"suffix":""},{"dropping-particle":"","family":"Sik Ok","given":"Yong","non-dropping-particle":"","parse-names":false,"suffix":""}],"container-title":"Ecotoxicology and Environmental Safety","id":"ITEM-2","issued":{"date-parts":[["2017","6","1"]]},"page":"37-47","publisher":"Academic Press","title":"Effect of biochar on cadmium bioavailability and uptake in wheat (Triticum aestivum L.) grown in a soil with aged contamination","type":"article-journal","volume":"140"},"uris":["http://www.mendeley.com/documents/?uuid=2330ab44-afa6-300c-b996-3486fd96fff2"]},{"id":"ITEM-3","itemData":{"DOI":"10.1007/s00128-020-02886-x","abstract":"Biochar was for the first time produced from Suaeda glauca. The immobilization of Pb and Cd by this biochar and pig manure biochar was examined in two types of soils by diethylene triamine pentaacetic acid (DTPA) extraction. Addition of biochars decreased DTPA extractable Pb and Cd in Fluvo-aquic soil with reduction rates being 11.3%-48.4% and 0.74%-64.9% compared with the control treatment. The pig manure biochar favored the immobilization of Pb and S. glauca biochar favored the immobilization of Cd. Biochars can effectively immobilize heavy metals in Fluvo-aquic soil. However, the addition of biochars increased extractable Pb and Cd in red soil, with pig manure biochars showing greater rates. This is ascribed to that the competition effects of ions released from biochar enhanced the moving of heavy metals from iron and manganese oxides bound form to organic matter bound form, and hence enhanced the mobility and bioavailability of heavy metals.","author":[{"dropping-particle":"","family":"Liu","given":"Yarui","non-dropping-particle":"","parse</w:instrText>
      </w:r>
      <w:r w:rsidR="006C06AA" w:rsidRPr="00216965">
        <w:rPr>
          <w:lang w:val="fr-FR"/>
        </w:rPr>
        <w:instrText>-names":false,"suffix":""},{"dropping-particle":"","family":"Wang","given":"Fei","non-dropping-particle":"","parse-names":false,"suffix":""},{"dropping-particle":"","family":"Yin","given":"Zheyun","non-dropping-particle":"","parse-names":false,"suffix":""},{"dropping-particle":"","family":"Jia","given":"Weili","non-dropping-particle":"","parse-names":false,"suffix":""},{"dropping-particle":"","family":"Xiao","given":"Hongyang","non-dropping-particle":"","parse-names":false,"suffix":""},{"dropping-particle":"","family":"Lin","given":"Qimei","non-dropping-particle":"","parse-names":false,"suffix":""},{"dropping-particle":"","family":"Feng","given":"Yujie","non-dropping-particle":"","parse-names":false,"suffix":""}],"container-title":"Bulletin of Environmental Contamination and Toxicology","id":"ITEM-3","issued":{"date-parts":[["2020"]]},"page":"146-154","title":"Immobilization of lead and cadmium in soil using biochars derived from pig manure and Suaeda glauca","type":"article-journal","volume":"105"},"uris":["http://www.mendeley.com/documents/?uuid=17493131-7313-37e9-a3e3-85d3f875f1ba"]}],"mendeley":{"formattedCitation":"(Abbas et al., 2017; He et al., 2021; Y. Liu et al., 2020)","plainTextFormattedCitation":"(Abbas et al., 2017; He et al., 2021; Y. Liu et al., 2020)","previouslyFormattedCitation":"(Abbas et al., 2017; He et al., 2021; Y. Liu et al., 2020)"},"properties":{"noteIndex":0},"schema":"https://github.com/citation-style-language/schema/raw/master/csl-citation.json"}</w:instrText>
      </w:r>
      <w:r w:rsidRPr="00216965">
        <w:fldChar w:fldCharType="separate"/>
      </w:r>
      <w:r w:rsidR="001974AA" w:rsidRPr="00216965">
        <w:rPr>
          <w:noProof/>
          <w:lang w:val="fr-FR"/>
        </w:rPr>
        <w:t>(Abbas et al., 2017; He et al., 2021; Y. Liu et al., 2020)</w:t>
      </w:r>
      <w:r w:rsidRPr="00216965">
        <w:fldChar w:fldCharType="end"/>
      </w:r>
      <w:r w:rsidRPr="00216965">
        <w:rPr>
          <w:lang w:val="fr-FR"/>
        </w:rPr>
        <w:t xml:space="preserve">. </w:t>
      </w:r>
      <w:r w:rsidRPr="00216965">
        <w:t xml:space="preserve">Also, physical vegetation indicators such as biomass weight (i.e. dry weight of shoot or roots and yield) </w:t>
      </w:r>
      <w:r w:rsidRPr="00216965">
        <w:fldChar w:fldCharType="begin" w:fldLock="1"/>
      </w:r>
      <w:r w:rsidR="006C06AA" w:rsidRPr="00216965">
        <w:instrText>ADDIN CSL_CITATION {"citationItems":[{"id":"ITEM-1","itemData":{"DOI":"10.1007/s11368-012-0571-4","ISBN":"1439-0108 1614-7480","ISSN":"14390108","abstract":"An addition of biochar mixed into the substrate of constructed wetlands may alleviate toxicity of metals such as cadmium (Cd) to emergent wetland plants, leading to a better performance in terms of pollutant removal from wastewater. The objective of this study was to investigate the impact of biochars on soil Cd immobilization and phytoavailability, growth of plants, and Cd concentration, accumulation, and translocation in plant tissues in Cd-contaminated soils under waterlogged conditions. A glasshouse experiment was conducted to investigate the effect of biochars derived from different organic sources (pyrolysis of oil mallee plants or wheat chaff at 550 A degrees C) with varied application amounts (0, 0.5, and 5 % w/w) on mitigating Cd (0, 10, and 50 mg kg(-1)) toxicity to Juncus subsecundus under waterlogged soil condition. Soil pH and CaCl2/EDTA-extractable soil Cd were determined before and after plant growth. Plant shoot number and height were monitored during the experiment. The total root length and dry weight of aboveground and belowground tissues were recorded. The concentration of Cd in plant tissues was determined. After 3 weeks of soil incubation, pH increased and CaCl2-extractable Cd decreased significantly with biochar additions. After 9 weeks of plant growth, biochar additions significantly increased soil pH and electrical conductivity and reduced CaCl2-extractable Cd. EDTA-extractable soil Cd significantly decreased with biochar additions (except for oil mallee biochar at the low application rate) in the high-Cd treatment, but not in the low-Cd treatment. Growth and biomass significantly decreased with Cd additions, and biochar additions did not significantly improve plant growth regardless of biochar type or application rate. The concentration, accumulation, and translocation of Cd in plants were significantly influenced by the interaction of Cd and biochar treatments. The addition of biochars reduced Cd accumulation, but less so Cd translocation in plants, at least in the low-Cd-contaminated soils. Biochars immobilized soil Cd, but did not improve growth of the emergent wetland plant species at the early growth stage, probably due to the interaction between biochars and waterlogged environment. Further study is needed to elucidate the underlying mechanisms.","author":[{"dropping-particle":"","family":"Zhang","given":"Zhenhua","non-dropping-particle":"","parse-names":false,"suffix":""},{"dropping-particle":"","family":"Solaiman","given":"Zakaria M.","non-dropping-particle":"","parse-names":false,"suffix":""},{"dropping-particle":"","family":"Meney","given":"Kathy","non-dropping-particle":"","parse-names":false,"suffix":""},{"dropping-particle":"V.","family":"Murphy","given":"Daniel","non-dropping-particle":"","parse-names":false,"suffix":""},{"dropping-particle":"","family":"Rengel","given":"Zed","non-dropping-particle":"","parse-names":false,"suffix":""}],"container-title":"Journal of Soils and Sediments","id":"ITEM-1","issue":"1","issued":{"date-parts":[["2013"]]},"page":"140-151","title":"Biochars immobilize soil cadmium, but do not improve growth of emergent wetland species Juncus subsecundus in cadmium-contaminated soil","type":"article-journal","volume":"13"},"uris":["http://www.mendeley.com/documents/?uuid=eccab6ec-c639-4948-a905-557443574af7"]},{"id":"ITEM-2","itemData":{"DOI":"10.1007/s11356-017-9521-4","ISBN":"0944-1344","ISSN":"16147499","abstract":"© 2017 Springer-Verlag GmbH Germany Biochar is a potential candidate for the remediation of metal(loid)-contaminated soils. However, the mechanisms of contaminant-biochar retention and release depend on the amount of soil contaminants and physicochemical characteristics, as well as the durability of the biochar contaminant complex, which may be related to the pyrolysis process parameters. The objective of the present study was to evaluate, in a former contaminated smelting site, the impact of two doses of wood biochar (2 and 5% w/w) on metal immobilization and/or phytoavailability and their effectiveness in promoting plant growth in mesocosm experiments. Different soil mixtures were investigated. The main physicochemical parameters and the Cd, Pb, and Zn contents were determined in soil and in soil pore water. Additionally, the growth, dry weight, and metal concentrations were analyzed in the different dwarf bean plant (Phaseolus vulgaris L.) organs tested. Results showed that the addition of biochar at two doses (2 and 5%) improved soil conditions by i ncreasing soil pH, electrical conductivity, and water holding capacity. Furthermore, the application of biochar (5%) to metal-contaminated soil reduced Cd, Pb, and Zn mobility and availability, and hence their accumulation in the different P. vulgaris L. organs. In conclusion, the data clearly demonstrated that biochar application can be effectively used for Cd, Pb, and Zn immobilization, thereby reducing their bioavailability and phytotoxicity.","author":[{"dropping-particle":"","family":"Lomaglio","given":"Tonia","non-dropping-particle":"","parse-names":false,"suffix":""},{"dropping-particle":"","family":"Hattab-Hambli","given":"Nour","non-dropping-particle":"","parse-names":false,"suffix":""},{"dropping-particle":"","family":"Miard","given":"Florie","non-dropping-particle":"","parse-names":false,"suffix":""},{"dropping-particle":"","family":"Lebrun","given":"Manhattan","non-dropping-particle":"","parse-names":false,"suffix":""},{"dropping-particle":"","family":"Nandillon","given":"Romain","non-dropping-particle":"","parse-names":false,"suffix":""},{"dropping-particle":"","family":"Trupiano","given":"Dalila","non-dropping-particle":"","parse-names":false,"suffix":""},{"dropping-particle":"","family":"Scippa","given":"Gabriella Stefania","non-dropping-particle":"","parse-names":false,"suffix":""},{"dropping-particle":"","family":"Gauthier","given":"Arnaud","non-dropping-particle":"","parse-names":false,"suffix":""},{"dropping-particle":"","family":"Motelica-Heino","given":"Mikael","non-dropping-particle":"","parse-names":false,"suffix":""},{"dropping-particle":"","family":"Bourgerie","given":"Sylvain","non-dropping-particle":"","parse-names":false,"suffix":""},{"dropping-particle":"","family":"Morabito","given":"Domenico","non-dropping-particle":"","parse-names":false,"suffix":""}],"container-title":"Environmental Science and Pollution Research","id":"ITEM-2","issued":{"date-parts":[["2018"]]},"page":"25744–25756","title":"d, Pb, and Zn mobility and (bio)availability in contaminated soils from a former smelting site amended with biochar.","type":"article-journal","volume":"25"},"uris":["http://www.mendeley.com/documents/?uuid=bf1a5498-bb63-3ff2-8d5b-89b4577b55b4"]}],"mendeley":{"formattedCitation":"(Lomaglio et al., 2018; Zhang et al., 2013)","plainTextFormattedCitation":"(Lomaglio et al., 2018; Zhang et al., 2013)","previouslyFormattedCitation":"(Lomaglio et al., 2018; Zhang et al., 2013)"},"properties":{"noteIndex":0},"schema":"https://github.com/citation-style-language/schema/raw/master/csl-citation.json"}</w:instrText>
      </w:r>
      <w:r w:rsidRPr="00216965">
        <w:fldChar w:fldCharType="separate"/>
      </w:r>
      <w:r w:rsidR="001974AA" w:rsidRPr="00216965">
        <w:rPr>
          <w:noProof/>
        </w:rPr>
        <w:t>(Lomaglio et al., 2018; Zhang et al., 2013)</w:t>
      </w:r>
      <w:r w:rsidRPr="00216965">
        <w:fldChar w:fldCharType="end"/>
      </w:r>
      <w:r w:rsidRPr="00216965">
        <w:t xml:space="preserve">, root length </w:t>
      </w:r>
      <w:r w:rsidRPr="00216965">
        <w:fldChar w:fldCharType="begin" w:fldLock="1"/>
      </w:r>
      <w:r w:rsidR="006C06AA" w:rsidRPr="00216965">
        <w:instrText>ADDIN CSL_CITATION {"citationItems":[{"id":"ITEM-1","itemData":{"DOI":"10.15376/biores.15.4.8008-8025","ISSN":"19302126","abstract":"The remediation effects of peanut shell biochar (HBC) and Mg-modified peanut shell biochar (MHBC) prepared under pyrolysis temperatures of 300 °C and 600 °C on Cd2+ polluted brown soil were investigated in a pot experiment. The results showed that the biochar treatment increased soil pH and decreased the bioavailable Cd2+ content in the soil. Compared with the control treatment (CK), the pH value increased by 0.32 to 2.5 upon treatment with 1% and 2% of HBC and MHBC. Bioavailable Cd2+ in the soil decreased by 5.64% to 21.33% with HBC. The MHBC presented better amendment effects than HBC; bioavailable Cd2+ in the soil decreased by 26.2% to 50.1% with the addition of MHBC. The addition of HBC and MHBC increased the shoot height and decreased the root length of the spinach. Moreover, they significantly decreased the accumulation of Cd2+ in the shoots and roots of the spinach. Compared to CK, the Cd2+ content in the shoots decreased by 7.0% to 46.8% upon treatment with 1% and 2% of HBC and MHBC, while the Cd2+ content in the roots decreased by 7.3% to 52.7%. The Cd2+ content in the shoots and roots was more greatly decreased with MHBC than with HBC.","author":[{"dropping-particle":"","family":"Shan","given":"Ruifeng","non-dropping-particle":"","parse-names":false,"suffix":""},{"dropping-particle":"","family":"Li","given":"Wanting","non-dropping-particle":"","parse-names":false,"suffix":""},{"dropping-particle":"","family":"Chen","given":"Ya","non-dropping-particle":"","parse-names":false,"suffix":""},{"dropping-particle":"","family":"Sun","given":"Xiaoyin","non-dropping-particle":"","parse-names":false,"suffix":""}],"container-title":"BioResources","id":"ITEM-1","issue":"4","issued":{"date-parts":[["2020"]]},"page":"8008-8025","title":"Effects of Mg-modified biochar on the bioavailability of cadmium in soil","type":"article-journal","volume":"15"},"uris":["http://www.mendeley.com/documents/?uuid=54fe049d-5735-4e78-8321-a540e9dac1c7"]},{"id":"ITEM-2","itemData":{"DOI":"10.1016/j.envpol.2020.114133","ISSN":"18736424","PMID":"32078879","abstract":"Biochar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w:instrText>
      </w:r>
      <w:r w:rsidR="006C06AA" w:rsidRPr="00216965">
        <w:rPr>
          <w:lang w:val="fr-FR"/>
        </w:rPr>
        <w:instrText>-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Pollution","id":"ITEM-2","issued":{"date-parts":[["2020","6","1"]]},"page":"114133","publisher":"Elsevier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soil","type":"article-journal","volume":"261"},"uris":["http://www.mendeley.com/documents/?uuid=6eee545a-7fee-346b-8aa7-47b79f2eb8fe"]}],"mendeley":{"formattedCitation":"(Shan et al., 2020; C. Xu et al., 2020)","plainTextFormattedCitation":"(Shan et al., 2020; C. Xu et al., 2020)","previouslyFormattedCitation":"(Shan et al., 2020; C. Xu et al., 2020)"},"properties":{"noteIndex":0},"schema":"https://github.com/citation-style-language/schema/raw/master/csl-citation.json"}</w:instrText>
      </w:r>
      <w:r w:rsidRPr="00216965">
        <w:fldChar w:fldCharType="separate"/>
      </w:r>
      <w:r w:rsidR="001974AA" w:rsidRPr="00216965">
        <w:rPr>
          <w:noProof/>
          <w:lang w:val="fr-FR"/>
        </w:rPr>
        <w:t>(Shan et al., 2020; C. Xu et al., 2020)</w:t>
      </w:r>
      <w:r w:rsidRPr="00216965">
        <w:fldChar w:fldCharType="end"/>
      </w:r>
      <w:r w:rsidRPr="00216965">
        <w:rPr>
          <w:lang w:val="fr-FR"/>
        </w:rPr>
        <w:t xml:space="preserve">, leaf area </w:t>
      </w:r>
      <w:r w:rsidRPr="00216965">
        <w:fldChar w:fldCharType="begin" w:fldLock="1"/>
      </w:r>
      <w:r w:rsidR="006C06AA" w:rsidRPr="00216965">
        <w:rPr>
          <w:lang w:val="fr-FR"/>
        </w:rPr>
        <w:instrText>ADDIN CSL_CITATION {"citationItems":[{"id":"ITEM-1","itemData":{"DOI":"10.1016/j.scitotenv.2016.04.089","ISSN":"18791026","abstract":"Biochar (BC) is a carbonaceous material obtained by pyrolysis of organic waste materials and has been proposed as a soil management strategy to mitigate global warming and to improve crop productivity. Once BC has been applied to the soil, its imperfect and incomplete mixing with soil during the first few years and the standard agronomic practices (i.e. tillage, sowing) may generate spatial heterogeneity of the BC content in the soil, which may have implications for soil properties and their effects on plant growth. We investigated how, after two agronomic seasons, the spatial heterogeneity of olive-tree prunings BC applied to a vertisol affected soil characteristics and wheat growth and yield. During the second agronomic season and just before wheat germination, we determined the BC content in the soil by an in-situ visual categorization based on the soil darkening, which was strongly correlated to the BC content of the soil and the soil brightness. We found a high spatial heterogeneity in the BC plots, which affected soil characteristics and wheat growth and yield. Patches with high BC content showed reduced soil compaction and increased soil moisture, pH, electrical conductivity, and nutrient availability (P, Ca, K, Mn, Fe, and Zn); consequently, wheat had greater tillering and higher relative growth rate and grain yield. However, if the spatial heterogeneity of the soil BC content had not been taken into account in the data analysis, most of the effects of BC on wheat growth would not have been detected. Our study reveals the importance of taking into account the spatial heterogeneity of the BC content.","author":[{"dropping-particle":"","family":"Olmo","given":"Manuel","non-dropping-particle":"","parse-names":false,"suffix":""},{"dropping-particle":"","family":"Lozano","given":"Ana Mar??a","non-dropping-particle":"","parse-names":false,"suffix":""},{"dropping-particle":"","family":"Barn","given":"Vidal","non-dropping-particle":"","parse-names":false,"suffix":""},{"dropping-particle":"","family":"Villar","given":"Rafael","non-dropping-particle":"","parse-names":false,"suffix":""}],"container-title":"Science of the Total Environment","id":"ITEM-1","issued":{"date-parts":[["2016"]]},"page":"690-700","publisher":"Elsevier B.V.","title":"Spatial heterogeneity of soil biochar content affects soil quality and wheat growth and yield","type":"article-journal","volume":"562"},"uris":["http://www.mendeley.com/documents/?uuid=464a71d2-f6bc-4f0b-b7de-7dd84ea9313f"]}],"mendeley":{"formattedCitation":"(Olmo et al., 2016)","plainTextFormattedCitation":"(Olmo et al., 2016)","previouslyFormattedCitation":"(Olmo et al., 2016)"},"properties":{"noteIndex":0},"schema":"https://github.com/citation-style-language/schema/raw/master/csl-citation.json"}</w:instrText>
      </w:r>
      <w:r w:rsidRPr="00216965">
        <w:fldChar w:fldCharType="separate"/>
      </w:r>
      <w:r w:rsidR="00C83E62" w:rsidRPr="00216965">
        <w:rPr>
          <w:noProof/>
          <w:lang w:val="fr-FR"/>
        </w:rPr>
        <w:t>(Olmo et al., 2016)</w:t>
      </w:r>
      <w:r w:rsidRPr="00216965">
        <w:fldChar w:fldCharType="end"/>
      </w:r>
      <w:r w:rsidRPr="00216965">
        <w:rPr>
          <w:lang w:val="fr-FR"/>
        </w:rPr>
        <w:t xml:space="preserve"> and chemical vegetation indicators such as chlorophyll content </w:t>
      </w:r>
      <w:r w:rsidRPr="00216965">
        <w:fldChar w:fldCharType="begin" w:fldLock="1"/>
      </w:r>
      <w:r w:rsidR="006C06AA" w:rsidRPr="00216965">
        <w:rPr>
          <w:lang w:val="fr-FR"/>
        </w:rPr>
        <w:instrText>ADDIN CSL_CITATION {"citationItems":[{"id":"ITEM-1","itemData":{"DOI":"10.1016/j.envpol.2014.06.016","ISBN":"1873-6424 (Electronic)\\r0269-7491 (Linking)","ISSN":"18736424","PMID":"25014015","abstract":"With the aim of investigating the effects of carbonaceous sorbent amendment on plant health and end point contaminant bioavailability, plant experiments were set up to grow maize (Zea mays) in soil contaminated with polycyclic aromatic hydrocarbons (PAHs) and metals. Maize and pine derived biochars, as well as a commercial grade activated carbon, were used as amendments. Plant growth characteristics, such as chlorophyll content and shoot to root biomass, improved with sorbent amendment to varying extents and contaminant uptake to shoots was consistently reduced in amended soils. By further defining the conditions in which sorbent amended soils successfully</w:instrText>
      </w:r>
      <w:r w:rsidR="006C06AA" w:rsidRPr="00804FEA">
        <w:instrText xml:space="preserve"> reduce contaminant bioavailability and improve plant growth, this work will inform field scale remediation efforts. ?? 2014 Elsevier B.V. All rights reserved.","author":[{"dropping-particle":"","family":"Brennan","given":"Aoife","non-dropping-particle":"","parse-names":false,"suffix":""},{"dropping-particle":"","family":"Moreno","given":"Eduardo","non-dropping-particle":"","parse-names":false,"suffix":""},{"dropping-particle":"","family":"Alburquerque","given":"José","non-dropping-particle":"","parse-names":false,"suffix":""},{"dropping-part</w:instrText>
      </w:r>
      <w:r w:rsidR="006C06AA" w:rsidRPr="00216965">
        <w:instrText>icle":"","family":"Knapp","given":"Charles","non-dropping-particle":"","parse-names":false,"suffix":""},{"dropping-particle":"","family":"Switzer","given":"Christine","non-dropping-particle":"","parse-names":false,"suffix":""}],"container-title":"Environmental Pollution","id":"ITEM-1","issued":{"date-parts":[["2014"]]},"page":"79-87","title":"Effects of biochar and activated carbon amendment on maize growth and the uptake and measured availability of polycyclic aromatic hydrocarbons (PAHs) and potentially toxic elements (PTEs)","type":"article-journal","volume":"193"},"uris":["http://www.mendeley.com/documents/?uuid=537ec484-8f9d-454a-8053-e19a17cc2592"]}],"mendeley":{"formattedCitation":"(Brennan et al., 2014)","plainTextFormattedCitation":"(Brennan et al., 2014)","previouslyFormattedCitation":"(Brennan et al., 2014)"},"properties":{"noteIndex":0},"schema":"https://github.com/citation-style-language/schema/raw/master/csl-citation.json"}</w:instrText>
      </w:r>
      <w:r w:rsidRPr="00216965">
        <w:fldChar w:fldCharType="separate"/>
      </w:r>
      <w:r w:rsidR="00C83E62" w:rsidRPr="00216965">
        <w:rPr>
          <w:noProof/>
        </w:rPr>
        <w:t>(Brennan et al., 2014)</w:t>
      </w:r>
      <w:r w:rsidRPr="00216965">
        <w:fldChar w:fldCharType="end"/>
      </w:r>
      <w:r w:rsidRPr="00216965">
        <w:t xml:space="preserve"> are commonly used to monitor soils amended with biochar. </w:t>
      </w:r>
    </w:p>
    <w:p w14:paraId="7264B20F" w14:textId="7E7B30CB" w:rsidR="006B380D" w:rsidRPr="00216965" w:rsidRDefault="008574C0" w:rsidP="008A33DA">
      <w:pPr>
        <w:spacing w:line="360" w:lineRule="auto"/>
        <w:jc w:val="both"/>
      </w:pPr>
      <w:r w:rsidRPr="00216965">
        <w:t>Nevertheless</w:t>
      </w:r>
      <w:r w:rsidR="006B380D" w:rsidRPr="00216965">
        <w:t xml:space="preserve">, few studies have examined </w:t>
      </w:r>
      <w:r w:rsidR="006B380D" w:rsidRPr="00216965">
        <w:rPr>
          <w:i/>
        </w:rPr>
        <w:t>in planta</w:t>
      </w:r>
      <w:r w:rsidR="006B380D" w:rsidRPr="00216965">
        <w:t xml:space="preserve"> responses to biochar addition when faced with environmental pressures such as HMs </w:t>
      </w:r>
      <w:r w:rsidR="006B380D"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006B380D" w:rsidRPr="00216965">
        <w:fldChar w:fldCharType="separate"/>
      </w:r>
      <w:r w:rsidR="00C83E62" w:rsidRPr="00216965">
        <w:rPr>
          <w:noProof/>
        </w:rPr>
        <w:t>(Joseph et al., 2021)</w:t>
      </w:r>
      <w:r w:rsidR="006B380D" w:rsidRPr="00216965">
        <w:fldChar w:fldCharType="end"/>
      </w:r>
      <w:r w:rsidR="006B380D" w:rsidRPr="00216965">
        <w:t xml:space="preserve">. Therefore, there is limited information concerning the physiological response of plants to biochar addition in HMs-contaminated soil, and biochar effects on plant growth still appear unpredictable </w:t>
      </w:r>
      <w:r w:rsidR="006B380D" w:rsidRPr="00216965">
        <w:fldChar w:fldCharType="begin" w:fldLock="1"/>
      </w:r>
      <w:r w:rsidR="006C06AA" w:rsidRPr="00216965">
        <w:instrText>ADDIN CSL_CITATION {"citationItems":[{"id":"ITEM-1","itemData":{"DOI":"10.1080/10643389.2021.1894064","abstract":"Environmental contamination by toxic trace elements is a global issue faced by soil-plant-human systems. Biochar has gained substantial attention as a soil amendment to reduce toxic trace element impacts on plant and human health due to biochar's capacity to influence trace element biogeochemistry. This review focuses on the key roles of bio-char with respect to trace element interactions, mobility and phytoavailability in soil-plant systems. In addition to direct interactions, various biochar types can impact soil physicochemical properties and subsequently trace element biogeochemical behavior. A critical literature review revealed increasing and/or decreasing trends with respect to biochar-induced variation in soil physicochemical characteristics and soil-plant trace element transfer. Data analysis revealed that biochar-mediated an overall decrease in the phyto-uptake of As, Cd, Cu, Ni, Pb, and Zn by 48%, 40%, 38%, 44%, 28%, and 22%, respectively. This article also discusses the possible biochar-mediated alleviations of human health hazards (41% less cancer risk) due to consuming trace elements-contaminated foods. Likewise, for the first time, the effect of soil biochar application on plant physiological and morphological attributes, as well as activation of tolerance mechanisms (enzymatic and non-enzymatic) is critically discussed. HIGHLIGHTS Literature review revealed biochar applications increased soil trace element sorption and decreased phyto-uptake. Plant uptake of trace element depends on soil and biochar properties as well as trace element and plant type. Biochar-mediated trace element phytoavailability reductions cause lower toxicity in plant-human systems. Biochar alters plant detoxification and tolerance mechanisms directly or indirectly.","author":[{"dropping-particle":"","family":"Natasha","given":"Natasha","non-dropping-particle":"","parse-names":false,"suffix":""},{"dropping-particle":"","family":"Shahid","given":"Muhammad","non-dropping-particle":"","parse-names":false,"suffix":""},{"dropping-particle":"","family":"Sana","given":"Khalid","non-dropping-particle":"","parse-names":false,"suffix":""},{"dropping-particle":"","family":"Irshad","given":"Bibi","non-dropping-particle":"","parse-names":false,"suffix":""},{"dropping-particle":"","family":"Asif Naeem","given":"Muhammad","non-dropping-particle":"","parse-names":false,"suffix":""},{"dropping-particle":"","family":"Khan Niazi","given":"Nabeel","non-dropping-particle":"","parse-names":false,"suffix":""},{"dropping-particle":"","family":"G Tack","given":"Filip M","non-dropping-particle":"","parse-names":false,"suffix":""},{"dropping-particle":"","family":"Ippolito","given":"James","non-dropping-particle":"","parse-names":false,"suffix":""},{"dropping-particle":"","family":"Rinklebe","given":"Jörg","non-dropping-particle":"","parse-names":false,"suffix":""}],"container-title":"Critical Reviews in Environmental Science and Technology","id":"ITEM-1","issued":{"date-parts":[["2021"]]},"title":"Influence of biochar on trace element uptake, toxicity and detoxification in plants and associated health risks: A critical review","type":"article-journal"},"uris":["http://www.mendeley.com/documents/?uuid=bcb663b1-e47c-3868-92b3-32af43f404ff"]}],"mendeley":{"formattedCitation":"(Natasha et al., 2021)","plainTextFormattedCitation":"(Natasha et al., 2021)","previouslyFormattedCitation":"(Natasha et al., 2021)"},"properties":{"noteIndex":0},"schema":"https://github.com/citation-style-language/schema/raw/master/csl-citation.json"}</w:instrText>
      </w:r>
      <w:r w:rsidR="006B380D" w:rsidRPr="00216965">
        <w:fldChar w:fldCharType="separate"/>
      </w:r>
      <w:r w:rsidR="00C83E62" w:rsidRPr="00216965">
        <w:rPr>
          <w:noProof/>
        </w:rPr>
        <w:t>(Natasha et al., 2021)</w:t>
      </w:r>
      <w:r w:rsidR="006B380D" w:rsidRPr="00216965">
        <w:fldChar w:fldCharType="end"/>
      </w:r>
      <w:r w:rsidR="006B380D" w:rsidRPr="00216965">
        <w:t xml:space="preserve">. For these reasons the short term physiological response of plants growing in HM-polluted soils amended with standard biochars of known composition was studied. </w:t>
      </w:r>
    </w:p>
    <w:p w14:paraId="1C0FCE3B" w14:textId="1266E480" w:rsidR="006B380D" w:rsidRPr="00216965" w:rsidRDefault="006B380D" w:rsidP="008A33DA">
      <w:pPr>
        <w:spacing w:line="360" w:lineRule="auto"/>
        <w:jc w:val="both"/>
      </w:pPr>
      <w:r w:rsidRPr="00216965">
        <w:t>The sorption capacities and affinities of five biochars for Pb(II), Cd(II) and Zn(II) were characterised in synthetic soil pore water in</w:t>
      </w:r>
      <w:r w:rsidR="00883B70" w:rsidRPr="00216965">
        <w:t xml:space="preserve"> </w:t>
      </w:r>
      <w:r w:rsidR="00883B70" w:rsidRPr="00216965">
        <w:rPr>
          <w:b/>
          <w:bCs/>
        </w:rPr>
        <w:fldChar w:fldCharType="begin"/>
      </w:r>
      <w:r w:rsidR="00883B70" w:rsidRPr="00216965">
        <w:rPr>
          <w:b/>
          <w:bCs/>
        </w:rPr>
        <w:instrText xml:space="preserve"> REF _Ref86412333 \r \h  \* MERGEFORMAT </w:instrText>
      </w:r>
      <w:r w:rsidR="00883B70" w:rsidRPr="00216965">
        <w:rPr>
          <w:b/>
          <w:bCs/>
        </w:rPr>
      </w:r>
      <w:r w:rsidR="00883B70" w:rsidRPr="00216965">
        <w:rPr>
          <w:b/>
          <w:bCs/>
        </w:rPr>
        <w:fldChar w:fldCharType="separate"/>
      </w:r>
      <w:r w:rsidR="006E23EA" w:rsidRPr="00216965">
        <w:rPr>
          <w:b/>
          <w:bCs/>
        </w:rPr>
        <w:t>Chapter 3</w:t>
      </w:r>
      <w:r w:rsidR="00883B70" w:rsidRPr="00216965">
        <w:rPr>
          <w:b/>
          <w:bCs/>
        </w:rPr>
        <w:fldChar w:fldCharType="end"/>
      </w:r>
      <w:r w:rsidRPr="00216965">
        <w:t>. In this chapter, four of these biochars were used in an incubation experiment to explore their ability to alleviate the toxic effects of Pb(II), Cd(II) and Zn(II) on plants, both as single elements and as a mixture in artificially-contaminated soils. The objectives were to:</w:t>
      </w:r>
    </w:p>
    <w:p w14:paraId="25676CC0" w14:textId="3D9FAD43" w:rsidR="006B380D" w:rsidRPr="00216965" w:rsidRDefault="006B380D" w:rsidP="008A33DA">
      <w:pPr>
        <w:pStyle w:val="ListParagraph"/>
        <w:numPr>
          <w:ilvl w:val="0"/>
          <w:numId w:val="9"/>
        </w:numPr>
        <w:spacing w:line="360" w:lineRule="auto"/>
        <w:jc w:val="both"/>
      </w:pPr>
      <w:r w:rsidRPr="00216965">
        <w:lastRenderedPageBreak/>
        <w:t>evaluate the potential of biochars derived from different feedstocks to reduce the bioavailability of single and multiple HMs in soil, at different biochar application rates, and</w:t>
      </w:r>
    </w:p>
    <w:p w14:paraId="0BC3C7E3" w14:textId="3300005B" w:rsidR="006B380D" w:rsidRPr="00216965" w:rsidRDefault="006B380D" w:rsidP="008A33DA">
      <w:pPr>
        <w:pStyle w:val="ListParagraph"/>
        <w:numPr>
          <w:ilvl w:val="0"/>
          <w:numId w:val="9"/>
        </w:numPr>
        <w:spacing w:line="360" w:lineRule="auto"/>
        <w:jc w:val="both"/>
      </w:pPr>
      <w:r w:rsidRPr="00216965">
        <w:t xml:space="preserve">study the impact of biochars on plant growth using </w:t>
      </w:r>
      <w:r w:rsidRPr="00216965">
        <w:rPr>
          <w:i/>
        </w:rPr>
        <w:t xml:space="preserve">Arabidopsis thaliana, Lolium perenne and Sinapsis alba </w:t>
      </w:r>
      <w:r w:rsidRPr="00216965">
        <w:t>as indicator species.</w:t>
      </w:r>
    </w:p>
    <w:p w14:paraId="70D8038A" w14:textId="77777777" w:rsidR="006B380D" w:rsidRPr="00216965" w:rsidRDefault="006B380D" w:rsidP="008A33DA">
      <w:pPr>
        <w:pStyle w:val="Heading2"/>
      </w:pPr>
      <w:bookmarkStart w:id="188" w:name="_heading=h.gjdgxs"/>
      <w:bookmarkStart w:id="189" w:name="_Toc86504663"/>
      <w:bookmarkEnd w:id="188"/>
      <w:r w:rsidRPr="00216965">
        <w:t>Materials and methods</w:t>
      </w:r>
      <w:bookmarkEnd w:id="189"/>
    </w:p>
    <w:p w14:paraId="2A0CA831" w14:textId="77777777" w:rsidR="006B380D" w:rsidRPr="00216965" w:rsidRDefault="006B380D" w:rsidP="008A33DA">
      <w:pPr>
        <w:pStyle w:val="Heading3"/>
      </w:pPr>
      <w:bookmarkStart w:id="190" w:name="_Toc86504664"/>
      <w:r w:rsidRPr="00216965">
        <w:t>Biochar selection and preparation</w:t>
      </w:r>
      <w:bookmarkEnd w:id="190"/>
    </w:p>
    <w:p w14:paraId="429D185F" w14:textId="32C68DBF" w:rsidR="006B380D" w:rsidRPr="00216965" w:rsidRDefault="006B380D" w:rsidP="008A33DA">
      <w:pPr>
        <w:spacing w:line="360" w:lineRule="auto"/>
        <w:jc w:val="both"/>
      </w:pPr>
      <w:r w:rsidRPr="00216965">
        <w:t>Based on the results obtained in</w:t>
      </w:r>
      <w:r w:rsidR="008F15AA" w:rsidRPr="00216965">
        <w:t xml:space="preserve"> </w:t>
      </w:r>
      <w:r w:rsidR="00B34B0F" w:rsidRPr="00216965">
        <w:rPr>
          <w:b/>
          <w:bCs/>
        </w:rPr>
        <w:fldChar w:fldCharType="begin"/>
      </w:r>
      <w:r w:rsidR="00B34B0F" w:rsidRPr="00216965">
        <w:rPr>
          <w:b/>
          <w:bCs/>
        </w:rPr>
        <w:instrText xml:space="preserve"> REF _Ref86412333 \r \h  \* MERGEFORMAT </w:instrText>
      </w:r>
      <w:r w:rsidR="00B34B0F" w:rsidRPr="00216965">
        <w:rPr>
          <w:b/>
          <w:bCs/>
        </w:rPr>
      </w:r>
      <w:r w:rsidR="00B34B0F" w:rsidRPr="00216965">
        <w:rPr>
          <w:b/>
          <w:bCs/>
        </w:rPr>
        <w:fldChar w:fldCharType="separate"/>
      </w:r>
      <w:r w:rsidR="006E23EA" w:rsidRPr="00216965">
        <w:rPr>
          <w:b/>
          <w:bCs/>
        </w:rPr>
        <w:t>Chapter 3</w:t>
      </w:r>
      <w:r w:rsidR="00B34B0F" w:rsidRPr="00216965">
        <w:rPr>
          <w:b/>
          <w:bCs/>
        </w:rPr>
        <w:fldChar w:fldCharType="end"/>
      </w:r>
      <w:r w:rsidRPr="00216965">
        <w:t xml:space="preserve">, four biochars were selected for this study, including oil seed rape straw (OSR550), wheat straw (WSP550), soft wood (SWP550) and Miscanthus straw pellets (MSP550). These biochars were produced at 550 °C. A summary of the properties of these biochars has been published in </w:t>
      </w:r>
      <w:r w:rsidR="00295074" w:rsidRPr="00216965">
        <w:fldChar w:fldCharType="begin" w:fldLock="1"/>
      </w:r>
      <w:r w:rsidR="001C4D8E" w:rsidRPr="00216965">
        <w:instrText>ADDIN CSL_CITATION {"citationItems":[{"id":"ITEM-1","itemData":{"DOI":"10.1016/j.heliyon.2020.e05388","ISSN":"24058440","abstract":"Environmental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F.","non-dropping-particle":"","parse-names":false,"suffix":""}],"container-title":"Heliyon","id":"ITEM-1","issued":{"date-parts":[["2020"]]},"page":"e05388","title":"The relationship between properties of plant-based biochars and sorption of Cd(II), Pb(II) and Zn(II) in soil model systems","type":"article-journal","volume":"6"},"uris":["http://www.mendeley.com/documents/?uuid=4cc1f56a-b6ca-4b2c-b02c-91ce5243ff75"]}],"mendeley":{"formattedCitation":"(Soria et al., 2020)","manualFormatting":"Soria et al. (2020)","plainTextFormattedCitation":"(Soria et al., 2020)","previouslyFormattedCitation":"(Soria et al., 2020)"},"properties":{"noteIndex":0},"schema":"https://github.com/citation-style-language/schema/raw/master/csl-citation.json"}</w:instrText>
      </w:r>
      <w:r w:rsidR="00295074" w:rsidRPr="00216965">
        <w:fldChar w:fldCharType="separate"/>
      </w:r>
      <w:r w:rsidR="00295074" w:rsidRPr="00216965">
        <w:rPr>
          <w:noProof/>
        </w:rPr>
        <w:t>Soria et al. (2020)</w:t>
      </w:r>
      <w:r w:rsidR="00295074" w:rsidRPr="00216965">
        <w:fldChar w:fldCharType="end"/>
      </w:r>
      <w:r w:rsidR="00295074" w:rsidRPr="00216965">
        <w:t xml:space="preserve"> </w:t>
      </w:r>
      <w:r w:rsidRPr="00216965">
        <w:t>and is shown in</w:t>
      </w:r>
      <w:r w:rsidR="006D2F0E" w:rsidRPr="00216965">
        <w:t xml:space="preserve"> </w:t>
      </w:r>
      <w:r w:rsidR="00B34B0F" w:rsidRPr="00216965">
        <w:fldChar w:fldCharType="begin"/>
      </w:r>
      <w:r w:rsidR="00B34B0F" w:rsidRPr="00216965">
        <w:instrText xml:space="preserve"> REF _Ref86492902 \h </w:instrText>
      </w:r>
      <w:r w:rsidR="00216965" w:rsidRPr="00216965">
        <w:instrText xml:space="preserve"> \* MERGEFORMAT </w:instrText>
      </w:r>
      <w:r w:rsidR="00B34B0F"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1</w:t>
      </w:r>
      <w:r w:rsidR="00B34B0F" w:rsidRPr="00216965">
        <w:fldChar w:fldCharType="end"/>
      </w:r>
      <w:r w:rsidRPr="00216965">
        <w:t>. The biochar pellets were ground manually with a mortar and pestle and sieved through a 2 mm stainless steel screen for the study.</w:t>
      </w:r>
    </w:p>
    <w:p w14:paraId="1FBCD3AC" w14:textId="77777777" w:rsidR="006B380D" w:rsidRPr="00216965" w:rsidRDefault="006B380D" w:rsidP="008A33DA">
      <w:pPr>
        <w:pStyle w:val="Heading3"/>
      </w:pPr>
      <w:bookmarkStart w:id="191" w:name="_Ref86406016"/>
      <w:bookmarkStart w:id="192" w:name="_Toc86504665"/>
      <w:r w:rsidRPr="00216965">
        <w:t>Soil characterization</w:t>
      </w:r>
      <w:bookmarkEnd w:id="191"/>
      <w:bookmarkEnd w:id="192"/>
    </w:p>
    <w:p w14:paraId="2A113B30" w14:textId="37AD29B3" w:rsidR="006B380D" w:rsidRPr="00216965" w:rsidRDefault="006B380D" w:rsidP="008A33DA">
      <w:pPr>
        <w:spacing w:after="0" w:line="360" w:lineRule="auto"/>
        <w:jc w:val="both"/>
      </w:pPr>
      <w:r w:rsidRPr="00216965">
        <w:t xml:space="preserve">One tonne of multipurpose top-soil (BS3882 certified) was sourced from Quality Garden Supplies </w:t>
      </w:r>
      <w:r w:rsidR="004B5A5B" w:rsidRPr="00216965">
        <w:t>(Stafford,</w:t>
      </w:r>
      <w:r w:rsidR="004B5A5B" w:rsidRPr="00216965">
        <w:rPr>
          <w:rFonts w:ascii="Arial" w:hAnsi="Arial" w:cs="Arial"/>
          <w:color w:val="202124"/>
          <w:sz w:val="21"/>
          <w:szCs w:val="21"/>
          <w:shd w:val="clear" w:color="auto" w:fill="FFFFFF"/>
        </w:rPr>
        <w:t xml:space="preserve"> </w:t>
      </w:r>
      <w:r w:rsidRPr="00216965">
        <w:t>UK</w:t>
      </w:r>
      <w:r w:rsidR="004B5A5B" w:rsidRPr="00216965">
        <w:t>) on November 2017</w:t>
      </w:r>
      <w:r w:rsidRPr="00216965">
        <w:t xml:space="preserve">. The soil was classified as 70% sand, 20 % silt and 10% clay according to a particle size distribution analysis performed on the samples </w:t>
      </w:r>
      <w:r w:rsidRPr="00216965">
        <w:fldChar w:fldCharType="begin" w:fldLock="1"/>
      </w:r>
      <w:r w:rsidR="00F56BD7" w:rsidRPr="00216965">
        <w:instrText>ADDIN CSL_CITATION {"citationItems":[{"id":"ITEM-1","itemData":{"URL":"https://shop.bsigroup.com/ProductDetail/?pid=000000000030351284","accessed":{"date-parts":[["2021","5","10"]]},"author":[{"dropping-particle":"","family":"British Standards","given":"","non-dropping-particle":"","parse-names":false,"suffix":""}],"container-title":"European Standards","id":"ITEM-1","issued":{"date-parts":[["2018"]]},"title":"BS 1377-3:2018 Methods of test for soils for civil engineering purposes. Chemical and electro-chemical testing","type":"webpage"},"uris":["http://www.mendeley.com/documents/?uuid=276aee1e-5d16-4cf3-95db-005810ca06cb"]}],"mendeley":{"formattedCitation":"(British Standards, 2018)","plainTextFormattedCitation":"(British Standards, 2018)","previouslyFormattedCitation":"(British Standards, 2018)"},"properties":{"noteIndex":0},"schema":"https://github.com/citation-style-language/schema/raw/master/csl-citation.json"}</w:instrText>
      </w:r>
      <w:r w:rsidRPr="00216965">
        <w:fldChar w:fldCharType="separate"/>
      </w:r>
      <w:r w:rsidR="00330A4F" w:rsidRPr="00216965">
        <w:rPr>
          <w:noProof/>
        </w:rPr>
        <w:t>(British Standards, 2018)</w:t>
      </w:r>
      <w:r w:rsidRPr="00216965">
        <w:fldChar w:fldCharType="end"/>
      </w:r>
      <w:r w:rsidRPr="00216965">
        <w:t>. The soil organic matter content was 4.98 ± 0.58 % (determined using the K</w:t>
      </w:r>
      <w:r w:rsidRPr="00216965">
        <w:rPr>
          <w:vertAlign w:val="subscript"/>
        </w:rPr>
        <w:t>2</w:t>
      </w:r>
      <w:r w:rsidRPr="00216965">
        <w:t>Cr</w:t>
      </w:r>
      <w:r w:rsidRPr="00216965">
        <w:rPr>
          <w:vertAlign w:val="subscript"/>
        </w:rPr>
        <w:t>2</w:t>
      </w:r>
      <w:r w:rsidRPr="00216965">
        <w:t>O</w:t>
      </w:r>
      <w:r w:rsidRPr="00216965">
        <w:rPr>
          <w:vertAlign w:val="subscript"/>
        </w:rPr>
        <w:t>7</w:t>
      </w:r>
      <w:r w:rsidRPr="00216965">
        <w:t xml:space="preserve"> titration method with FeSO</w:t>
      </w:r>
      <w:r w:rsidRPr="00216965">
        <w:rPr>
          <w:vertAlign w:val="subscript"/>
        </w:rPr>
        <w:t>4</w:t>
      </w:r>
      <w:r w:rsidRPr="00216965">
        <w:t>),</w:t>
      </w:r>
      <w:r w:rsidRPr="00216965">
        <w:rPr>
          <w:vertAlign w:val="subscript"/>
        </w:rPr>
        <w:t xml:space="preserve"> </w:t>
      </w:r>
      <w:r w:rsidRPr="00216965">
        <w:t>bulk density was 1.18 ± 0.01 g.cm</w:t>
      </w:r>
      <w:r w:rsidRPr="00216965">
        <w:rPr>
          <w:vertAlign w:val="superscript"/>
        </w:rPr>
        <w:t>-3</w:t>
      </w:r>
      <w:r w:rsidRPr="00216965">
        <w:t>, pH was 7.16 ± 0.03 and electric conductivity (EC) was 977 ± 39 μS</w:t>
      </w:r>
      <w:r w:rsidR="008563DC" w:rsidRPr="00216965">
        <w:t>.cm</w:t>
      </w:r>
      <w:r w:rsidR="008563DC" w:rsidRPr="00216965">
        <w:rPr>
          <w:vertAlign w:val="superscript"/>
        </w:rPr>
        <w:t>-1</w:t>
      </w:r>
      <w:r w:rsidRPr="00216965">
        <w:t xml:space="preserve"> </w:t>
      </w:r>
      <w:r w:rsidRPr="00216965">
        <w:fldChar w:fldCharType="begin" w:fldLock="1"/>
      </w:r>
      <w:r w:rsidR="00F56BD7" w:rsidRPr="00216965">
        <w:instrText>ADDIN CSL_CITATION {"citationItems":[{"id":"ITEM-1","itemData":{"URL":"https://shop.bsigroup.com/ProductDetail/?pid=000000000030351284","accessed":{"date-parts":[["2021","5","10"]]},"author":[{"dropping-particle":"","family":"British Standards","given":"","non-dropping-particle":"","parse-names":false,"suffix":""}],"container-title":"European Standards","id":"ITEM-1","issued":{"date-parts":[["2018"]]},"title":"BS 1377-3:2018 Methods of test for soils for civil engineering purposes. Chemical and electro-chemical testing","type":"webpage"},"uris":["http://www.mendeley.com/documents/?uuid=276aee1e-5d16-4cf3-95db-005810ca06cb"]}],"mendeley":{"formattedCitation":"(British Standards, 2018)","plainTextFormattedCitation":"(British Standards, 2018)","previouslyFormattedCitation":"(British Standards, 2018)"},"properties":{"noteIndex":0},"schema":"https://github.com/citation-style-language/schema/raw/master/csl-citation.json"}</w:instrText>
      </w:r>
      <w:r w:rsidRPr="00216965">
        <w:fldChar w:fldCharType="separate"/>
      </w:r>
      <w:r w:rsidR="00330A4F" w:rsidRPr="00216965">
        <w:rPr>
          <w:noProof/>
        </w:rPr>
        <w:t>(British Standards, 2018)</w:t>
      </w:r>
      <w:r w:rsidRPr="00216965">
        <w:fldChar w:fldCharType="end"/>
      </w:r>
      <w:r w:rsidRPr="00216965">
        <w:t xml:space="preserve">. The content of </w:t>
      </w:r>
      <w:r w:rsidR="008563DC" w:rsidRPr="00216965">
        <w:t xml:space="preserve"> </w:t>
      </w:r>
      <w:r w:rsidRPr="00216965">
        <w:t>bioavailable</w:t>
      </w:r>
      <w:r w:rsidR="008563DC" w:rsidRPr="00216965">
        <w:t xml:space="preserve"> </w:t>
      </w:r>
      <w:r w:rsidRPr="00216965">
        <w:t xml:space="preserve"> phosphates</w:t>
      </w:r>
      <w:r w:rsidR="008563DC" w:rsidRPr="00216965">
        <w:t xml:space="preserve"> </w:t>
      </w:r>
      <w:r w:rsidRPr="00216965">
        <w:t xml:space="preserve"> in </w:t>
      </w:r>
      <w:r w:rsidR="008563DC" w:rsidRPr="00216965">
        <w:t xml:space="preserve"> </w:t>
      </w:r>
      <w:r w:rsidRPr="00216965">
        <w:t xml:space="preserve">the </w:t>
      </w:r>
      <w:r w:rsidR="008563DC" w:rsidRPr="00216965">
        <w:t xml:space="preserve"> </w:t>
      </w:r>
      <w:r w:rsidRPr="00216965">
        <w:t>soil was 105 ± 6 mg.kg</w:t>
      </w:r>
      <w:r w:rsidRPr="00216965">
        <w:rPr>
          <w:vertAlign w:val="superscript"/>
        </w:rPr>
        <w:t xml:space="preserve">-1 </w:t>
      </w:r>
      <w:r w:rsidRPr="00216965">
        <w:t>and nitrates was 332 ± 14 mg.kg</w:t>
      </w:r>
      <w:r w:rsidRPr="00216965">
        <w:rPr>
          <w:vertAlign w:val="superscript"/>
        </w:rPr>
        <w:t>-1</w:t>
      </w:r>
      <w:r w:rsidRPr="00216965">
        <w:t xml:space="preserve">, determined by the Olsen </w:t>
      </w:r>
      <w:r w:rsidRPr="00216965">
        <w:fldChar w:fldCharType="begin" w:fldLock="1"/>
      </w:r>
      <w:r w:rsidR="006C06AA" w:rsidRPr="00216965">
        <w:instrText>ADDIN CSL_CITATION {"citationItems":[{"id":"ITEM-1","itemData":{"DOI":"10.1080/00103624.2014.911304","ISSN":"15322416","abstract":"The Mehlich 3 method for the determination of available phosphorus (P) is less laborious compared to the Olsen method and provides the advantage of multielement analysis. However, in Greece the Olsen P method is currently used because of its suitability for calcareous soils. The aims of this study were to compare (a) the Mehlich 3 and Olsen methods for 200 soils having different levels of pH and calcium carbonate and (b) Mehlich 3 colorimetric and Mehlich 3 inductively coupled plasma (ICP) analysis for 17 acidic and 23 alkaline soils. The correlation of Mehlich 3 P and Olsen P methods, excluding soils with pH less than 5 and soils with calcium carbonate levels from 10.3 to 48.3%, resulted in a linear slope of 0.24 and r2 of 0.82, and thus for this range of soils the Mehlich 3 test provided a more reliable measurement of P compared to the Olsen method. This study confirms also previous results that show that Mehlich 3 ICP test measures more P compared to Mehlich 3 colorimetry. © Taylor &amp; Francis Group, LLC.","author":[{"dropping-particle":"","family":"Iatrou","given":"M.","non-dropping-particle":"","parse-names":false,"suffix":""},{"dropping-particle":"","family":"Papadopoulos","given":"A.","non-dropping-particle":"","parse-names":false,"suffix":""},{"dropping-particle":"","family":"Papadopoulos","given":"F.","non-dropping-particle":"","parse-names":false,"suffix":""},{"dropping-particle":"","family":"Dichala","given":"O.","non-dropping-particle":"","parse-names":false,"suffix":""},{"dropping-particle":"","family":"Psoma","given":"P.","non-dropping-particle":"","parse-names":false,"suffix":""},{"dropping-particle":"","family":"Bountla","given":"A.","non-dropping-particle":"","parse-names":false,"suffix":""}],"container-title":"Communications in Soil Science and Plant Analysis","id":"ITEM-1","issue":"16","issued":{"date-parts":[["2014"]]},"page":"2207-2214","publisher":"Taylor and Francis Inc.","title":"Determination of soil available phosphorus using the Olsen and Mehlich 3 methods for Greek soils having variable amounts of calcium carbonate","type":"article-journal","volume":"45"},"uris":["http://www.mendeley.com/documents/?uuid=f6e7b641-c887-3a72-a862-ce5f41f1f28c"]}],"mendeley":{"formattedCitation":"(Iatrou et al., 2014)","plainTextFormattedCitation":"(Iatrou et al., 2014)","previouslyFormattedCitation":"(Iatrou et al., 2014)"},"properties":{"noteIndex":0},"schema":"https://github.com/citation-style-language/schema/raw/master/csl-citation.json"}</w:instrText>
      </w:r>
      <w:r w:rsidRPr="00216965">
        <w:fldChar w:fldCharType="separate"/>
      </w:r>
      <w:r w:rsidR="00C83E62" w:rsidRPr="00216965">
        <w:rPr>
          <w:noProof/>
        </w:rPr>
        <w:t>(Iatrou et al., 2014)</w:t>
      </w:r>
      <w:r w:rsidRPr="00216965">
        <w:fldChar w:fldCharType="end"/>
      </w:r>
      <w:r w:rsidRPr="00216965">
        <w:t xml:space="preserve"> and vanadium chloride </w:t>
      </w:r>
      <w:r w:rsidRPr="00216965">
        <w:fldChar w:fldCharType="begin" w:fldLock="1"/>
      </w:r>
      <w:r w:rsidR="006C06AA" w:rsidRPr="00216965">
        <w:instrText>ADDIN CSL_CITATION {"citationItems":[{"id":"ITEM-1","itemData":{"DOI":"10.1006/niox.2000.0319","ISSN":"10898603","PMID":"11178938","abstract":"Numerous methods are available for measurement of nitrate (NO3-). However, these assays can either be time consuming or require specialized equipment (e.g., nitrate reductase, chemiluminescent detector). We have developed a method for simultaneous evaluation of nitrate and nitrite concentrations in a microtiter plate format. The principle of this assay is reduction of nitrate by vanadium(III) combined with detection by the acidic Griess reaction. This assay is sensitive to 0.5 μM NO3- and is useful in a variety of fluids including cell culture media, serum, and plasma. S-Nitrosothiols and L-arginine derivatives were found to be potential interfering agents. However, these compounds are generally minor constituents of biological fluids relative to the concentration of nitrate/nitrite. This report introduces a new, convenient assay for the stable oxidation products of nitrogen oxide chemistry in biological samples. © 2001 Academic Press.","author":[{"dropping-particle":"","family":"Miranda","given":"Katrina M.","non-dropping-particle":"","parse-names":false,"suffix":""},{"dropping-particle":"","family":"Espey","given":"Michael G.","non-dropping-particle":"","parse-names":false,"suffix":""},{"dropping-particle":"","family":"Wink","given":"David A.","non-dropping-particle":"","parse-names":false,"suffix":""}],"container-title":"Nitric Oxide - Biology and Chemistry","id":"ITEM-1","issue":"1","issued":{"date-parts":[["2001"]]},"page":"62-71","title":"A rapid, simple spectrophotometric method for simultaneous detection of nitrate and nitrite","type":"article-journal","volume":"5"},"uris":["http://www.mendeley.com/documents/?uuid=71be7075-33f3-48f7-b4a7-a2334dc0442f"]}],"mendeley":{"formattedCitation":"(Miranda et al., 2001)","plainTextFormattedCitation":"(Miranda et al., 2001)","previouslyFormattedCitation":"(Miranda et al., 2001)"},"properties":{"noteIndex":0},"schema":"https://github.com/citation-style-language/schema/raw/master/csl-citation.json"}</w:instrText>
      </w:r>
      <w:r w:rsidRPr="00216965">
        <w:fldChar w:fldCharType="separate"/>
      </w:r>
      <w:r w:rsidR="001974AA" w:rsidRPr="00216965">
        <w:rPr>
          <w:noProof/>
        </w:rPr>
        <w:t>(Miranda et al., 2001)</w:t>
      </w:r>
      <w:r w:rsidRPr="00216965">
        <w:fldChar w:fldCharType="end"/>
      </w:r>
      <w:r w:rsidRPr="00216965">
        <w:t xml:space="preserve"> methods, respectively. </w:t>
      </w:r>
    </w:p>
    <w:p w14:paraId="721861C6" w14:textId="77777777" w:rsidR="006B380D" w:rsidRPr="00216965" w:rsidRDefault="006B380D" w:rsidP="008A33DA">
      <w:pPr>
        <w:pStyle w:val="Heading3"/>
      </w:pPr>
      <w:bookmarkStart w:id="193" w:name="_Ref86415090"/>
      <w:bookmarkStart w:id="194" w:name="_Toc86504666"/>
      <w:r w:rsidRPr="00216965">
        <w:t>Heavy metal contamination</w:t>
      </w:r>
      <w:bookmarkEnd w:id="193"/>
      <w:bookmarkEnd w:id="194"/>
    </w:p>
    <w:p w14:paraId="2C6BD1C2" w14:textId="463AA667" w:rsidR="006B380D" w:rsidRPr="00216965" w:rsidRDefault="006B380D" w:rsidP="008A33DA">
      <w:pPr>
        <w:tabs>
          <w:tab w:val="left" w:pos="2835"/>
        </w:tabs>
        <w:spacing w:line="360" w:lineRule="auto"/>
        <w:jc w:val="both"/>
      </w:pPr>
      <w:r w:rsidRPr="00216965">
        <w:t>The experimental soil (above) was contaminated artificially with selected HMs, to produce four treatments: three containing single additions of Zn, Cd or Pb; the other containing a mixture of these elements, with a control lacking metal additions. These soils are respectively referred to as Zn-soil, Cd-soil, Pb-soil and Mix-soil. Four perforated plastic pots (41.5 cm diameter and 35 cm depth</w:t>
      </w:r>
      <w:r w:rsidRPr="00216965">
        <w:rPr>
          <w:color w:val="3D3D3D"/>
        </w:rPr>
        <w:t>)</w:t>
      </w:r>
      <w:r w:rsidRPr="00216965">
        <w:t xml:space="preserve"> were each filled with 15 kg of soil and </w:t>
      </w:r>
      <w:r w:rsidRPr="00216965">
        <w:lastRenderedPageBreak/>
        <w:t>artificially contaminated using 2.084 g.L</w:t>
      </w:r>
      <w:r w:rsidRPr="00216965">
        <w:rPr>
          <w:vertAlign w:val="superscript"/>
        </w:rPr>
        <w:t>-1</w:t>
      </w:r>
      <w:r w:rsidRPr="00216965">
        <w:t xml:space="preserve"> ZnCl</w:t>
      </w:r>
      <w:r w:rsidRPr="00216965">
        <w:rPr>
          <w:vertAlign w:val="subscript"/>
        </w:rPr>
        <w:t>2</w:t>
      </w:r>
      <w:r w:rsidRPr="00216965">
        <w:t>, 1.6 g.L</w:t>
      </w:r>
      <w:r w:rsidRPr="00216965">
        <w:rPr>
          <w:vertAlign w:val="superscript"/>
        </w:rPr>
        <w:t>-1</w:t>
      </w:r>
      <w:r w:rsidRPr="00216965">
        <w:t xml:space="preserve"> Pb(NO</w:t>
      </w:r>
      <w:r w:rsidRPr="00216965">
        <w:rPr>
          <w:vertAlign w:val="subscript"/>
        </w:rPr>
        <w:t>3</w:t>
      </w:r>
      <w:r w:rsidRPr="00216965">
        <w:t>)</w:t>
      </w:r>
      <w:r w:rsidRPr="00216965">
        <w:rPr>
          <w:vertAlign w:val="subscript"/>
        </w:rPr>
        <w:t>2</w:t>
      </w:r>
      <w:r w:rsidRPr="00216965">
        <w:t xml:space="preserve"> or 24.7 mg.L</w:t>
      </w:r>
      <w:r w:rsidRPr="00216965">
        <w:rPr>
          <w:vertAlign w:val="superscript"/>
        </w:rPr>
        <w:t>-1</w:t>
      </w:r>
      <w:r w:rsidRPr="00216965">
        <w:t xml:space="preserve"> Cd(NO</w:t>
      </w:r>
      <w:r w:rsidRPr="00216965">
        <w:rPr>
          <w:vertAlign w:val="subscript"/>
        </w:rPr>
        <w:t>3</w:t>
      </w:r>
      <w:r w:rsidRPr="00216965">
        <w:t>)</w:t>
      </w:r>
      <w:r w:rsidRPr="00216965">
        <w:rPr>
          <w:vertAlign w:val="subscript"/>
        </w:rPr>
        <w:t>2</w:t>
      </w:r>
      <w:r w:rsidRPr="00216965">
        <w:t xml:space="preserve"> solutions accordingly. The spike/leach procedure to prepare samples for trace metal eco-toxicity soil testing recommended by </w:t>
      </w:r>
      <w:r w:rsidRPr="00216965">
        <w:fldChar w:fldCharType="begin" w:fldLock="1"/>
      </w:r>
      <w:r w:rsidR="00F56BD7" w:rsidRPr="00216965">
        <w:instrText>ADDIN CSL_CITATION {"citationItems":[{"id":"ITEM-1","itemData":{"DOI":"10.1080/00103624.2012.760576","ISBN":"0010-3624","ISSN":"00103624","abstract":"Soil trace metal ecotoxicity testing requires a set of soil samples with increasing metal concentrations that are otherwise chemically similar. Leaching samples amended with soluble metal salts has been proposed as a means to reduce chemical artefacts of the spiking procedure (i.e., salt effect), thereby improving their environmental relevance. Demonstrating with copper (Cu), we proposed a spike/leach procedure whereby metal solutions were added to test soils over 5 days and subsequently leached with dilute nutrient solutions until the electrical conductivity in leachates stabilized. During the 5 days of Cu additions, pH in leachates from Cu-spiked samples decreased by up to 0.90 pH units and showed up to 30- and 25-fold increases in calcium (Ca) and magnesium (Mg) concentrations, indicative of the salt effect. Leaching removed the excess acidity and dissolved cations and minimized the differences in leachate pH, Ca, Mg, aluminum (Al), iron (Fe), manganese (Mn), and dissolved organic carbon (DOC) concentrations between control and Cu-spiked samples. Leaching also reduced dissolved Cu concentrations in spiked samples by up to an order of magnitude, resulting in more environmentally relevant concentrations than were achieved prior to leaching.","author":[{"dropping-particle":"","family":"Schwertfeger","given":"D. M.","non-dropping-particle":"","parse-names":false,"suffix":""},{"dropping-particle":"","family":"Hendershot","given":"W. H.","non-dropping-particle":"","parse-names":false,"suffix":""}],"container-title":"Communications in Soil Science and Plant Analysis","id":"ITEM-1","issue":"10","issued":{"date-parts":[["2013"]]},"page":"1570-1587","title":"Spike/leach procedure to prepare soil samples for trace metal ecotoxicity testing: Method development using copper","type":"article-journal","volume":"44"},"uris":["http://www.mendeley.com/documents/?uuid=2bdf7854-389a-49a4-ad76-33d8eaa5a173"]}],"mendeley":{"formattedCitation":"(Schwertfeger and Hendershot, 2013)","manualFormatting":"Schwertfeger and Hendershot (2013)","plainTextFormattedCitation":"(Schwertfeger and Hendershot, 2013)","previouslyFormattedCitation":"(Schwertfeger and Hendershot, 2013)"},"properties":{"noteIndex":0},"schema":"https://github.com/citation-style-language/schema/raw/master/csl-citation.json"}</w:instrText>
      </w:r>
      <w:r w:rsidRPr="00216965">
        <w:fldChar w:fldCharType="separate"/>
      </w:r>
      <w:r w:rsidRPr="00216965">
        <w:rPr>
          <w:noProof/>
        </w:rPr>
        <w:t>Schwertfeger and Hendershot (2013)</w:t>
      </w:r>
      <w:r w:rsidRPr="00216965">
        <w:fldChar w:fldCharType="end"/>
      </w:r>
      <w:r w:rsidRPr="00216965">
        <w:t xml:space="preserve"> was adapted to create more environmentally-relevant concentrations. The soil was spiked progressively over four days. On day 1 the soils were pre-treated with deionized water added in 500 mL increments over 3 hours until water holding capacity was reached. The solutions of HMs were added from day 2 by progressively adding 3 L of metal solution per day over a period of 3 hours. The soil was then left to stabilize for 2 months (January-February 2018) under field conditions. </w:t>
      </w:r>
    </w:p>
    <w:p w14:paraId="3F5AB773" w14:textId="77777777" w:rsidR="006B380D" w:rsidRPr="00216965" w:rsidRDefault="006B380D" w:rsidP="008A33DA">
      <w:pPr>
        <w:pStyle w:val="Heading3"/>
      </w:pPr>
      <w:bookmarkStart w:id="195" w:name="_Toc86504667"/>
      <w:r w:rsidRPr="00216965">
        <w:t xml:space="preserve">Experiment A: Controlled environment incubations with </w:t>
      </w:r>
      <w:r w:rsidRPr="00216965">
        <w:rPr>
          <w:i/>
        </w:rPr>
        <w:t>Arabidopsis thaliana-Col 0</w:t>
      </w:r>
      <w:bookmarkEnd w:id="195"/>
    </w:p>
    <w:p w14:paraId="163C848E" w14:textId="77777777" w:rsidR="006B380D" w:rsidRPr="00216965" w:rsidRDefault="006B380D" w:rsidP="008A33DA">
      <w:pPr>
        <w:pStyle w:val="Heading4"/>
      </w:pPr>
      <w:bookmarkStart w:id="196" w:name="_Ref86414881"/>
      <w:r w:rsidRPr="00216965">
        <w:t>Experiment set up</w:t>
      </w:r>
      <w:bookmarkEnd w:id="196"/>
    </w:p>
    <w:p w14:paraId="69E744E1" w14:textId="3C8888DD" w:rsidR="008574C0" w:rsidRPr="00216965" w:rsidRDefault="006B380D" w:rsidP="008A33DA">
      <w:pPr>
        <w:spacing w:line="360" w:lineRule="auto"/>
        <w:jc w:val="both"/>
      </w:pPr>
      <w:r w:rsidRPr="00216965">
        <w:t>An incubation experiment under controlled conditions was set up with the contaminated soil. The soil was air-dried, ground and passed through a 2 mm stainless steel sieve. Plastic pots (8.5 cm depth, 6 cm diameter) were used with a layer of fibreglass placed at the bottom to prevent soil loss during irrigation through drainage holes. Each pot contained 0.1 L of either soil or a soil and biochar mixture from each treatment. Biochar was added at 1%, 3% or 5 % on a dry weight basis (</w:t>
      </w:r>
      <w:r w:rsidRPr="00216965">
        <w:rPr>
          <w:i/>
        </w:rPr>
        <w:t>w/w</w:t>
      </w:r>
      <w:r w:rsidRPr="00216965">
        <w:t xml:space="preserve">) - the optimum rates for application to agricultural soil </w:t>
      </w:r>
      <w:r w:rsidRPr="00216965">
        <w:fldChar w:fldCharType="begin" w:fldLock="1"/>
      </w:r>
      <w:r w:rsidR="006C06AA" w:rsidRPr="00216965">
        <w:instrText>ADDIN CSL_CITATION {"citationItems":[{"id":"ITEM-1","itemData":{"DOI":"10.1016/j.chemosphere.2016.01.044","ISSN":"00456535","author":[{"dropping-particle":"","family":"Yin","given":"Daixia","non-dropping-particle":"","parse-names":false,"suffix":""},{"dropping-particle":"","family":"Wang","given":"Xin","non-dropping-particle":"","parse-names":false,"suffix":""},{"dropping-particle":"","family":"Chen","given":"Can","non-dropping-particle":"","parse-names":false,"suffix":""},{"dropping-particle":"","family":"Peng","given":"Bo","non-dropping-particle":"","parse-names":false,"suffix":""},{"dropping-particle":"","family":"Tan","given":"Changyin","non-dropping-particle":"","parse-names":false,"suffix":""},{"dropping-particle":"","family":"Li","given":"Hailong","non-dropping-particle":"","parse-names":false,"suffix":""}],"container-title":"Chemosphere","id":"ITEM-1","issued":{"date-parts":[["2016","6"]]},"page":"196-206","title":"Varying effect of biochar on Cd, Pb and As mobility in a multi-metal contaminated paddy soil","type":"article-journal","volume":"152"},"uris":["http://www.mendeley.com/documents/?uuid=25a616c9-2f7f-38e3-afdf-467c5f002eec"]}],"mendeley":{"formattedCitation":"(Yin et al., 2016)","plainTextFormattedCitation":"(Yin et al., 2016)","previouslyFormattedCitation":"(Yin et al., 2016)"},"properties":{"noteIndex":0},"schema":"https://github.com/citation-style-language/schema/raw/master/csl-citation.json"}</w:instrText>
      </w:r>
      <w:r w:rsidRPr="00216965">
        <w:fldChar w:fldCharType="separate"/>
      </w:r>
      <w:r w:rsidR="00C83E62" w:rsidRPr="00216965">
        <w:rPr>
          <w:noProof/>
        </w:rPr>
        <w:t>(Yin et al., 2016)</w:t>
      </w:r>
      <w:r w:rsidRPr="00216965">
        <w:fldChar w:fldCharType="end"/>
      </w:r>
      <w:r w:rsidRPr="00216965">
        <w:t>. These biochar application rates corresponded to 24, 73 and 124 t biochar ha</w:t>
      </w:r>
      <w:r w:rsidRPr="00216965">
        <w:rPr>
          <w:vertAlign w:val="superscript"/>
        </w:rPr>
        <w:t>-1</w:t>
      </w:r>
      <w:r w:rsidRPr="00216965">
        <w:t xml:space="preserve">. </w:t>
      </w:r>
    </w:p>
    <w:p w14:paraId="2AB603E5" w14:textId="56ADF044" w:rsidR="006B380D" w:rsidRPr="00216965" w:rsidRDefault="006B380D" w:rsidP="008A33DA">
      <w:pPr>
        <w:spacing w:line="360" w:lineRule="auto"/>
        <w:jc w:val="both"/>
      </w:pPr>
      <w:r w:rsidRPr="00216965">
        <w:t xml:space="preserve">Pots containing the HM-spiked soils without biochar (0%) were used as controls. Pots were prepared in triplicate, giving a total of 156 pots (4 soil treatments </w:t>
      </w:r>
      <m:oMath>
        <m:r>
          <w:rPr>
            <w:rFonts w:ascii="Cambria Math" w:hAnsi="Cambria Math"/>
          </w:rPr>
          <m:t>×</m:t>
        </m:r>
      </m:oMath>
      <w:r w:rsidRPr="00216965">
        <w:t xml:space="preserve"> 4 biochars </w:t>
      </w:r>
      <m:oMath>
        <m:r>
          <w:rPr>
            <w:rFonts w:ascii="Cambria Math" w:hAnsi="Cambria Math"/>
          </w:rPr>
          <m:t>×</m:t>
        </m:r>
      </m:oMath>
      <w:r w:rsidRPr="00216965">
        <w:t xml:space="preserve"> 3 biochar application rates </w:t>
      </w:r>
      <m:oMath>
        <m:r>
          <w:rPr>
            <w:rFonts w:ascii="Cambria Math" w:hAnsi="Cambria Math"/>
          </w:rPr>
          <m:t>×</m:t>
        </m:r>
      </m:oMath>
      <w:r w:rsidRPr="00216965">
        <w:t xml:space="preserve"> 3 replicates </w:t>
      </w:r>
      <m:oMath>
        <m:r>
          <w:rPr>
            <w:rFonts w:ascii="Cambria Math" w:eastAsia="Cambria Math" w:hAnsi="Cambria Math" w:cs="Cambria Math"/>
          </w:rPr>
          <m:t>+</m:t>
        </m:r>
      </m:oMath>
      <w:r w:rsidRPr="00216965">
        <w:t xml:space="preserve"> 4 soil treatments (controls without biochar) </w:t>
      </w:r>
      <m:oMath>
        <m:r>
          <w:rPr>
            <w:rFonts w:ascii="Cambria Math" w:hAnsi="Cambria Math"/>
          </w:rPr>
          <m:t>×</m:t>
        </m:r>
      </m:oMath>
      <w:r w:rsidRPr="00216965">
        <w:t xml:space="preserve"> 3 replicates). Each pot was placed in a petri dish and deionized water added to reach 70 % water holding capacity. Pots were positioned randomly on benches inside a controlled environment room in darkness at 22 </w:t>
      </w:r>
      <w:r w:rsidRPr="00216965">
        <w:rPr>
          <w:rFonts w:ascii="Cambria Math" w:eastAsia="Cambria Math" w:hAnsi="Cambria Math" w:cs="Cambria Math"/>
        </w:rPr>
        <w:t>⁰</w:t>
      </w:r>
      <w:r w:rsidRPr="00216965">
        <w:t xml:space="preserve">C and left to equilibrate for 1 week. </w:t>
      </w:r>
    </w:p>
    <w:p w14:paraId="23C02689" w14:textId="267452B1" w:rsidR="006B380D" w:rsidRPr="00216965" w:rsidRDefault="006B380D" w:rsidP="008A33DA">
      <w:pPr>
        <w:spacing w:line="360" w:lineRule="auto"/>
        <w:jc w:val="both"/>
      </w:pPr>
      <w:r w:rsidRPr="00216965">
        <w:t xml:space="preserve">Seeds of </w:t>
      </w:r>
      <w:r w:rsidRPr="00216965">
        <w:rPr>
          <w:i/>
        </w:rPr>
        <w:t xml:space="preserve">Arabidopsis thaliana </w:t>
      </w:r>
      <w:r w:rsidRPr="00216965">
        <w:t>ecotype Col-0 were stratified by mixing 300 mg of seeds with 3.5 mL of deionized water and incubated at 4 °C in the dark for 48 h. Due to the small size of the seeds, these were added on a volume basis. After stratification the mixture was vortexed for 5 seconds and 20 μ</w:t>
      </w:r>
      <w:r w:rsidR="00295074" w:rsidRPr="00216965">
        <w:t>L</w:t>
      </w:r>
      <w:r w:rsidRPr="00216965">
        <w:t xml:space="preserve"> of the seed suspension distributed evenly </w:t>
      </w:r>
      <w:r w:rsidRPr="00216965">
        <w:lastRenderedPageBreak/>
        <w:t xml:space="preserve">on the surface of each pot. </w:t>
      </w:r>
      <w:r w:rsidRPr="00216965">
        <w:rPr>
          <w:i/>
        </w:rPr>
        <w:t xml:space="preserve">Arabidopsis thaliana </w:t>
      </w:r>
      <w:r w:rsidRPr="00216965">
        <w:t>was selected</w:t>
      </w:r>
      <w:r w:rsidRPr="00216965">
        <w:rPr>
          <w:i/>
        </w:rPr>
        <w:t xml:space="preserve"> </w:t>
      </w:r>
      <w:r w:rsidRPr="00216965">
        <w:t xml:space="preserve">as it is known to be sensitive to HMs and its growth cycle and genome have been widely studied </w:t>
      </w:r>
      <w:r w:rsidRPr="00216965">
        <w:fldChar w:fldCharType="begin" w:fldLock="1"/>
      </w:r>
      <w:r w:rsidR="006C06AA" w:rsidRPr="00216965">
        <w:instrText>ADDIN CSL_CITATION {"citationItems":[{"id":"ITEM-1","itemData":{"DOI":"10.3389/fpls.2015.00167","ISSN":"1664-462X","abstract":"Leaf area growth determines the light interception capacity of a crop and is often used as a surrogate for plant growth in high-throughput phenotyping systems. The relationship between leaf area growth and growth in terms of mass will depend on how carbon is partitioned among new leaf area, leaf mass, root mass, reproduction, and respiration. A model of leaf area growth in terms of photosynthetic rate and carbon partitioning to different plant organs was developed and tested with Arabidopsis thaliana L. Heynh. ecotype Columbia (Col-0) and a mutant line, gigantea-2 (gi-2), which develops very large rosettes. Data obtained from growth analysis and gas exchange measurements was used to train a genetic programming algorithm to parameterize and test the above model. The relationship between leaf area and plant biomass was found to be non-linear and variable depending on carbon partitioning. The model output was sensitive to the rate of photosynthesis but more sensitive to the amount of carbon partitioned to growing thicker leaves. The large rosette size of gi-2 relative to that of Col-0 resulted from relatively small differences in partitioning to new leaf area vs. leaf thickness.","author":[{"dropping-particle":"","family":"Weraduwage","given":"Sarathi M.","non-dropping-particle":"","parse-names":false,"suffix":""},{"dropping-particle":"","family":"Chen","given":"Jin","non-dropping-particle":"","parse-names":false,"suffix":""},{"dropping-particle":"","family":"Anozie","given":"Fransisca C.","non-dropping-particle":"","parse-names":false,"suffix":""},{"dropping-particle":"","family":"Morales","given":"Alejandro","non-dropping-particle":"","parse-names":false,"suffix":""},{"dropping-particle":"","family":"Weise","given":"Sean E.","non-dropping-particle":"","parse-names":false,"suffix":""},{"dropping-particle":"","family":"Sharkey","given":"Thomas D.","non-dropping-particle":"","parse-names":false,"suffix":""}],"container-title":"Frontiers in Plant Science","id":"ITEM-1","issued":{"date-parts":[["2015","4","9"]]},"page":"167","publisher":"Frontiers Research Foundation","title":"The relationship between leaf area growth and biomass accumulation in Arabidopsis thaliana","type":"article-journal","volume":"6"},"uris":["http://www.mendeley.com/documents/?uuid=b3f16963-cc89-3ea6-985f-7ab77f765e87"]},{"id":"ITEM-2","itemData":{"DOI":"10.1016/j.chemosphere.2019.125168","ISSN":"18791298","PMID":"31678850","abstract":"Plants have evolved effective strategies to cope with heavy metals Cd toxicity, but the regulatory mechanism underlying Cd tolerance and accumulation are still poorly understood. miR156 has been shown to be the master regulator of development and stress response in plants. However, whether miR156 is also involved in plant Cd stress response remains unknown. Here, we show that plants overexpressing miR156 (miR156OE) accumulated significantly less Cd in the shoot, and conferred enhanced tolerance to Cd stress. Plants with a knocked-down level of miR156 (MIM156) were sensitive to Cd stress, and accumulated significantly higher Cd. Under Cd stress, miR156OE had significantly longer primary root length, higher biomass and chlorophyll content, increased activities of antioxidative enzymes and lower levels of endogenous reactive oxygen species (ROS), while MIM156 had the opposite phenotype. To investigate the underlying mechanism of miR156-mediated Cd stress response in Arabidopsis, we profiled the expression of several Cd transporter genes. The expression of Cd uptake transporter of AtZIP1</w:instrText>
      </w:r>
      <w:r w:rsidR="006C06AA" w:rsidRPr="00216965">
        <w:rPr>
          <w:rFonts w:ascii="MS Gothic" w:eastAsia="MS Gothic" w:hAnsi="MS Gothic" w:cs="MS Gothic" w:hint="eastAsia"/>
        </w:rPr>
        <w:instrText>、</w:instrText>
      </w:r>
      <w:r w:rsidR="006C06AA" w:rsidRPr="00216965">
        <w:instrText>AtZIP2 and vacuole segregated transporter AtABCC1 was significantly elevated in miR156OE, whereas it was significantly reduced in MIM156. MIM156 also led to an elevated level of AtHMA4 responsible for transporting Cd from the root to the shoot. Our results indicate that miR156 acts as a positive regulator of plant tolerance to Cd stress by modulating ROS levels and Cd uptake/transport genes expression. Therefore, our study adds a new layer of regulatory mechanism for Cd transport and tolerance in plants, and provides a perspective to regulate Cd transport artificially by modulating plant vegetative growth and development using miR156.","author":[{"dropping-particle":"","family":"Zhang","given":"Lu","non-dropping-particle":"","parse-names":false,"suffix":""},{"dropping-particle":"","family":"Ding","given":"Han","non-dropping-particle":"","parse-names":false,"suffix":""},{"dropping-particle":"","family":"Jiang","given":"Hailing","non-dropping-particle":"","parse-names":false,"suffix":""},{"dropping-particle":"","family":"Wang","given":"Huasen","non-dropping-particle":"","parse-names":false,"suffix":""},{"dropping-particle":"","family":"Chen","given":"Kexin","non-dropping-particle":"","parse-names":false,"suffix":""},{"dropping-particle":"","family":"Duan","given":"Jinju","non-dropping-particle":"","parse-names":false,"suffix":""},{"dropping-particle":"","family":"Feng","given":"Shengjun","non-dropping-particle":"","parse-names":false,"suffix":""},{"dropping-particle":"","family":"Wu","given":"Gang","non-dropping-particle":"","parse-names":false,"suffix":""}],"container-title":"Chemosphere","id":"ITEM-2","issued":{"date-parts":[["2020","3","1"]]},"page":"125168","publisher":"Elsevier Ltd","title":"Regulation of cadmium tolerance and accumulation by miR156 in Arabidopsis","type":"article-journal","volume":"242"},"uris":["http://www.mendeley.com/documents/?uuid=8638e75b-7ff1-3ef2-84e4-a19a3ce8f8d7"]},{"id":"ITEM-3","itemData":{"DOI":"10.1007/s00425-015-2400-7","ISSN":"14322048","PMID":"26345991","abstract":"Main conclusion: Arabidopsis plants in NaCl suffering half growth inhibition do not suffer osmotic stress and seldom shoot Na+toxicity; overaccumulation of Na+plus K+might trigger the inhibition. It is widely assumed that salinity inhibits plant growth by osmotic stress and shoot Na+ toxicity. This study aims to examine the growth inhibition of Arabidopsis thaliana by NaCl concentrations that allow the completion of the life cycle. Unaffected Col-0 wild-type plants were used to define nontoxic Na+ contents; Na+ toxicities in shoots and roots were analyzed in hkt1 and sos1 mutants, respectively. The growth inhibition of Col-0 plants at 40 mM Na+ was mild and equivalent to that produced by 8 and 4 mM Na+ in hkt1 and sos1 plants, respectively. Therefore, these mutants allowed to study the toxicity of Na+ in the absence of an osmotic challenge. Col-0 and Ts-1 accessions showed very different Na+ contents but similar growth inhibitions; Ts-1 plants showed very high leaf Na+ contents but no symptoms of Na+ toxicity. Ak-1, C24, and Fei-0 plants were highly affected by NaCl showing evident symptoms of shoot Na+ toxicity. Increasing K+ in isotonic NaCl/KCl combinations dramatically decreased the Na+ content in all Arabidopsis accessions and eliminated the signs of Na+ toxicity in most of them but did not relieve growth inhibition. This suggested that the dominant inhibition in these conditions was either osmotic or of an ionic nature unspecific for Na+ or K+. Col-0 and Ts-1 plants growing in sorbitol showed a clear osmotic stress cha</w:instrText>
      </w:r>
      <w:r w:rsidR="006C06AA" w:rsidRPr="00216965">
        <w:rPr>
          <w:lang w:val="fr-FR"/>
        </w:rPr>
        <w:instrText>racterized by a notable decrease of their water content, but this response did not occur in NaCl. Overaccumulation of Na+ plus K+ might trigger growth reduction in NaCl-treated plants.","author":[{"dropping-particle":"","family":"Álvarez-Aragón","given":"Rocío","non-dropping-particle":"","parse-names":false,"suffix":""},{"dropping-particle":"","family":"Haro","given":"Rosario","non-dropping-particle":"","parse-names":false,"suffix":""},{"dropping-particle":"","family":"Benito","given":"Begoña","non-dropping-particle":"","parse-names":false,"suffix":""},{"dropping-particle":"","family":"Rodríguez-Navarro","given":"Alonso","non-dropping-particle":"","parse-names":false,"suffix":""}],"container-title":"Planta","id":"ITEM-3","issue":"1","issued":{"date-parts":[["2016"]]},"page":"97-114","title":"Salt intolerance in Arabidopsis: shoot and root sodium toxicity, and inhibition by sodium-plus-potassium overaccumulation","type":"article-journal","volume":"243"},"uris":["http://www.mendeley.com/documents/?uuid=3ff1c798-c072-4725-ad2b-30eaa1c5e73a"]}],"mendeley":{"formattedCitation":"(Álvarez-Aragón et al., 2016; Weraduwage et al., 2015; Zhang et al., 2020)","plainTextFormattedCitation":"(Álvarez-Aragón et al., 2016; Weraduwage et al., 2015; Zhang et al., 2020)","previouslyFormattedCitation":"(Álvarez-Aragón et al., 2016; Weraduwage et al., 2015; Zhang et al., 2020)"},"properties":{"noteIndex":0},"schema":"https://github.com/citation-style-language/schema/raw/master/csl-citation.json"}</w:instrText>
      </w:r>
      <w:r w:rsidRPr="00216965">
        <w:fldChar w:fldCharType="separate"/>
      </w:r>
      <w:r w:rsidR="001974AA" w:rsidRPr="00216965">
        <w:rPr>
          <w:noProof/>
          <w:lang w:val="fr-FR"/>
        </w:rPr>
        <w:t>(Álvarez-Aragón et al., 2016; Weraduwage et al., 2015; Zhang et al., 2020)</w:t>
      </w:r>
      <w:r w:rsidRPr="00216965">
        <w:fldChar w:fldCharType="end"/>
      </w:r>
      <w:r w:rsidRPr="00216965">
        <w:rPr>
          <w:lang w:val="fr-FR"/>
        </w:rPr>
        <w:t xml:space="preserve">. </w:t>
      </w:r>
      <w:r w:rsidRPr="00216965">
        <w:t>Planted pots were incubated in a controlled environment chamber at 22</w:t>
      </w:r>
      <w:r w:rsidRPr="00216965">
        <w:rPr>
          <w:rFonts w:ascii="Cambria Math" w:eastAsia="Cambria Math" w:hAnsi="Cambria Math" w:cs="Cambria Math"/>
        </w:rPr>
        <w:t>⁰</w:t>
      </w:r>
      <w:r w:rsidRPr="00216965">
        <w:t xml:space="preserve">C with a photoperiod of 12 hours. All pots received the same amount of irrigation (10 mL of water every 48 hours) during the growth experiment. </w:t>
      </w:r>
    </w:p>
    <w:p w14:paraId="1D930E0B" w14:textId="77777777" w:rsidR="006B380D" w:rsidRPr="00216965" w:rsidRDefault="006B380D" w:rsidP="008A33DA">
      <w:pPr>
        <w:pStyle w:val="Heading4"/>
      </w:pPr>
      <w:r w:rsidRPr="00216965">
        <w:t>Plant performance analysis</w:t>
      </w:r>
    </w:p>
    <w:p w14:paraId="2D8E7F48" w14:textId="6E5ADD04" w:rsidR="006B380D" w:rsidRPr="00216965" w:rsidRDefault="006B380D" w:rsidP="008A33DA">
      <w:pPr>
        <w:spacing w:line="360" w:lineRule="auto"/>
        <w:jc w:val="both"/>
      </w:pPr>
      <w:r w:rsidRPr="00216965">
        <w:t xml:space="preserve">Ten days after sowing plants were positioned randomly over 8 trays and scanned using a chlorophyll fluorescence phenomics platform (PSI TrackScan, Czech Republic). The system has an RGB camera for measuring green leaf area and a pulse amplitude modulated (PAM) chlorophyll fluorometer for measuring photosynthetic parameters. The PAM fluorimeter was used to measure the maximum photochemical efficiency of photosystem PSII (Fv/Fm); Fv/Fm was measured after 5 min dark adaptation as defined in </w:t>
      </w:r>
      <w:r w:rsidRPr="00216965">
        <w:rPr>
          <w:lang w:val="en-US"/>
        </w:rPr>
        <w:fldChar w:fldCharType="begin" w:fldLock="1"/>
      </w:r>
      <w:r w:rsidR="006C06AA" w:rsidRPr="00216965">
        <w:rPr>
          <w:lang w:val="en-US"/>
        </w:rPr>
        <w:instrText>ADDIN CSL_CITATION {"citationItems":[{"id":"ITEM-1","itemData":{"DOI":"10.1016/j.flora.2011.02.004","ISBN":"0367-2530","ISSN":"03672530","abstract":"Chlorophyll a fluorescence has been adopted as a fast, non-invasive, and cheap method to detect stress effects in plants. The majority of these chl-fluorescence measurements have been carried out with 'clamping' fluorometers recording punctual chlorophyll a fluorescence at isolated parts of the leaf. However, this method is inherently limited in providing information on the homogeneity of responses to stresses at the leaf or whole plant level. Therefore the purpose of this study was to measure imaging chlorophyll a fluorescence and to compare the temporal and spatial distribution of this emission under allelochemical (2-3. H-benzoxazolinone and 3,4-dihydroxybenzaldehyde), thermal and salt, and heavy metal (cadmium, copper and zinc) treatment in the model plant Arabidopsis thaliana (L.) Heynh. The results suggested different spatial distributions for each condition: the two allelochemicals showed inhibition spots at the edges of the oldest leaves and both did not affect the photosynthetic activity of young leaves; treatment with the three heavy metals revealed highly homogenous effects over the whole plant with a quite uniform decrease of maximum PSII efficiency (also in youngest leaves). On the contrary, temperature (heat and cold) and salt stress showed an initial decrease of fluorescence in the tissues around the vascular bundles that lasted between 2 and 3. h depending on the treatment. These irregularities in chlorophyll fluorescence make it difficult to correlate punctual measures (typical for clamping fluorometers) with the effect on the whole plant, ignoring effects that are evident when imaging is used. Therefore these results show that monitoring chlorophyll a fluorescence by imaging improves the measurement of stress effects on treated plants, suggesting that punctual fluorescence measurements do not always reveal the heterogeneity of the stress-related effects in treated plants. © 2011 Elsevier GmbH.","author":[{"dropping-particle":"","family":"Martínez-Peñalver","given":"Ana","non-dropping-particle":"","parse-names":false,"suffix":""},{"dropping-particle":"","family":"Reigosa","given":"Manuel J.","non-dropping-particle":"","parse-names":false,"suffix":""},{"dropping-particle":"","family":"Sánchez-Moreiras","given":"Adela M.","non-dropping-particle":"","parse-names":false,"suffix":""}],"container-title":"Flora: Morphology, Distribution, Functional Ecology of Plants","id":"ITEM-1","issue":"9","issued":{"date-parts":[["2011"]]},"page":"836-844","title":"Imaging chlorophyll a fluorescence reveals specific spatial distributions under different stress conditions","type":"article-journal","volume":"206"},"uris":["http://www.mendeley.com/documents/?uuid=7bd9a7ec-dc65-46b1-b840-77ef975cb6e2"]}],"mendeley":{"formattedCitation":"(Martínez-Peñalver et al., 2011)","manualFormatting":"Martínez-Peñalver et al. (2011)","plainTextFormattedCitation":"(Martínez-Peñalver et al., 2011)","previouslyFormattedCitation":"(Martínez-Peñalver et al., 2011)"},"properties":{"noteIndex":0},"schema":"https://github.com/citation-style-language/schema/raw/master/csl-citation.json"}</w:instrText>
      </w:r>
      <w:r w:rsidRPr="00216965">
        <w:rPr>
          <w:lang w:val="en-US"/>
        </w:rPr>
        <w:fldChar w:fldCharType="separate"/>
      </w:r>
      <w:r w:rsidRPr="00216965">
        <w:rPr>
          <w:noProof/>
          <w:lang w:val="en-US"/>
        </w:rPr>
        <w:t xml:space="preserve">Martínez-Peñalver </w:t>
      </w:r>
      <w:r w:rsidR="009B2252" w:rsidRPr="00216965">
        <w:rPr>
          <w:iCs/>
          <w:noProof/>
          <w:lang w:val="en-US"/>
        </w:rPr>
        <w:t>et al</w:t>
      </w:r>
      <w:r w:rsidRPr="00216965">
        <w:rPr>
          <w:noProof/>
          <w:lang w:val="en-US"/>
        </w:rPr>
        <w:t>. (2011)</w:t>
      </w:r>
      <w:r w:rsidRPr="00216965">
        <w:rPr>
          <w:lang w:val="en-US"/>
        </w:rPr>
        <w:fldChar w:fldCharType="end"/>
      </w:r>
      <w:r w:rsidRPr="00216965">
        <w:t>. Plants were monitored daily by the phenomics platform over 14 days.</w:t>
      </w:r>
    </w:p>
    <w:p w14:paraId="4EB5CB57" w14:textId="77777777" w:rsidR="006B380D" w:rsidRPr="00216965" w:rsidRDefault="006B380D" w:rsidP="008A33DA">
      <w:pPr>
        <w:pStyle w:val="Heading4"/>
      </w:pPr>
      <w:r w:rsidRPr="00216965">
        <w:t>Plant growth</w:t>
      </w:r>
    </w:p>
    <w:p w14:paraId="2F46AECF" w14:textId="06389AED" w:rsidR="006B380D" w:rsidRPr="00216965" w:rsidRDefault="006B380D" w:rsidP="008A33DA">
      <w:pPr>
        <w:spacing w:line="360" w:lineRule="auto"/>
        <w:jc w:val="both"/>
      </w:pPr>
      <w:r w:rsidRPr="00216965">
        <w:t>Plant growth was estimated by plant green leaf area using the 2D images captured by the RGB camera. A four-parameter logistic model (</w:t>
      </w:r>
      <w:r w:rsidR="006D2F0E" w:rsidRPr="00216965">
        <w:fldChar w:fldCharType="begin"/>
      </w:r>
      <w:r w:rsidR="006D2F0E" w:rsidRPr="00216965">
        <w:instrText xml:space="preserve"> REF _Ref86412486 \h </w:instrText>
      </w:r>
      <w:r w:rsidR="00216965" w:rsidRPr="00216965">
        <w:instrText xml:space="preserve"> \* MERGEFORMAT </w:instrText>
      </w:r>
      <w:r w:rsidR="006D2F0E" w:rsidRPr="00216965">
        <w:fldChar w:fldCharType="separate"/>
      </w:r>
      <w:r w:rsidR="006E23EA" w:rsidRPr="00216965">
        <w:rPr>
          <w:b/>
          <w:bCs/>
        </w:rPr>
        <w:t xml:space="preserve">Eq. </w:t>
      </w:r>
      <w:r w:rsidR="006E23EA" w:rsidRPr="00216965">
        <w:rPr>
          <w:b/>
          <w:bCs/>
          <w:noProof/>
        </w:rPr>
        <w:t>10</w:t>
      </w:r>
      <w:r w:rsidR="006D2F0E" w:rsidRPr="00216965">
        <w:fldChar w:fldCharType="end"/>
      </w:r>
      <w:r w:rsidRPr="00216965">
        <w:t xml:space="preserve">) was fitted to the leaf area values over time using the non-linear least squares method, as suggested by </w:t>
      </w:r>
      <w:r w:rsidRPr="00216965">
        <w:fldChar w:fldCharType="begin" w:fldLock="1"/>
      </w:r>
      <w:r w:rsidR="006C06AA" w:rsidRPr="00216965">
        <w:instrText>ADDIN CSL_CITATION {"citationItems":[{"id":"ITEM-1","itemData":{"DOI":"10.1111/j.2041-210X.2011.00155.x","abstract":"1. Plant growth is a fundamental ecological process, integrating across scales from physiology to community dynamics and ecosystem properties. Recent improvements in plant growth modelling have allowed deeper understanding and more accurate predictions for a wide range of ecological issues, including competition among plants, plant-herbivore interactions and ecosystem functioning. 2. One challenge in modelling plant growth is that, for a variety of reasons, relative growth rate (RGR) almost universally decreases with increasing size, although traditional calculations assume that RGR is constant. Nonlinear growth models are flexible enough to account for varying growth rates. 3. We demonstrate a variety of nonlinear models that are appropriate for modelling plant growth and, for each, show how to calculate function-derived growth rates, which allow unbiased comparisons among species at a common time or size. We show how to propagate uncertainty in estimated parameters to express uncertainty in growth rates. Fitting nonlinear models can be challenging, so we present extensive worked examples and practical recommendations, all implemented in R. 4. The use of nonlinear models coupled with function-derived growth rates can facilitate the testing of novel hypotheses in population and community ecology. For example, the use of such techniques has allowed better understanding of the components of RGR, the costs of rapid growth and the linkage between host and parasite growth rates. We hope this contribution will demystify nonlinear modelling and persuade more ecologists to use these techniques.","author":[{"dropping-particle":"","family":"Timothy Paine","given":"C E","non-dropping-particle":"","parse-names":false,"suffix":""},{"dropping-particle":"","family":"Marthews","given":"Toby R","non-dropping-particle":"","parse-names":false,"suffix":""},{"dropping-particle":"","family":"Vogt","given":"Deborah R","non-dropping-particle":"","parse-names":false,"suffix":""},{"dropping-particle":"","family":"Purves","given":"Drew","non-dropping-particle":"","parse-names":false,"suffix":""},{"dropping-particle":"","family":"Rees","given":"Mark","non-dropping-particle":"","parse-names":false,"suffix":""},{"dropping-particle":"","family":"Hector","given":"Andy","non-dropping-particle":"","parse-names":false,"suffix":""},{"dropping-particle":"","family":"Turnbull","given":"Lindsay A","non-dropping-particle":"","parse-names":false,"suffix":""}],"container-title":"Methods in Ecology and Evolution","id":"ITEM-1","issued":{"date-parts":[["2012"]]},"page":"245-256","title":"How to fit nonlinear plant growth models and calculate growth rates: an update for ecologists","type":"article-journal","volume":"3"},"uris":["http://www.mendeley.com/documents/?uuid=e23abbf7-8bc8-3d08-90bd-67c17e748f32"]}],"mendeley":{"formattedCitation":"(Timothy Paine et al., 2012)","manualFormatting":"Paine et al. (2012)","plainTextFormattedCitation":"(Timothy Paine et al., 2012)","previouslyFormattedCitation":"(Timothy Paine et al., 2012)"},"properties":{"noteIndex":0},"schema":"https://github.com/citation-style-language/schema/raw/master/csl-citation.json"}</w:instrText>
      </w:r>
      <w:r w:rsidRPr="00216965">
        <w:fldChar w:fldCharType="separate"/>
      </w:r>
      <w:r w:rsidRPr="00216965">
        <w:rPr>
          <w:noProof/>
        </w:rPr>
        <w:t xml:space="preserve">Paine </w:t>
      </w:r>
      <w:r w:rsidR="009B2252" w:rsidRPr="00216965">
        <w:rPr>
          <w:iCs/>
          <w:noProof/>
        </w:rPr>
        <w:t>et al</w:t>
      </w:r>
      <w:r w:rsidRPr="00216965">
        <w:rPr>
          <w:noProof/>
        </w:rPr>
        <w:t>. (2012)</w:t>
      </w:r>
      <w:r w:rsidRPr="00216965">
        <w:fldChar w:fldCharType="end"/>
      </w:r>
      <w:r w:rsidRPr="00216965">
        <w:t xml:space="preserve">. </w:t>
      </w:r>
    </w:p>
    <w:tbl>
      <w:tblPr>
        <w:tblW w:w="7365" w:type="dxa"/>
        <w:jc w:val="center"/>
        <w:tblBorders>
          <w:insideH w:val="nil"/>
          <w:insideV w:val="nil"/>
        </w:tblBorders>
        <w:tblLayout w:type="fixed"/>
        <w:tblLook w:val="0400" w:firstRow="0" w:lastRow="0" w:firstColumn="0" w:lastColumn="0" w:noHBand="0" w:noVBand="1"/>
      </w:tblPr>
      <w:tblGrid>
        <w:gridCol w:w="6091"/>
        <w:gridCol w:w="1274"/>
      </w:tblGrid>
      <w:tr w:rsidR="006B380D" w:rsidRPr="00216965" w14:paraId="4D9D2948" w14:textId="77777777" w:rsidTr="008A33DA">
        <w:trPr>
          <w:jc w:val="center"/>
        </w:trPr>
        <w:tc>
          <w:tcPr>
            <w:tcW w:w="6091" w:type="dxa"/>
            <w:tcBorders>
              <w:top w:val="nil"/>
              <w:left w:val="nil"/>
              <w:bottom w:val="nil"/>
              <w:right w:val="nil"/>
            </w:tcBorders>
            <w:hideMark/>
          </w:tcPr>
          <w:p w14:paraId="45AD0BBF" w14:textId="77777777" w:rsidR="006B380D" w:rsidRPr="00216965" w:rsidRDefault="006B380D">
            <w:pPr>
              <w:jc w:val="center"/>
              <w:rPr>
                <w:rFonts w:ascii="Cambria Math" w:eastAsia="Cambria Math" w:hAnsi="Cambria Math" w:cs="Cambria Math"/>
              </w:rPr>
            </w:pPr>
            <m:oMathPara>
              <m:oMath>
                <m:r>
                  <w:rPr>
                    <w:rFonts w:ascii="Cambria Math" w:eastAsia="Cambria Math" w:hAnsi="Cambria Math" w:cs="Cambria Math"/>
                  </w:rPr>
                  <m:t xml:space="preserve">A=L+ </m:t>
                </m:r>
                <m:f>
                  <m:fPr>
                    <m:ctrlPr>
                      <w:rPr>
                        <w:rFonts w:ascii="Cambria Math" w:eastAsia="Cambria Math" w:hAnsi="Cambria Math" w:cs="Cambria Math"/>
                        <w:szCs w:val="24"/>
                      </w:rPr>
                    </m:ctrlPr>
                  </m:fPr>
                  <m:num>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d>
                      <m:dPr>
                        <m:ctrlPr>
                          <w:rPr>
                            <w:rFonts w:ascii="Cambria Math" w:eastAsia="Cambria Math" w:hAnsi="Cambria Math" w:cs="Cambria Math"/>
                            <w:szCs w:val="24"/>
                          </w:rPr>
                        </m:ctrlPr>
                      </m:dPr>
                      <m:e>
                        <m:r>
                          <w:rPr>
                            <w:rFonts w:ascii="Cambria Math" w:eastAsia="Cambria Math" w:hAnsi="Cambria Math" w:cs="Cambria Math"/>
                          </w:rPr>
                          <m:t>K-L</m:t>
                        </m:r>
                      </m:e>
                    </m:d>
                  </m:num>
                  <m:den>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r>
                      <w:rPr>
                        <w:rFonts w:ascii="Cambria Math" w:eastAsia="Cambria Math" w:hAnsi="Cambria Math" w:cs="Cambria Math"/>
                      </w:rPr>
                      <m:t xml:space="preserve"> +</m:t>
                    </m:r>
                    <m:d>
                      <m:dPr>
                        <m:ctrlPr>
                          <w:rPr>
                            <w:rFonts w:ascii="Cambria Math" w:eastAsia="Cambria Math" w:hAnsi="Cambria Math" w:cs="Cambria Math"/>
                            <w:szCs w:val="24"/>
                          </w:rPr>
                        </m:ctrlPr>
                      </m:dPr>
                      <m:e>
                        <m:r>
                          <w:rPr>
                            <w:rFonts w:ascii="Cambria Math" w:eastAsia="Cambria Math" w:hAnsi="Cambria Math" w:cs="Cambria Math"/>
                          </w:rPr>
                          <m:t>K-L-</m:t>
                        </m:r>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e>
                    </m:d>
                    <m:sSup>
                      <m:sSupPr>
                        <m:ctrlPr>
                          <w:rPr>
                            <w:rFonts w:ascii="Cambria Math" w:eastAsia="Cambria Math" w:hAnsi="Cambria Math" w:cs="Cambria Math"/>
                            <w:szCs w:val="24"/>
                          </w:rPr>
                        </m:ctrlPr>
                      </m:sSupPr>
                      <m:e>
                        <m:r>
                          <w:rPr>
                            <w:rFonts w:ascii="Cambria Math" w:eastAsia="Cambria Math" w:hAnsi="Cambria Math" w:cs="Cambria Math"/>
                          </w:rPr>
                          <m:t>e</m:t>
                        </m:r>
                      </m:e>
                      <m:sup>
                        <m:r>
                          <w:rPr>
                            <w:rFonts w:ascii="Cambria Math" w:eastAsia="Cambria Math" w:hAnsi="Cambria Math" w:cs="Cambria Math"/>
                          </w:rPr>
                          <m:t>-rt</m:t>
                        </m:r>
                      </m:sup>
                    </m:sSup>
                  </m:den>
                </m:f>
              </m:oMath>
            </m:oMathPara>
          </w:p>
        </w:tc>
        <w:tc>
          <w:tcPr>
            <w:tcW w:w="1274" w:type="dxa"/>
            <w:tcBorders>
              <w:top w:val="nil"/>
              <w:left w:val="nil"/>
              <w:bottom w:val="nil"/>
              <w:right w:val="nil"/>
            </w:tcBorders>
            <w:hideMark/>
          </w:tcPr>
          <w:p w14:paraId="1AA88258" w14:textId="47A8A169" w:rsidR="006B380D" w:rsidRPr="00216965" w:rsidRDefault="006B380D">
            <w:pPr>
              <w:spacing w:line="360" w:lineRule="auto"/>
              <w:jc w:val="both"/>
              <w:rPr>
                <w:rFonts w:eastAsia="Times New Roman" w:cs="Times New Roman"/>
              </w:rPr>
            </w:pPr>
            <w:bookmarkStart w:id="197" w:name="_Ref86412486"/>
            <w:r w:rsidRPr="00216965">
              <w:rPr>
                <w:b/>
                <w:bCs/>
                <w:lang w:val="fr-FR"/>
              </w:rPr>
              <w:t xml:space="preserve">Eq. </w:t>
            </w:r>
            <w:r w:rsidRPr="00216965">
              <w:rPr>
                <w:b/>
                <w:bCs/>
              </w:rPr>
              <w:fldChar w:fldCharType="begin"/>
            </w:r>
            <w:r w:rsidRPr="00216965">
              <w:rPr>
                <w:b/>
                <w:bCs/>
                <w:lang w:val="fr-FR"/>
              </w:rPr>
              <w:instrText xml:space="preserve"> SEQ Equation \* ARABIC </w:instrText>
            </w:r>
            <w:r w:rsidRPr="00216965">
              <w:rPr>
                <w:b/>
                <w:bCs/>
              </w:rPr>
              <w:fldChar w:fldCharType="separate"/>
            </w:r>
            <w:r w:rsidR="006E23EA" w:rsidRPr="00216965">
              <w:rPr>
                <w:b/>
                <w:bCs/>
                <w:noProof/>
                <w:lang w:val="fr-FR"/>
              </w:rPr>
              <w:t>10</w:t>
            </w:r>
            <w:r w:rsidRPr="00216965">
              <w:rPr>
                <w:b/>
                <w:bCs/>
              </w:rPr>
              <w:fldChar w:fldCharType="end"/>
            </w:r>
            <w:bookmarkEnd w:id="197"/>
          </w:p>
        </w:tc>
      </w:tr>
    </w:tbl>
    <w:p w14:paraId="21459BA8" w14:textId="7CAC47AF" w:rsidR="006B380D" w:rsidRPr="00216965" w:rsidRDefault="006B380D" w:rsidP="008A33DA">
      <w:pPr>
        <w:spacing w:line="360" w:lineRule="auto"/>
        <w:jc w:val="both"/>
      </w:pPr>
      <w:r w:rsidRPr="00216965">
        <w:t xml:space="preserve">where </w:t>
      </w:r>
      <w:r w:rsidRPr="00216965">
        <w:rPr>
          <w:i/>
        </w:rPr>
        <w:t>A</w:t>
      </w:r>
      <w:r w:rsidRPr="00216965">
        <w:t xml:space="preserve"> (pixels) is the leaf area at time </w:t>
      </w:r>
      <w:r w:rsidRPr="00216965">
        <w:rPr>
          <w:i/>
        </w:rPr>
        <w:t>t</w:t>
      </w:r>
      <w:r w:rsidRPr="00216965">
        <w:t xml:space="preserve"> (min) and </w:t>
      </w:r>
      <w:r w:rsidRPr="00216965">
        <w:rPr>
          <w:i/>
        </w:rPr>
        <w:t>Ao</w:t>
      </w:r>
      <w:r w:rsidRPr="00216965">
        <w:t xml:space="preserve"> (pixels) is the initial leaf area. The parameters </w:t>
      </w:r>
      <w:r w:rsidRPr="00216965">
        <w:rPr>
          <w:i/>
        </w:rPr>
        <w:t>L</w:t>
      </w:r>
      <w:r w:rsidRPr="00216965">
        <w:t xml:space="preserve"> and </w:t>
      </w:r>
      <w:r w:rsidRPr="00216965">
        <w:rPr>
          <w:i/>
        </w:rPr>
        <w:t>K</w:t>
      </w:r>
      <w:r w:rsidRPr="00216965">
        <w:t xml:space="preserve"> indicate lower and upper horizontal asymptotes, respectively, and </w:t>
      </w:r>
      <w:r w:rsidRPr="00C62FFD">
        <w:rPr>
          <w:i/>
          <w:iCs/>
        </w:rPr>
        <w:t>r</w:t>
      </w:r>
      <w:r w:rsidRPr="00216965">
        <w:t xml:space="preserve"> is the slope around the inflection point. The absolute growth rate (AGR) was calculated as the derivative of the green leaf area </w:t>
      </w:r>
      <w:r w:rsidRPr="00216965">
        <w:rPr>
          <w:i/>
        </w:rPr>
        <w:t>A</w:t>
      </w:r>
      <w:r w:rsidRPr="00216965">
        <w:t xml:space="preserve"> with respect to time (</w:t>
      </w:r>
      <w:r w:rsidRPr="00216965">
        <w:rPr>
          <w:b/>
          <w:bCs/>
        </w:rPr>
        <w:fldChar w:fldCharType="begin"/>
      </w:r>
      <w:r w:rsidRPr="00216965">
        <w:rPr>
          <w:b/>
          <w:bCs/>
        </w:rPr>
        <w:instrText xml:space="preserve"> REF _Ref78280322 \h  \* MERGEFORMAT </w:instrText>
      </w:r>
      <w:r w:rsidRPr="00216965">
        <w:rPr>
          <w:b/>
          <w:bCs/>
        </w:rPr>
      </w:r>
      <w:r w:rsidRPr="00216965">
        <w:rPr>
          <w:b/>
          <w:bCs/>
        </w:rPr>
        <w:fldChar w:fldCharType="separate"/>
      </w:r>
      <w:r w:rsidR="006E23EA" w:rsidRPr="00216965">
        <w:rPr>
          <w:b/>
          <w:bCs/>
        </w:rPr>
        <w:t xml:space="preserve">Eq. </w:t>
      </w:r>
      <w:r w:rsidR="006E23EA" w:rsidRPr="00216965">
        <w:rPr>
          <w:b/>
          <w:bCs/>
          <w:noProof/>
        </w:rPr>
        <w:t>11</w:t>
      </w:r>
      <w:r w:rsidRPr="00216965">
        <w:rPr>
          <w:b/>
          <w:bCs/>
        </w:rPr>
        <w:fldChar w:fldCharType="end"/>
      </w:r>
      <w:r w:rsidRPr="00216965">
        <w:t xml:space="preserve">). The parametrization of the model was taken from </w:t>
      </w:r>
      <w:r w:rsidRPr="00216965">
        <w:fldChar w:fldCharType="begin" w:fldLock="1"/>
      </w:r>
      <w:r w:rsidR="006C06AA" w:rsidRPr="00216965">
        <w:instrText>ADDIN CSL_CITATION {"citationItems":[{"id":"ITEM-1","itemData":{"DOI":"10.1111/j.2041-210X.2011.00155.x","abstract":"1. Plant growth is a fundamental ecological process, integrating across scales from physiology to community dynamics and ecosystem properties. Recent improvements in plant growth modelling have allowed deeper understanding and more accurate predictions for a wide range of ecological issues, including competition among plants, plant-herbivore interactions and ecosystem functioning. 2. One challenge in modelling plant growth is that, for a variety of reasons, relative growth rate (RGR) almost universally decreases with increasing size, although traditional calculations assume that RGR is constant. Nonlinear growth models are flexible enough to account for varying growth rates. 3. We demonstrate a variety of nonlinear models that are appropriate for modelling plant growth and, for each, show how to calculate function-derived growth rates, which allow unbiased comparisons among species at a common time or size. We show how to propagate uncertainty in estimated parameters to express uncertainty in growth rates. Fitting nonlinear models can be challenging, so we present extensive worked examples and practical recommendations, all implemented in R. 4. The use of nonlinear models coupled with function-derived growth rates can facilitate the testing of novel hypotheses in population and community ecology. For example, the use of such techniques has allowed better understanding of the components of RGR, the costs of rapid growth and the linkage between host and parasite growth rates. We hope this contribution will demystify nonlinear modelling and persuade more ecologists to use these techniques.","author":[{"dropping-particle":"","family":"Timothy Paine","given":"C E","non-dropping-particle":"","parse-names":false,"suffix":""},{"dropping-particle":"","family":"Marthews","given":"Toby R","non-dropping-particle":"","parse-names":false,"suffix":""},{"dropping-particle":"","family":"Vogt","given":"Deborah R","non-dropping-particle":"","parse-names":false,"suffix":""},{"dropping-particle":"","family":"Purves","given":"Drew","non-dropping-particle":"","parse-names":false,"suffix":""},{"dropping-particle":"","family":"Rees","given":"Mark","non-dropping-particle":"","parse-names":false,"suffix":""},{"dropping-particle":"","family":"Hector","given":"Andy","non-dropping-particle":"","parse-names":false,"suffix":""},{"dropping-particle":"","family":"Turnbull","given":"Lindsay A","non-dropping-particle":"","parse-names":false,"suffix":""}],"container-title":"Methods in Ecology and Evolution","id":"ITEM-1","issued":{"date-parts":[["2012"]]},"page":"245-256","title":"How to fit nonlinear plant growth models and calculate growth rates: an update for ecologists","type":"article-journal","volume":"3"},"uris":["http://www.mendeley.com/documents/?uuid=e23abbf7-8bc8-3d08-90bd-67c17e748f32"]}],"mendeley":{"formattedCitation":"(Timothy Paine et al., 2012)","manualFormatting":"Paine et al. (2012)","plainTextFormattedCitation":"(Timothy Paine et al., 2012)","previouslyFormattedCitation":"(Timothy Paine et al., 2012)"},"properties":{"noteIndex":0},"schema":"https://github.com/citation-style-language/schema/raw/master/csl-citation.json"}</w:instrText>
      </w:r>
      <w:r w:rsidRPr="00216965">
        <w:fldChar w:fldCharType="separate"/>
      </w:r>
      <w:r w:rsidRPr="00216965">
        <w:rPr>
          <w:noProof/>
        </w:rPr>
        <w:t xml:space="preserve">Paine </w:t>
      </w:r>
      <w:r w:rsidR="009B2252" w:rsidRPr="00216965">
        <w:rPr>
          <w:iCs/>
          <w:noProof/>
        </w:rPr>
        <w:t>et al</w:t>
      </w:r>
      <w:r w:rsidRPr="00216965">
        <w:rPr>
          <w:noProof/>
        </w:rPr>
        <w:t>. (2012)</w:t>
      </w:r>
      <w:r w:rsidRPr="00216965">
        <w:fldChar w:fldCharType="end"/>
      </w:r>
      <w:r w:rsidRPr="00216965">
        <w:t xml:space="preserve">. The four-parameter logistic equation was fitted in R studio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 xml:space="preserve"> using the drm function (L.4).</w:t>
      </w:r>
    </w:p>
    <w:tbl>
      <w:tblPr>
        <w:tblW w:w="8490" w:type="dxa"/>
        <w:tblLayout w:type="fixed"/>
        <w:tblLook w:val="0400" w:firstRow="0" w:lastRow="0" w:firstColumn="0" w:lastColumn="0" w:noHBand="0" w:noVBand="1"/>
      </w:tblPr>
      <w:tblGrid>
        <w:gridCol w:w="6938"/>
        <w:gridCol w:w="1552"/>
      </w:tblGrid>
      <w:tr w:rsidR="006B380D" w:rsidRPr="00216965" w14:paraId="62F72311" w14:textId="77777777" w:rsidTr="008A33DA">
        <w:tc>
          <w:tcPr>
            <w:tcW w:w="6938" w:type="dxa"/>
            <w:hideMark/>
          </w:tcPr>
          <w:p w14:paraId="0671301C" w14:textId="77777777" w:rsidR="006B380D" w:rsidRPr="00216965" w:rsidRDefault="00BB30F1">
            <w:pPr>
              <w:jc w:val="center"/>
              <w:rPr>
                <w:rFonts w:ascii="Cambria Math" w:eastAsia="Cambria Math" w:hAnsi="Cambria Math" w:cs="Cambria Math"/>
              </w:rPr>
            </w:pPr>
            <m:oMathPara>
              <m:oMath>
                <m:f>
                  <m:fPr>
                    <m:ctrlPr>
                      <w:rPr>
                        <w:rFonts w:ascii="Cambria Math" w:eastAsia="Cambria Math" w:hAnsi="Cambria Math" w:cs="Cambria Math"/>
                        <w:szCs w:val="24"/>
                      </w:rPr>
                    </m:ctrlPr>
                  </m:fPr>
                  <m:num>
                    <m:r>
                      <w:rPr>
                        <w:rFonts w:ascii="Cambria Math" w:eastAsia="Cambria Math" w:hAnsi="Cambria Math" w:cs="Cambria Math"/>
                      </w:rPr>
                      <m:t>∂A</m:t>
                    </m:r>
                  </m:num>
                  <m:den>
                    <m:r>
                      <w:rPr>
                        <w:rFonts w:ascii="Cambria Math" w:eastAsia="Cambria Math" w:hAnsi="Cambria Math" w:cs="Cambria Math"/>
                      </w:rPr>
                      <m:t>∂t</m:t>
                    </m:r>
                  </m:den>
                </m:f>
                <m:r>
                  <w:rPr>
                    <w:rFonts w:ascii="Cambria Math" w:eastAsia="Cambria Math" w:hAnsi="Cambria Math" w:cs="Cambria Math"/>
                  </w:rPr>
                  <m:t>=AGR=</m:t>
                </m:r>
                <m:f>
                  <m:fPr>
                    <m:ctrlPr>
                      <w:rPr>
                        <w:rFonts w:ascii="Cambria Math" w:eastAsia="Cambria Math" w:hAnsi="Cambria Math" w:cs="Cambria Math"/>
                        <w:szCs w:val="24"/>
                      </w:rPr>
                    </m:ctrlPr>
                  </m:fPr>
                  <m:num>
                    <m:sSub>
                      <m:sSubPr>
                        <m:ctrlPr>
                          <w:rPr>
                            <w:rFonts w:ascii="Cambria Math" w:eastAsia="Cambria Math" w:hAnsi="Cambria Math" w:cs="Cambria Math"/>
                            <w:szCs w:val="24"/>
                          </w:rPr>
                        </m:ctrlPr>
                      </m:sSubPr>
                      <m:e>
                        <m:r>
                          <w:rPr>
                            <w:rFonts w:ascii="Cambria Math" w:eastAsia="Cambria Math" w:hAnsi="Cambria Math" w:cs="Cambria Math"/>
                          </w:rPr>
                          <m:t>rA</m:t>
                        </m:r>
                      </m:e>
                      <m:sub>
                        <m:r>
                          <w:rPr>
                            <w:rFonts w:ascii="Cambria Math" w:eastAsia="Cambria Math" w:hAnsi="Cambria Math" w:cs="Cambria Math"/>
                          </w:rPr>
                          <m:t>o</m:t>
                        </m:r>
                      </m:sub>
                    </m:sSub>
                    <m:d>
                      <m:dPr>
                        <m:ctrlPr>
                          <w:rPr>
                            <w:rFonts w:ascii="Cambria Math" w:eastAsia="Cambria Math" w:hAnsi="Cambria Math" w:cs="Cambria Math"/>
                            <w:szCs w:val="24"/>
                          </w:rPr>
                        </m:ctrlPr>
                      </m:dPr>
                      <m:e>
                        <m:r>
                          <w:rPr>
                            <w:rFonts w:ascii="Cambria Math" w:eastAsia="Cambria Math" w:hAnsi="Cambria Math" w:cs="Cambria Math"/>
                          </w:rPr>
                          <m:t>K-L</m:t>
                        </m:r>
                      </m:e>
                    </m:d>
                    <m:d>
                      <m:dPr>
                        <m:ctrlPr>
                          <w:rPr>
                            <w:rFonts w:ascii="Cambria Math" w:eastAsia="Cambria Math" w:hAnsi="Cambria Math" w:cs="Cambria Math"/>
                            <w:szCs w:val="24"/>
                          </w:rPr>
                        </m:ctrlPr>
                      </m:dPr>
                      <m:e>
                        <m:r>
                          <w:rPr>
                            <w:rFonts w:ascii="Cambria Math" w:eastAsia="Cambria Math" w:hAnsi="Cambria Math" w:cs="Cambria Math"/>
                          </w:rPr>
                          <m:t>K-L-</m:t>
                        </m:r>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e>
                    </m:d>
                    <m:sSup>
                      <m:sSupPr>
                        <m:ctrlPr>
                          <w:rPr>
                            <w:rFonts w:ascii="Cambria Math" w:eastAsia="Cambria Math" w:hAnsi="Cambria Math" w:cs="Cambria Math"/>
                            <w:szCs w:val="24"/>
                          </w:rPr>
                        </m:ctrlPr>
                      </m:sSupPr>
                      <m:e>
                        <m:r>
                          <w:rPr>
                            <w:rFonts w:ascii="Cambria Math" w:eastAsia="Cambria Math" w:hAnsi="Cambria Math" w:cs="Cambria Math"/>
                          </w:rPr>
                          <m:t>e</m:t>
                        </m:r>
                      </m:e>
                      <m:sup>
                        <m:r>
                          <w:rPr>
                            <w:rFonts w:ascii="Cambria Math" w:eastAsia="Cambria Math" w:hAnsi="Cambria Math" w:cs="Cambria Math"/>
                          </w:rPr>
                          <m:t>-rt</m:t>
                        </m:r>
                      </m:sup>
                    </m:sSup>
                  </m:num>
                  <m:den>
                    <m:sSup>
                      <m:sSupPr>
                        <m:ctrlPr>
                          <w:rPr>
                            <w:rFonts w:ascii="Cambria Math" w:eastAsia="Cambria Math" w:hAnsi="Cambria Math" w:cs="Cambria Math"/>
                            <w:szCs w:val="24"/>
                          </w:rPr>
                        </m:ctrlPr>
                      </m:sSupPr>
                      <m:e>
                        <m:d>
                          <m:dPr>
                            <m:ctrlPr>
                              <w:rPr>
                                <w:rFonts w:ascii="Cambria Math" w:eastAsia="Cambria Math" w:hAnsi="Cambria Math" w:cs="Cambria Math"/>
                                <w:szCs w:val="24"/>
                              </w:rPr>
                            </m:ctrlPr>
                          </m:dPr>
                          <m:e>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r>
                              <w:rPr>
                                <w:rFonts w:ascii="Cambria Math" w:eastAsia="Cambria Math" w:hAnsi="Cambria Math" w:cs="Cambria Math"/>
                              </w:rPr>
                              <m:t xml:space="preserve"> +</m:t>
                            </m:r>
                            <m:sSup>
                              <m:sSupPr>
                                <m:ctrlPr>
                                  <w:rPr>
                                    <w:rFonts w:ascii="Cambria Math" w:eastAsia="Cambria Math" w:hAnsi="Cambria Math" w:cs="Cambria Math"/>
                                    <w:szCs w:val="24"/>
                                  </w:rPr>
                                </m:ctrlPr>
                              </m:sSupPr>
                              <m:e>
                                <m:d>
                                  <m:dPr>
                                    <m:ctrlPr>
                                      <w:rPr>
                                        <w:rFonts w:ascii="Cambria Math" w:eastAsia="Cambria Math" w:hAnsi="Cambria Math" w:cs="Cambria Math"/>
                                        <w:szCs w:val="24"/>
                                      </w:rPr>
                                    </m:ctrlPr>
                                  </m:dPr>
                                  <m:e>
                                    <m:r>
                                      <w:rPr>
                                        <w:rFonts w:ascii="Cambria Math" w:eastAsia="Cambria Math" w:hAnsi="Cambria Math" w:cs="Cambria Math"/>
                                      </w:rPr>
                                      <m:t>K-L-</m:t>
                                    </m:r>
                                    <m:sSub>
                                      <m:sSubPr>
                                        <m:ctrlPr>
                                          <w:rPr>
                                            <w:rFonts w:ascii="Cambria Math" w:eastAsia="Cambria Math" w:hAnsi="Cambria Math" w:cs="Cambria Math"/>
                                            <w:szCs w:val="24"/>
                                          </w:rPr>
                                        </m:ctrlPr>
                                      </m:sSubPr>
                                      <m:e>
                                        <m:r>
                                          <w:rPr>
                                            <w:rFonts w:ascii="Cambria Math" w:eastAsia="Cambria Math" w:hAnsi="Cambria Math" w:cs="Cambria Math"/>
                                          </w:rPr>
                                          <m:t>A</m:t>
                                        </m:r>
                                      </m:e>
                                      <m:sub>
                                        <m:r>
                                          <w:rPr>
                                            <w:rFonts w:ascii="Cambria Math" w:eastAsia="Cambria Math" w:hAnsi="Cambria Math" w:cs="Cambria Math"/>
                                          </w:rPr>
                                          <m:t>o</m:t>
                                        </m:r>
                                      </m:sub>
                                    </m:sSub>
                                  </m:e>
                                </m:d>
                                <m:r>
                                  <w:rPr>
                                    <w:rFonts w:ascii="Cambria Math" w:eastAsia="Cambria Math" w:hAnsi="Cambria Math" w:cs="Cambria Math"/>
                                  </w:rPr>
                                  <m:t>e</m:t>
                                </m:r>
                              </m:e>
                              <m:sup>
                                <m:r>
                                  <w:rPr>
                                    <w:rFonts w:ascii="Cambria Math" w:eastAsia="Cambria Math" w:hAnsi="Cambria Math" w:cs="Cambria Math"/>
                                  </w:rPr>
                                  <m:t>-rt</m:t>
                                </m:r>
                              </m:sup>
                            </m:sSup>
                          </m:e>
                        </m:d>
                      </m:e>
                      <m:sup>
                        <m:r>
                          <w:rPr>
                            <w:rFonts w:ascii="Cambria Math" w:eastAsia="Cambria Math" w:hAnsi="Cambria Math" w:cs="Cambria Math"/>
                          </w:rPr>
                          <m:t>2</m:t>
                        </m:r>
                      </m:sup>
                    </m:sSup>
                  </m:den>
                </m:f>
              </m:oMath>
            </m:oMathPara>
          </w:p>
        </w:tc>
        <w:tc>
          <w:tcPr>
            <w:tcW w:w="1552" w:type="dxa"/>
            <w:hideMark/>
          </w:tcPr>
          <w:p w14:paraId="3F4F5EDD" w14:textId="6F68FE5B" w:rsidR="006B380D" w:rsidRPr="00216965" w:rsidRDefault="006B380D">
            <w:pPr>
              <w:spacing w:after="200" w:line="360" w:lineRule="auto"/>
              <w:rPr>
                <w:rFonts w:eastAsia="Times New Roman" w:cs="Times New Roman"/>
                <w:b/>
                <w:bCs/>
                <w:color w:val="000000"/>
              </w:rPr>
            </w:pPr>
            <w:bookmarkStart w:id="198" w:name="_Ref78280322"/>
            <w:r w:rsidRPr="00216965">
              <w:rPr>
                <w:b/>
                <w:bCs/>
              </w:rPr>
              <w:t xml:space="preserve">Eq. </w:t>
            </w:r>
            <w:r w:rsidRPr="00216965">
              <w:fldChar w:fldCharType="begin"/>
            </w:r>
            <w:r w:rsidRPr="00216965">
              <w:rPr>
                <w:b/>
                <w:bCs/>
              </w:rPr>
              <w:instrText xml:space="preserve"> SEQ Equation \* ARABIC </w:instrText>
            </w:r>
            <w:r w:rsidRPr="00216965">
              <w:fldChar w:fldCharType="separate"/>
            </w:r>
            <w:r w:rsidR="006E23EA" w:rsidRPr="00216965">
              <w:rPr>
                <w:b/>
                <w:bCs/>
                <w:noProof/>
              </w:rPr>
              <w:t>11</w:t>
            </w:r>
            <w:r w:rsidRPr="00216965">
              <w:fldChar w:fldCharType="end"/>
            </w:r>
            <w:bookmarkEnd w:id="198"/>
            <w:r w:rsidRPr="00216965">
              <w:rPr>
                <w:b/>
                <w:bCs/>
                <w:color w:val="000000"/>
              </w:rPr>
              <w:t xml:space="preserve">                    </w:t>
            </w:r>
          </w:p>
        </w:tc>
      </w:tr>
    </w:tbl>
    <w:p w14:paraId="3E093AC3" w14:textId="77777777" w:rsidR="006B380D" w:rsidRPr="00216965" w:rsidRDefault="006B380D" w:rsidP="008A33DA">
      <w:pPr>
        <w:pStyle w:val="Heading4"/>
      </w:pPr>
      <w:r w:rsidRPr="00216965">
        <w:lastRenderedPageBreak/>
        <w:t>Plant stress (Fv/Fm)</w:t>
      </w:r>
    </w:p>
    <w:p w14:paraId="032020C9" w14:textId="6EA8F57B" w:rsidR="006B380D" w:rsidRPr="00216965" w:rsidRDefault="006B380D" w:rsidP="008A33DA">
      <w:pPr>
        <w:spacing w:line="360" w:lineRule="auto"/>
        <w:jc w:val="both"/>
      </w:pPr>
      <w:r w:rsidRPr="00216965">
        <w:t xml:space="preserve">The response of </w:t>
      </w:r>
      <w:r w:rsidRPr="00216965">
        <w:rPr>
          <w:i/>
        </w:rPr>
        <w:t>Arabidopsis thaliana</w:t>
      </w:r>
      <w:r w:rsidRPr="00216965">
        <w:t xml:space="preserve"> Col-0 to biochar amendments was analyzed using the Fv/Fm values measured from the fluorescence images. The images were processed using the FluorCam 7 software (Photon Systems Instruments, Czech Republic). The effect of biochar type and application rate on plant physiological response (Fv/Fm) over time was analysed using linear regression models in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 xml:space="preserve">. </w:t>
      </w:r>
    </w:p>
    <w:p w14:paraId="02967F9D" w14:textId="77777777" w:rsidR="006B380D" w:rsidRPr="00216965" w:rsidRDefault="006B380D" w:rsidP="008A33DA">
      <w:pPr>
        <w:pStyle w:val="Heading4"/>
      </w:pPr>
      <w:bookmarkStart w:id="199" w:name="_Ref86415167"/>
      <w:r w:rsidRPr="00216965">
        <w:t>Trace elements analysis</w:t>
      </w:r>
      <w:bookmarkEnd w:id="199"/>
    </w:p>
    <w:p w14:paraId="62AA4D2D" w14:textId="5BD166A6" w:rsidR="006B380D" w:rsidRPr="00216965" w:rsidRDefault="006B380D" w:rsidP="008A33DA">
      <w:pPr>
        <w:spacing w:line="360" w:lineRule="auto"/>
        <w:jc w:val="both"/>
      </w:pPr>
      <w:r w:rsidRPr="00216965">
        <w:t>After 30 days of incubation the plants were harvested for the analysis of trace metals in above-ground tissue and dry above-ground biomass. Soils were air dried and sieved (&lt; 2 mm) for chemical analysis. Bioavailable trace elements in soils were determined using NH</w:t>
      </w:r>
      <w:r w:rsidRPr="00216965">
        <w:rPr>
          <w:vertAlign w:val="subscript"/>
        </w:rPr>
        <w:t>4</w:t>
      </w:r>
      <w:r w:rsidRPr="00216965">
        <w:t>NO</w:t>
      </w:r>
      <w:r w:rsidRPr="00216965">
        <w:rPr>
          <w:vertAlign w:val="subscript"/>
        </w:rPr>
        <w:t>3</w:t>
      </w:r>
      <w:r w:rsidRPr="00216965">
        <w:t xml:space="preserve"> (1 M), as recommended by </w:t>
      </w:r>
      <w:r w:rsidRPr="00216965">
        <w:fldChar w:fldCharType="begin" w:fldLock="1"/>
      </w:r>
      <w:r w:rsidR="006C06AA" w:rsidRPr="00216965">
        <w:instrText>ADDIN CSL_CITATION {"citationItems":[{"id":"ITEM-1","itemData":{"DOI":"10.1016/j.scitotenv.2018.02.156","ISSN":"18791026","abstract":"In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Environment","id":"ITEM-1","issued":{"date-parts":[["2018"]]},"page":"1287-1295","publisher":"Elsevier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additives","type":"article-journal","volume":"628-629"},"uris":["http://www.mendeley.com/documents/?uuid=9c06a75b-67d7-467b-ac54-a74c5a7bb86a"]}],"mendeley":{"formattedCitation":"(Wawra et al., 2018)","manualFormatting":"Wawra et al. (2018)","plainTextFormattedCitation":"(Wawra et al., 2018)","previouslyFormattedCitation":"(Wawra et al., 2018)"},"properties":{"noteIndex":0},"schema":"https://github.com/citation-style-language/schema/raw/master/csl-citation.json"}</w:instrText>
      </w:r>
      <w:r w:rsidRPr="00216965">
        <w:fldChar w:fldCharType="separate"/>
      </w:r>
      <w:r w:rsidRPr="00216965">
        <w:rPr>
          <w:noProof/>
        </w:rPr>
        <w:t xml:space="preserve">Wawra </w:t>
      </w:r>
      <w:r w:rsidR="009B2252" w:rsidRPr="00216965">
        <w:rPr>
          <w:iCs/>
          <w:noProof/>
        </w:rPr>
        <w:t>et al</w:t>
      </w:r>
      <w:r w:rsidRPr="00216965">
        <w:rPr>
          <w:noProof/>
        </w:rPr>
        <w:t>. (2018)</w:t>
      </w:r>
      <w:r w:rsidRPr="00216965">
        <w:fldChar w:fldCharType="end"/>
      </w:r>
      <w:r w:rsidRPr="00216965">
        <w:t>. For metal analysis in plant tissue, 100.00 ± 0.03 mg of dried biomass (40 °C) was finely ground and placed in 15 mL glass tubes and digested with 5 mL of HNO</w:t>
      </w:r>
      <w:r w:rsidRPr="00216965">
        <w:rPr>
          <w:vertAlign w:val="subscript"/>
        </w:rPr>
        <w:t>3</w:t>
      </w:r>
      <w:r w:rsidRPr="00216965">
        <w:t xml:space="preserve"> (&gt; 68%, Fisher) for 4 hours at 120 °C in a heating block </w:t>
      </w:r>
      <w:r w:rsidRPr="00216965">
        <w:fldChar w:fldCharType="begin" w:fldLock="1"/>
      </w:r>
      <w:r w:rsidR="006C06AA" w:rsidRPr="00216965">
        <w:instrText>ADDIN CSL_CITATION {"citationItems":[{"id":"ITEM-1","itemData":{"DOI":"10.1016/j.scitotenv.2018.02.156","ISSN":"18791026","abstract":"In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Environment","id":"ITEM-1","issued":{"date-parts":[["2018"]]},"page":"1287-1295","publisher":"Elsevier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additives","type":"article-journal","volume":"628-629"},"uris":["http://www.mendeley.com/documents/?uuid=9c06a75b-67d7-467b-ac54-a74c5a7bb86a"]}],"mendeley":{"formattedCitation":"(Wawra et al., 2018)","plainTextFormattedCitation":"(Wawra et al., 2018)","previouslyFormattedCitation":"(Wawra et al., 2018)"},"properties":{"noteIndex":0},"schema":"https://github.com/citation-style-language/schema/raw/master/csl-citation.json"}</w:instrText>
      </w:r>
      <w:r w:rsidRPr="00216965">
        <w:fldChar w:fldCharType="separate"/>
      </w:r>
      <w:r w:rsidR="00C83E62" w:rsidRPr="00216965">
        <w:rPr>
          <w:noProof/>
        </w:rPr>
        <w:t>(Wawra et al., 2018)</w:t>
      </w:r>
      <w:r w:rsidRPr="00216965">
        <w:fldChar w:fldCharType="end"/>
      </w:r>
      <w:r w:rsidRPr="00216965">
        <w:t>. Afterwards, extracts were diluted to 25 mL with deionized water and filtered using 0.45 µm syringe filters</w:t>
      </w:r>
      <w:r w:rsidR="00942EE9" w:rsidRPr="00216965">
        <w:t xml:space="preserve"> (Non-sterile PTFE Syringe Filter, Fisherbrand™, UK)</w:t>
      </w:r>
      <w:r w:rsidRPr="00216965">
        <w:t>. All samples were analysed by ICP-MS (</w:t>
      </w:r>
      <w:r w:rsidR="004B5A5B" w:rsidRPr="00216965">
        <w:t xml:space="preserve">Sciex Elan DRCII , </w:t>
      </w:r>
      <w:r w:rsidRPr="00216965">
        <w:t>PerkinElmer,</w:t>
      </w:r>
      <w:r w:rsidR="004B5A5B" w:rsidRPr="00216965">
        <w:t xml:space="preserve"> USA</w:t>
      </w:r>
      <w:r w:rsidRPr="00216965">
        <w:t>). The percentage reduction (% Red) of bioavailable HMs in the treated soils or tissue concentrations relative to the unamended control was calculated as follows:</w:t>
      </w:r>
    </w:p>
    <w:p w14:paraId="3A5FAF74" w14:textId="77777777" w:rsidR="006B380D" w:rsidRPr="00216965" w:rsidRDefault="006B380D" w:rsidP="008A33DA">
      <w:pPr>
        <w:jc w:val="center"/>
        <w:rPr>
          <w:rFonts w:ascii="Cambria Math" w:eastAsia="Cambria Math" w:hAnsi="Cambria Math" w:cs="Cambria Math"/>
          <w:sz w:val="22"/>
        </w:rPr>
      </w:pPr>
      <m:oMathPara>
        <m:oMath>
          <m:r>
            <w:rPr>
              <w:rFonts w:ascii="Cambria Math" w:eastAsia="Cambria Math" w:hAnsi="Cambria Math" w:cs="Cambria Math"/>
              <w:sz w:val="22"/>
            </w:rPr>
            <m:t>% Reduction=</m:t>
          </m:r>
          <m:f>
            <m:fPr>
              <m:ctrlPr>
                <w:rPr>
                  <w:rFonts w:ascii="Cambria Math" w:eastAsia="Cambria Math" w:hAnsi="Cambria Math" w:cs="Cambria Math"/>
                  <w:sz w:val="22"/>
                </w:rPr>
              </m:ctrlPr>
            </m:fPr>
            <m:num>
              <m:r>
                <w:rPr>
                  <w:rFonts w:ascii="Cambria Math" w:eastAsia="Cambria Math" w:hAnsi="Cambria Math" w:cs="Cambria Math"/>
                  <w:sz w:val="22"/>
                </w:rPr>
                <m:t>Unamended control -Treatment</m:t>
              </m:r>
            </m:num>
            <m:den>
              <m:r>
                <w:rPr>
                  <w:rFonts w:ascii="Cambria Math" w:eastAsia="Cambria Math" w:hAnsi="Cambria Math" w:cs="Cambria Math"/>
                  <w:sz w:val="22"/>
                </w:rPr>
                <m:t>Unamended control</m:t>
              </m:r>
            </m:den>
          </m:f>
          <m:r>
            <w:rPr>
              <w:rFonts w:ascii="Cambria Math" w:eastAsia="Cambria Math" w:hAnsi="Cambria Math" w:cs="Cambria Math"/>
              <w:sz w:val="22"/>
            </w:rPr>
            <m:t xml:space="preserve"> ×100</m:t>
          </m:r>
        </m:oMath>
      </m:oMathPara>
    </w:p>
    <w:p w14:paraId="03DACDDC" w14:textId="77777777" w:rsidR="006B380D" w:rsidRPr="00216965" w:rsidRDefault="006B380D" w:rsidP="008A33DA">
      <w:pPr>
        <w:pStyle w:val="Heading4"/>
        <w:rPr>
          <w:rFonts w:asciiTheme="majorHAnsi" w:hAnsiTheme="majorHAnsi"/>
        </w:rPr>
      </w:pPr>
      <w:bookmarkStart w:id="200" w:name="_Ref86418047"/>
      <w:r w:rsidRPr="00216965">
        <w:t>Soil physico-chemical analysis</w:t>
      </w:r>
      <w:bookmarkEnd w:id="200"/>
    </w:p>
    <w:p w14:paraId="094437ED" w14:textId="69C23F97" w:rsidR="008574C0" w:rsidRPr="00216965" w:rsidRDefault="006B380D" w:rsidP="008A33DA">
      <w:pPr>
        <w:spacing w:line="360" w:lineRule="auto"/>
        <w:jc w:val="both"/>
      </w:pPr>
      <w:r w:rsidRPr="00216965">
        <w:t>After the incubation experiment, soil samples were analysed for pH (Thermo Orion 5 star, FB68800</w:t>
      </w:r>
      <w:r w:rsidR="009109D5" w:rsidRPr="00216965">
        <w:t>, USA,</w:t>
      </w:r>
      <w:r w:rsidRPr="00216965">
        <w:t xml:space="preserve"> pH meter) and EC (</w:t>
      </w:r>
      <w:r w:rsidR="009109D5" w:rsidRPr="00216965">
        <w:t xml:space="preserve">470 portable conductivity/TDS meter, </w:t>
      </w:r>
      <w:r w:rsidRPr="00216965">
        <w:t>JENWAY</w:t>
      </w:r>
      <w:r w:rsidR="009109D5" w:rsidRPr="00216965">
        <w:t>, China</w:t>
      </w:r>
      <w:r w:rsidRPr="00216965">
        <w:t>) in a 1:2.5 (</w:t>
      </w:r>
      <w:r w:rsidRPr="00216965">
        <w:rPr>
          <w:i/>
        </w:rPr>
        <w:t>w</w:t>
      </w:r>
      <w:r w:rsidRPr="00216965">
        <w:t>/</w:t>
      </w:r>
      <w:r w:rsidRPr="00216965">
        <w:rPr>
          <w:i/>
        </w:rPr>
        <w:t>v</w:t>
      </w:r>
      <w:r w:rsidRPr="00216965">
        <w:t xml:space="preserve">) suspension of soil in de-ionised water </w:t>
      </w:r>
      <w:r w:rsidRPr="00216965">
        <w:fldChar w:fldCharType="begin" w:fldLock="1"/>
      </w:r>
      <w:r w:rsidR="006C06AA" w:rsidRPr="00216965">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soil","type":"article-journal","volume":"158"},"uris":["http://www.mendeley.com/documents/?uuid=82b97d1e-c40c-4f11-95c0-fbd3c838b5a9"]}],"mendeley":{"formattedCitation":"(Beesley et al., 2010)","plainTextFormattedCitation":"(Beesley et al., 2010)","previouslyFormattedCitation":"(Beesley et al., 2010)"},"properties":{"noteIndex":0},"schema":"https://github.com/citation-style-language/schema/raw/master/csl-citation.json"}</w:instrText>
      </w:r>
      <w:r w:rsidRPr="00216965">
        <w:fldChar w:fldCharType="separate"/>
      </w:r>
      <w:r w:rsidR="001974AA" w:rsidRPr="00216965">
        <w:rPr>
          <w:noProof/>
        </w:rPr>
        <w:t>(Beesley et al., 2010)</w:t>
      </w:r>
      <w:r w:rsidRPr="00216965">
        <w:fldChar w:fldCharType="end"/>
      </w:r>
      <w:r w:rsidRPr="00216965">
        <w:t xml:space="preserve">. To determine the effect of biochar feedstock and application rate on soil properties, one of the treatments (Mix-soil) was selected for further physico-chemical analysis. Soil ionic composition was determined by aqueous extraction </w:t>
      </w:r>
      <w:r w:rsidRPr="00216965">
        <w:fldChar w:fldCharType="begin" w:fldLock="1"/>
      </w:r>
      <w:r w:rsidR="006C06AA" w:rsidRPr="00216965">
        <w:instrText>ADDIN CSL_CITATION {"citationItems":[{"id":"ITEM-1","itemData":{"DOI":"10.1039/c5ra04834f","ISSN":"20462069","abstract":"Biochar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Advances","id":"ITEM-1","issue":"44","issued":{"date-parts":[["2015"]]},"page":"34541-34548","publisher":"Royal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soil","type":"article-journal","volume":"5"},"uris":["http://www.mendeley.com/documents/?uuid=ebb20dbb-cbd3-3e20-a001-a39f6f139234"]}],"mendeley":{"formattedCitation":"(Zeng et al., 2015)","plainTextFormattedCitation":"(Zeng et al., 2015)","previouslyFormattedCitation":"(Zeng et al., 2015)"},"properties":{"noteIndex":0},"schema":"https://github.com/citation-style-language/schema/raw/master/csl-citation.json"}</w:instrText>
      </w:r>
      <w:r w:rsidRPr="00216965">
        <w:fldChar w:fldCharType="separate"/>
      </w:r>
      <w:r w:rsidR="00C83E62" w:rsidRPr="00216965">
        <w:rPr>
          <w:noProof/>
        </w:rPr>
        <w:t>(Zeng et al., 2015)</w:t>
      </w:r>
      <w:r w:rsidRPr="00216965">
        <w:fldChar w:fldCharType="end"/>
      </w:r>
      <w:r w:rsidRPr="00216965">
        <w:t>. Briefly, 2.50 ± 0.03 g of dry weight soil was mixed with 25 mL deionized water (18.2 MΩ.cm</w:t>
      </w:r>
      <w:r w:rsidRPr="00216965">
        <w:rPr>
          <w:vertAlign w:val="superscript"/>
        </w:rPr>
        <w:t>-1</w:t>
      </w:r>
      <w:r w:rsidRPr="00216965">
        <w:t>) and placed in an end-over-end shaker at 120 rpm for 3 hours. Samples were filtered using 0.45</w:t>
      </w:r>
      <w:r w:rsidRPr="00216965">
        <w:rPr>
          <w:color w:val="444444"/>
        </w:rPr>
        <w:t xml:space="preserve"> </w:t>
      </w:r>
      <w:r w:rsidRPr="00216965">
        <w:t>µm syringe filters (Non-sterile PTFE Syringe Filter</w:t>
      </w:r>
      <w:r w:rsidR="00942EE9" w:rsidRPr="00216965">
        <w:t>, Fisherbrand™, UK</w:t>
      </w:r>
      <w:r w:rsidRPr="00216965">
        <w:t xml:space="preserve">) and analysed </w:t>
      </w:r>
      <w:r w:rsidRPr="00216965">
        <w:lastRenderedPageBreak/>
        <w:t>for anions and cations by ion chromatography (Dionex ICS-3000</w:t>
      </w:r>
      <w:r w:rsidR="004B13AB" w:rsidRPr="00216965">
        <w:t>, Conquer Scientific, USA</w:t>
      </w:r>
      <w:r w:rsidRPr="00216965">
        <w:t xml:space="preserve">). </w:t>
      </w:r>
    </w:p>
    <w:p w14:paraId="7C1826CB" w14:textId="2039EA72" w:rsidR="006B380D" w:rsidRPr="00216965" w:rsidRDefault="006B380D" w:rsidP="008A33DA">
      <w:pPr>
        <w:spacing w:line="360" w:lineRule="auto"/>
        <w:jc w:val="both"/>
      </w:pPr>
      <w:r w:rsidRPr="00216965">
        <w:t xml:space="preserve">For available phosphorus, the Olsen method </w:t>
      </w:r>
      <w:r w:rsidRPr="00216965">
        <w:fldChar w:fldCharType="begin" w:fldLock="1"/>
      </w:r>
      <w:r w:rsidR="006C06AA" w:rsidRPr="00216965">
        <w:instrText>ADDIN CSL_CITATION {"citationItems":[{"id":"ITEM-1","itemData":{"DOI":"10.1080/00103624.2014.911304","ISSN":"15322416","abstract":"The Mehlich 3 method for the determination of available phosphorus (P) is less laborious compared to the Olsen method and provides the advantage of multielement analysis. However, in Greece the Olsen P method is currently used because of its suitability for calcareous soils. The aims of this study were to compare (a) the Mehlich 3 and Olsen methods for 200 soils having different levels of pH and calcium carbonate and (b) Mehlich 3 colorimetric and Mehlich 3 inductively coupled plasma (ICP) analysis for 17 acidic and 23 alkaline soils. The correlation of Mehlich 3 P and Olsen P methods, excluding soils with pH less than 5 and soils with calcium carbonate levels from 10.3 to 48.3%, resulted in a linear slope of 0.24 and r2 of 0.82, and thus for this range of soils the Mehlich 3 test provided a more reliable measurement of P compared to the Olsen method. This study confirms also previous results that show that Mehlich 3 ICP test measures more P compared to Mehlich 3 colorimetry. © Taylor &amp; Francis Group, LLC.","author":[{"dropping-particle":"","family":"Iatrou","given":"M.","non-dropping-particle":"","parse-names":false,"suffix":""},{"dropping-particle":"","family":"Papadopoulos","given":"A.","non-dropping-particle":"","parse-names":false,"suffix":""},{"dropping-particle":"","family":"Papadopoulos","given":"F.","non-dropping-particle":"","parse-names":false,"suffix":""},{"dropping-particle":"","family":"Dichala","given":"O.","non-dropping-particle":"","parse-names":false,"suffix":""},{"dropping-particle":"","family":"Psoma","given":"P.","non-dropping-particle":"","parse-names":false,"suffix":""},{"dropping-particle":"","family":"Bountla","given":"A.","non-dropping-particle":"","parse-names":false,"suffix":""}],"container-title":"Communications in Soil Science and Plant Analysis","id":"ITEM-1","issue":"16","issued":{"date-parts":[["2014"]]},"page":"2207-2214","publisher":"Taylor and Francis Inc.","title":"Determination of soil available phosphorus using the Olsen and Mehlich 3 methods for Greek soils having variable amounts of calcium carbonate","type":"article-journal","volume":"45"},"uris":["http://www.mendeley.com/documents/?uuid=f6e7b641-c887-3a72-a862-ce5f41f1f28c"]}],"mendeley":{"formattedCitation":"(Iatrou et al., 2014)","plainTextFormattedCitation":"(Iatrou et al., 2014)","previouslyFormattedCitation":"(Iatrou et al., 2014)"},"properties":{"noteIndex":0},"schema":"https://github.com/citation-style-language/schema/raw/master/csl-citation.json"}</w:instrText>
      </w:r>
      <w:r w:rsidRPr="00216965">
        <w:fldChar w:fldCharType="separate"/>
      </w:r>
      <w:r w:rsidR="00C83E62" w:rsidRPr="00216965">
        <w:rPr>
          <w:noProof/>
        </w:rPr>
        <w:t>(Iatrou et al., 2014)</w:t>
      </w:r>
      <w:r w:rsidRPr="00216965">
        <w:fldChar w:fldCharType="end"/>
      </w:r>
      <w:r w:rsidRPr="00216965">
        <w:t xml:space="preserve"> was used, in which 2.00 ± 0.03 g of soil was mixed with 40 mL of 0.5 N NaHCO</w:t>
      </w:r>
      <w:r w:rsidRPr="00216965">
        <w:rPr>
          <w:vertAlign w:val="subscript"/>
        </w:rPr>
        <w:t>3</w:t>
      </w:r>
      <w:r w:rsidRPr="00216965">
        <w:t xml:space="preserve"> solution (pH 8.5) for 30 min at 120 rpm. Samples were filtered using 0.45 μm syringe filters and P determined with the ascorbic acid method </w:t>
      </w:r>
      <w:r w:rsidRPr="00216965">
        <w:fldChar w:fldCharType="begin" w:fldLock="1"/>
      </w:r>
      <w:r w:rsidR="00F56BD7" w:rsidRPr="00216965">
        <w:instrText>ADDIN CSL_CITATION {"citationItems":[{"id":"ITEM-1","itemData":{"DOI":"10.1016/S0003-2670(00)88444-5","ISSN":"00032670","abstract":"A single solution reagent is described for the determination of phosphorus in sea water. It consists of an acidified solution of ammonium molybdate containing ascorbic acid and a small amount of antimony. This reagent reacts rapidly with phosphate ion yielding a blue-purple compound which contains antimony and phosphorus in a 1:1 atomic ratio. The complex is very stable and obeys Beer's law up to a phosphate concentration of at least 2 μg/ml.The sensitivity of the procedure is comparable with that of the stannous chloride method. The salt error is less than 1 %. © 1962.","author":[{"dropping-particle":"","family":"Murphy","given":"J.","non-dropping-particle":"","parse-names":false,"suffix":""},{"dropping-particle":"","family":"Riley","given":"J. P.","non-dropping-particle":"","parse-names":false,"suffix":""}],"container-title":"Analytica Chimica Acta","id":"ITEM-1","issued":{"date-parts":[["1962","1","1"]]},"page":"31-36","publisher":"Elsevier","title":"A modified single solution method for the determination of phosphate in natural waters","type":"article-journal","volume":"27"},"uris":["http://www.mendeley.com/documents/?uuid=f86a4700-6a85-3482-af90-252c2d52c52d"]}],"mendeley":{"formattedCitation":"(Murphy and Riley, 1962)","plainTextFormattedCitation":"(Murphy and Riley, 1962)","previouslyFormattedCitation":"(Murphy and Riley, 1962)"},"properties":{"noteIndex":0},"schema":"https://github.com/citation-style-language/schema/raw/master/csl-citation.json"}</w:instrText>
      </w:r>
      <w:r w:rsidRPr="00216965">
        <w:fldChar w:fldCharType="separate"/>
      </w:r>
      <w:r w:rsidR="00330A4F" w:rsidRPr="00216965">
        <w:rPr>
          <w:noProof/>
        </w:rPr>
        <w:t>(Murphy and Riley, 1962)</w:t>
      </w:r>
      <w:r w:rsidRPr="00216965">
        <w:fldChar w:fldCharType="end"/>
      </w:r>
      <w:r w:rsidRPr="00216965">
        <w:t xml:space="preserve"> at 880 nm by UV-visible spectroscopy (UV-2401PC, Shimadzu</w:t>
      </w:r>
      <w:r w:rsidR="004B13AB" w:rsidRPr="00216965">
        <w:t>, Japan</w:t>
      </w:r>
      <w:r w:rsidRPr="00216965">
        <w:t xml:space="preserve">). Available nitrate was determined following the method of </w:t>
      </w:r>
      <w:r w:rsidRPr="00216965">
        <w:fldChar w:fldCharType="begin" w:fldLock="1"/>
      </w:r>
      <w:r w:rsidR="006C06AA" w:rsidRPr="00216965">
        <w:instrText>ADDIN CSL_CITATION {"citationItems":[{"id":"ITEM-1","itemData":{"DOI":"10.1006/niox.2000.0319","ISSN":"10898603","PMID":"11178938","abstract":"Numerous methods are available for measurement of nitrate (NO3-). However, these assays can either be time consuming or require specialized equipment (e.g., nitrate reductase, chemiluminescent detector). We have developed a method for simultaneous evaluation of nitrate and nitrite concentrations in a microtiter plate format. The principle of this assay is reduction of nitrate by vanadium(III) combined with detection by the acidic Griess reaction. This assay is sensitive to 0.5 μM NO3- and is useful in a variety of fluids including cell culture media, serum, and plasma. S-Nitrosothiols and L-arginine derivatives were found to be potential interfering agents. However, these compounds are generally minor constituents of biological fluids relative to the concentration of nitrate/nitrite. This report introduces a new, convenient assay for the stable oxidation products of nitrogen oxide chemistry in biological samples. © 2001 Academic Press.","author":[{"dropping-particle":"","family":"Miranda","given":"Katrina M.","non-dropping-particle":"","parse-names":false,"suffix":""},{"dropping-particle":"","family":"Espey","given":"Michael G.","non-dropping-particle":"","parse-names":false,"suffix":""},{"dropping-particle":"","family":"Wink","given":"David A.","non-dropping-particle":"","parse-names":false,"suffix":""}],"container-title":"Nitric Oxide - Biology and Chemistry","id":"ITEM-1","issue":"1","issued":{"date-parts":[["2001"]]},"page":"62-71","title":"A rapid, simple spectrophotometric method for simultaneous detection of nitrate and nitrite","type":"article-journal","volume":"5"},"uris":["http://www.mendeley.com/documents/?uuid=71be7075-33f3-48f7-b4a7-a2334dc0442f"]}],"mendeley":{"formattedCitation":"(Miranda et al., 2001)","manualFormatting":"Miranda et al. (2001)","plainTextFormattedCitation":"(Miranda et al., 2001)","previouslyFormattedCitation":"(Miranda et al., 2001)"},"properties":{"noteIndex":0},"schema":"https://github.com/citation-style-language/schema/raw/master/csl-citation.json"}</w:instrText>
      </w:r>
      <w:r w:rsidRPr="00216965">
        <w:fldChar w:fldCharType="separate"/>
      </w:r>
      <w:r w:rsidRPr="00216965">
        <w:rPr>
          <w:noProof/>
        </w:rPr>
        <w:t xml:space="preserve">Miranda </w:t>
      </w:r>
      <w:r w:rsidR="009B2252" w:rsidRPr="00216965">
        <w:rPr>
          <w:iCs/>
          <w:noProof/>
        </w:rPr>
        <w:t>et al</w:t>
      </w:r>
      <w:r w:rsidRPr="00216965">
        <w:rPr>
          <w:noProof/>
        </w:rPr>
        <w:t>. (2001)</w:t>
      </w:r>
      <w:r w:rsidRPr="00216965">
        <w:fldChar w:fldCharType="end"/>
      </w:r>
      <w:r w:rsidRPr="00216965">
        <w:t>, wherein 2.00 ± 0.03 g of soil was mixed with 2M KCl solution and shaken for 30 min at 120 rpm. Samples were filtered with 0.45 μm syringe filters, and filtrates mixed with vanadium cocktail solution (1:1 ratio). This solution consisted of concentrated VCl</w:t>
      </w:r>
      <w:r w:rsidRPr="00216965">
        <w:rPr>
          <w:vertAlign w:val="subscript"/>
        </w:rPr>
        <w:t>3</w:t>
      </w:r>
      <w:r w:rsidRPr="00216965">
        <w:t xml:space="preserve"> (400 mg VCl</w:t>
      </w:r>
      <w:r w:rsidRPr="00216965">
        <w:rPr>
          <w:vertAlign w:val="subscript"/>
        </w:rPr>
        <w:t>3</w:t>
      </w:r>
      <w:r w:rsidRPr="00216965">
        <w:t xml:space="preserve"> in 50 mL 1M HCl), 2% sulphanilamide (2 g sulphanilamide in 100 mL of 5% HCl), 0.1% NEED (0.1 g N-ethylenediamine dihydrochloride in 100 mL water) and water in a volume ratio of 9.2: 139: 70: 1.15, respectively. Samples were left to react in the dark for 2 hours and measured at 540 nm (UV-2401PC, Shimadzu</w:t>
      </w:r>
      <w:r w:rsidR="00295074" w:rsidRPr="00216965">
        <w:t>, Japan</w:t>
      </w:r>
      <w:r w:rsidRPr="00216965">
        <w:t>).</w:t>
      </w:r>
    </w:p>
    <w:p w14:paraId="45952A97" w14:textId="77777777" w:rsidR="006B380D" w:rsidRPr="00216965" w:rsidRDefault="006B380D" w:rsidP="008A33DA">
      <w:pPr>
        <w:spacing w:line="360" w:lineRule="auto"/>
        <w:jc w:val="both"/>
      </w:pPr>
      <w:r w:rsidRPr="00216965">
        <w:t>The chemical speciation of Cd</w:t>
      </w:r>
      <w:r w:rsidRPr="00216965">
        <w:rPr>
          <w:vertAlign w:val="superscript"/>
        </w:rPr>
        <w:t>2+</w:t>
      </w:r>
      <w:r w:rsidRPr="00216965">
        <w:t>, Pb</w:t>
      </w:r>
      <w:r w:rsidRPr="00216965">
        <w:rPr>
          <w:vertAlign w:val="superscript"/>
        </w:rPr>
        <w:t>2+</w:t>
      </w:r>
      <w:r w:rsidRPr="00216965">
        <w:t xml:space="preserve"> and Zn</w:t>
      </w:r>
      <w:r w:rsidRPr="00216965">
        <w:rPr>
          <w:vertAlign w:val="superscript"/>
        </w:rPr>
        <w:t>2+</w:t>
      </w:r>
      <w:r w:rsidRPr="00216965">
        <w:t xml:space="preserve"> was predicted using Visual MINTEQ 3.1 speciation software. The ionic composition and the mean pH of the Mix-soil amended with biochar OSR550 were used as input data. </w:t>
      </w:r>
    </w:p>
    <w:p w14:paraId="068FAB9D" w14:textId="77777777" w:rsidR="006B380D" w:rsidRPr="00216965" w:rsidRDefault="006B380D" w:rsidP="008A33DA">
      <w:pPr>
        <w:pStyle w:val="Heading4"/>
      </w:pPr>
      <w:bookmarkStart w:id="201" w:name="_Ref86405627"/>
      <w:r w:rsidRPr="00216965">
        <w:t>Statistical analysis</w:t>
      </w:r>
      <w:bookmarkEnd w:id="201"/>
    </w:p>
    <w:p w14:paraId="50B767D2" w14:textId="715A3E89" w:rsidR="006B380D" w:rsidRPr="00216965" w:rsidRDefault="006B380D" w:rsidP="008A33DA">
      <w:pPr>
        <w:spacing w:line="360" w:lineRule="auto"/>
        <w:jc w:val="both"/>
      </w:pPr>
      <w:r w:rsidRPr="00216965">
        <w:t xml:space="preserve">The data for dry biomass, bioavailable HM concentrations and plant tissue concentrations was organised in subsets by soil treatment. Statistical differences between biochars and application rates were assessed by linear regression followed by a </w:t>
      </w:r>
      <w:r w:rsidR="008574C0" w:rsidRPr="00216965">
        <w:t>two</w:t>
      </w:r>
      <w:r w:rsidRPr="00216965">
        <w:t>-</w:t>
      </w:r>
      <w:r w:rsidR="008574C0" w:rsidRPr="00216965">
        <w:t>way</w:t>
      </w:r>
      <w:r w:rsidRPr="00216965">
        <w:t xml:space="preserve"> ANCOVA. The homogeneity of variances was verified with the Levene’s test and the normality with the Shapiro-Wilk’s test. Tukey's honestly significant difference (HSD) post hoc test was used to determine significant differences among groups. </w:t>
      </w:r>
    </w:p>
    <w:p w14:paraId="2716CF90" w14:textId="449C34F6" w:rsidR="006B380D" w:rsidRPr="00216965" w:rsidRDefault="006B380D" w:rsidP="008A33DA">
      <w:pPr>
        <w:spacing w:line="360" w:lineRule="auto"/>
        <w:rPr>
          <w:rFonts w:ascii="Open Sans" w:eastAsia="Open Sans" w:hAnsi="Open Sans" w:cs="Open Sans"/>
          <w:b/>
          <w:color w:val="444444"/>
        </w:rPr>
      </w:pPr>
      <w:r w:rsidRPr="00216965">
        <w:t xml:space="preserve">In order to determine if the differences in absolute growth rates (AGRs) between groups were significant, the difference between means was calculated by pairwise comparisons. The mean AGRs from the biochar treatments were subtracted from those of the controls (no biochar) and the difference compared to zero, corresponding to the null expectation </w:t>
      </w:r>
      <w:r w:rsidRPr="00216965">
        <w:lastRenderedPageBreak/>
        <w:t xml:space="preserve">of no difference between groups. The confidence interval for the difference between group means was calculated with </w:t>
      </w:r>
      <w:r w:rsidRPr="00216965">
        <w:rPr>
          <w:color w:val="444444"/>
          <w:spacing w:val="4"/>
          <w:shd w:val="clear" w:color="auto" w:fill="FFFFFF"/>
        </w:rPr>
        <w:fldChar w:fldCharType="begin"/>
      </w:r>
      <w:r w:rsidRPr="00216965">
        <w:rPr>
          <w:color w:val="444444"/>
          <w:spacing w:val="4"/>
          <w:shd w:val="clear" w:color="auto" w:fill="FFFFFF"/>
        </w:rPr>
        <w:instrText xml:space="preserve"> REF _Ref82170364 \h </w:instrText>
      </w:r>
      <w:r w:rsidRPr="00216965">
        <w:rPr>
          <w:color w:val="444444"/>
          <w:spacing w:val="4"/>
          <w:shd w:val="clear" w:color="auto" w:fill="FFFFFF"/>
        </w:rPr>
      </w:r>
      <w:r w:rsidR="00216965" w:rsidRPr="00216965">
        <w:rPr>
          <w:color w:val="444444"/>
          <w:spacing w:val="4"/>
          <w:shd w:val="clear" w:color="auto" w:fill="FFFFFF"/>
        </w:rPr>
        <w:instrText xml:space="preserve"> \* MERGEFORMAT </w:instrText>
      </w:r>
      <w:r w:rsidRPr="00216965">
        <w:rPr>
          <w:color w:val="444444"/>
          <w:spacing w:val="4"/>
          <w:shd w:val="clear" w:color="auto" w:fill="FFFFFF"/>
        </w:rPr>
        <w:fldChar w:fldCharType="separate"/>
      </w:r>
      <w:r w:rsidR="006E23EA" w:rsidRPr="00216965">
        <w:rPr>
          <w:b/>
          <w:bCs/>
        </w:rPr>
        <w:t xml:space="preserve">Eq. </w:t>
      </w:r>
      <w:r w:rsidR="006E23EA" w:rsidRPr="00216965">
        <w:rPr>
          <w:b/>
          <w:bCs/>
          <w:noProof/>
        </w:rPr>
        <w:t>12</w:t>
      </w:r>
      <w:r w:rsidRPr="00216965">
        <w:rPr>
          <w:color w:val="444444"/>
          <w:spacing w:val="4"/>
          <w:shd w:val="clear" w:color="auto" w:fill="FFFFFF"/>
        </w:rPr>
        <w:fldChar w:fldCharType="end"/>
      </w:r>
      <w:r w:rsidRPr="00216965">
        <w:rPr>
          <w:rFonts w:ascii="Open Sans" w:eastAsia="Open Sans" w:hAnsi="Open Sans" w:cs="Open Sans"/>
          <w:b/>
          <w:color w:val="444444"/>
        </w:rPr>
        <w:t>:</w:t>
      </w:r>
    </w:p>
    <w:tbl>
      <w:tblPr>
        <w:tblW w:w="8490" w:type="dxa"/>
        <w:tblBorders>
          <w:insideH w:val="nil"/>
          <w:insideV w:val="nil"/>
        </w:tblBorders>
        <w:tblLayout w:type="fixed"/>
        <w:tblLook w:val="0400" w:firstRow="0" w:lastRow="0" w:firstColumn="0" w:lastColumn="0" w:noHBand="0" w:noVBand="1"/>
      </w:tblPr>
      <w:tblGrid>
        <w:gridCol w:w="7362"/>
        <w:gridCol w:w="1128"/>
      </w:tblGrid>
      <w:tr w:rsidR="006B380D" w:rsidRPr="00216965" w14:paraId="76E8C71F" w14:textId="77777777" w:rsidTr="008A33DA">
        <w:tc>
          <w:tcPr>
            <w:tcW w:w="7362" w:type="dxa"/>
            <w:tcBorders>
              <w:top w:val="nil"/>
              <w:left w:val="nil"/>
              <w:bottom w:val="nil"/>
              <w:right w:val="nil"/>
            </w:tcBorders>
            <w:hideMark/>
          </w:tcPr>
          <w:p w14:paraId="31258CD9" w14:textId="77777777" w:rsidR="006B380D" w:rsidRPr="00216965" w:rsidRDefault="00BB30F1">
            <w:pPr>
              <w:jc w:val="center"/>
              <w:rPr>
                <w:rFonts w:ascii="Cambria Math" w:eastAsia="Cambria Math" w:hAnsi="Cambria Math" w:cs="Cambria Math"/>
                <w:color w:val="444444"/>
              </w:rPr>
            </w:pPr>
            <m:oMathPara>
              <m:oMath>
                <m:d>
                  <m:dPr>
                    <m:ctrlPr>
                      <w:rPr>
                        <w:rFonts w:ascii="Cambria Math" w:eastAsia="Cambria Math" w:hAnsi="Cambria Math" w:cs="Cambria Math"/>
                        <w:color w:val="444444"/>
                        <w:szCs w:val="24"/>
                      </w:rPr>
                    </m:ctrlPr>
                  </m:dPr>
                  <m:e>
                    <m:bar>
                      <m:barPr>
                        <m:ctrlPr>
                          <w:rPr>
                            <w:rFonts w:ascii="Cambria Math" w:hAnsi="Cambria Math"/>
                            <w:szCs w:val="24"/>
                          </w:rPr>
                        </m:ctrlPr>
                      </m:barPr>
                      <m:e>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x</m:t>
                            </m:r>
                          </m:e>
                          <m:sub>
                            <m:r>
                              <w:rPr>
                                <w:rFonts w:ascii="Cambria Math" w:eastAsia="Cambria Math" w:hAnsi="Cambria Math" w:cs="Cambria Math"/>
                                <w:color w:val="444444"/>
                              </w:rPr>
                              <m:t>1</m:t>
                            </m:r>
                          </m:sub>
                        </m:sSub>
                      </m:e>
                    </m:bar>
                    <m:r>
                      <w:rPr>
                        <w:rFonts w:ascii="Cambria Math" w:eastAsia="Cambria Math" w:hAnsi="Cambria Math" w:cs="Cambria Math"/>
                        <w:color w:val="444444"/>
                      </w:rPr>
                      <m:t xml:space="preserve"> - </m:t>
                    </m:r>
                    <m:bar>
                      <m:barPr>
                        <m:ctrlPr>
                          <w:rPr>
                            <w:rFonts w:ascii="Cambria Math" w:eastAsia="Cambria Math" w:hAnsi="Cambria Math" w:cs="Cambria Math"/>
                            <w:color w:val="444444"/>
                            <w:szCs w:val="24"/>
                          </w:rPr>
                        </m:ctrlPr>
                      </m:barPr>
                      <m:e>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x</m:t>
                            </m:r>
                          </m:e>
                          <m:sub>
                            <m:r>
                              <w:rPr>
                                <w:rFonts w:ascii="Cambria Math" w:eastAsia="Cambria Math" w:hAnsi="Cambria Math" w:cs="Cambria Math"/>
                                <w:color w:val="444444"/>
                              </w:rPr>
                              <m:t>2</m:t>
                            </m:r>
                          </m:sub>
                        </m:sSub>
                      </m:e>
                    </m:bar>
                  </m:e>
                </m:d>
                <m:r>
                  <w:rPr>
                    <w:rFonts w:ascii="Cambria Math" w:eastAsia="Cambria Math" w:hAnsi="Cambria Math" w:cs="Cambria Math"/>
                    <w:color w:val="444444"/>
                  </w:rPr>
                  <m:t xml:space="preserve"> ±</m:t>
                </m:r>
                <m:sSup>
                  <m:sSupPr>
                    <m:ctrlPr>
                      <w:rPr>
                        <w:rFonts w:ascii="Cambria Math" w:eastAsia="Cambria Math" w:hAnsi="Cambria Math" w:cs="Cambria Math"/>
                        <w:color w:val="444444"/>
                        <w:szCs w:val="24"/>
                      </w:rPr>
                    </m:ctrlPr>
                  </m:sSupPr>
                  <m:e>
                    <m:r>
                      <w:rPr>
                        <w:rFonts w:ascii="Cambria Math" w:eastAsia="Cambria Math" w:hAnsi="Cambria Math" w:cs="Cambria Math"/>
                        <w:color w:val="444444"/>
                      </w:rPr>
                      <m:t>t</m:t>
                    </m:r>
                  </m:e>
                  <m:sup>
                    <m:r>
                      <w:rPr>
                        <w:rFonts w:ascii="Cambria Math" w:eastAsia="Cambria Math" w:hAnsi="Cambria Math" w:cs="Cambria Math"/>
                        <w:color w:val="444444"/>
                      </w:rPr>
                      <m:t>*</m:t>
                    </m:r>
                  </m:sup>
                </m:sSup>
                <m:r>
                  <w:rPr>
                    <w:rFonts w:ascii="Cambria Math" w:eastAsia="Cambria Math" w:hAnsi="Cambria Math" w:cs="Cambria Math"/>
                    <w:color w:val="444444"/>
                  </w:rPr>
                  <m:t xml:space="preserve"> </m:t>
                </m:r>
                <m:rad>
                  <m:radPr>
                    <m:degHide m:val="1"/>
                    <m:ctrlPr>
                      <w:rPr>
                        <w:rFonts w:ascii="Cambria Math" w:eastAsia="Cambria Math" w:hAnsi="Cambria Math" w:cs="Cambria Math"/>
                        <w:color w:val="444444"/>
                        <w:szCs w:val="24"/>
                      </w:rPr>
                    </m:ctrlPr>
                  </m:radPr>
                  <m:deg/>
                  <m:e>
                    <m:f>
                      <m:fPr>
                        <m:ctrlPr>
                          <w:rPr>
                            <w:rFonts w:ascii="Cambria Math" w:eastAsia="Cambria Math" w:hAnsi="Cambria Math" w:cs="Cambria Math"/>
                            <w:color w:val="444444"/>
                            <w:szCs w:val="24"/>
                          </w:rPr>
                        </m:ctrlPr>
                      </m:fPr>
                      <m:num>
                        <m:sSubSup>
                          <m:sSubSupPr>
                            <m:ctrlPr>
                              <w:rPr>
                                <w:rFonts w:ascii="Cambria Math" w:eastAsia="Cambria Math" w:hAnsi="Cambria Math" w:cs="Cambria Math"/>
                                <w:color w:val="444444"/>
                                <w:szCs w:val="24"/>
                              </w:rPr>
                            </m:ctrlPr>
                          </m:sSubSupPr>
                          <m:e>
                            <m:r>
                              <w:rPr>
                                <w:rFonts w:ascii="Cambria Math" w:eastAsia="Cambria Math" w:hAnsi="Cambria Math" w:cs="Cambria Math"/>
                                <w:color w:val="444444"/>
                              </w:rPr>
                              <m:t>S</m:t>
                            </m:r>
                          </m:e>
                          <m:sub>
                            <m:r>
                              <w:rPr>
                                <w:rFonts w:ascii="Cambria Math" w:eastAsia="Cambria Math" w:hAnsi="Cambria Math" w:cs="Cambria Math"/>
                                <w:color w:val="444444"/>
                              </w:rPr>
                              <m:t>1</m:t>
                            </m:r>
                          </m:sub>
                          <m:sup>
                            <m:r>
                              <w:rPr>
                                <w:rFonts w:ascii="Cambria Math" w:eastAsia="Cambria Math" w:hAnsi="Cambria Math" w:cs="Cambria Math"/>
                                <w:color w:val="444444"/>
                              </w:rPr>
                              <m:t>2</m:t>
                            </m:r>
                          </m:sup>
                        </m:sSubSup>
                      </m:num>
                      <m:den>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n</m:t>
                            </m:r>
                          </m:e>
                          <m:sub>
                            <m:r>
                              <w:rPr>
                                <w:rFonts w:ascii="Cambria Math" w:eastAsia="Cambria Math" w:hAnsi="Cambria Math" w:cs="Cambria Math"/>
                                <w:color w:val="444444"/>
                              </w:rPr>
                              <m:t>1</m:t>
                            </m:r>
                          </m:sub>
                        </m:sSub>
                      </m:den>
                    </m:f>
                    <m:r>
                      <w:rPr>
                        <w:rFonts w:ascii="Cambria Math" w:eastAsia="Cambria Math" w:hAnsi="Cambria Math" w:cs="Cambria Math"/>
                        <w:color w:val="444444"/>
                      </w:rPr>
                      <m:t>+</m:t>
                    </m:r>
                    <m:f>
                      <m:fPr>
                        <m:ctrlPr>
                          <w:rPr>
                            <w:rFonts w:ascii="Cambria Math" w:eastAsia="Cambria Math" w:hAnsi="Cambria Math" w:cs="Cambria Math"/>
                            <w:color w:val="444444"/>
                            <w:szCs w:val="24"/>
                          </w:rPr>
                        </m:ctrlPr>
                      </m:fPr>
                      <m:num>
                        <m:sSubSup>
                          <m:sSubSupPr>
                            <m:ctrlPr>
                              <w:rPr>
                                <w:rFonts w:ascii="Cambria Math" w:eastAsia="Cambria Math" w:hAnsi="Cambria Math" w:cs="Cambria Math"/>
                                <w:color w:val="444444"/>
                                <w:szCs w:val="24"/>
                              </w:rPr>
                            </m:ctrlPr>
                          </m:sSubSupPr>
                          <m:e>
                            <m:r>
                              <w:rPr>
                                <w:rFonts w:ascii="Cambria Math" w:eastAsia="Cambria Math" w:hAnsi="Cambria Math" w:cs="Cambria Math"/>
                                <w:color w:val="444444"/>
                              </w:rPr>
                              <m:t>S</m:t>
                            </m:r>
                          </m:e>
                          <m:sub>
                            <m:r>
                              <w:rPr>
                                <w:rFonts w:ascii="Cambria Math" w:eastAsia="Cambria Math" w:hAnsi="Cambria Math" w:cs="Cambria Math"/>
                                <w:color w:val="444444"/>
                              </w:rPr>
                              <m:t>2</m:t>
                            </m:r>
                          </m:sub>
                          <m:sup>
                            <m:r>
                              <w:rPr>
                                <w:rFonts w:ascii="Cambria Math" w:eastAsia="Cambria Math" w:hAnsi="Cambria Math" w:cs="Cambria Math"/>
                                <w:color w:val="444444"/>
                              </w:rPr>
                              <m:t>2</m:t>
                            </m:r>
                          </m:sup>
                        </m:sSubSup>
                      </m:num>
                      <m:den>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n</m:t>
                            </m:r>
                          </m:e>
                          <m:sub>
                            <m:r>
                              <w:rPr>
                                <w:rFonts w:ascii="Cambria Math" w:eastAsia="Cambria Math" w:hAnsi="Cambria Math" w:cs="Cambria Math"/>
                                <w:color w:val="444444"/>
                              </w:rPr>
                              <m:t>2</m:t>
                            </m:r>
                          </m:sub>
                        </m:sSub>
                      </m:den>
                    </m:f>
                  </m:e>
                </m:rad>
                <m:r>
                  <w:rPr>
                    <w:rFonts w:ascii="Cambria Math" w:eastAsia="Cambria Math" w:hAnsi="Cambria Math" w:cs="Cambria Math"/>
                    <w:color w:val="444444"/>
                  </w:rPr>
                  <m:t xml:space="preserve">;         </m:t>
                </m:r>
                <m:sSup>
                  <m:sSupPr>
                    <m:ctrlPr>
                      <w:rPr>
                        <w:rFonts w:ascii="Cambria Math" w:eastAsia="Cambria Math" w:hAnsi="Cambria Math" w:cs="Cambria Math"/>
                        <w:color w:val="444444"/>
                        <w:szCs w:val="24"/>
                      </w:rPr>
                    </m:ctrlPr>
                  </m:sSupPr>
                  <m:e>
                    <m:r>
                      <w:rPr>
                        <w:rFonts w:ascii="Cambria Math" w:eastAsia="Cambria Math" w:hAnsi="Cambria Math" w:cs="Cambria Math"/>
                        <w:color w:val="444444"/>
                      </w:rPr>
                      <m:t>t</m:t>
                    </m:r>
                  </m:e>
                  <m:sup>
                    <m:r>
                      <w:rPr>
                        <w:rFonts w:ascii="Cambria Math" w:eastAsia="Cambria Math" w:hAnsi="Cambria Math" w:cs="Cambria Math"/>
                        <w:color w:val="444444"/>
                      </w:rPr>
                      <m:t>*</m:t>
                    </m:r>
                  </m:sup>
                </m:sSup>
                <m:r>
                  <w:rPr>
                    <w:rFonts w:ascii="Cambria Math" w:eastAsia="Cambria Math" w:hAnsi="Cambria Math" w:cs="Cambria Math"/>
                    <w:color w:val="444444"/>
                  </w:rPr>
                  <m:t>=t</m:t>
                </m:r>
                <m:d>
                  <m:dPr>
                    <m:ctrlPr>
                      <w:rPr>
                        <w:rFonts w:ascii="Cambria Math" w:eastAsia="Cambria Math" w:hAnsi="Cambria Math" w:cs="Cambria Math"/>
                        <w:color w:val="444444"/>
                        <w:szCs w:val="24"/>
                      </w:rPr>
                    </m:ctrlPr>
                  </m:dPr>
                  <m:e>
                    <m:f>
                      <m:fPr>
                        <m:ctrlPr>
                          <w:rPr>
                            <w:rFonts w:ascii="Cambria Math" w:eastAsia="Cambria Math" w:hAnsi="Cambria Math" w:cs="Cambria Math"/>
                            <w:color w:val="444444"/>
                            <w:szCs w:val="24"/>
                          </w:rPr>
                        </m:ctrlPr>
                      </m:fPr>
                      <m:num>
                        <m:r>
                          <w:rPr>
                            <w:rFonts w:ascii="Cambria Math" w:eastAsia="Cambria Math" w:hAnsi="Cambria Math" w:cs="Cambria Math"/>
                            <w:color w:val="444444"/>
                          </w:rPr>
                          <m:t>α</m:t>
                        </m:r>
                      </m:num>
                      <m:den>
                        <m:r>
                          <w:rPr>
                            <w:rFonts w:ascii="Cambria Math" w:eastAsia="Cambria Math" w:hAnsi="Cambria Math" w:cs="Cambria Math"/>
                            <w:color w:val="444444"/>
                          </w:rPr>
                          <m:t>2</m:t>
                        </m:r>
                      </m:den>
                    </m:f>
                    <m:r>
                      <w:rPr>
                        <w:rFonts w:ascii="Cambria Math" w:eastAsia="Cambria Math" w:hAnsi="Cambria Math" w:cs="Cambria Math"/>
                        <w:color w:val="444444"/>
                      </w:rPr>
                      <m:t>, df</m:t>
                    </m:r>
                  </m:e>
                </m:d>
                <m:r>
                  <w:rPr>
                    <w:rFonts w:ascii="Cambria Math" w:eastAsia="Cambria Math" w:hAnsi="Cambria Math" w:cs="Cambria Math"/>
                    <w:color w:val="444444"/>
                  </w:rPr>
                  <m:t xml:space="preserve">;         df= </m:t>
                </m:r>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(n</m:t>
                    </m:r>
                  </m:e>
                  <m:sub>
                    <m:r>
                      <w:rPr>
                        <w:rFonts w:ascii="Cambria Math" w:eastAsia="Cambria Math" w:hAnsi="Cambria Math" w:cs="Cambria Math"/>
                        <w:color w:val="444444"/>
                      </w:rPr>
                      <m:t>1</m:t>
                    </m:r>
                  </m:sub>
                </m:sSub>
                <m:r>
                  <w:rPr>
                    <w:rFonts w:ascii="Cambria Math" w:eastAsia="Cambria Math" w:hAnsi="Cambria Math" w:cs="Cambria Math"/>
                    <w:color w:val="444444"/>
                  </w:rPr>
                  <m:t xml:space="preserve">+ </m:t>
                </m:r>
                <m:sSub>
                  <m:sSubPr>
                    <m:ctrlPr>
                      <w:rPr>
                        <w:rFonts w:ascii="Cambria Math" w:eastAsia="Cambria Math" w:hAnsi="Cambria Math" w:cs="Cambria Math"/>
                        <w:color w:val="444444"/>
                        <w:szCs w:val="24"/>
                      </w:rPr>
                    </m:ctrlPr>
                  </m:sSubPr>
                  <m:e>
                    <m:r>
                      <w:rPr>
                        <w:rFonts w:ascii="Cambria Math" w:eastAsia="Cambria Math" w:hAnsi="Cambria Math" w:cs="Cambria Math"/>
                        <w:color w:val="444444"/>
                      </w:rPr>
                      <m:t>n</m:t>
                    </m:r>
                  </m:e>
                  <m:sub>
                    <m:r>
                      <w:rPr>
                        <w:rFonts w:ascii="Cambria Math" w:eastAsia="Cambria Math" w:hAnsi="Cambria Math" w:cs="Cambria Math"/>
                        <w:color w:val="444444"/>
                      </w:rPr>
                      <m:t xml:space="preserve">2 </m:t>
                    </m:r>
                  </m:sub>
                </m:sSub>
                <m:r>
                  <w:rPr>
                    <w:rFonts w:ascii="Cambria Math" w:eastAsia="Cambria Math" w:hAnsi="Cambria Math" w:cs="Cambria Math"/>
                    <w:color w:val="444444"/>
                  </w:rPr>
                  <m:t>)-2</m:t>
                </m:r>
              </m:oMath>
            </m:oMathPara>
          </w:p>
        </w:tc>
        <w:tc>
          <w:tcPr>
            <w:tcW w:w="1128" w:type="dxa"/>
            <w:tcBorders>
              <w:top w:val="nil"/>
              <w:left w:val="nil"/>
              <w:bottom w:val="nil"/>
              <w:right w:val="nil"/>
            </w:tcBorders>
            <w:hideMark/>
          </w:tcPr>
          <w:p w14:paraId="089929E4" w14:textId="3FB3BB97" w:rsidR="006B380D" w:rsidRPr="00216965" w:rsidRDefault="006B380D">
            <w:pPr>
              <w:spacing w:line="360" w:lineRule="auto"/>
              <w:rPr>
                <w:rFonts w:ascii="Open Sans" w:eastAsia="Open Sans" w:hAnsi="Open Sans" w:cs="Open Sans"/>
                <w:b/>
                <w:color w:val="444444"/>
              </w:rPr>
            </w:pPr>
            <w:bookmarkStart w:id="202" w:name="_Ref82170364"/>
            <w:r w:rsidRPr="00216965">
              <w:rPr>
                <w:b/>
                <w:bCs/>
              </w:rPr>
              <w:t xml:space="preserve">Eq. </w:t>
            </w:r>
            <w:r w:rsidRPr="00216965">
              <w:fldChar w:fldCharType="begin"/>
            </w:r>
            <w:r w:rsidRPr="00216965">
              <w:rPr>
                <w:b/>
                <w:bCs/>
              </w:rPr>
              <w:instrText xml:space="preserve"> SEQ Equation \* ARABIC </w:instrText>
            </w:r>
            <w:r w:rsidRPr="00216965">
              <w:fldChar w:fldCharType="separate"/>
            </w:r>
            <w:r w:rsidR="006E23EA" w:rsidRPr="00216965">
              <w:rPr>
                <w:b/>
                <w:bCs/>
                <w:noProof/>
              </w:rPr>
              <w:t>12</w:t>
            </w:r>
            <w:r w:rsidRPr="00216965">
              <w:fldChar w:fldCharType="end"/>
            </w:r>
            <w:bookmarkEnd w:id="202"/>
          </w:p>
        </w:tc>
      </w:tr>
    </w:tbl>
    <w:p w14:paraId="5B2BF269" w14:textId="77777777" w:rsidR="006B380D" w:rsidRPr="00216965" w:rsidRDefault="006B380D" w:rsidP="008A33DA">
      <w:pPr>
        <w:spacing w:line="360" w:lineRule="auto"/>
        <w:jc w:val="both"/>
        <w:rPr>
          <w:rFonts w:ascii="Open Sans" w:eastAsia="Open Sans" w:hAnsi="Open Sans" w:cs="Open Sans"/>
          <w:b/>
          <w:color w:val="444444"/>
        </w:rPr>
      </w:pPr>
      <w:r w:rsidRPr="00216965">
        <w:t>where</w:t>
      </w:r>
      <w:r w:rsidRPr="00216965">
        <w:rPr>
          <w:b/>
        </w:rPr>
        <w:t xml:space="preserve"> </w:t>
      </w:r>
      <m:oMath>
        <m:bar>
          <m:barPr>
            <m:ctrlPr>
              <w:rPr>
                <w:rFonts w:ascii="Cambria Math" w:hAnsi="Cambria Math"/>
                <w:szCs w:val="24"/>
              </w:rPr>
            </m:ctrlPr>
          </m:barPr>
          <m:e>
            <m:sSub>
              <m:sSubPr>
                <m:ctrlPr>
                  <w:rPr>
                    <w:rFonts w:ascii="Cambria Math" w:eastAsia="Cambria Math" w:hAnsi="Cambria Math" w:cs="Cambria Math"/>
                    <w:szCs w:val="24"/>
                  </w:rPr>
                </m:ctrlPr>
              </m:sSubPr>
              <m:e>
                <m:r>
                  <w:rPr>
                    <w:rFonts w:ascii="Cambria Math" w:eastAsia="Cambria Math" w:hAnsi="Cambria Math" w:cs="Cambria Math"/>
                  </w:rPr>
                  <m:t>x</m:t>
                </m:r>
              </m:e>
              <m:sub>
                <m:r>
                  <w:rPr>
                    <w:rFonts w:ascii="Cambria Math" w:eastAsia="Cambria Math" w:hAnsi="Cambria Math" w:cs="Cambria Math"/>
                  </w:rPr>
                  <m:t>1</m:t>
                </m:r>
              </m:sub>
            </m:sSub>
          </m:e>
        </m:bar>
        <m:r>
          <w:rPr>
            <w:rFonts w:ascii="Cambria Math" w:eastAsia="Cambria Math" w:hAnsi="Cambria Math" w:cs="Cambria Math"/>
          </w:rPr>
          <m:t xml:space="preserve"> -  </m:t>
        </m:r>
        <m:bar>
          <m:barPr>
            <m:ctrlPr>
              <w:rPr>
                <w:rFonts w:ascii="Cambria Math" w:eastAsia="Cambria Math" w:hAnsi="Cambria Math" w:cs="Cambria Math"/>
                <w:szCs w:val="24"/>
              </w:rPr>
            </m:ctrlPr>
          </m:barPr>
          <m:e>
            <m:sSub>
              <m:sSubPr>
                <m:ctrlPr>
                  <w:rPr>
                    <w:rFonts w:ascii="Cambria Math" w:eastAsia="Cambria Math" w:hAnsi="Cambria Math" w:cs="Cambria Math"/>
                    <w:szCs w:val="24"/>
                  </w:rPr>
                </m:ctrlPr>
              </m:sSubPr>
              <m:e>
                <m:r>
                  <w:rPr>
                    <w:rFonts w:ascii="Cambria Math" w:eastAsia="Cambria Math" w:hAnsi="Cambria Math" w:cs="Cambria Math"/>
                  </w:rPr>
                  <m:t>x</m:t>
                </m:r>
              </m:e>
              <m:sub>
                <m:r>
                  <w:rPr>
                    <w:rFonts w:ascii="Cambria Math" w:eastAsia="Cambria Math" w:hAnsi="Cambria Math" w:cs="Cambria Math"/>
                  </w:rPr>
                  <m:t>2</m:t>
                </m:r>
              </m:sub>
            </m:sSub>
          </m:e>
        </m:bar>
        <m:r>
          <w:rPr>
            <w:rFonts w:ascii="Cambria Math" w:eastAsia="Cambria Math" w:hAnsi="Cambria Math" w:cs="Cambria Math"/>
          </w:rPr>
          <m:t xml:space="preserve">  </m:t>
        </m:r>
      </m:oMath>
      <w:r w:rsidRPr="00216965">
        <w:t xml:space="preserve"> is the difference between the means of two independent samples, </w:t>
      </w:r>
      <w:r w:rsidRPr="00216965">
        <w:rPr>
          <w:color w:val="FF0000"/>
        </w:rPr>
        <w:t> </w:t>
      </w:r>
      <m:oMath>
        <m:sSup>
          <m:sSupPr>
            <m:ctrlPr>
              <w:rPr>
                <w:rFonts w:ascii="Cambria Math" w:eastAsia="Cambria Math" w:hAnsi="Cambria Math" w:cs="Cambria Math"/>
                <w:szCs w:val="24"/>
              </w:rPr>
            </m:ctrlPr>
          </m:sSupPr>
          <m:e>
            <m:r>
              <w:rPr>
                <w:rFonts w:ascii="Cambria Math" w:eastAsia="Cambria Math" w:hAnsi="Cambria Math" w:cs="Cambria Math"/>
              </w:rPr>
              <m:t>t</m:t>
            </m:r>
          </m:e>
          <m:sup>
            <m:r>
              <w:rPr>
                <w:rFonts w:ascii="Cambria Math" w:eastAsia="Cambria Math" w:hAnsi="Cambria Math" w:cs="Cambria Math"/>
              </w:rPr>
              <m:t>*</m:t>
            </m:r>
          </m:sup>
        </m:sSup>
      </m:oMath>
      <w:r w:rsidRPr="00216965">
        <w:t xml:space="preserve"> is the critical T-value, </w:t>
      </w:r>
      <w:r w:rsidRPr="00216965">
        <w:rPr>
          <w:i/>
        </w:rPr>
        <w:t>S</w:t>
      </w:r>
      <w:r w:rsidRPr="00216965">
        <w:rPr>
          <w:i/>
          <w:vertAlign w:val="subscript"/>
        </w:rPr>
        <w:t>1</w:t>
      </w:r>
      <w:r w:rsidRPr="00216965">
        <w:rPr>
          <w:vertAlign w:val="superscript"/>
        </w:rPr>
        <w:t xml:space="preserve">2 </w:t>
      </w:r>
      <w:r w:rsidRPr="00216965">
        <w:t xml:space="preserve">and </w:t>
      </w:r>
      <w:r w:rsidRPr="00216965">
        <w:rPr>
          <w:i/>
        </w:rPr>
        <w:t>S</w:t>
      </w:r>
      <w:r w:rsidRPr="00216965">
        <w:rPr>
          <w:i/>
          <w:vertAlign w:val="subscript"/>
        </w:rPr>
        <w:t>2</w:t>
      </w:r>
      <w:r w:rsidRPr="00216965">
        <w:rPr>
          <w:vertAlign w:val="superscript"/>
        </w:rPr>
        <w:t>2</w:t>
      </w:r>
      <w:r w:rsidRPr="00216965">
        <w:t xml:space="preserve"> denote the sample standard deviations, </w:t>
      </w:r>
      <w:r w:rsidRPr="00216965">
        <w:rPr>
          <w:i/>
        </w:rPr>
        <w:t>n</w:t>
      </w:r>
      <w:r w:rsidRPr="00216965">
        <w:rPr>
          <w:vertAlign w:val="subscript"/>
        </w:rPr>
        <w:t>1</w:t>
      </w:r>
      <w:r w:rsidRPr="00216965">
        <w:t xml:space="preserve"> and </w:t>
      </w:r>
      <w:r w:rsidRPr="00216965">
        <w:rPr>
          <w:i/>
        </w:rPr>
        <w:t>n</w:t>
      </w:r>
      <w:r w:rsidRPr="00216965">
        <w:rPr>
          <w:vertAlign w:val="subscript"/>
        </w:rPr>
        <w:t>2</w:t>
      </w:r>
      <w:r w:rsidRPr="00216965">
        <w:t xml:space="preserve"> denote the sample sizes, </w:t>
      </w:r>
      <w:r w:rsidRPr="00216965">
        <w:rPr>
          <w:i/>
        </w:rPr>
        <w:t>α</w:t>
      </w:r>
      <w:r w:rsidRPr="00216965">
        <w:t xml:space="preserve"> is the significance level and </w:t>
      </w:r>
      <m:oMath>
        <m:r>
          <w:rPr>
            <w:rFonts w:ascii="Cambria Math" w:eastAsia="Cambria Math" w:hAnsi="Cambria Math" w:cs="Cambria Math"/>
          </w:rPr>
          <m:t>df</m:t>
        </m:r>
      </m:oMath>
      <w:r w:rsidRPr="00216965">
        <w:t xml:space="preserve"> represents the degrees of freedom.</w:t>
      </w:r>
      <w:r w:rsidRPr="00216965">
        <w:rPr>
          <w:rFonts w:ascii="Arial" w:eastAsia="Arial" w:hAnsi="Arial" w:cs="Arial"/>
        </w:rPr>
        <w:t xml:space="preserve"> </w:t>
      </w:r>
      <w:r w:rsidRPr="00216965">
        <w:t xml:space="preserve">The differences were considered significant, as the 95% confidence intervals around the differences in AGR between groups did not overlap zero. </w:t>
      </w:r>
    </w:p>
    <w:p w14:paraId="3FFF939D" w14:textId="4F7998B4" w:rsidR="006B380D" w:rsidRPr="00216965" w:rsidRDefault="006B380D" w:rsidP="008A33DA">
      <w:pPr>
        <w:spacing w:line="360" w:lineRule="auto"/>
        <w:jc w:val="both"/>
        <w:rPr>
          <w:rFonts w:eastAsia="Times New Roman" w:cs="Times New Roman"/>
        </w:rPr>
      </w:pPr>
      <w:r w:rsidRPr="00216965">
        <w:t xml:space="preserve">Pairwise comparisons between soils amended with biochar and the control (no biochar) were performed to assess statistical differences in Fv/Fm at each time. These comparisons were corrected for false discovery using the Tukey method (α = 0.05) at different times during the growth experiment. All analyses were performed in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w:t>
      </w:r>
    </w:p>
    <w:p w14:paraId="4ACED656" w14:textId="58FFF109" w:rsidR="006B380D" w:rsidRPr="00216965" w:rsidRDefault="006B380D" w:rsidP="008A33DA">
      <w:pPr>
        <w:pStyle w:val="Heading3"/>
      </w:pPr>
      <w:bookmarkStart w:id="203" w:name="_heading=h.2bn6wsx"/>
      <w:bookmarkStart w:id="204" w:name="_Toc86504668"/>
      <w:bookmarkEnd w:id="203"/>
      <w:r w:rsidRPr="00216965">
        <w:t xml:space="preserve">Experiment B: Controlled environment incubations with </w:t>
      </w:r>
      <w:r w:rsidR="00F24567" w:rsidRPr="00216965">
        <w:rPr>
          <w:i/>
          <w:iCs/>
        </w:rPr>
        <w:t>Sinapsis alba</w:t>
      </w:r>
      <w:r w:rsidRPr="00216965">
        <w:t xml:space="preserve"> and </w:t>
      </w:r>
      <w:r w:rsidRPr="00216965">
        <w:rPr>
          <w:i/>
          <w:iCs/>
        </w:rPr>
        <w:t>Lolium perenne</w:t>
      </w:r>
      <w:bookmarkEnd w:id="204"/>
    </w:p>
    <w:p w14:paraId="7C017515" w14:textId="6DCEBA69" w:rsidR="006B380D" w:rsidRPr="00216965" w:rsidRDefault="006B380D" w:rsidP="008A33DA">
      <w:pPr>
        <w:spacing w:after="0" w:line="360" w:lineRule="auto"/>
        <w:jc w:val="both"/>
        <w:rPr>
          <w:color w:val="000000"/>
        </w:rPr>
      </w:pPr>
      <w:r w:rsidRPr="00216965">
        <w:t>E</w:t>
      </w:r>
      <w:r w:rsidRPr="00216965">
        <w:rPr>
          <w:color w:val="000000"/>
        </w:rPr>
        <w:t>xperiment B used the same artificially contaminated soil used for experiment A, but the number of biochars was reduced to two to allow for more replicates, and the 5% (</w:t>
      </w:r>
      <w:r w:rsidRPr="00216965">
        <w:rPr>
          <w:i/>
          <w:color w:val="000000"/>
        </w:rPr>
        <w:t>w/w</w:t>
      </w:r>
      <w:r w:rsidRPr="00216965">
        <w:rPr>
          <w:color w:val="000000"/>
        </w:rPr>
        <w:t xml:space="preserve">) application was excluded due to the </w:t>
      </w:r>
      <w:r w:rsidRPr="00216965">
        <w:t>observed negative</w:t>
      </w:r>
      <w:r w:rsidRPr="00216965">
        <w:rPr>
          <w:color w:val="000000"/>
        </w:rPr>
        <w:t xml:space="preserve"> impact of biochars </w:t>
      </w:r>
      <w:r w:rsidRPr="00216965">
        <w:t>o</w:t>
      </w:r>
      <w:r w:rsidRPr="00216965">
        <w:rPr>
          <w:color w:val="000000"/>
        </w:rPr>
        <w:t xml:space="preserve">n plants at this </w:t>
      </w:r>
      <w:r w:rsidRPr="00216965">
        <w:t>dosage</w:t>
      </w:r>
      <w:r w:rsidRPr="00216965">
        <w:rPr>
          <w:color w:val="000000"/>
        </w:rPr>
        <w:t xml:space="preserve">. An additional control treatment using uncontaminated soil was </w:t>
      </w:r>
      <w:r w:rsidRPr="00216965">
        <w:t>added</w:t>
      </w:r>
      <w:r w:rsidRPr="00216965">
        <w:rPr>
          <w:color w:val="000000"/>
        </w:rPr>
        <w:t xml:space="preserve">. Soil was planted with </w:t>
      </w:r>
      <w:r w:rsidR="00F24567" w:rsidRPr="00216965">
        <w:t>white</w:t>
      </w:r>
      <w:r w:rsidRPr="00216965">
        <w:t xml:space="preserve"> mustard</w:t>
      </w:r>
      <w:r w:rsidR="009B233D" w:rsidRPr="00216965">
        <w:t xml:space="preserve"> (</w:t>
      </w:r>
      <w:r w:rsidR="009B233D" w:rsidRPr="00216965">
        <w:rPr>
          <w:i/>
          <w:iCs/>
        </w:rPr>
        <w:t>Sinapsis alba</w:t>
      </w:r>
      <w:r w:rsidR="009B233D" w:rsidRPr="00216965">
        <w:t>)</w:t>
      </w:r>
      <w:r w:rsidRPr="00216965">
        <w:t xml:space="preserve"> or </w:t>
      </w:r>
      <w:r w:rsidR="00F24567" w:rsidRPr="00216965">
        <w:t>ryegrass (</w:t>
      </w:r>
      <w:r w:rsidRPr="00216965">
        <w:rPr>
          <w:i/>
        </w:rPr>
        <w:t>Lolium perenne</w:t>
      </w:r>
      <w:r w:rsidR="00F24567" w:rsidRPr="00216965">
        <w:rPr>
          <w:i/>
        </w:rPr>
        <w:t>)</w:t>
      </w:r>
      <w:r w:rsidRPr="00216965">
        <w:rPr>
          <w:i/>
        </w:rPr>
        <w:t xml:space="preserve"> </w:t>
      </w:r>
      <w:r w:rsidRPr="00216965">
        <w:rPr>
          <w:color w:val="000000"/>
        </w:rPr>
        <w:t>to</w:t>
      </w:r>
      <w:r w:rsidRPr="00216965">
        <w:t xml:space="preserve"> examine</w:t>
      </w:r>
      <w:r w:rsidRPr="00216965">
        <w:rPr>
          <w:color w:val="000000"/>
        </w:rPr>
        <w:t xml:space="preserve"> the sensitivity of </w:t>
      </w:r>
      <w:r w:rsidRPr="00216965">
        <w:t xml:space="preserve">commonly used groundcover plants </w:t>
      </w:r>
      <w:r w:rsidRPr="00216965">
        <w:rPr>
          <w:color w:val="000000"/>
        </w:rPr>
        <w:t>to biochar amendments in heavy metal</w:t>
      </w:r>
      <w:r w:rsidRPr="00216965">
        <w:t>-</w:t>
      </w:r>
      <w:r w:rsidRPr="00216965">
        <w:rPr>
          <w:color w:val="000000"/>
        </w:rPr>
        <w:t>contaminated soils.</w:t>
      </w:r>
    </w:p>
    <w:p w14:paraId="5EF5B0A5" w14:textId="77777777" w:rsidR="006B380D" w:rsidRPr="00216965" w:rsidRDefault="006B380D" w:rsidP="008A33DA">
      <w:pPr>
        <w:pStyle w:val="Heading4"/>
      </w:pPr>
      <w:r w:rsidRPr="00216965">
        <w:t>Experiment set up</w:t>
      </w:r>
    </w:p>
    <w:p w14:paraId="12869A43" w14:textId="5C9E97AC" w:rsidR="006B380D" w:rsidRPr="00216965" w:rsidRDefault="006B380D" w:rsidP="008A33DA">
      <w:pPr>
        <w:spacing w:line="360" w:lineRule="auto"/>
        <w:jc w:val="both"/>
      </w:pPr>
      <w:r w:rsidRPr="00216965">
        <w:t>Uncontaminated multipurpose top-soil (BS3882 certified) used to prepare the artificially contaminated soils (</w:t>
      </w:r>
      <w:r w:rsidR="006B7849" w:rsidRPr="00216965">
        <w:rPr>
          <w:b/>
          <w:bCs/>
        </w:rPr>
        <w:t xml:space="preserve">section </w:t>
      </w:r>
      <w:r w:rsidR="006B7849" w:rsidRPr="00216965">
        <w:rPr>
          <w:b/>
          <w:bCs/>
        </w:rPr>
        <w:fldChar w:fldCharType="begin"/>
      </w:r>
      <w:r w:rsidR="006B7849" w:rsidRPr="00216965">
        <w:rPr>
          <w:b/>
          <w:bCs/>
        </w:rPr>
        <w:instrText xml:space="preserve"> REF _Ref86415090 \r \h  \* MERGEFORMAT </w:instrText>
      </w:r>
      <w:r w:rsidR="006B7849" w:rsidRPr="00216965">
        <w:rPr>
          <w:b/>
          <w:bCs/>
        </w:rPr>
      </w:r>
      <w:r w:rsidR="006B7849" w:rsidRPr="00216965">
        <w:rPr>
          <w:b/>
          <w:bCs/>
        </w:rPr>
        <w:fldChar w:fldCharType="separate"/>
      </w:r>
      <w:r w:rsidR="006E23EA" w:rsidRPr="00216965">
        <w:rPr>
          <w:b/>
          <w:bCs/>
        </w:rPr>
        <w:t>4.2.3</w:t>
      </w:r>
      <w:r w:rsidR="006B7849" w:rsidRPr="00216965">
        <w:rPr>
          <w:b/>
          <w:bCs/>
        </w:rPr>
        <w:fldChar w:fldCharType="end"/>
      </w:r>
      <w:r w:rsidRPr="00216965">
        <w:t>) was air-dried, ground and passed through a 2 mm stainless steel sieve. Plastic pots (8.5 cm depth, 6 cm diameter) were prepared as described in Experiment A (</w:t>
      </w:r>
      <w:r w:rsidRPr="00216965">
        <w:rPr>
          <w:b/>
          <w:bCs/>
          <w:lang w:val="en-US"/>
        </w:rPr>
        <w:t>section</w:t>
      </w:r>
      <w:r w:rsidR="00A94E3A" w:rsidRPr="00216965">
        <w:rPr>
          <w:b/>
          <w:bCs/>
          <w:lang w:val="en-US"/>
        </w:rPr>
        <w:t xml:space="preserve"> </w:t>
      </w:r>
      <w:r w:rsidR="00A94E3A" w:rsidRPr="00216965">
        <w:rPr>
          <w:b/>
          <w:bCs/>
          <w:lang w:val="en-US"/>
        </w:rPr>
        <w:fldChar w:fldCharType="begin"/>
      </w:r>
      <w:r w:rsidR="00A94E3A" w:rsidRPr="00216965">
        <w:rPr>
          <w:b/>
          <w:bCs/>
          <w:lang w:val="en-US"/>
        </w:rPr>
        <w:instrText xml:space="preserve"> REF _Ref86414881 \r \h </w:instrText>
      </w:r>
      <w:r w:rsidR="00A94E3A" w:rsidRPr="00216965">
        <w:rPr>
          <w:b/>
          <w:bCs/>
          <w:lang w:val="en-US"/>
        </w:rPr>
      </w:r>
      <w:r w:rsidR="00216965" w:rsidRPr="00216965">
        <w:rPr>
          <w:b/>
          <w:bCs/>
          <w:lang w:val="en-US"/>
        </w:rPr>
        <w:instrText xml:space="preserve"> \* MERGEFORMAT </w:instrText>
      </w:r>
      <w:r w:rsidR="00A94E3A" w:rsidRPr="00216965">
        <w:rPr>
          <w:b/>
          <w:bCs/>
          <w:lang w:val="en-US"/>
        </w:rPr>
        <w:fldChar w:fldCharType="separate"/>
      </w:r>
      <w:r w:rsidR="006E23EA" w:rsidRPr="00216965">
        <w:rPr>
          <w:b/>
          <w:bCs/>
          <w:lang w:val="en-US"/>
        </w:rPr>
        <w:t>4.2.4.1</w:t>
      </w:r>
      <w:r w:rsidR="00A94E3A" w:rsidRPr="00216965">
        <w:rPr>
          <w:b/>
          <w:bCs/>
          <w:lang w:val="en-US"/>
        </w:rPr>
        <w:fldChar w:fldCharType="end"/>
      </w:r>
      <w:r w:rsidRPr="00216965">
        <w:t>). Each pot contained 0.1 L of either soil (</w:t>
      </w:r>
      <w:r w:rsidR="00B34B0F" w:rsidRPr="00216965">
        <w:t xml:space="preserve">Soil treatments: </w:t>
      </w:r>
      <w:r w:rsidRPr="00216965">
        <w:t xml:space="preserve">Uncontaminated, Pb-spiked, Cd-spiked, Zn-spiked and </w:t>
      </w:r>
      <w:sdt>
        <w:sdtPr>
          <w:tag w:val="goog_rdk_0"/>
          <w:id w:val="1910189384"/>
        </w:sdtPr>
        <w:sdtEndPr/>
        <w:sdtContent/>
      </w:sdt>
      <w:r w:rsidRPr="00216965">
        <w:t xml:space="preserve">Mix-spiked) or a soil and biochar mixture from each treatment. The selected biochars were wheat straw pellets (WSP550) </w:t>
      </w:r>
      <w:r w:rsidRPr="00216965">
        <w:lastRenderedPageBreak/>
        <w:t>and Miscanthus pellets (MSP550) biochars. Biochar was added at 1% or  3%  on a dry weight basis (</w:t>
      </w:r>
      <w:r w:rsidRPr="00216965">
        <w:rPr>
          <w:i/>
        </w:rPr>
        <w:t>w/w</w:t>
      </w:r>
      <w:r w:rsidRPr="00216965">
        <w:t>). These biochar application rates corresponded to 24 and 73 t biochar ha</w:t>
      </w:r>
      <w:r w:rsidRPr="00216965">
        <w:rPr>
          <w:vertAlign w:val="superscript"/>
        </w:rPr>
        <w:t>-1</w:t>
      </w:r>
      <w:r w:rsidRPr="00216965">
        <w:t xml:space="preserve">, respectively. Pots containing soil without biochar (0%) were used as controls. The pots were prepared in four replicates, giving a total of 100 pots (5 soil treatments </w:t>
      </w:r>
      <m:oMath>
        <m:r>
          <w:rPr>
            <w:rFonts w:ascii="Cambria Math" w:hAnsi="Cambria Math"/>
          </w:rPr>
          <m:t>×</m:t>
        </m:r>
      </m:oMath>
      <w:r w:rsidRPr="00216965">
        <w:t xml:space="preserve"> 2 biochars </w:t>
      </w:r>
      <m:oMath>
        <m:r>
          <w:rPr>
            <w:rFonts w:ascii="Cambria Math" w:hAnsi="Cambria Math"/>
          </w:rPr>
          <m:t>×</m:t>
        </m:r>
      </m:oMath>
      <w:r w:rsidRPr="00216965">
        <w:t xml:space="preserve"> 2 biochar application rates </w:t>
      </w:r>
      <m:oMath>
        <m:r>
          <w:rPr>
            <w:rFonts w:ascii="Cambria Math" w:hAnsi="Cambria Math"/>
          </w:rPr>
          <m:t>×</m:t>
        </m:r>
      </m:oMath>
      <w:r w:rsidRPr="00216965">
        <w:t xml:space="preserve"> 4 replicates </w:t>
      </w:r>
      <m:oMath>
        <m:r>
          <w:rPr>
            <w:rFonts w:ascii="Cambria Math" w:eastAsia="Cambria Math" w:hAnsi="Cambria Math" w:cs="Cambria Math"/>
          </w:rPr>
          <m:t>+</m:t>
        </m:r>
      </m:oMath>
      <w:r w:rsidRPr="00216965">
        <w:t xml:space="preserve"> 5 soil treatments (controls without biochar) </w:t>
      </w:r>
      <m:oMath>
        <m:r>
          <w:rPr>
            <w:rFonts w:ascii="Cambria Math" w:hAnsi="Cambria Math"/>
          </w:rPr>
          <m:t>×</m:t>
        </m:r>
      </m:oMath>
      <w:r w:rsidRPr="00216965">
        <w:t xml:space="preserve"> 4 replicates). The pots were equilibrated for one week at 70% water holding capacity, as described in Experiment A (</w:t>
      </w:r>
      <w:r w:rsidR="006B7849" w:rsidRPr="00216965">
        <w:rPr>
          <w:b/>
          <w:bCs/>
          <w:lang w:val="en-US"/>
        </w:rPr>
        <w:t xml:space="preserve">section </w:t>
      </w:r>
      <w:r w:rsidR="006B7849" w:rsidRPr="00216965">
        <w:rPr>
          <w:b/>
          <w:bCs/>
          <w:lang w:val="en-US"/>
        </w:rPr>
        <w:fldChar w:fldCharType="begin"/>
      </w:r>
      <w:r w:rsidR="006B7849" w:rsidRPr="00216965">
        <w:rPr>
          <w:b/>
          <w:bCs/>
          <w:lang w:val="en-US"/>
        </w:rPr>
        <w:instrText xml:space="preserve"> REF _Ref86414881 \r \h </w:instrText>
      </w:r>
      <w:r w:rsidR="006B7849" w:rsidRPr="00216965">
        <w:rPr>
          <w:b/>
          <w:bCs/>
          <w:lang w:val="en-US"/>
        </w:rPr>
      </w:r>
      <w:r w:rsidR="00216965" w:rsidRPr="00216965">
        <w:rPr>
          <w:b/>
          <w:bCs/>
          <w:lang w:val="en-US"/>
        </w:rPr>
        <w:instrText xml:space="preserve"> \* MERGEFORMAT </w:instrText>
      </w:r>
      <w:r w:rsidR="006B7849" w:rsidRPr="00216965">
        <w:rPr>
          <w:b/>
          <w:bCs/>
          <w:lang w:val="en-US"/>
        </w:rPr>
        <w:fldChar w:fldCharType="separate"/>
      </w:r>
      <w:r w:rsidR="006E23EA" w:rsidRPr="00216965">
        <w:rPr>
          <w:b/>
          <w:bCs/>
          <w:lang w:val="en-US"/>
        </w:rPr>
        <w:t>4.2.4.1</w:t>
      </w:r>
      <w:r w:rsidR="006B7849" w:rsidRPr="00216965">
        <w:rPr>
          <w:b/>
          <w:bCs/>
          <w:lang w:val="en-US"/>
        </w:rPr>
        <w:fldChar w:fldCharType="end"/>
      </w:r>
      <w:r w:rsidRPr="00216965">
        <w:t>).</w:t>
      </w:r>
    </w:p>
    <w:p w14:paraId="50D8BA88" w14:textId="2C93C6DF" w:rsidR="006B380D" w:rsidRPr="00216965" w:rsidRDefault="006B380D" w:rsidP="008A33DA">
      <w:pPr>
        <w:spacing w:after="0" w:line="360" w:lineRule="auto"/>
        <w:jc w:val="both"/>
        <w:rPr>
          <w:color w:val="000000"/>
        </w:rPr>
      </w:pPr>
      <w:r w:rsidRPr="00216965">
        <w:rPr>
          <w:color w:val="000000"/>
        </w:rPr>
        <w:t xml:space="preserve">Six seeds of either </w:t>
      </w:r>
      <w:r w:rsidR="00F24567" w:rsidRPr="00216965">
        <w:rPr>
          <w:color w:val="000000"/>
        </w:rPr>
        <w:t>white</w:t>
      </w:r>
      <w:r w:rsidRPr="00216965">
        <w:rPr>
          <w:color w:val="000000"/>
        </w:rPr>
        <w:t xml:space="preserve"> mustard (</w:t>
      </w:r>
      <w:r w:rsidRPr="00216965">
        <w:rPr>
          <w:i/>
          <w:color w:val="000000"/>
        </w:rPr>
        <w:t>Sinapsis Alba</w:t>
      </w:r>
      <w:r w:rsidRPr="00216965">
        <w:rPr>
          <w:color w:val="000000"/>
        </w:rPr>
        <w:t>) or ryegrass (</w:t>
      </w:r>
      <w:r w:rsidRPr="00216965">
        <w:rPr>
          <w:i/>
          <w:color w:val="000000"/>
        </w:rPr>
        <w:t>Lolium perenne</w:t>
      </w:r>
      <w:r w:rsidRPr="00216965">
        <w:rPr>
          <w:color w:val="000000"/>
        </w:rPr>
        <w:t xml:space="preserve">) were planted in each pot, giving a total of 100 pots planted with </w:t>
      </w:r>
      <w:r w:rsidR="00335953" w:rsidRPr="00216965">
        <w:rPr>
          <w:i/>
          <w:iCs/>
        </w:rPr>
        <w:t>Sinapsis alba</w:t>
      </w:r>
      <w:r w:rsidRPr="00216965">
        <w:rPr>
          <w:color w:val="000000"/>
        </w:rPr>
        <w:t xml:space="preserve"> and 100 pots planted with </w:t>
      </w:r>
      <w:r w:rsidRPr="00216965">
        <w:rPr>
          <w:i/>
          <w:color w:val="000000"/>
        </w:rPr>
        <w:t>Lolium perenne</w:t>
      </w:r>
      <w:r w:rsidRPr="00216965">
        <w:rPr>
          <w:color w:val="000000"/>
        </w:rPr>
        <w:t>. Planted pots were incubated in a controlled environment chamber at 22</w:t>
      </w:r>
      <w:r w:rsidRPr="00216965">
        <w:rPr>
          <w:rFonts w:ascii="Cambria Math" w:eastAsia="Cambria Math" w:hAnsi="Cambria Math" w:cs="Cambria Math"/>
          <w:color w:val="000000"/>
        </w:rPr>
        <w:t>⁰</w:t>
      </w:r>
      <w:r w:rsidRPr="00216965">
        <w:rPr>
          <w:color w:val="000000"/>
        </w:rPr>
        <w:t>C with a photoperiod of 12 hours during 4 weeks. All pots received the same amount of irrigation (10 mL of water every 48 hours) during the growth experiment.</w:t>
      </w:r>
    </w:p>
    <w:p w14:paraId="2578C41B" w14:textId="77777777" w:rsidR="006B380D" w:rsidRPr="00216965" w:rsidRDefault="006B380D" w:rsidP="008A33DA">
      <w:pPr>
        <w:pStyle w:val="Heading4"/>
      </w:pPr>
      <w:bookmarkStart w:id="205" w:name="_heading=h.qsh70q"/>
      <w:bookmarkEnd w:id="205"/>
      <w:r w:rsidRPr="00216965">
        <w:t>Plant analysis</w:t>
      </w:r>
    </w:p>
    <w:p w14:paraId="25080B57" w14:textId="4B2D824B" w:rsidR="006B380D" w:rsidRPr="00216965" w:rsidRDefault="006B380D" w:rsidP="008A33DA">
      <w:pPr>
        <w:spacing w:line="360" w:lineRule="auto"/>
        <w:jc w:val="both"/>
      </w:pPr>
      <w:r w:rsidRPr="00216965">
        <w:t xml:space="preserve">After four weeks of incubation under controlled conditions, above-ground biomass was harvested. Plant tissue was placed in paper bags and dried at 40 °C for 10 days. Dried tissue was weighed and then finely ground with a mortar and pestle; 200.0 ± 0.3 mg of ground plant tissue was used for the determination of heavy metals by acid digestion following the same procedure described in </w:t>
      </w:r>
      <w:r w:rsidRPr="00216965">
        <w:rPr>
          <w:b/>
          <w:bCs/>
        </w:rPr>
        <w:t xml:space="preserve">section </w:t>
      </w:r>
      <w:r w:rsidR="006B7849" w:rsidRPr="00216965">
        <w:rPr>
          <w:b/>
          <w:bCs/>
        </w:rPr>
        <w:fldChar w:fldCharType="begin"/>
      </w:r>
      <w:r w:rsidR="006B7849" w:rsidRPr="00216965">
        <w:rPr>
          <w:b/>
          <w:bCs/>
        </w:rPr>
        <w:instrText xml:space="preserve"> REF _Ref86415167 \r \h </w:instrText>
      </w:r>
      <w:r w:rsidR="006B7849" w:rsidRPr="00216965">
        <w:rPr>
          <w:b/>
          <w:bCs/>
        </w:rPr>
      </w:r>
      <w:r w:rsidR="00216965" w:rsidRPr="00216965">
        <w:rPr>
          <w:b/>
          <w:bCs/>
        </w:rPr>
        <w:instrText xml:space="preserve"> \* MERGEFORMAT </w:instrText>
      </w:r>
      <w:r w:rsidR="006B7849" w:rsidRPr="00216965">
        <w:rPr>
          <w:b/>
          <w:bCs/>
        </w:rPr>
        <w:fldChar w:fldCharType="separate"/>
      </w:r>
      <w:r w:rsidR="006E23EA" w:rsidRPr="00216965">
        <w:rPr>
          <w:b/>
          <w:bCs/>
        </w:rPr>
        <w:t>4.2.4.5</w:t>
      </w:r>
      <w:r w:rsidR="006B7849" w:rsidRPr="00216965">
        <w:rPr>
          <w:b/>
          <w:bCs/>
        </w:rPr>
        <w:fldChar w:fldCharType="end"/>
      </w:r>
    </w:p>
    <w:p w14:paraId="40A7BFAE" w14:textId="77777777" w:rsidR="006B380D" w:rsidRPr="00216965" w:rsidRDefault="006B380D" w:rsidP="008A33DA">
      <w:pPr>
        <w:pStyle w:val="Heading4"/>
      </w:pPr>
      <w:r w:rsidRPr="00216965">
        <w:t>Soil analysis</w:t>
      </w:r>
    </w:p>
    <w:p w14:paraId="7E713D17" w14:textId="2BEC44CC" w:rsidR="006B380D" w:rsidRPr="00216965" w:rsidRDefault="006B380D" w:rsidP="008A33DA">
      <w:pPr>
        <w:spacing w:line="360" w:lineRule="auto"/>
        <w:jc w:val="both"/>
      </w:pPr>
      <w:r w:rsidRPr="00216965">
        <w:t>After harvest, soil samples were air dried and sieved (&lt; 2 mm) for chemical analysis. Bioavailable trace elements in soils were extracted using NH</w:t>
      </w:r>
      <w:r w:rsidRPr="00216965">
        <w:rPr>
          <w:vertAlign w:val="subscript"/>
        </w:rPr>
        <w:t>4</w:t>
      </w:r>
      <w:r w:rsidRPr="00216965">
        <w:t>NO</w:t>
      </w:r>
      <w:r w:rsidRPr="00216965">
        <w:rPr>
          <w:vertAlign w:val="subscript"/>
        </w:rPr>
        <w:t>3</w:t>
      </w:r>
      <w:r w:rsidRPr="00216965">
        <w:t xml:space="preserve"> (1 M), as described in</w:t>
      </w:r>
      <w:r w:rsidR="006B7849" w:rsidRPr="00216965">
        <w:rPr>
          <w:b/>
          <w:bCs/>
        </w:rPr>
        <w:t xml:space="preserve"> section </w:t>
      </w:r>
      <w:r w:rsidR="006B7849" w:rsidRPr="00216965">
        <w:rPr>
          <w:b/>
          <w:bCs/>
        </w:rPr>
        <w:fldChar w:fldCharType="begin"/>
      </w:r>
      <w:r w:rsidR="006B7849" w:rsidRPr="00216965">
        <w:rPr>
          <w:b/>
          <w:bCs/>
        </w:rPr>
        <w:instrText xml:space="preserve"> REF _Ref86415167 \r \h </w:instrText>
      </w:r>
      <w:r w:rsidR="006B7849" w:rsidRPr="00216965">
        <w:rPr>
          <w:b/>
          <w:bCs/>
        </w:rPr>
      </w:r>
      <w:r w:rsidR="00216965" w:rsidRPr="00216965">
        <w:rPr>
          <w:b/>
          <w:bCs/>
        </w:rPr>
        <w:instrText xml:space="preserve"> \* MERGEFORMAT </w:instrText>
      </w:r>
      <w:r w:rsidR="006B7849" w:rsidRPr="00216965">
        <w:rPr>
          <w:b/>
          <w:bCs/>
        </w:rPr>
        <w:fldChar w:fldCharType="separate"/>
      </w:r>
      <w:r w:rsidR="006E23EA" w:rsidRPr="00216965">
        <w:rPr>
          <w:b/>
          <w:bCs/>
        </w:rPr>
        <w:t>4.2.4.5</w:t>
      </w:r>
      <w:r w:rsidR="006B7849" w:rsidRPr="00216965">
        <w:rPr>
          <w:b/>
          <w:bCs/>
        </w:rPr>
        <w:fldChar w:fldCharType="end"/>
      </w:r>
      <w:r w:rsidRPr="00216965">
        <w:t xml:space="preserve"> and analysed by ICP-OES (</w:t>
      </w:r>
      <w:r w:rsidR="00F24567" w:rsidRPr="00216965">
        <w:rPr>
          <w:color w:val="222222"/>
        </w:rPr>
        <w:t xml:space="preserve">Optima 7300, </w:t>
      </w:r>
      <w:r w:rsidRPr="00216965">
        <w:rPr>
          <w:color w:val="222222"/>
        </w:rPr>
        <w:t>Perkin Elmer</w:t>
      </w:r>
      <w:r w:rsidR="00F24567" w:rsidRPr="00216965">
        <w:rPr>
          <w:color w:val="222222"/>
        </w:rPr>
        <w:t>, USA</w:t>
      </w:r>
      <w:r w:rsidRPr="00216965">
        <w:t xml:space="preserve">). Major elements (K, Na, Al, Ca, Mg, Fe and Mn) and trace metals (B, Mo, Cd, Cr, Cu, Ni, Pb and Zn) were determined. Soil </w:t>
      </w:r>
      <w:bookmarkStart w:id="206" w:name="_Hlk98871825"/>
      <w:r w:rsidRPr="00216965">
        <w:t xml:space="preserve">pH </w:t>
      </w:r>
      <w:r w:rsidR="00F24567" w:rsidRPr="00216965">
        <w:t>(Orion 5 star FB68800, Thermo, USA, pH meter)</w:t>
      </w:r>
      <w:r w:rsidRPr="00216965">
        <w:t xml:space="preserve"> and EC </w:t>
      </w:r>
      <w:r w:rsidR="00F24567" w:rsidRPr="00216965">
        <w:t>(470 portable conductivity/TDS meter, JENWAY, China)</w:t>
      </w:r>
      <w:bookmarkEnd w:id="206"/>
      <w:r w:rsidR="00F24567" w:rsidRPr="00216965">
        <w:t xml:space="preserve"> </w:t>
      </w:r>
      <w:r w:rsidRPr="00216965">
        <w:t>were measured in a 1:2.5 (</w:t>
      </w:r>
      <w:r w:rsidRPr="00216965">
        <w:rPr>
          <w:i/>
        </w:rPr>
        <w:t>w/v</w:t>
      </w:r>
      <w:r w:rsidRPr="00216965">
        <w:t>) suspension of soil in de-ionised water.</w:t>
      </w:r>
    </w:p>
    <w:p w14:paraId="5941951D" w14:textId="77777777" w:rsidR="006B380D" w:rsidRPr="00216965" w:rsidRDefault="006B380D" w:rsidP="008A33DA">
      <w:pPr>
        <w:pStyle w:val="Heading4"/>
      </w:pPr>
      <w:bookmarkStart w:id="207" w:name="_heading=h.3as4poj"/>
      <w:bookmarkEnd w:id="207"/>
      <w:r w:rsidRPr="00216965">
        <w:t>Statistical analysis</w:t>
      </w:r>
    </w:p>
    <w:p w14:paraId="440259D1" w14:textId="561452AC" w:rsidR="006B380D" w:rsidRPr="00216965" w:rsidRDefault="006B380D" w:rsidP="008A33DA">
      <w:pPr>
        <w:spacing w:line="360" w:lineRule="auto"/>
        <w:jc w:val="both"/>
      </w:pPr>
      <w:r w:rsidRPr="00216965">
        <w:t xml:space="preserve">The data for dry above-ground biomass, bioavailable HM concentrations, HM tissue concentrations, and soil pH and EC was organised in subsets by soil treatment. Statistical differences between biochars and application rates were assessed by linear regression </w:t>
      </w:r>
      <w:r w:rsidRPr="00216965">
        <w:lastRenderedPageBreak/>
        <w:t xml:space="preserve">followed by a </w:t>
      </w:r>
      <w:r w:rsidR="00F24567" w:rsidRPr="00216965">
        <w:t xml:space="preserve">two-way </w:t>
      </w:r>
      <w:r w:rsidRPr="00216965">
        <w:t xml:space="preserve">ANCOVA (considering application rate as a numeric variable). The homogeneity of variances was verified with the Levene’s test and the normality with the Shapiro-Wilk’s test. Tukey's honestly significant difference (HSD) post hoc test was used to determine significant differences among groups. A correlation matrix using all available information from the experiment was done, with the significance level set at 95 %. All the analyses were conducted in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w:t>
      </w:r>
    </w:p>
    <w:p w14:paraId="293C906D" w14:textId="77777777" w:rsidR="006B380D" w:rsidRPr="00216965" w:rsidRDefault="006B380D" w:rsidP="008A33DA">
      <w:pPr>
        <w:pStyle w:val="Heading2"/>
      </w:pPr>
      <w:bookmarkStart w:id="208" w:name="_heading=h.1pxezwc"/>
      <w:bookmarkStart w:id="209" w:name="_Toc86504669"/>
      <w:bookmarkEnd w:id="208"/>
      <w:r w:rsidRPr="00216965">
        <w:t>Results</w:t>
      </w:r>
      <w:bookmarkEnd w:id="209"/>
    </w:p>
    <w:p w14:paraId="137D75D9" w14:textId="77777777" w:rsidR="006B380D" w:rsidRPr="00216965" w:rsidRDefault="006B380D" w:rsidP="008A33DA">
      <w:pPr>
        <w:pStyle w:val="Heading3"/>
      </w:pPr>
      <w:bookmarkStart w:id="210" w:name="_Toc86504670"/>
      <w:r w:rsidRPr="00216965">
        <w:t>Total and bioavailable concentration of HMs in spiked soil</w:t>
      </w:r>
      <w:bookmarkEnd w:id="210"/>
    </w:p>
    <w:p w14:paraId="4F1ECDEA" w14:textId="604F391A" w:rsidR="006B380D" w:rsidRPr="00216965" w:rsidRDefault="006B380D" w:rsidP="008A33DA">
      <w:pPr>
        <w:spacing w:after="200" w:line="360" w:lineRule="auto"/>
        <w:jc w:val="both"/>
        <w:rPr>
          <w:color w:val="000000"/>
        </w:rPr>
      </w:pPr>
      <w:r w:rsidRPr="00216965">
        <w:t xml:space="preserve">The concentrations of heavy metals in the soils contaminated artificially before the treatment with biochars and UK soil guideline values </w:t>
      </w:r>
      <w:r w:rsidR="00B34B0F" w:rsidRPr="00216965">
        <w:fldChar w:fldCharType="begin" w:fldLock="1"/>
      </w:r>
      <w:r w:rsidR="00F56BD7" w:rsidRPr="00216965">
        <w:instrText>ADDIN CSL_CITATION {"citationItems":[{"id":"ITEM-1","itemData":{"author":[{"dropping-particle":"","family":"Environment Agency","given":"","non-dropping-particle":"","parse-names":false,"suffix":""}],"id":"ITEM-1","issued":{"date-parts":[["2009"]]},"publisher":"Environment Agency","publisher-place":"Cardiff","title":"Using soil guideline values","type":"report"},"uris":["http://www.mendeley.com/documents/?uuid=0aecdced-af3d-3999-b22e-084589e77ff0"]}],"mendeley":{"formattedCitation":"(Environment Agency, 2009)","plainTextFormattedCitation":"(Environment Agency, 2009)","previouslyFormattedCitation":"(Environment Agency, 2009)"},"properties":{"noteIndex":0},"schema":"https://github.com/citation-style-language/schema/raw/master/csl-citation.json"}</w:instrText>
      </w:r>
      <w:r w:rsidR="00B34B0F" w:rsidRPr="00216965">
        <w:fldChar w:fldCharType="separate"/>
      </w:r>
      <w:r w:rsidR="00330A4F" w:rsidRPr="00216965">
        <w:rPr>
          <w:noProof/>
        </w:rPr>
        <w:t>(Environment Agency, 2009)</w:t>
      </w:r>
      <w:r w:rsidR="00B34B0F" w:rsidRPr="00216965">
        <w:fldChar w:fldCharType="end"/>
      </w:r>
      <w:r w:rsidRPr="00216965">
        <w:t xml:space="preserve"> are shown in </w:t>
      </w:r>
      <w:r w:rsidRPr="00216965">
        <w:rPr>
          <w:b/>
          <w:bCs/>
        </w:rPr>
        <w:fldChar w:fldCharType="begin"/>
      </w:r>
      <w:r w:rsidRPr="00216965">
        <w:rPr>
          <w:b/>
          <w:bCs/>
        </w:rPr>
        <w:instrText xml:space="preserve"> REF _Ref82703474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1</w:t>
      </w:r>
      <w:r w:rsidRPr="00216965">
        <w:rPr>
          <w:b/>
          <w:bCs/>
        </w:rPr>
        <w:fldChar w:fldCharType="end"/>
      </w:r>
      <w:r w:rsidRPr="00216965">
        <w:rPr>
          <w:color w:val="000000"/>
        </w:rPr>
        <w:t xml:space="preserve">. The total concentration of </w:t>
      </w:r>
      <w:r w:rsidR="00F27C1C" w:rsidRPr="00216965">
        <w:rPr>
          <w:color w:val="000000"/>
        </w:rPr>
        <w:t>Cd</w:t>
      </w:r>
      <w:r w:rsidRPr="00216965">
        <w:rPr>
          <w:color w:val="000000"/>
        </w:rPr>
        <w:t xml:space="preserve"> and </w:t>
      </w:r>
      <w:r w:rsidR="00F27C1C" w:rsidRPr="00216965">
        <w:rPr>
          <w:color w:val="000000"/>
        </w:rPr>
        <w:t>Pb</w:t>
      </w:r>
      <w:r w:rsidRPr="00216965">
        <w:rPr>
          <w:color w:val="000000"/>
        </w:rPr>
        <w:t xml:space="preserve"> in the Cd-soil and Pb-soil, respectively, and in the Mix-soil treatments exceeded the soil guideline values (SGVs) established for different land uses by several fold. The total concentrations of Zn in the Zn-soil and Mix-soil treatments were near the SGV for agricultural soils (200 mg.kg</w:t>
      </w:r>
      <w:r w:rsidRPr="00216965">
        <w:rPr>
          <w:color w:val="000000"/>
          <w:vertAlign w:val="superscript"/>
        </w:rPr>
        <w:t>-1</w:t>
      </w:r>
      <w:r w:rsidRPr="00216965">
        <w:rPr>
          <w:color w:val="000000"/>
        </w:rPr>
        <w:t xml:space="preserve">), but the bioavailable Zn concentrations were higher than in the soils not exposed to Zn.   </w:t>
      </w:r>
    </w:p>
    <w:p w14:paraId="6BCE59CE" w14:textId="72F5DD7D" w:rsidR="006B380D" w:rsidRPr="00216965" w:rsidRDefault="006B380D" w:rsidP="008A33DA">
      <w:pPr>
        <w:keepNext/>
        <w:spacing w:after="200" w:line="240" w:lineRule="auto"/>
        <w:rPr>
          <w:b/>
          <w:color w:val="4F81BD"/>
        </w:rPr>
      </w:pPr>
      <w:bookmarkStart w:id="211" w:name="_heading=h.49x2ik5"/>
      <w:bookmarkStart w:id="212" w:name="_Ref82703474"/>
      <w:bookmarkStart w:id="213" w:name="_Toc86440368"/>
      <w:bookmarkEnd w:id="211"/>
      <w:r w:rsidRPr="00216965">
        <w:rPr>
          <w:b/>
          <w:bCs/>
        </w:rPr>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4</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1</w:t>
      </w:r>
      <w:r w:rsidR="00E569FA" w:rsidRPr="00216965">
        <w:rPr>
          <w:b/>
          <w:bCs/>
        </w:rPr>
        <w:fldChar w:fldCharType="end"/>
      </w:r>
      <w:bookmarkEnd w:id="212"/>
      <w:r w:rsidRPr="00216965">
        <w:rPr>
          <w:b/>
          <w:bCs/>
        </w:rPr>
        <w:t xml:space="preserve"> </w:t>
      </w:r>
      <w:r w:rsidRPr="00216965">
        <w:rPr>
          <w:b/>
          <w:bCs/>
          <w:color w:val="000000"/>
        </w:rPr>
        <w:t>Characteristics of soil treatments contaminated artificially with Pb, Cd and Zn and a mixture of these elements</w:t>
      </w:r>
      <w:r w:rsidRPr="00216965">
        <w:rPr>
          <w:color w:val="000000"/>
        </w:rPr>
        <w:t>. Values are mean ± standard deviation (n=3).</w:t>
      </w:r>
      <w:bookmarkEnd w:id="213"/>
    </w:p>
    <w:tbl>
      <w:tblPr>
        <w:tblW w:w="8359" w:type="dxa"/>
        <w:tblBorders>
          <w:top w:val="single" w:sz="4" w:space="0" w:color="auto"/>
          <w:bottom w:val="single" w:sz="4" w:space="0" w:color="auto"/>
        </w:tblBorders>
        <w:tblLayout w:type="fixed"/>
        <w:tblLook w:val="0400" w:firstRow="0" w:lastRow="0" w:firstColumn="0" w:lastColumn="0" w:noHBand="0" w:noVBand="1"/>
      </w:tblPr>
      <w:tblGrid>
        <w:gridCol w:w="1271"/>
        <w:gridCol w:w="849"/>
        <w:gridCol w:w="1024"/>
        <w:gridCol w:w="962"/>
        <w:gridCol w:w="992"/>
        <w:gridCol w:w="851"/>
        <w:gridCol w:w="1134"/>
        <w:gridCol w:w="567"/>
        <w:gridCol w:w="709"/>
      </w:tblGrid>
      <w:tr w:rsidR="00C84F12" w:rsidRPr="00216965" w14:paraId="0D7A1916" w14:textId="77777777" w:rsidTr="008A33DA">
        <w:trPr>
          <w:trHeight w:val="63"/>
        </w:trPr>
        <w:tc>
          <w:tcPr>
            <w:tcW w:w="1271" w:type="dxa"/>
            <w:vMerge w:val="restart"/>
            <w:tcBorders>
              <w:top w:val="single" w:sz="4" w:space="0" w:color="auto"/>
              <w:bottom w:val="nil"/>
            </w:tcBorders>
            <w:shd w:val="clear" w:color="auto" w:fill="A8D08D" w:themeFill="accent6" w:themeFillTint="99"/>
            <w:vAlign w:val="center"/>
            <w:hideMark/>
          </w:tcPr>
          <w:p w14:paraId="66581ED5" w14:textId="77777777" w:rsidR="006B380D" w:rsidRPr="00216965" w:rsidRDefault="006B380D" w:rsidP="003A7BA9">
            <w:pPr>
              <w:spacing w:after="0"/>
              <w:jc w:val="center"/>
              <w:rPr>
                <w:sz w:val="20"/>
                <w:szCs w:val="20"/>
              </w:rPr>
            </w:pPr>
            <w:r w:rsidRPr="00216965">
              <w:rPr>
                <w:sz w:val="20"/>
                <w:szCs w:val="20"/>
              </w:rPr>
              <w:t>Treatment</w:t>
            </w:r>
          </w:p>
        </w:tc>
        <w:tc>
          <w:tcPr>
            <w:tcW w:w="1873" w:type="dxa"/>
            <w:gridSpan w:val="2"/>
            <w:tcBorders>
              <w:top w:val="single" w:sz="4" w:space="0" w:color="auto"/>
              <w:bottom w:val="nil"/>
            </w:tcBorders>
            <w:shd w:val="clear" w:color="auto" w:fill="A8D08D" w:themeFill="accent6" w:themeFillTint="99"/>
            <w:vAlign w:val="center"/>
            <w:hideMark/>
          </w:tcPr>
          <w:p w14:paraId="5DA3B9E7" w14:textId="77777777" w:rsidR="006B380D" w:rsidRPr="00216965" w:rsidRDefault="006B380D" w:rsidP="003A7BA9">
            <w:pPr>
              <w:spacing w:after="0"/>
              <w:jc w:val="center"/>
              <w:rPr>
                <w:sz w:val="20"/>
                <w:szCs w:val="20"/>
              </w:rPr>
            </w:pPr>
            <w:r w:rsidRPr="00216965">
              <w:rPr>
                <w:sz w:val="20"/>
                <w:szCs w:val="20"/>
              </w:rPr>
              <w:t>Cd [mg.kg</w:t>
            </w:r>
            <w:r w:rsidRPr="00216965">
              <w:rPr>
                <w:sz w:val="20"/>
                <w:szCs w:val="20"/>
                <w:vertAlign w:val="superscript"/>
              </w:rPr>
              <w:t>-1</w:t>
            </w:r>
            <w:r w:rsidRPr="00216965">
              <w:rPr>
                <w:sz w:val="20"/>
                <w:szCs w:val="20"/>
              </w:rPr>
              <w:t>]</w:t>
            </w:r>
          </w:p>
        </w:tc>
        <w:tc>
          <w:tcPr>
            <w:tcW w:w="1954" w:type="dxa"/>
            <w:gridSpan w:val="2"/>
            <w:tcBorders>
              <w:top w:val="single" w:sz="4" w:space="0" w:color="auto"/>
              <w:bottom w:val="nil"/>
            </w:tcBorders>
            <w:shd w:val="clear" w:color="auto" w:fill="A8D08D" w:themeFill="accent6" w:themeFillTint="99"/>
            <w:vAlign w:val="center"/>
            <w:hideMark/>
          </w:tcPr>
          <w:p w14:paraId="6D1FBBAA" w14:textId="77777777" w:rsidR="006B380D" w:rsidRPr="00216965" w:rsidRDefault="006B380D" w:rsidP="003A7BA9">
            <w:pPr>
              <w:spacing w:after="0"/>
              <w:jc w:val="center"/>
              <w:rPr>
                <w:sz w:val="20"/>
                <w:szCs w:val="20"/>
              </w:rPr>
            </w:pPr>
            <w:r w:rsidRPr="00216965">
              <w:rPr>
                <w:sz w:val="20"/>
                <w:szCs w:val="20"/>
              </w:rPr>
              <w:t>Pb [mg.kg</w:t>
            </w:r>
            <w:r w:rsidRPr="00216965">
              <w:rPr>
                <w:sz w:val="20"/>
                <w:szCs w:val="20"/>
                <w:vertAlign w:val="superscript"/>
              </w:rPr>
              <w:t>-1</w:t>
            </w:r>
            <w:r w:rsidRPr="00216965">
              <w:rPr>
                <w:sz w:val="20"/>
                <w:szCs w:val="20"/>
              </w:rPr>
              <w:t>]</w:t>
            </w:r>
          </w:p>
        </w:tc>
        <w:tc>
          <w:tcPr>
            <w:tcW w:w="1985" w:type="dxa"/>
            <w:gridSpan w:val="2"/>
            <w:tcBorders>
              <w:top w:val="single" w:sz="4" w:space="0" w:color="auto"/>
              <w:bottom w:val="nil"/>
            </w:tcBorders>
            <w:shd w:val="clear" w:color="auto" w:fill="A8D08D" w:themeFill="accent6" w:themeFillTint="99"/>
            <w:vAlign w:val="center"/>
            <w:hideMark/>
          </w:tcPr>
          <w:p w14:paraId="756F6669" w14:textId="77777777" w:rsidR="006B380D" w:rsidRPr="00216965" w:rsidRDefault="006B380D" w:rsidP="003A7BA9">
            <w:pPr>
              <w:spacing w:after="0"/>
              <w:ind w:right="177"/>
              <w:jc w:val="center"/>
              <w:rPr>
                <w:sz w:val="20"/>
                <w:szCs w:val="20"/>
              </w:rPr>
            </w:pPr>
            <w:r w:rsidRPr="00216965">
              <w:rPr>
                <w:sz w:val="20"/>
                <w:szCs w:val="20"/>
              </w:rPr>
              <w:t>Zn [mg.kg</w:t>
            </w:r>
            <w:r w:rsidRPr="00216965">
              <w:rPr>
                <w:sz w:val="20"/>
                <w:szCs w:val="20"/>
                <w:vertAlign w:val="superscript"/>
              </w:rPr>
              <w:t>-1</w:t>
            </w:r>
            <w:r w:rsidRPr="00216965">
              <w:rPr>
                <w:sz w:val="20"/>
                <w:szCs w:val="20"/>
              </w:rPr>
              <w:t>]</w:t>
            </w:r>
          </w:p>
        </w:tc>
        <w:tc>
          <w:tcPr>
            <w:tcW w:w="567" w:type="dxa"/>
            <w:tcBorders>
              <w:top w:val="single" w:sz="4" w:space="0" w:color="auto"/>
              <w:bottom w:val="nil"/>
            </w:tcBorders>
            <w:shd w:val="clear" w:color="auto" w:fill="A8D08D" w:themeFill="accent6" w:themeFillTint="99"/>
            <w:vAlign w:val="center"/>
            <w:hideMark/>
          </w:tcPr>
          <w:p w14:paraId="4DB8BB83" w14:textId="77777777" w:rsidR="006B380D" w:rsidRPr="00216965" w:rsidRDefault="006B380D" w:rsidP="003A7BA9">
            <w:pPr>
              <w:spacing w:after="0"/>
              <w:ind w:left="-21" w:hanging="253"/>
              <w:jc w:val="center"/>
              <w:rPr>
                <w:sz w:val="20"/>
                <w:szCs w:val="20"/>
              </w:rPr>
            </w:pPr>
            <w:r w:rsidRPr="00216965">
              <w:rPr>
                <w:sz w:val="20"/>
                <w:szCs w:val="20"/>
              </w:rPr>
              <w:t>pH</w:t>
            </w:r>
          </w:p>
        </w:tc>
        <w:tc>
          <w:tcPr>
            <w:tcW w:w="709" w:type="dxa"/>
            <w:tcBorders>
              <w:top w:val="single" w:sz="4" w:space="0" w:color="auto"/>
              <w:bottom w:val="nil"/>
            </w:tcBorders>
            <w:shd w:val="clear" w:color="auto" w:fill="A8D08D" w:themeFill="accent6" w:themeFillTint="99"/>
            <w:vAlign w:val="center"/>
            <w:hideMark/>
          </w:tcPr>
          <w:p w14:paraId="42FE63AF" w14:textId="77777777" w:rsidR="006B380D" w:rsidRPr="00216965" w:rsidRDefault="006B380D" w:rsidP="003A7BA9">
            <w:pPr>
              <w:spacing w:after="0"/>
              <w:ind w:left="-537" w:right="-104"/>
              <w:jc w:val="center"/>
              <w:rPr>
                <w:sz w:val="20"/>
                <w:szCs w:val="20"/>
              </w:rPr>
            </w:pPr>
            <w:r w:rsidRPr="00216965">
              <w:rPr>
                <w:sz w:val="20"/>
                <w:szCs w:val="20"/>
              </w:rPr>
              <w:t xml:space="preserve">EC </w:t>
            </w:r>
          </w:p>
          <w:p w14:paraId="34431B46" w14:textId="76AF0A61" w:rsidR="006B380D" w:rsidRPr="00216965" w:rsidRDefault="006B380D" w:rsidP="003A7BA9">
            <w:pPr>
              <w:spacing w:after="0"/>
              <w:ind w:left="-254" w:right="-104"/>
              <w:jc w:val="center"/>
              <w:rPr>
                <w:sz w:val="20"/>
                <w:szCs w:val="20"/>
              </w:rPr>
            </w:pPr>
            <w:r w:rsidRPr="00216965">
              <w:rPr>
                <w:sz w:val="16"/>
                <w:szCs w:val="16"/>
              </w:rPr>
              <w:t>[</w:t>
            </w:r>
            <w:r w:rsidRPr="00216965">
              <w:rPr>
                <w:sz w:val="14"/>
                <w:szCs w:val="14"/>
              </w:rPr>
              <w:t>μS.cm</w:t>
            </w:r>
            <w:r w:rsidR="008563DC" w:rsidRPr="00216965">
              <w:rPr>
                <w:sz w:val="14"/>
                <w:szCs w:val="14"/>
                <w:vertAlign w:val="superscript"/>
              </w:rPr>
              <w:t>-1</w:t>
            </w:r>
            <w:r w:rsidRPr="00216965">
              <w:rPr>
                <w:sz w:val="16"/>
                <w:szCs w:val="16"/>
              </w:rPr>
              <w:t>]</w:t>
            </w:r>
          </w:p>
        </w:tc>
      </w:tr>
      <w:tr w:rsidR="006B7849" w:rsidRPr="00216965" w14:paraId="6EBB4B0E" w14:textId="77777777" w:rsidTr="008A33DA">
        <w:tc>
          <w:tcPr>
            <w:tcW w:w="1271" w:type="dxa"/>
            <w:vMerge/>
            <w:tcBorders>
              <w:top w:val="nil"/>
              <w:bottom w:val="single" w:sz="4" w:space="0" w:color="auto"/>
            </w:tcBorders>
            <w:shd w:val="clear" w:color="auto" w:fill="A8D08D" w:themeFill="accent6" w:themeFillTint="99"/>
            <w:vAlign w:val="center"/>
            <w:hideMark/>
          </w:tcPr>
          <w:p w14:paraId="20210D80" w14:textId="77777777" w:rsidR="006B380D" w:rsidRPr="00216965" w:rsidRDefault="006B380D" w:rsidP="003A7BA9">
            <w:pPr>
              <w:spacing w:after="0"/>
              <w:rPr>
                <w:sz w:val="20"/>
                <w:szCs w:val="20"/>
              </w:rPr>
            </w:pPr>
          </w:p>
        </w:tc>
        <w:tc>
          <w:tcPr>
            <w:tcW w:w="849" w:type="dxa"/>
            <w:tcBorders>
              <w:top w:val="nil"/>
              <w:bottom w:val="single" w:sz="4" w:space="0" w:color="auto"/>
            </w:tcBorders>
            <w:shd w:val="clear" w:color="auto" w:fill="A8D08D" w:themeFill="accent6" w:themeFillTint="99"/>
            <w:vAlign w:val="center"/>
            <w:hideMark/>
          </w:tcPr>
          <w:p w14:paraId="2F0FBD4B" w14:textId="77777777" w:rsidR="006B380D" w:rsidRPr="00216965" w:rsidRDefault="006B380D" w:rsidP="003A7BA9">
            <w:pPr>
              <w:spacing w:after="0"/>
              <w:ind w:hanging="21"/>
              <w:jc w:val="center"/>
              <w:rPr>
                <w:sz w:val="20"/>
                <w:szCs w:val="20"/>
              </w:rPr>
            </w:pPr>
            <w:r w:rsidRPr="00216965">
              <w:rPr>
                <w:sz w:val="20"/>
                <w:szCs w:val="20"/>
              </w:rPr>
              <w:t>Total</w:t>
            </w:r>
          </w:p>
        </w:tc>
        <w:tc>
          <w:tcPr>
            <w:tcW w:w="1024" w:type="dxa"/>
            <w:tcBorders>
              <w:top w:val="nil"/>
              <w:bottom w:val="single" w:sz="4" w:space="0" w:color="auto"/>
            </w:tcBorders>
            <w:shd w:val="clear" w:color="auto" w:fill="A8D08D" w:themeFill="accent6" w:themeFillTint="99"/>
            <w:vAlign w:val="center"/>
            <w:hideMark/>
          </w:tcPr>
          <w:p w14:paraId="09DDBF44" w14:textId="77777777" w:rsidR="006B380D" w:rsidRPr="00216965" w:rsidRDefault="006B380D" w:rsidP="003A7BA9">
            <w:pPr>
              <w:spacing w:after="0"/>
              <w:ind w:hanging="43"/>
              <w:jc w:val="center"/>
              <w:rPr>
                <w:sz w:val="20"/>
                <w:szCs w:val="20"/>
              </w:rPr>
            </w:pPr>
            <w:r w:rsidRPr="00216965">
              <w:rPr>
                <w:sz w:val="20"/>
                <w:szCs w:val="20"/>
              </w:rPr>
              <w:t>Bioav.</w:t>
            </w:r>
          </w:p>
        </w:tc>
        <w:tc>
          <w:tcPr>
            <w:tcW w:w="962" w:type="dxa"/>
            <w:tcBorders>
              <w:top w:val="nil"/>
              <w:bottom w:val="single" w:sz="4" w:space="0" w:color="auto"/>
            </w:tcBorders>
            <w:shd w:val="clear" w:color="auto" w:fill="A8D08D" w:themeFill="accent6" w:themeFillTint="99"/>
            <w:vAlign w:val="center"/>
            <w:hideMark/>
          </w:tcPr>
          <w:p w14:paraId="1AFF3F17" w14:textId="77777777" w:rsidR="006B380D" w:rsidRPr="00216965" w:rsidRDefault="006B380D" w:rsidP="003A7BA9">
            <w:pPr>
              <w:spacing w:after="0"/>
              <w:ind w:hanging="99"/>
              <w:jc w:val="center"/>
              <w:rPr>
                <w:sz w:val="20"/>
                <w:szCs w:val="20"/>
              </w:rPr>
            </w:pPr>
            <w:r w:rsidRPr="00216965">
              <w:rPr>
                <w:sz w:val="20"/>
                <w:szCs w:val="20"/>
              </w:rPr>
              <w:t>Total</w:t>
            </w:r>
          </w:p>
        </w:tc>
        <w:tc>
          <w:tcPr>
            <w:tcW w:w="992" w:type="dxa"/>
            <w:tcBorders>
              <w:top w:val="nil"/>
              <w:bottom w:val="single" w:sz="4" w:space="0" w:color="auto"/>
            </w:tcBorders>
            <w:shd w:val="clear" w:color="auto" w:fill="A8D08D" w:themeFill="accent6" w:themeFillTint="99"/>
            <w:vAlign w:val="center"/>
            <w:hideMark/>
          </w:tcPr>
          <w:p w14:paraId="4D240F59" w14:textId="77777777" w:rsidR="006B380D" w:rsidRPr="00216965" w:rsidRDefault="006B380D" w:rsidP="003A7BA9">
            <w:pPr>
              <w:spacing w:after="0"/>
              <w:jc w:val="center"/>
              <w:rPr>
                <w:sz w:val="20"/>
                <w:szCs w:val="20"/>
              </w:rPr>
            </w:pPr>
            <w:r w:rsidRPr="00216965">
              <w:rPr>
                <w:sz w:val="20"/>
                <w:szCs w:val="20"/>
              </w:rPr>
              <w:t>Bioav.</w:t>
            </w:r>
          </w:p>
        </w:tc>
        <w:tc>
          <w:tcPr>
            <w:tcW w:w="851" w:type="dxa"/>
            <w:tcBorders>
              <w:top w:val="nil"/>
              <w:bottom w:val="single" w:sz="4" w:space="0" w:color="auto"/>
            </w:tcBorders>
            <w:shd w:val="clear" w:color="auto" w:fill="A8D08D" w:themeFill="accent6" w:themeFillTint="99"/>
            <w:vAlign w:val="center"/>
            <w:hideMark/>
          </w:tcPr>
          <w:p w14:paraId="7B6DB9CC" w14:textId="77777777" w:rsidR="006B380D" w:rsidRPr="00216965" w:rsidRDefault="006B380D" w:rsidP="003A7BA9">
            <w:pPr>
              <w:spacing w:after="0"/>
              <w:ind w:hanging="23"/>
              <w:jc w:val="center"/>
              <w:rPr>
                <w:sz w:val="20"/>
                <w:szCs w:val="20"/>
              </w:rPr>
            </w:pPr>
            <w:r w:rsidRPr="00216965">
              <w:rPr>
                <w:sz w:val="20"/>
                <w:szCs w:val="20"/>
              </w:rPr>
              <w:t>Total</w:t>
            </w:r>
          </w:p>
        </w:tc>
        <w:tc>
          <w:tcPr>
            <w:tcW w:w="1134" w:type="dxa"/>
            <w:tcBorders>
              <w:top w:val="nil"/>
              <w:bottom w:val="single" w:sz="4" w:space="0" w:color="auto"/>
            </w:tcBorders>
            <w:shd w:val="clear" w:color="auto" w:fill="A8D08D" w:themeFill="accent6" w:themeFillTint="99"/>
            <w:vAlign w:val="center"/>
            <w:hideMark/>
          </w:tcPr>
          <w:p w14:paraId="3B7DB99A" w14:textId="77777777" w:rsidR="006B380D" w:rsidRPr="00216965" w:rsidRDefault="006B380D" w:rsidP="003A7BA9">
            <w:pPr>
              <w:spacing w:after="0"/>
              <w:ind w:right="96" w:hanging="24"/>
              <w:jc w:val="center"/>
              <w:rPr>
                <w:sz w:val="20"/>
                <w:szCs w:val="20"/>
              </w:rPr>
            </w:pPr>
            <w:r w:rsidRPr="00216965">
              <w:rPr>
                <w:sz w:val="20"/>
                <w:szCs w:val="20"/>
              </w:rPr>
              <w:t>Bioav.</w:t>
            </w:r>
          </w:p>
        </w:tc>
        <w:tc>
          <w:tcPr>
            <w:tcW w:w="567" w:type="dxa"/>
            <w:tcBorders>
              <w:top w:val="nil"/>
              <w:bottom w:val="single" w:sz="4" w:space="0" w:color="auto"/>
            </w:tcBorders>
            <w:shd w:val="clear" w:color="auto" w:fill="A8D08D" w:themeFill="accent6" w:themeFillTint="99"/>
          </w:tcPr>
          <w:p w14:paraId="61461166" w14:textId="77777777" w:rsidR="006B380D" w:rsidRPr="00216965" w:rsidRDefault="006B380D" w:rsidP="003A7BA9">
            <w:pPr>
              <w:spacing w:after="0"/>
              <w:ind w:hanging="24"/>
              <w:rPr>
                <w:sz w:val="20"/>
                <w:szCs w:val="20"/>
              </w:rPr>
            </w:pPr>
          </w:p>
        </w:tc>
        <w:tc>
          <w:tcPr>
            <w:tcW w:w="709" w:type="dxa"/>
            <w:tcBorders>
              <w:top w:val="nil"/>
              <w:bottom w:val="single" w:sz="4" w:space="0" w:color="auto"/>
            </w:tcBorders>
            <w:shd w:val="clear" w:color="auto" w:fill="A8D08D" w:themeFill="accent6" w:themeFillTint="99"/>
          </w:tcPr>
          <w:p w14:paraId="581668B2" w14:textId="77777777" w:rsidR="006B380D" w:rsidRPr="00216965" w:rsidRDefault="006B380D" w:rsidP="003A7BA9">
            <w:pPr>
              <w:spacing w:after="0"/>
              <w:ind w:hanging="24"/>
              <w:rPr>
                <w:sz w:val="20"/>
                <w:szCs w:val="20"/>
              </w:rPr>
            </w:pPr>
          </w:p>
        </w:tc>
      </w:tr>
      <w:tr w:rsidR="006B7849" w:rsidRPr="00216965" w14:paraId="23BF355F" w14:textId="77777777" w:rsidTr="008A33DA">
        <w:tc>
          <w:tcPr>
            <w:tcW w:w="1271" w:type="dxa"/>
            <w:tcBorders>
              <w:top w:val="single" w:sz="4" w:space="0" w:color="auto"/>
            </w:tcBorders>
            <w:vAlign w:val="center"/>
            <w:hideMark/>
          </w:tcPr>
          <w:p w14:paraId="223B427C" w14:textId="77777777" w:rsidR="006B380D" w:rsidRPr="00216965" w:rsidRDefault="006B380D" w:rsidP="003A7BA9">
            <w:pPr>
              <w:spacing w:after="0"/>
              <w:rPr>
                <w:sz w:val="20"/>
                <w:szCs w:val="20"/>
              </w:rPr>
            </w:pPr>
            <w:r w:rsidRPr="00216965">
              <w:rPr>
                <w:sz w:val="20"/>
                <w:szCs w:val="20"/>
              </w:rPr>
              <w:t>Soil-Cd</w:t>
            </w:r>
          </w:p>
        </w:tc>
        <w:tc>
          <w:tcPr>
            <w:tcW w:w="849" w:type="dxa"/>
            <w:tcBorders>
              <w:top w:val="single" w:sz="4" w:space="0" w:color="auto"/>
            </w:tcBorders>
            <w:hideMark/>
          </w:tcPr>
          <w:p w14:paraId="56726630" w14:textId="77777777" w:rsidR="006B380D" w:rsidRPr="00216965" w:rsidRDefault="006B380D" w:rsidP="003A7BA9">
            <w:pPr>
              <w:spacing w:after="0"/>
              <w:ind w:hanging="45"/>
              <w:rPr>
                <w:sz w:val="16"/>
                <w:szCs w:val="16"/>
              </w:rPr>
            </w:pPr>
            <w:r w:rsidRPr="00216965">
              <w:rPr>
                <w:sz w:val="16"/>
                <w:szCs w:val="16"/>
              </w:rPr>
              <w:t>263 ± 19</w:t>
            </w:r>
          </w:p>
        </w:tc>
        <w:tc>
          <w:tcPr>
            <w:tcW w:w="1024" w:type="dxa"/>
            <w:tcBorders>
              <w:top w:val="single" w:sz="4" w:space="0" w:color="auto"/>
            </w:tcBorders>
            <w:hideMark/>
          </w:tcPr>
          <w:p w14:paraId="7DC722CA" w14:textId="77777777" w:rsidR="006B380D" w:rsidRPr="00216965" w:rsidRDefault="006B380D" w:rsidP="003A7BA9">
            <w:pPr>
              <w:spacing w:after="0"/>
              <w:rPr>
                <w:sz w:val="16"/>
                <w:szCs w:val="16"/>
              </w:rPr>
            </w:pPr>
            <w:r w:rsidRPr="00216965">
              <w:rPr>
                <w:sz w:val="16"/>
                <w:szCs w:val="16"/>
              </w:rPr>
              <w:t>1.78 ± 0.19</w:t>
            </w:r>
          </w:p>
        </w:tc>
        <w:tc>
          <w:tcPr>
            <w:tcW w:w="962" w:type="dxa"/>
            <w:tcBorders>
              <w:top w:val="single" w:sz="4" w:space="0" w:color="auto"/>
            </w:tcBorders>
            <w:hideMark/>
          </w:tcPr>
          <w:p w14:paraId="5B8E9A0A" w14:textId="77777777" w:rsidR="006B380D" w:rsidRPr="00216965" w:rsidRDefault="006B380D" w:rsidP="003A7BA9">
            <w:pPr>
              <w:spacing w:after="0"/>
              <w:rPr>
                <w:sz w:val="16"/>
                <w:szCs w:val="16"/>
              </w:rPr>
            </w:pPr>
            <w:r w:rsidRPr="00216965">
              <w:rPr>
                <w:sz w:val="16"/>
                <w:szCs w:val="16"/>
              </w:rPr>
              <w:t>&lt; 0.01</w:t>
            </w:r>
          </w:p>
        </w:tc>
        <w:tc>
          <w:tcPr>
            <w:tcW w:w="992" w:type="dxa"/>
            <w:tcBorders>
              <w:top w:val="single" w:sz="4" w:space="0" w:color="auto"/>
            </w:tcBorders>
            <w:hideMark/>
          </w:tcPr>
          <w:p w14:paraId="08B858D0" w14:textId="77777777" w:rsidR="006B380D" w:rsidRPr="00216965" w:rsidRDefault="006B380D" w:rsidP="003A7BA9">
            <w:pPr>
              <w:spacing w:after="0"/>
              <w:rPr>
                <w:sz w:val="16"/>
                <w:szCs w:val="16"/>
              </w:rPr>
            </w:pPr>
            <w:r w:rsidRPr="00216965">
              <w:rPr>
                <w:sz w:val="16"/>
                <w:szCs w:val="16"/>
              </w:rPr>
              <w:t>&lt; 0.01</w:t>
            </w:r>
          </w:p>
        </w:tc>
        <w:tc>
          <w:tcPr>
            <w:tcW w:w="851" w:type="dxa"/>
            <w:tcBorders>
              <w:top w:val="single" w:sz="4" w:space="0" w:color="auto"/>
            </w:tcBorders>
            <w:hideMark/>
          </w:tcPr>
          <w:p w14:paraId="2333DB9C" w14:textId="77777777" w:rsidR="006B380D" w:rsidRPr="00216965" w:rsidRDefault="006B380D" w:rsidP="003A7BA9">
            <w:pPr>
              <w:spacing w:after="0"/>
              <w:rPr>
                <w:sz w:val="16"/>
                <w:szCs w:val="16"/>
              </w:rPr>
            </w:pPr>
            <w:r w:rsidRPr="00216965">
              <w:rPr>
                <w:sz w:val="16"/>
                <w:szCs w:val="16"/>
              </w:rPr>
              <w:t>55 ± 12</w:t>
            </w:r>
          </w:p>
        </w:tc>
        <w:tc>
          <w:tcPr>
            <w:tcW w:w="1134" w:type="dxa"/>
            <w:tcBorders>
              <w:top w:val="single" w:sz="4" w:space="0" w:color="auto"/>
            </w:tcBorders>
            <w:hideMark/>
          </w:tcPr>
          <w:p w14:paraId="177CC46B" w14:textId="77777777" w:rsidR="006B380D" w:rsidRPr="00216965" w:rsidRDefault="006B380D" w:rsidP="003A7BA9">
            <w:pPr>
              <w:spacing w:after="0"/>
              <w:rPr>
                <w:sz w:val="16"/>
                <w:szCs w:val="16"/>
              </w:rPr>
            </w:pPr>
            <w:r w:rsidRPr="00216965">
              <w:rPr>
                <w:sz w:val="16"/>
                <w:szCs w:val="16"/>
              </w:rPr>
              <w:t>0.14 ± 0.01</w:t>
            </w:r>
          </w:p>
        </w:tc>
        <w:tc>
          <w:tcPr>
            <w:tcW w:w="567" w:type="dxa"/>
            <w:tcBorders>
              <w:top w:val="single" w:sz="4" w:space="0" w:color="auto"/>
            </w:tcBorders>
            <w:hideMark/>
          </w:tcPr>
          <w:p w14:paraId="2888010F" w14:textId="77777777" w:rsidR="006B380D" w:rsidRPr="00216965" w:rsidRDefault="006B380D" w:rsidP="003A7BA9">
            <w:pPr>
              <w:spacing w:after="0"/>
              <w:ind w:firstLine="30"/>
              <w:rPr>
                <w:sz w:val="16"/>
                <w:szCs w:val="16"/>
              </w:rPr>
            </w:pPr>
            <w:r w:rsidRPr="00216965">
              <w:rPr>
                <w:sz w:val="16"/>
                <w:szCs w:val="16"/>
              </w:rPr>
              <w:t xml:space="preserve">7.40 </w:t>
            </w:r>
          </w:p>
        </w:tc>
        <w:tc>
          <w:tcPr>
            <w:tcW w:w="709" w:type="dxa"/>
            <w:tcBorders>
              <w:top w:val="single" w:sz="4" w:space="0" w:color="auto"/>
            </w:tcBorders>
            <w:hideMark/>
          </w:tcPr>
          <w:p w14:paraId="049D5B2B" w14:textId="77777777" w:rsidR="006B380D" w:rsidRPr="00216965" w:rsidRDefault="006B380D" w:rsidP="003A7BA9">
            <w:pPr>
              <w:spacing w:after="0"/>
              <w:ind w:hanging="13"/>
              <w:rPr>
                <w:sz w:val="16"/>
                <w:szCs w:val="16"/>
              </w:rPr>
            </w:pPr>
            <w:r w:rsidRPr="00216965">
              <w:rPr>
                <w:sz w:val="16"/>
                <w:szCs w:val="16"/>
              </w:rPr>
              <w:t>240</w:t>
            </w:r>
          </w:p>
        </w:tc>
      </w:tr>
      <w:tr w:rsidR="006B7849" w:rsidRPr="00216965" w14:paraId="02E3A70C" w14:textId="77777777" w:rsidTr="008A33DA">
        <w:tc>
          <w:tcPr>
            <w:tcW w:w="1271" w:type="dxa"/>
            <w:vAlign w:val="center"/>
            <w:hideMark/>
          </w:tcPr>
          <w:p w14:paraId="796F528D" w14:textId="77777777" w:rsidR="006B380D" w:rsidRPr="00216965" w:rsidRDefault="006B380D" w:rsidP="003A7BA9">
            <w:pPr>
              <w:spacing w:after="0"/>
              <w:rPr>
                <w:sz w:val="20"/>
                <w:szCs w:val="20"/>
              </w:rPr>
            </w:pPr>
            <w:r w:rsidRPr="00216965">
              <w:rPr>
                <w:sz w:val="20"/>
                <w:szCs w:val="20"/>
              </w:rPr>
              <w:t>Soil-Pb</w:t>
            </w:r>
          </w:p>
        </w:tc>
        <w:tc>
          <w:tcPr>
            <w:tcW w:w="849" w:type="dxa"/>
            <w:hideMark/>
          </w:tcPr>
          <w:p w14:paraId="3EBEF1A5" w14:textId="77777777" w:rsidR="006B380D" w:rsidRPr="00216965" w:rsidRDefault="006B380D" w:rsidP="003A7BA9">
            <w:pPr>
              <w:spacing w:after="0"/>
              <w:ind w:hanging="45"/>
              <w:rPr>
                <w:sz w:val="16"/>
                <w:szCs w:val="16"/>
              </w:rPr>
            </w:pPr>
            <w:r w:rsidRPr="00216965">
              <w:rPr>
                <w:sz w:val="16"/>
                <w:szCs w:val="16"/>
              </w:rPr>
              <w:t>&lt; 0.01</w:t>
            </w:r>
          </w:p>
        </w:tc>
        <w:tc>
          <w:tcPr>
            <w:tcW w:w="1024" w:type="dxa"/>
            <w:hideMark/>
          </w:tcPr>
          <w:p w14:paraId="3E491BB0" w14:textId="77777777" w:rsidR="006B380D" w:rsidRPr="00216965" w:rsidRDefault="006B380D" w:rsidP="003A7BA9">
            <w:pPr>
              <w:spacing w:after="0"/>
              <w:rPr>
                <w:sz w:val="16"/>
                <w:szCs w:val="16"/>
              </w:rPr>
            </w:pPr>
            <w:r w:rsidRPr="00216965">
              <w:rPr>
                <w:sz w:val="16"/>
                <w:szCs w:val="16"/>
              </w:rPr>
              <w:t>&lt; 0.01</w:t>
            </w:r>
          </w:p>
        </w:tc>
        <w:tc>
          <w:tcPr>
            <w:tcW w:w="962" w:type="dxa"/>
            <w:hideMark/>
          </w:tcPr>
          <w:p w14:paraId="15B7F320" w14:textId="77777777" w:rsidR="006B380D" w:rsidRPr="00216965" w:rsidRDefault="006B380D" w:rsidP="003A7BA9">
            <w:pPr>
              <w:spacing w:after="0"/>
              <w:rPr>
                <w:sz w:val="16"/>
                <w:szCs w:val="16"/>
              </w:rPr>
            </w:pPr>
            <w:r w:rsidRPr="00216965">
              <w:rPr>
                <w:sz w:val="16"/>
                <w:szCs w:val="16"/>
              </w:rPr>
              <w:t>1841 ± 259</w:t>
            </w:r>
          </w:p>
        </w:tc>
        <w:tc>
          <w:tcPr>
            <w:tcW w:w="992" w:type="dxa"/>
            <w:hideMark/>
          </w:tcPr>
          <w:p w14:paraId="4CF6D157" w14:textId="77777777" w:rsidR="006B380D" w:rsidRPr="00216965" w:rsidRDefault="006B380D" w:rsidP="003A7BA9">
            <w:pPr>
              <w:spacing w:after="0"/>
              <w:rPr>
                <w:sz w:val="16"/>
                <w:szCs w:val="16"/>
              </w:rPr>
            </w:pPr>
            <w:r w:rsidRPr="00216965">
              <w:rPr>
                <w:sz w:val="16"/>
                <w:szCs w:val="16"/>
              </w:rPr>
              <w:t>2.52 ± 0.1</w:t>
            </w:r>
          </w:p>
        </w:tc>
        <w:tc>
          <w:tcPr>
            <w:tcW w:w="851" w:type="dxa"/>
            <w:hideMark/>
          </w:tcPr>
          <w:p w14:paraId="33C9D1B8" w14:textId="77777777" w:rsidR="006B380D" w:rsidRPr="00216965" w:rsidRDefault="006B380D" w:rsidP="003A7BA9">
            <w:pPr>
              <w:spacing w:after="0"/>
              <w:rPr>
                <w:sz w:val="16"/>
                <w:szCs w:val="16"/>
              </w:rPr>
            </w:pPr>
            <w:r w:rsidRPr="00216965">
              <w:rPr>
                <w:sz w:val="16"/>
                <w:szCs w:val="16"/>
              </w:rPr>
              <w:t>66 ± 4</w:t>
            </w:r>
          </w:p>
        </w:tc>
        <w:tc>
          <w:tcPr>
            <w:tcW w:w="1134" w:type="dxa"/>
            <w:hideMark/>
          </w:tcPr>
          <w:p w14:paraId="607F54E3" w14:textId="77777777" w:rsidR="006B380D" w:rsidRPr="00216965" w:rsidRDefault="006B380D" w:rsidP="003A7BA9">
            <w:pPr>
              <w:spacing w:after="0"/>
              <w:rPr>
                <w:sz w:val="16"/>
                <w:szCs w:val="16"/>
              </w:rPr>
            </w:pPr>
            <w:r w:rsidRPr="00216965">
              <w:rPr>
                <w:sz w:val="16"/>
                <w:szCs w:val="16"/>
              </w:rPr>
              <w:t>0.17 ± 0.01</w:t>
            </w:r>
          </w:p>
        </w:tc>
        <w:tc>
          <w:tcPr>
            <w:tcW w:w="567" w:type="dxa"/>
            <w:hideMark/>
          </w:tcPr>
          <w:p w14:paraId="0FE86887" w14:textId="77777777" w:rsidR="006B380D" w:rsidRPr="00216965" w:rsidRDefault="006B380D" w:rsidP="003A7BA9">
            <w:pPr>
              <w:spacing w:after="0"/>
              <w:ind w:firstLine="30"/>
              <w:rPr>
                <w:sz w:val="16"/>
                <w:szCs w:val="16"/>
              </w:rPr>
            </w:pPr>
            <w:r w:rsidRPr="00216965">
              <w:rPr>
                <w:sz w:val="16"/>
                <w:szCs w:val="16"/>
              </w:rPr>
              <w:t xml:space="preserve">7.45 </w:t>
            </w:r>
          </w:p>
        </w:tc>
        <w:tc>
          <w:tcPr>
            <w:tcW w:w="709" w:type="dxa"/>
            <w:hideMark/>
          </w:tcPr>
          <w:p w14:paraId="61FEB146" w14:textId="77777777" w:rsidR="006B380D" w:rsidRPr="00216965" w:rsidRDefault="006B380D" w:rsidP="003A7BA9">
            <w:pPr>
              <w:spacing w:after="0"/>
              <w:ind w:hanging="13"/>
              <w:rPr>
                <w:sz w:val="16"/>
                <w:szCs w:val="16"/>
              </w:rPr>
            </w:pPr>
            <w:r w:rsidRPr="00216965">
              <w:rPr>
                <w:sz w:val="16"/>
                <w:szCs w:val="16"/>
              </w:rPr>
              <w:t xml:space="preserve">380 </w:t>
            </w:r>
          </w:p>
        </w:tc>
      </w:tr>
      <w:tr w:rsidR="006B7849" w:rsidRPr="00216965" w14:paraId="64757D92" w14:textId="77777777" w:rsidTr="008A33DA">
        <w:tc>
          <w:tcPr>
            <w:tcW w:w="1271" w:type="dxa"/>
            <w:vAlign w:val="center"/>
            <w:hideMark/>
          </w:tcPr>
          <w:p w14:paraId="728C17F3" w14:textId="77777777" w:rsidR="006B380D" w:rsidRPr="00216965" w:rsidRDefault="006B380D" w:rsidP="003A7BA9">
            <w:pPr>
              <w:spacing w:after="0"/>
              <w:rPr>
                <w:sz w:val="20"/>
                <w:szCs w:val="20"/>
              </w:rPr>
            </w:pPr>
            <w:r w:rsidRPr="00216965">
              <w:rPr>
                <w:sz w:val="20"/>
                <w:szCs w:val="20"/>
              </w:rPr>
              <w:t>Soil-Zn</w:t>
            </w:r>
          </w:p>
        </w:tc>
        <w:tc>
          <w:tcPr>
            <w:tcW w:w="849" w:type="dxa"/>
            <w:hideMark/>
          </w:tcPr>
          <w:p w14:paraId="037FC603" w14:textId="77777777" w:rsidR="006B380D" w:rsidRPr="00216965" w:rsidRDefault="006B380D" w:rsidP="003A7BA9">
            <w:pPr>
              <w:spacing w:after="0"/>
              <w:ind w:hanging="45"/>
              <w:rPr>
                <w:sz w:val="16"/>
                <w:szCs w:val="16"/>
              </w:rPr>
            </w:pPr>
            <w:r w:rsidRPr="00216965">
              <w:rPr>
                <w:sz w:val="16"/>
                <w:szCs w:val="16"/>
              </w:rPr>
              <w:t>&lt; 0.01</w:t>
            </w:r>
          </w:p>
        </w:tc>
        <w:tc>
          <w:tcPr>
            <w:tcW w:w="1024" w:type="dxa"/>
            <w:hideMark/>
          </w:tcPr>
          <w:p w14:paraId="57DC0787" w14:textId="77777777" w:rsidR="006B380D" w:rsidRPr="00216965" w:rsidRDefault="006B380D" w:rsidP="003A7BA9">
            <w:pPr>
              <w:spacing w:after="0"/>
              <w:rPr>
                <w:sz w:val="16"/>
                <w:szCs w:val="16"/>
              </w:rPr>
            </w:pPr>
            <w:r w:rsidRPr="00216965">
              <w:rPr>
                <w:sz w:val="16"/>
                <w:szCs w:val="16"/>
              </w:rPr>
              <w:t>&lt; 0.01</w:t>
            </w:r>
          </w:p>
        </w:tc>
        <w:tc>
          <w:tcPr>
            <w:tcW w:w="962" w:type="dxa"/>
            <w:hideMark/>
          </w:tcPr>
          <w:p w14:paraId="2F19A6DA" w14:textId="77777777" w:rsidR="006B380D" w:rsidRPr="00216965" w:rsidRDefault="006B380D" w:rsidP="003A7BA9">
            <w:pPr>
              <w:spacing w:after="0"/>
              <w:rPr>
                <w:sz w:val="16"/>
                <w:szCs w:val="16"/>
              </w:rPr>
            </w:pPr>
            <w:r w:rsidRPr="00216965">
              <w:rPr>
                <w:sz w:val="16"/>
                <w:szCs w:val="16"/>
              </w:rPr>
              <w:t>&lt; 0.01</w:t>
            </w:r>
          </w:p>
        </w:tc>
        <w:tc>
          <w:tcPr>
            <w:tcW w:w="992" w:type="dxa"/>
            <w:hideMark/>
          </w:tcPr>
          <w:p w14:paraId="0622C6C0" w14:textId="77777777" w:rsidR="006B380D" w:rsidRPr="00216965" w:rsidRDefault="006B380D" w:rsidP="003A7BA9">
            <w:pPr>
              <w:spacing w:after="0"/>
              <w:rPr>
                <w:sz w:val="16"/>
                <w:szCs w:val="16"/>
              </w:rPr>
            </w:pPr>
            <w:r w:rsidRPr="00216965">
              <w:rPr>
                <w:sz w:val="16"/>
                <w:szCs w:val="16"/>
              </w:rPr>
              <w:t>&lt; 0.01</w:t>
            </w:r>
          </w:p>
        </w:tc>
        <w:tc>
          <w:tcPr>
            <w:tcW w:w="851" w:type="dxa"/>
            <w:hideMark/>
          </w:tcPr>
          <w:p w14:paraId="7F2F6726" w14:textId="77777777" w:rsidR="006B380D" w:rsidRPr="00216965" w:rsidRDefault="006B380D" w:rsidP="003A7BA9">
            <w:pPr>
              <w:spacing w:after="0"/>
              <w:rPr>
                <w:sz w:val="16"/>
                <w:szCs w:val="16"/>
              </w:rPr>
            </w:pPr>
            <w:r w:rsidRPr="00216965">
              <w:rPr>
                <w:sz w:val="16"/>
                <w:szCs w:val="16"/>
              </w:rPr>
              <w:t>191  ± 12</w:t>
            </w:r>
          </w:p>
        </w:tc>
        <w:tc>
          <w:tcPr>
            <w:tcW w:w="1134" w:type="dxa"/>
            <w:hideMark/>
          </w:tcPr>
          <w:p w14:paraId="58950DDF" w14:textId="77777777" w:rsidR="006B380D" w:rsidRPr="00216965" w:rsidRDefault="006B380D" w:rsidP="003A7BA9">
            <w:pPr>
              <w:spacing w:after="0"/>
              <w:rPr>
                <w:sz w:val="16"/>
                <w:szCs w:val="16"/>
              </w:rPr>
            </w:pPr>
            <w:r w:rsidRPr="00216965">
              <w:rPr>
                <w:sz w:val="16"/>
                <w:szCs w:val="16"/>
              </w:rPr>
              <w:t>0.79 ± 0.00</w:t>
            </w:r>
          </w:p>
        </w:tc>
        <w:tc>
          <w:tcPr>
            <w:tcW w:w="567" w:type="dxa"/>
            <w:hideMark/>
          </w:tcPr>
          <w:p w14:paraId="69420198" w14:textId="77777777" w:rsidR="006B380D" w:rsidRPr="00216965" w:rsidRDefault="006B380D" w:rsidP="003A7BA9">
            <w:pPr>
              <w:spacing w:after="0"/>
              <w:ind w:firstLine="30"/>
              <w:rPr>
                <w:sz w:val="16"/>
                <w:szCs w:val="16"/>
              </w:rPr>
            </w:pPr>
            <w:r w:rsidRPr="00216965">
              <w:rPr>
                <w:sz w:val="16"/>
                <w:szCs w:val="16"/>
              </w:rPr>
              <w:t xml:space="preserve">7.50 </w:t>
            </w:r>
          </w:p>
        </w:tc>
        <w:tc>
          <w:tcPr>
            <w:tcW w:w="709" w:type="dxa"/>
            <w:hideMark/>
          </w:tcPr>
          <w:p w14:paraId="24441F67" w14:textId="77777777" w:rsidR="006B380D" w:rsidRPr="00216965" w:rsidRDefault="006B380D" w:rsidP="003A7BA9">
            <w:pPr>
              <w:spacing w:after="0"/>
              <w:ind w:hanging="13"/>
              <w:rPr>
                <w:sz w:val="16"/>
                <w:szCs w:val="16"/>
              </w:rPr>
            </w:pPr>
            <w:r w:rsidRPr="00216965">
              <w:rPr>
                <w:sz w:val="16"/>
                <w:szCs w:val="16"/>
              </w:rPr>
              <w:t xml:space="preserve">412 </w:t>
            </w:r>
          </w:p>
        </w:tc>
      </w:tr>
      <w:tr w:rsidR="006B7849" w:rsidRPr="00216965" w14:paraId="68C2AC64" w14:textId="77777777" w:rsidTr="008A33DA">
        <w:tc>
          <w:tcPr>
            <w:tcW w:w="1271" w:type="dxa"/>
            <w:vAlign w:val="center"/>
            <w:hideMark/>
          </w:tcPr>
          <w:p w14:paraId="0A5F2B00" w14:textId="77777777" w:rsidR="006B380D" w:rsidRPr="00216965" w:rsidRDefault="006B380D" w:rsidP="003A7BA9">
            <w:pPr>
              <w:spacing w:after="0"/>
              <w:rPr>
                <w:sz w:val="20"/>
                <w:szCs w:val="20"/>
              </w:rPr>
            </w:pPr>
            <w:r w:rsidRPr="00216965">
              <w:rPr>
                <w:sz w:val="20"/>
                <w:szCs w:val="20"/>
              </w:rPr>
              <w:t>Soil-Mix</w:t>
            </w:r>
          </w:p>
        </w:tc>
        <w:tc>
          <w:tcPr>
            <w:tcW w:w="849" w:type="dxa"/>
            <w:hideMark/>
          </w:tcPr>
          <w:p w14:paraId="00015421" w14:textId="77777777" w:rsidR="006B380D" w:rsidRPr="00216965" w:rsidRDefault="006B380D" w:rsidP="003A7BA9">
            <w:pPr>
              <w:spacing w:after="0"/>
              <w:ind w:hanging="45"/>
              <w:rPr>
                <w:sz w:val="16"/>
                <w:szCs w:val="16"/>
              </w:rPr>
            </w:pPr>
            <w:r w:rsidRPr="00216965">
              <w:rPr>
                <w:sz w:val="16"/>
                <w:szCs w:val="16"/>
              </w:rPr>
              <w:t>260 ± 13</w:t>
            </w:r>
          </w:p>
        </w:tc>
        <w:tc>
          <w:tcPr>
            <w:tcW w:w="1024" w:type="dxa"/>
            <w:hideMark/>
          </w:tcPr>
          <w:p w14:paraId="4E052125" w14:textId="77777777" w:rsidR="006B380D" w:rsidRPr="00216965" w:rsidRDefault="006B380D" w:rsidP="003A7BA9">
            <w:pPr>
              <w:spacing w:after="0"/>
              <w:rPr>
                <w:sz w:val="16"/>
                <w:szCs w:val="16"/>
              </w:rPr>
            </w:pPr>
            <w:r w:rsidRPr="00216965">
              <w:rPr>
                <w:sz w:val="16"/>
                <w:szCs w:val="16"/>
              </w:rPr>
              <w:t>1.39 ± 0.08</w:t>
            </w:r>
          </w:p>
        </w:tc>
        <w:tc>
          <w:tcPr>
            <w:tcW w:w="962" w:type="dxa"/>
            <w:hideMark/>
          </w:tcPr>
          <w:p w14:paraId="35D57A43" w14:textId="77777777" w:rsidR="006B380D" w:rsidRPr="00216965" w:rsidRDefault="006B380D" w:rsidP="003A7BA9">
            <w:pPr>
              <w:spacing w:after="0"/>
              <w:rPr>
                <w:sz w:val="16"/>
                <w:szCs w:val="16"/>
              </w:rPr>
            </w:pPr>
            <w:r w:rsidRPr="00216965">
              <w:rPr>
                <w:sz w:val="16"/>
                <w:szCs w:val="16"/>
              </w:rPr>
              <w:t>934  ± 203</w:t>
            </w:r>
          </w:p>
        </w:tc>
        <w:tc>
          <w:tcPr>
            <w:tcW w:w="992" w:type="dxa"/>
            <w:hideMark/>
          </w:tcPr>
          <w:p w14:paraId="59C01A4E" w14:textId="77777777" w:rsidR="006B380D" w:rsidRPr="00216965" w:rsidRDefault="006B380D" w:rsidP="003A7BA9">
            <w:pPr>
              <w:spacing w:after="0"/>
              <w:rPr>
                <w:sz w:val="16"/>
                <w:szCs w:val="16"/>
              </w:rPr>
            </w:pPr>
            <w:r w:rsidRPr="00216965">
              <w:rPr>
                <w:sz w:val="16"/>
                <w:szCs w:val="16"/>
              </w:rPr>
              <w:t>1.06  ± 0.05</w:t>
            </w:r>
          </w:p>
        </w:tc>
        <w:tc>
          <w:tcPr>
            <w:tcW w:w="851" w:type="dxa"/>
            <w:hideMark/>
          </w:tcPr>
          <w:p w14:paraId="39BE047E" w14:textId="77777777" w:rsidR="006B380D" w:rsidRPr="00216965" w:rsidRDefault="006B380D" w:rsidP="003A7BA9">
            <w:pPr>
              <w:spacing w:after="0"/>
              <w:rPr>
                <w:sz w:val="16"/>
                <w:szCs w:val="16"/>
              </w:rPr>
            </w:pPr>
            <w:r w:rsidRPr="00216965">
              <w:rPr>
                <w:sz w:val="16"/>
                <w:szCs w:val="16"/>
              </w:rPr>
              <w:t>104  ± 5</w:t>
            </w:r>
          </w:p>
        </w:tc>
        <w:tc>
          <w:tcPr>
            <w:tcW w:w="1134" w:type="dxa"/>
            <w:hideMark/>
          </w:tcPr>
          <w:p w14:paraId="49BF2DAA" w14:textId="77777777" w:rsidR="006B380D" w:rsidRPr="00216965" w:rsidRDefault="006B380D" w:rsidP="003A7BA9">
            <w:pPr>
              <w:spacing w:after="0"/>
              <w:rPr>
                <w:sz w:val="16"/>
                <w:szCs w:val="16"/>
              </w:rPr>
            </w:pPr>
            <w:r w:rsidRPr="00216965">
              <w:rPr>
                <w:sz w:val="16"/>
                <w:szCs w:val="16"/>
              </w:rPr>
              <w:t>0.64 ± 0.08</w:t>
            </w:r>
          </w:p>
        </w:tc>
        <w:tc>
          <w:tcPr>
            <w:tcW w:w="567" w:type="dxa"/>
            <w:hideMark/>
          </w:tcPr>
          <w:p w14:paraId="4647AF12" w14:textId="77777777" w:rsidR="006B380D" w:rsidRPr="00216965" w:rsidRDefault="006B380D" w:rsidP="003A7BA9">
            <w:pPr>
              <w:spacing w:after="0"/>
              <w:ind w:firstLine="30"/>
              <w:rPr>
                <w:sz w:val="16"/>
                <w:szCs w:val="16"/>
              </w:rPr>
            </w:pPr>
            <w:r w:rsidRPr="00216965">
              <w:rPr>
                <w:sz w:val="16"/>
                <w:szCs w:val="16"/>
              </w:rPr>
              <w:t xml:space="preserve">7.40 </w:t>
            </w:r>
          </w:p>
        </w:tc>
        <w:tc>
          <w:tcPr>
            <w:tcW w:w="709" w:type="dxa"/>
            <w:hideMark/>
          </w:tcPr>
          <w:p w14:paraId="471416FC" w14:textId="77777777" w:rsidR="006B380D" w:rsidRPr="00216965" w:rsidRDefault="006B380D" w:rsidP="003A7BA9">
            <w:pPr>
              <w:spacing w:after="0"/>
              <w:ind w:hanging="13"/>
              <w:rPr>
                <w:sz w:val="16"/>
                <w:szCs w:val="16"/>
              </w:rPr>
            </w:pPr>
            <w:r w:rsidRPr="00216965">
              <w:rPr>
                <w:sz w:val="16"/>
                <w:szCs w:val="16"/>
              </w:rPr>
              <w:t xml:space="preserve">299 </w:t>
            </w:r>
          </w:p>
        </w:tc>
      </w:tr>
      <w:tr w:rsidR="006B7849" w:rsidRPr="00216965" w14:paraId="5843EBD6" w14:textId="77777777" w:rsidTr="008A33DA">
        <w:tc>
          <w:tcPr>
            <w:tcW w:w="1271" w:type="dxa"/>
            <w:vAlign w:val="center"/>
            <w:hideMark/>
          </w:tcPr>
          <w:p w14:paraId="0F5C7948" w14:textId="77777777" w:rsidR="006B380D" w:rsidRPr="00216965" w:rsidRDefault="006B380D" w:rsidP="003A7BA9">
            <w:pPr>
              <w:spacing w:after="0"/>
              <w:rPr>
                <w:sz w:val="20"/>
                <w:szCs w:val="20"/>
              </w:rPr>
            </w:pPr>
            <w:r w:rsidRPr="00216965">
              <w:rPr>
                <w:sz w:val="20"/>
                <w:szCs w:val="20"/>
              </w:rPr>
              <w:t>Non-spiked soil</w:t>
            </w:r>
          </w:p>
        </w:tc>
        <w:tc>
          <w:tcPr>
            <w:tcW w:w="849" w:type="dxa"/>
            <w:hideMark/>
          </w:tcPr>
          <w:p w14:paraId="69A589C8" w14:textId="77777777" w:rsidR="006B380D" w:rsidRPr="00216965" w:rsidRDefault="006B380D" w:rsidP="003A7BA9">
            <w:pPr>
              <w:spacing w:after="0"/>
              <w:ind w:hanging="45"/>
              <w:rPr>
                <w:sz w:val="16"/>
                <w:szCs w:val="16"/>
              </w:rPr>
            </w:pPr>
            <w:r w:rsidRPr="00216965">
              <w:rPr>
                <w:sz w:val="16"/>
                <w:szCs w:val="16"/>
              </w:rPr>
              <w:t>&lt; 0.01</w:t>
            </w:r>
          </w:p>
        </w:tc>
        <w:tc>
          <w:tcPr>
            <w:tcW w:w="1024" w:type="dxa"/>
            <w:hideMark/>
          </w:tcPr>
          <w:p w14:paraId="0EA3BA91" w14:textId="77777777" w:rsidR="006B380D" w:rsidRPr="00216965" w:rsidRDefault="006B380D" w:rsidP="003A7BA9">
            <w:pPr>
              <w:spacing w:after="0"/>
              <w:rPr>
                <w:sz w:val="16"/>
                <w:szCs w:val="16"/>
              </w:rPr>
            </w:pPr>
            <w:r w:rsidRPr="00216965">
              <w:rPr>
                <w:sz w:val="16"/>
                <w:szCs w:val="16"/>
              </w:rPr>
              <w:t>&lt; 0.01</w:t>
            </w:r>
          </w:p>
        </w:tc>
        <w:tc>
          <w:tcPr>
            <w:tcW w:w="962" w:type="dxa"/>
            <w:hideMark/>
          </w:tcPr>
          <w:p w14:paraId="3A38F849" w14:textId="77777777" w:rsidR="006B380D" w:rsidRPr="00216965" w:rsidRDefault="006B380D" w:rsidP="003A7BA9">
            <w:pPr>
              <w:spacing w:after="0"/>
              <w:ind w:firstLine="33"/>
              <w:rPr>
                <w:sz w:val="16"/>
                <w:szCs w:val="16"/>
              </w:rPr>
            </w:pPr>
            <w:r w:rsidRPr="00216965">
              <w:rPr>
                <w:sz w:val="16"/>
                <w:szCs w:val="16"/>
              </w:rPr>
              <w:t>&lt;0.01</w:t>
            </w:r>
          </w:p>
        </w:tc>
        <w:tc>
          <w:tcPr>
            <w:tcW w:w="992" w:type="dxa"/>
            <w:hideMark/>
          </w:tcPr>
          <w:p w14:paraId="3699D76C" w14:textId="77777777" w:rsidR="006B380D" w:rsidRPr="00216965" w:rsidRDefault="006B380D" w:rsidP="003A7BA9">
            <w:pPr>
              <w:spacing w:after="0"/>
              <w:ind w:firstLine="43"/>
              <w:rPr>
                <w:sz w:val="16"/>
                <w:szCs w:val="16"/>
              </w:rPr>
            </w:pPr>
            <w:r w:rsidRPr="00216965">
              <w:rPr>
                <w:sz w:val="16"/>
                <w:szCs w:val="16"/>
              </w:rPr>
              <w:t>&lt;0.01</w:t>
            </w:r>
          </w:p>
        </w:tc>
        <w:tc>
          <w:tcPr>
            <w:tcW w:w="851" w:type="dxa"/>
            <w:hideMark/>
          </w:tcPr>
          <w:p w14:paraId="46EA07FA" w14:textId="06F6F30D" w:rsidR="006B380D" w:rsidRPr="00216965" w:rsidRDefault="006B380D" w:rsidP="003A7BA9">
            <w:pPr>
              <w:spacing w:after="0"/>
              <w:ind w:firstLine="32"/>
              <w:rPr>
                <w:sz w:val="16"/>
                <w:szCs w:val="16"/>
              </w:rPr>
            </w:pPr>
            <w:r w:rsidRPr="00216965">
              <w:rPr>
                <w:sz w:val="16"/>
                <w:szCs w:val="16"/>
              </w:rPr>
              <w:t>49</w:t>
            </w:r>
            <w:r w:rsidR="006B7849" w:rsidRPr="00216965">
              <w:rPr>
                <w:sz w:val="16"/>
                <w:szCs w:val="16"/>
              </w:rPr>
              <w:t xml:space="preserve"> </w:t>
            </w:r>
            <w:r w:rsidRPr="00216965">
              <w:rPr>
                <w:sz w:val="16"/>
                <w:szCs w:val="16"/>
              </w:rPr>
              <w:t>± 7</w:t>
            </w:r>
          </w:p>
        </w:tc>
        <w:tc>
          <w:tcPr>
            <w:tcW w:w="1134" w:type="dxa"/>
            <w:hideMark/>
          </w:tcPr>
          <w:p w14:paraId="1B40CF13" w14:textId="77777777" w:rsidR="006B380D" w:rsidRPr="00216965" w:rsidRDefault="006B380D" w:rsidP="003A7BA9">
            <w:pPr>
              <w:spacing w:after="0"/>
              <w:ind w:firstLine="42"/>
              <w:rPr>
                <w:sz w:val="16"/>
                <w:szCs w:val="16"/>
              </w:rPr>
            </w:pPr>
            <w:r w:rsidRPr="00216965">
              <w:rPr>
                <w:sz w:val="16"/>
                <w:szCs w:val="16"/>
              </w:rPr>
              <w:t>0.15 ± 0.01</w:t>
            </w:r>
          </w:p>
        </w:tc>
        <w:tc>
          <w:tcPr>
            <w:tcW w:w="567" w:type="dxa"/>
            <w:hideMark/>
          </w:tcPr>
          <w:p w14:paraId="2054C9CC" w14:textId="77777777" w:rsidR="006B380D" w:rsidRPr="00216965" w:rsidRDefault="006B380D" w:rsidP="003A7BA9">
            <w:pPr>
              <w:spacing w:after="0"/>
              <w:ind w:firstLine="30"/>
              <w:rPr>
                <w:sz w:val="16"/>
                <w:szCs w:val="16"/>
              </w:rPr>
            </w:pPr>
            <w:r w:rsidRPr="00216965">
              <w:rPr>
                <w:sz w:val="16"/>
                <w:szCs w:val="16"/>
              </w:rPr>
              <w:t>7.16</w:t>
            </w:r>
          </w:p>
        </w:tc>
        <w:tc>
          <w:tcPr>
            <w:tcW w:w="709" w:type="dxa"/>
            <w:hideMark/>
          </w:tcPr>
          <w:p w14:paraId="6FCE4BEE" w14:textId="77777777" w:rsidR="006B380D" w:rsidRPr="00216965" w:rsidRDefault="006B380D" w:rsidP="003A7BA9">
            <w:pPr>
              <w:spacing w:after="0"/>
              <w:ind w:hanging="13"/>
              <w:rPr>
                <w:sz w:val="16"/>
                <w:szCs w:val="16"/>
              </w:rPr>
            </w:pPr>
            <w:r w:rsidRPr="00216965">
              <w:rPr>
                <w:sz w:val="16"/>
                <w:szCs w:val="16"/>
              </w:rPr>
              <w:t>-</w:t>
            </w:r>
          </w:p>
        </w:tc>
      </w:tr>
      <w:tr w:rsidR="006B7849" w:rsidRPr="00216965" w14:paraId="362054E6" w14:textId="77777777" w:rsidTr="008A33DA">
        <w:tc>
          <w:tcPr>
            <w:tcW w:w="1271" w:type="dxa"/>
            <w:hideMark/>
          </w:tcPr>
          <w:p w14:paraId="40BB4CAE" w14:textId="77777777" w:rsidR="006B380D" w:rsidRPr="00216965" w:rsidRDefault="006B380D" w:rsidP="003A7BA9">
            <w:pPr>
              <w:spacing w:after="0"/>
              <w:rPr>
                <w:sz w:val="20"/>
                <w:szCs w:val="20"/>
              </w:rPr>
            </w:pPr>
            <w:r w:rsidRPr="00216965">
              <w:rPr>
                <w:sz w:val="20"/>
                <w:szCs w:val="20"/>
              </w:rPr>
              <w:t>SGVs*</w:t>
            </w:r>
          </w:p>
        </w:tc>
        <w:tc>
          <w:tcPr>
            <w:tcW w:w="849" w:type="dxa"/>
          </w:tcPr>
          <w:p w14:paraId="6C79842D" w14:textId="77777777" w:rsidR="006B380D" w:rsidRPr="00216965" w:rsidRDefault="006B380D" w:rsidP="003A7BA9">
            <w:pPr>
              <w:spacing w:after="0"/>
              <w:ind w:hanging="174"/>
              <w:rPr>
                <w:sz w:val="16"/>
                <w:szCs w:val="16"/>
              </w:rPr>
            </w:pPr>
          </w:p>
        </w:tc>
        <w:tc>
          <w:tcPr>
            <w:tcW w:w="1024" w:type="dxa"/>
          </w:tcPr>
          <w:p w14:paraId="0CD0B1CE" w14:textId="77777777" w:rsidR="006B380D" w:rsidRPr="00216965" w:rsidRDefault="006B380D" w:rsidP="003A7BA9">
            <w:pPr>
              <w:spacing w:after="0"/>
              <w:rPr>
                <w:sz w:val="16"/>
                <w:szCs w:val="16"/>
              </w:rPr>
            </w:pPr>
          </w:p>
        </w:tc>
        <w:tc>
          <w:tcPr>
            <w:tcW w:w="962" w:type="dxa"/>
          </w:tcPr>
          <w:p w14:paraId="3D41DE43" w14:textId="77777777" w:rsidR="006B380D" w:rsidRPr="00216965" w:rsidRDefault="006B380D" w:rsidP="003A7BA9">
            <w:pPr>
              <w:spacing w:after="0"/>
              <w:rPr>
                <w:sz w:val="16"/>
                <w:szCs w:val="16"/>
              </w:rPr>
            </w:pPr>
          </w:p>
        </w:tc>
        <w:tc>
          <w:tcPr>
            <w:tcW w:w="992" w:type="dxa"/>
          </w:tcPr>
          <w:p w14:paraId="22F8938C" w14:textId="77777777" w:rsidR="006B380D" w:rsidRPr="00216965" w:rsidRDefault="006B380D" w:rsidP="003A7BA9">
            <w:pPr>
              <w:spacing w:after="0"/>
              <w:rPr>
                <w:sz w:val="16"/>
                <w:szCs w:val="16"/>
              </w:rPr>
            </w:pPr>
          </w:p>
        </w:tc>
        <w:tc>
          <w:tcPr>
            <w:tcW w:w="851" w:type="dxa"/>
          </w:tcPr>
          <w:p w14:paraId="35412838" w14:textId="77777777" w:rsidR="006B380D" w:rsidRPr="00216965" w:rsidRDefault="006B380D" w:rsidP="003A7BA9">
            <w:pPr>
              <w:spacing w:after="0"/>
              <w:rPr>
                <w:sz w:val="16"/>
                <w:szCs w:val="16"/>
              </w:rPr>
            </w:pPr>
          </w:p>
        </w:tc>
        <w:tc>
          <w:tcPr>
            <w:tcW w:w="1134" w:type="dxa"/>
          </w:tcPr>
          <w:p w14:paraId="1FB0B554" w14:textId="77777777" w:rsidR="006B380D" w:rsidRPr="00216965" w:rsidRDefault="006B380D" w:rsidP="003A7BA9">
            <w:pPr>
              <w:spacing w:after="0"/>
              <w:rPr>
                <w:sz w:val="16"/>
                <w:szCs w:val="16"/>
              </w:rPr>
            </w:pPr>
          </w:p>
        </w:tc>
        <w:tc>
          <w:tcPr>
            <w:tcW w:w="567" w:type="dxa"/>
          </w:tcPr>
          <w:p w14:paraId="592907D8" w14:textId="77777777" w:rsidR="006B380D" w:rsidRPr="00216965" w:rsidRDefault="006B380D" w:rsidP="003A7BA9">
            <w:pPr>
              <w:spacing w:after="0"/>
              <w:rPr>
                <w:sz w:val="16"/>
                <w:szCs w:val="16"/>
              </w:rPr>
            </w:pPr>
          </w:p>
        </w:tc>
        <w:tc>
          <w:tcPr>
            <w:tcW w:w="709" w:type="dxa"/>
          </w:tcPr>
          <w:p w14:paraId="161EC961" w14:textId="77777777" w:rsidR="006B380D" w:rsidRPr="00216965" w:rsidRDefault="006B380D" w:rsidP="003A7BA9">
            <w:pPr>
              <w:spacing w:after="0"/>
              <w:rPr>
                <w:sz w:val="16"/>
                <w:szCs w:val="16"/>
              </w:rPr>
            </w:pPr>
          </w:p>
        </w:tc>
      </w:tr>
      <w:tr w:rsidR="006B7849" w:rsidRPr="00216965" w14:paraId="3742D557" w14:textId="77777777" w:rsidTr="008A33DA">
        <w:tc>
          <w:tcPr>
            <w:tcW w:w="1271" w:type="dxa"/>
            <w:hideMark/>
          </w:tcPr>
          <w:p w14:paraId="1165BA0C" w14:textId="77777777" w:rsidR="006B380D" w:rsidRPr="00216965" w:rsidRDefault="006B380D" w:rsidP="003A7BA9">
            <w:pPr>
              <w:spacing w:after="0"/>
              <w:rPr>
                <w:sz w:val="20"/>
                <w:szCs w:val="20"/>
              </w:rPr>
            </w:pPr>
            <w:r w:rsidRPr="00216965">
              <w:rPr>
                <w:sz w:val="20"/>
                <w:szCs w:val="20"/>
              </w:rPr>
              <w:t>allotment</w:t>
            </w:r>
          </w:p>
        </w:tc>
        <w:tc>
          <w:tcPr>
            <w:tcW w:w="849" w:type="dxa"/>
            <w:hideMark/>
          </w:tcPr>
          <w:p w14:paraId="069F2492" w14:textId="77777777" w:rsidR="006B380D" w:rsidRPr="00216965" w:rsidRDefault="006B380D" w:rsidP="003A7BA9">
            <w:pPr>
              <w:spacing w:after="0"/>
              <w:rPr>
                <w:sz w:val="16"/>
                <w:szCs w:val="16"/>
              </w:rPr>
            </w:pPr>
            <w:r w:rsidRPr="00216965">
              <w:rPr>
                <w:sz w:val="16"/>
                <w:szCs w:val="16"/>
              </w:rPr>
              <w:t>1.8</w:t>
            </w:r>
          </w:p>
        </w:tc>
        <w:tc>
          <w:tcPr>
            <w:tcW w:w="1024" w:type="dxa"/>
          </w:tcPr>
          <w:p w14:paraId="224AB016" w14:textId="77777777" w:rsidR="006B380D" w:rsidRPr="00216965" w:rsidRDefault="006B380D" w:rsidP="003A7BA9">
            <w:pPr>
              <w:spacing w:after="0"/>
              <w:rPr>
                <w:sz w:val="16"/>
                <w:szCs w:val="16"/>
              </w:rPr>
            </w:pPr>
          </w:p>
        </w:tc>
        <w:tc>
          <w:tcPr>
            <w:tcW w:w="962" w:type="dxa"/>
          </w:tcPr>
          <w:p w14:paraId="2651F491" w14:textId="77777777" w:rsidR="006B380D" w:rsidRPr="00216965" w:rsidRDefault="006B380D" w:rsidP="003A7BA9">
            <w:pPr>
              <w:spacing w:after="0"/>
              <w:rPr>
                <w:sz w:val="16"/>
                <w:szCs w:val="16"/>
              </w:rPr>
            </w:pPr>
          </w:p>
        </w:tc>
        <w:tc>
          <w:tcPr>
            <w:tcW w:w="992" w:type="dxa"/>
          </w:tcPr>
          <w:p w14:paraId="31201779" w14:textId="77777777" w:rsidR="006B380D" w:rsidRPr="00216965" w:rsidRDefault="006B380D" w:rsidP="003A7BA9">
            <w:pPr>
              <w:spacing w:after="0"/>
              <w:rPr>
                <w:sz w:val="16"/>
                <w:szCs w:val="16"/>
              </w:rPr>
            </w:pPr>
          </w:p>
        </w:tc>
        <w:tc>
          <w:tcPr>
            <w:tcW w:w="851" w:type="dxa"/>
          </w:tcPr>
          <w:p w14:paraId="37314AA9" w14:textId="77777777" w:rsidR="006B380D" w:rsidRPr="00216965" w:rsidRDefault="006B380D" w:rsidP="003A7BA9">
            <w:pPr>
              <w:spacing w:after="0"/>
              <w:rPr>
                <w:sz w:val="16"/>
                <w:szCs w:val="16"/>
              </w:rPr>
            </w:pPr>
          </w:p>
        </w:tc>
        <w:tc>
          <w:tcPr>
            <w:tcW w:w="1134" w:type="dxa"/>
          </w:tcPr>
          <w:p w14:paraId="7909F6BB" w14:textId="77777777" w:rsidR="006B380D" w:rsidRPr="00216965" w:rsidRDefault="006B380D" w:rsidP="003A7BA9">
            <w:pPr>
              <w:spacing w:after="0"/>
              <w:rPr>
                <w:sz w:val="16"/>
                <w:szCs w:val="16"/>
              </w:rPr>
            </w:pPr>
          </w:p>
        </w:tc>
        <w:tc>
          <w:tcPr>
            <w:tcW w:w="567" w:type="dxa"/>
          </w:tcPr>
          <w:p w14:paraId="0E4B4CC3" w14:textId="77777777" w:rsidR="006B380D" w:rsidRPr="00216965" w:rsidRDefault="006B380D" w:rsidP="003A7BA9">
            <w:pPr>
              <w:spacing w:after="0"/>
              <w:rPr>
                <w:sz w:val="16"/>
                <w:szCs w:val="16"/>
              </w:rPr>
            </w:pPr>
          </w:p>
        </w:tc>
        <w:tc>
          <w:tcPr>
            <w:tcW w:w="709" w:type="dxa"/>
          </w:tcPr>
          <w:p w14:paraId="79CC8CCF" w14:textId="77777777" w:rsidR="006B380D" w:rsidRPr="00216965" w:rsidRDefault="006B380D" w:rsidP="003A7BA9">
            <w:pPr>
              <w:spacing w:after="0"/>
              <w:rPr>
                <w:sz w:val="16"/>
                <w:szCs w:val="16"/>
              </w:rPr>
            </w:pPr>
          </w:p>
        </w:tc>
      </w:tr>
      <w:tr w:rsidR="006B7849" w:rsidRPr="00216965" w14:paraId="14B2C213" w14:textId="77777777" w:rsidTr="008A33DA">
        <w:tc>
          <w:tcPr>
            <w:tcW w:w="1271" w:type="dxa"/>
            <w:hideMark/>
          </w:tcPr>
          <w:p w14:paraId="19FF3310" w14:textId="77777777" w:rsidR="006B380D" w:rsidRPr="00216965" w:rsidRDefault="006B380D" w:rsidP="003A7BA9">
            <w:pPr>
              <w:spacing w:after="0"/>
              <w:rPr>
                <w:sz w:val="20"/>
                <w:szCs w:val="20"/>
              </w:rPr>
            </w:pPr>
            <w:r w:rsidRPr="00216965">
              <w:rPr>
                <w:sz w:val="20"/>
                <w:szCs w:val="20"/>
              </w:rPr>
              <w:t>agricultural</w:t>
            </w:r>
          </w:p>
        </w:tc>
        <w:tc>
          <w:tcPr>
            <w:tcW w:w="849" w:type="dxa"/>
            <w:hideMark/>
          </w:tcPr>
          <w:p w14:paraId="6E56B916" w14:textId="77777777" w:rsidR="006B380D" w:rsidRPr="00216965" w:rsidRDefault="006B380D" w:rsidP="003A7BA9">
            <w:pPr>
              <w:spacing w:after="0"/>
              <w:rPr>
                <w:sz w:val="16"/>
                <w:szCs w:val="16"/>
              </w:rPr>
            </w:pPr>
            <w:r w:rsidRPr="00216965">
              <w:rPr>
                <w:sz w:val="16"/>
                <w:szCs w:val="16"/>
              </w:rPr>
              <w:t>3</w:t>
            </w:r>
          </w:p>
        </w:tc>
        <w:tc>
          <w:tcPr>
            <w:tcW w:w="1024" w:type="dxa"/>
          </w:tcPr>
          <w:p w14:paraId="10077DC0" w14:textId="77777777" w:rsidR="006B380D" w:rsidRPr="00216965" w:rsidRDefault="006B380D" w:rsidP="003A7BA9">
            <w:pPr>
              <w:spacing w:after="0"/>
              <w:rPr>
                <w:sz w:val="16"/>
                <w:szCs w:val="16"/>
              </w:rPr>
            </w:pPr>
          </w:p>
        </w:tc>
        <w:tc>
          <w:tcPr>
            <w:tcW w:w="962" w:type="dxa"/>
            <w:hideMark/>
          </w:tcPr>
          <w:p w14:paraId="0A6FF2DD" w14:textId="77777777" w:rsidR="006B380D" w:rsidRPr="00216965" w:rsidRDefault="006B380D" w:rsidP="003A7BA9">
            <w:pPr>
              <w:spacing w:after="0"/>
              <w:rPr>
                <w:sz w:val="16"/>
                <w:szCs w:val="16"/>
              </w:rPr>
            </w:pPr>
            <w:r w:rsidRPr="00216965">
              <w:rPr>
                <w:sz w:val="16"/>
                <w:szCs w:val="16"/>
              </w:rPr>
              <w:t>300</w:t>
            </w:r>
          </w:p>
        </w:tc>
        <w:tc>
          <w:tcPr>
            <w:tcW w:w="992" w:type="dxa"/>
          </w:tcPr>
          <w:p w14:paraId="03C4C009" w14:textId="77777777" w:rsidR="006B380D" w:rsidRPr="00216965" w:rsidRDefault="006B380D" w:rsidP="003A7BA9">
            <w:pPr>
              <w:spacing w:after="0"/>
              <w:rPr>
                <w:sz w:val="16"/>
                <w:szCs w:val="16"/>
              </w:rPr>
            </w:pPr>
          </w:p>
        </w:tc>
        <w:tc>
          <w:tcPr>
            <w:tcW w:w="851" w:type="dxa"/>
            <w:hideMark/>
          </w:tcPr>
          <w:p w14:paraId="2E07D224" w14:textId="77777777" w:rsidR="006B380D" w:rsidRPr="00216965" w:rsidRDefault="006B380D" w:rsidP="003A7BA9">
            <w:pPr>
              <w:spacing w:after="0"/>
              <w:ind w:firstLine="32"/>
              <w:rPr>
                <w:sz w:val="16"/>
                <w:szCs w:val="16"/>
              </w:rPr>
            </w:pPr>
            <w:r w:rsidRPr="00216965">
              <w:rPr>
                <w:sz w:val="16"/>
                <w:szCs w:val="16"/>
              </w:rPr>
              <w:t>200</w:t>
            </w:r>
          </w:p>
        </w:tc>
        <w:tc>
          <w:tcPr>
            <w:tcW w:w="1134" w:type="dxa"/>
          </w:tcPr>
          <w:p w14:paraId="7D1583BE" w14:textId="77777777" w:rsidR="006B380D" w:rsidRPr="00216965" w:rsidRDefault="006B380D" w:rsidP="003A7BA9">
            <w:pPr>
              <w:spacing w:after="0"/>
              <w:rPr>
                <w:sz w:val="16"/>
                <w:szCs w:val="16"/>
              </w:rPr>
            </w:pPr>
          </w:p>
        </w:tc>
        <w:tc>
          <w:tcPr>
            <w:tcW w:w="567" w:type="dxa"/>
          </w:tcPr>
          <w:p w14:paraId="3D6C19F8" w14:textId="77777777" w:rsidR="006B380D" w:rsidRPr="00216965" w:rsidRDefault="006B380D" w:rsidP="003A7BA9">
            <w:pPr>
              <w:spacing w:after="0"/>
              <w:rPr>
                <w:sz w:val="16"/>
                <w:szCs w:val="16"/>
              </w:rPr>
            </w:pPr>
          </w:p>
        </w:tc>
        <w:tc>
          <w:tcPr>
            <w:tcW w:w="709" w:type="dxa"/>
          </w:tcPr>
          <w:p w14:paraId="772D0200" w14:textId="77777777" w:rsidR="006B380D" w:rsidRPr="00216965" w:rsidRDefault="006B380D" w:rsidP="003A7BA9">
            <w:pPr>
              <w:spacing w:after="0"/>
              <w:rPr>
                <w:sz w:val="16"/>
                <w:szCs w:val="16"/>
              </w:rPr>
            </w:pPr>
          </w:p>
        </w:tc>
      </w:tr>
      <w:tr w:rsidR="006B7849" w:rsidRPr="00216965" w14:paraId="4FA087CF" w14:textId="77777777" w:rsidTr="008A33DA">
        <w:tc>
          <w:tcPr>
            <w:tcW w:w="1271" w:type="dxa"/>
            <w:hideMark/>
          </w:tcPr>
          <w:p w14:paraId="28CC00FC" w14:textId="77777777" w:rsidR="006B380D" w:rsidRPr="00216965" w:rsidRDefault="006B380D" w:rsidP="003A7BA9">
            <w:pPr>
              <w:spacing w:after="0"/>
              <w:rPr>
                <w:sz w:val="20"/>
                <w:szCs w:val="20"/>
              </w:rPr>
            </w:pPr>
            <w:r w:rsidRPr="00216965">
              <w:rPr>
                <w:sz w:val="20"/>
                <w:szCs w:val="20"/>
              </w:rPr>
              <w:t>residential</w:t>
            </w:r>
          </w:p>
        </w:tc>
        <w:tc>
          <w:tcPr>
            <w:tcW w:w="849" w:type="dxa"/>
            <w:hideMark/>
          </w:tcPr>
          <w:p w14:paraId="354E9239" w14:textId="77777777" w:rsidR="006B380D" w:rsidRPr="00216965" w:rsidRDefault="006B380D" w:rsidP="003A7BA9">
            <w:pPr>
              <w:spacing w:after="0"/>
              <w:rPr>
                <w:sz w:val="16"/>
                <w:szCs w:val="16"/>
              </w:rPr>
            </w:pPr>
            <w:r w:rsidRPr="00216965">
              <w:rPr>
                <w:sz w:val="16"/>
                <w:szCs w:val="16"/>
              </w:rPr>
              <w:t>10</w:t>
            </w:r>
          </w:p>
        </w:tc>
        <w:tc>
          <w:tcPr>
            <w:tcW w:w="1024" w:type="dxa"/>
          </w:tcPr>
          <w:p w14:paraId="224C63E9" w14:textId="77777777" w:rsidR="006B380D" w:rsidRPr="00216965" w:rsidRDefault="006B380D" w:rsidP="003A7BA9">
            <w:pPr>
              <w:spacing w:after="0"/>
              <w:rPr>
                <w:sz w:val="16"/>
                <w:szCs w:val="16"/>
              </w:rPr>
            </w:pPr>
          </w:p>
        </w:tc>
        <w:tc>
          <w:tcPr>
            <w:tcW w:w="962" w:type="dxa"/>
            <w:hideMark/>
          </w:tcPr>
          <w:p w14:paraId="67A194E5" w14:textId="77777777" w:rsidR="006B380D" w:rsidRPr="00216965" w:rsidRDefault="006B380D" w:rsidP="003A7BA9">
            <w:pPr>
              <w:spacing w:after="0"/>
              <w:rPr>
                <w:sz w:val="16"/>
                <w:szCs w:val="16"/>
              </w:rPr>
            </w:pPr>
            <w:r w:rsidRPr="00216965">
              <w:rPr>
                <w:sz w:val="16"/>
                <w:szCs w:val="16"/>
              </w:rPr>
              <w:t>450</w:t>
            </w:r>
          </w:p>
        </w:tc>
        <w:tc>
          <w:tcPr>
            <w:tcW w:w="992" w:type="dxa"/>
          </w:tcPr>
          <w:p w14:paraId="3CD9F852" w14:textId="77777777" w:rsidR="006B380D" w:rsidRPr="00216965" w:rsidRDefault="006B380D" w:rsidP="003A7BA9">
            <w:pPr>
              <w:spacing w:after="0"/>
              <w:rPr>
                <w:sz w:val="16"/>
                <w:szCs w:val="16"/>
              </w:rPr>
            </w:pPr>
          </w:p>
        </w:tc>
        <w:tc>
          <w:tcPr>
            <w:tcW w:w="851" w:type="dxa"/>
          </w:tcPr>
          <w:p w14:paraId="1118478B" w14:textId="77777777" w:rsidR="006B380D" w:rsidRPr="00216965" w:rsidRDefault="006B380D" w:rsidP="003A7BA9">
            <w:pPr>
              <w:spacing w:after="0"/>
              <w:ind w:firstLine="32"/>
              <w:rPr>
                <w:sz w:val="16"/>
                <w:szCs w:val="16"/>
              </w:rPr>
            </w:pPr>
          </w:p>
        </w:tc>
        <w:tc>
          <w:tcPr>
            <w:tcW w:w="1134" w:type="dxa"/>
          </w:tcPr>
          <w:p w14:paraId="6B7D6C98" w14:textId="77777777" w:rsidR="006B380D" w:rsidRPr="00216965" w:rsidRDefault="006B380D" w:rsidP="003A7BA9">
            <w:pPr>
              <w:spacing w:after="0"/>
              <w:rPr>
                <w:sz w:val="16"/>
                <w:szCs w:val="16"/>
              </w:rPr>
            </w:pPr>
          </w:p>
        </w:tc>
        <w:tc>
          <w:tcPr>
            <w:tcW w:w="567" w:type="dxa"/>
          </w:tcPr>
          <w:p w14:paraId="45BBFFE6" w14:textId="77777777" w:rsidR="006B380D" w:rsidRPr="00216965" w:rsidRDefault="006B380D" w:rsidP="003A7BA9">
            <w:pPr>
              <w:spacing w:after="0"/>
              <w:rPr>
                <w:sz w:val="16"/>
                <w:szCs w:val="16"/>
              </w:rPr>
            </w:pPr>
          </w:p>
        </w:tc>
        <w:tc>
          <w:tcPr>
            <w:tcW w:w="709" w:type="dxa"/>
          </w:tcPr>
          <w:p w14:paraId="5854FDFC" w14:textId="77777777" w:rsidR="006B380D" w:rsidRPr="00216965" w:rsidRDefault="006B380D" w:rsidP="003A7BA9">
            <w:pPr>
              <w:spacing w:after="0"/>
              <w:rPr>
                <w:sz w:val="16"/>
                <w:szCs w:val="16"/>
              </w:rPr>
            </w:pPr>
          </w:p>
        </w:tc>
      </w:tr>
      <w:tr w:rsidR="006B7849" w:rsidRPr="00216965" w14:paraId="750F5ABD" w14:textId="77777777" w:rsidTr="008A33DA">
        <w:tc>
          <w:tcPr>
            <w:tcW w:w="1271" w:type="dxa"/>
            <w:hideMark/>
          </w:tcPr>
          <w:p w14:paraId="5C86F32E" w14:textId="77777777" w:rsidR="006B380D" w:rsidRPr="00216965" w:rsidRDefault="006B380D" w:rsidP="003A7BA9">
            <w:pPr>
              <w:spacing w:after="0"/>
              <w:rPr>
                <w:sz w:val="20"/>
                <w:szCs w:val="20"/>
              </w:rPr>
            </w:pPr>
            <w:r w:rsidRPr="00216965">
              <w:rPr>
                <w:sz w:val="20"/>
                <w:szCs w:val="20"/>
              </w:rPr>
              <w:t>commercial</w:t>
            </w:r>
          </w:p>
        </w:tc>
        <w:tc>
          <w:tcPr>
            <w:tcW w:w="849" w:type="dxa"/>
            <w:hideMark/>
          </w:tcPr>
          <w:p w14:paraId="402C0387" w14:textId="77777777" w:rsidR="006B380D" w:rsidRPr="00216965" w:rsidRDefault="006B380D" w:rsidP="003A7BA9">
            <w:pPr>
              <w:spacing w:after="0"/>
              <w:rPr>
                <w:sz w:val="16"/>
                <w:szCs w:val="16"/>
              </w:rPr>
            </w:pPr>
            <w:r w:rsidRPr="00216965">
              <w:rPr>
                <w:sz w:val="16"/>
                <w:szCs w:val="16"/>
              </w:rPr>
              <w:t>230</w:t>
            </w:r>
          </w:p>
        </w:tc>
        <w:tc>
          <w:tcPr>
            <w:tcW w:w="1024" w:type="dxa"/>
          </w:tcPr>
          <w:p w14:paraId="73902762" w14:textId="77777777" w:rsidR="006B380D" w:rsidRPr="00216965" w:rsidRDefault="006B380D" w:rsidP="003A7BA9">
            <w:pPr>
              <w:spacing w:after="0"/>
              <w:rPr>
                <w:sz w:val="16"/>
                <w:szCs w:val="16"/>
              </w:rPr>
            </w:pPr>
          </w:p>
        </w:tc>
        <w:tc>
          <w:tcPr>
            <w:tcW w:w="962" w:type="dxa"/>
            <w:hideMark/>
          </w:tcPr>
          <w:p w14:paraId="7C43D688" w14:textId="77777777" w:rsidR="006B380D" w:rsidRPr="00216965" w:rsidRDefault="006B380D" w:rsidP="003A7BA9">
            <w:pPr>
              <w:spacing w:after="0"/>
              <w:rPr>
                <w:sz w:val="16"/>
                <w:szCs w:val="16"/>
              </w:rPr>
            </w:pPr>
            <w:r w:rsidRPr="00216965">
              <w:rPr>
                <w:sz w:val="16"/>
                <w:szCs w:val="16"/>
              </w:rPr>
              <w:t>750</w:t>
            </w:r>
          </w:p>
        </w:tc>
        <w:tc>
          <w:tcPr>
            <w:tcW w:w="992" w:type="dxa"/>
          </w:tcPr>
          <w:p w14:paraId="518A0A07" w14:textId="77777777" w:rsidR="006B380D" w:rsidRPr="00216965" w:rsidRDefault="006B380D" w:rsidP="003A7BA9">
            <w:pPr>
              <w:spacing w:after="0"/>
              <w:rPr>
                <w:sz w:val="16"/>
                <w:szCs w:val="16"/>
              </w:rPr>
            </w:pPr>
          </w:p>
        </w:tc>
        <w:tc>
          <w:tcPr>
            <w:tcW w:w="851" w:type="dxa"/>
          </w:tcPr>
          <w:p w14:paraId="37AF9AAA" w14:textId="77777777" w:rsidR="006B380D" w:rsidRPr="00216965" w:rsidRDefault="006B380D" w:rsidP="003A7BA9">
            <w:pPr>
              <w:spacing w:after="0"/>
              <w:ind w:firstLine="32"/>
              <w:rPr>
                <w:sz w:val="16"/>
                <w:szCs w:val="16"/>
              </w:rPr>
            </w:pPr>
          </w:p>
        </w:tc>
        <w:tc>
          <w:tcPr>
            <w:tcW w:w="1134" w:type="dxa"/>
          </w:tcPr>
          <w:p w14:paraId="66CD49B7" w14:textId="77777777" w:rsidR="006B380D" w:rsidRPr="00216965" w:rsidRDefault="006B380D" w:rsidP="003A7BA9">
            <w:pPr>
              <w:spacing w:after="0"/>
              <w:rPr>
                <w:sz w:val="16"/>
                <w:szCs w:val="16"/>
              </w:rPr>
            </w:pPr>
          </w:p>
        </w:tc>
        <w:tc>
          <w:tcPr>
            <w:tcW w:w="567" w:type="dxa"/>
          </w:tcPr>
          <w:p w14:paraId="6C91E923" w14:textId="77777777" w:rsidR="006B380D" w:rsidRPr="00216965" w:rsidRDefault="006B380D" w:rsidP="003A7BA9">
            <w:pPr>
              <w:spacing w:after="0"/>
              <w:rPr>
                <w:sz w:val="16"/>
                <w:szCs w:val="16"/>
              </w:rPr>
            </w:pPr>
          </w:p>
        </w:tc>
        <w:tc>
          <w:tcPr>
            <w:tcW w:w="709" w:type="dxa"/>
          </w:tcPr>
          <w:p w14:paraId="34A9E6FD" w14:textId="77777777" w:rsidR="006B380D" w:rsidRPr="00216965" w:rsidRDefault="006B380D" w:rsidP="003A7BA9">
            <w:pPr>
              <w:spacing w:after="0"/>
              <w:rPr>
                <w:sz w:val="16"/>
                <w:szCs w:val="16"/>
              </w:rPr>
            </w:pPr>
          </w:p>
        </w:tc>
      </w:tr>
    </w:tbl>
    <w:p w14:paraId="2688D7B2" w14:textId="75DFCC14" w:rsidR="006B7849" w:rsidRPr="00216965" w:rsidRDefault="006B7849" w:rsidP="008A33DA">
      <w:pPr>
        <w:spacing w:after="0" w:line="240" w:lineRule="auto"/>
        <w:rPr>
          <w:sz w:val="20"/>
          <w:szCs w:val="20"/>
        </w:rPr>
      </w:pPr>
      <w:r w:rsidRPr="00216965">
        <w:rPr>
          <w:sz w:val="20"/>
          <w:szCs w:val="20"/>
        </w:rPr>
        <w:t>Total= aqua regia extracted</w:t>
      </w:r>
    </w:p>
    <w:p w14:paraId="7D781FA6" w14:textId="70F5F36F" w:rsidR="006B380D" w:rsidRPr="00216965" w:rsidRDefault="006B380D" w:rsidP="008A33DA">
      <w:pPr>
        <w:spacing w:after="0" w:line="240" w:lineRule="auto"/>
        <w:rPr>
          <w:sz w:val="20"/>
          <w:szCs w:val="20"/>
        </w:rPr>
      </w:pPr>
      <w:r w:rsidRPr="00216965">
        <w:rPr>
          <w:sz w:val="20"/>
          <w:szCs w:val="20"/>
        </w:rPr>
        <w:t>Bioav.= Bioavailable HMs: 1 M NH</w:t>
      </w:r>
      <w:r w:rsidRPr="00216965">
        <w:rPr>
          <w:sz w:val="20"/>
          <w:szCs w:val="20"/>
          <w:vertAlign w:val="subscript"/>
        </w:rPr>
        <w:t>4</w:t>
      </w:r>
      <w:r w:rsidRPr="00216965">
        <w:rPr>
          <w:sz w:val="20"/>
          <w:szCs w:val="20"/>
        </w:rPr>
        <w:t>NO</w:t>
      </w:r>
      <w:r w:rsidRPr="00216965">
        <w:rPr>
          <w:sz w:val="20"/>
          <w:szCs w:val="20"/>
          <w:vertAlign w:val="subscript"/>
        </w:rPr>
        <w:t>3</w:t>
      </w:r>
      <w:r w:rsidRPr="00216965">
        <w:rPr>
          <w:sz w:val="20"/>
          <w:szCs w:val="20"/>
        </w:rPr>
        <w:t xml:space="preserve"> extract</w:t>
      </w:r>
    </w:p>
    <w:p w14:paraId="04632C6D" w14:textId="201217AF" w:rsidR="006B380D" w:rsidRPr="00216965" w:rsidRDefault="006B380D" w:rsidP="008A33DA">
      <w:pPr>
        <w:spacing w:after="0" w:line="240" w:lineRule="auto"/>
      </w:pPr>
      <w:r w:rsidRPr="00216965">
        <w:rPr>
          <w:sz w:val="20"/>
          <w:szCs w:val="20"/>
        </w:rPr>
        <w:t>* SGVs=Soil guideline values for different land use according to the</w:t>
      </w:r>
      <w:r w:rsidRPr="00216965">
        <w:t xml:space="preserve"> </w:t>
      </w:r>
      <w:r w:rsidRPr="00216965">
        <w:rPr>
          <w:sz w:val="20"/>
          <w:szCs w:val="20"/>
        </w:rPr>
        <w:fldChar w:fldCharType="begin" w:fldLock="1"/>
      </w:r>
      <w:r w:rsidR="00F56BD7" w:rsidRPr="00216965">
        <w:rPr>
          <w:sz w:val="20"/>
          <w:szCs w:val="20"/>
        </w:rPr>
        <w:instrText>ADDIN CSL_CITATION {"citationItems":[{"id":"ITEM-1","itemData":{"author":[{"dropping-particle":"","family":"Environment Agency","given":"","non-dropping-particle":"","parse-names":false,"suffix":""}],"id":"ITEM-1","issued":{"date-parts":[["2009"]]},"publisher":"Environment Agency","publisher-place":"Cardiff","title":"Using soil guideline values","type":"report"},"uris":["http://www.mendeley.com/documents/?uuid=0aecdced-af3d-3999-b22e-084589e77ff0"]}],"mendeley":{"formattedCitation":"(Environment Agency, 2009)","manualFormatting":"Environment Agency (2009)","plainTextFormattedCitation":"(Environment Agency, 2009)","previouslyFormattedCitation":"(Environment Agency, 2009)"},"properties":{"noteIndex":0},"schema":"https://github.com/citation-style-language/schema/raw/master/csl-citation.json"}</w:instrText>
      </w:r>
      <w:r w:rsidRPr="00216965">
        <w:rPr>
          <w:sz w:val="20"/>
          <w:szCs w:val="20"/>
        </w:rPr>
        <w:fldChar w:fldCharType="separate"/>
      </w:r>
      <w:r w:rsidRPr="00216965">
        <w:rPr>
          <w:noProof/>
          <w:sz w:val="20"/>
          <w:szCs w:val="20"/>
        </w:rPr>
        <w:t>Environment Agency (2009)</w:t>
      </w:r>
      <w:r w:rsidRPr="00216965">
        <w:rPr>
          <w:sz w:val="20"/>
          <w:szCs w:val="20"/>
        </w:rPr>
        <w:fldChar w:fldCharType="end"/>
      </w:r>
    </w:p>
    <w:p w14:paraId="6BAC14A8" w14:textId="77777777" w:rsidR="006B380D" w:rsidRPr="00216965" w:rsidRDefault="006B380D" w:rsidP="008A33DA">
      <w:pPr>
        <w:pStyle w:val="Heading3"/>
        <w:spacing w:before="360"/>
      </w:pPr>
      <w:bookmarkStart w:id="214" w:name="_Toc86504671"/>
      <w:r w:rsidRPr="00216965">
        <w:lastRenderedPageBreak/>
        <w:t xml:space="preserve">Experiment A: controlled environment incubation with </w:t>
      </w:r>
      <w:r w:rsidRPr="00216965">
        <w:rPr>
          <w:i/>
        </w:rPr>
        <w:t>Arabidopsis thaliana-Col 0</w:t>
      </w:r>
      <w:bookmarkEnd w:id="214"/>
    </w:p>
    <w:p w14:paraId="43A160AD" w14:textId="77777777" w:rsidR="006B380D" w:rsidRPr="00216965" w:rsidRDefault="006B380D" w:rsidP="008A33DA">
      <w:pPr>
        <w:pStyle w:val="Heading4"/>
      </w:pPr>
      <w:bookmarkStart w:id="215" w:name="_heading=h.2p2csry"/>
      <w:bookmarkStart w:id="216" w:name="_Ref86406066"/>
      <w:bookmarkEnd w:id="215"/>
      <w:r w:rsidRPr="00216965">
        <w:t>Bioavailability of HMs</w:t>
      </w:r>
      <w:bookmarkEnd w:id="216"/>
    </w:p>
    <w:p w14:paraId="21069934" w14:textId="400F2F0D" w:rsidR="006B380D" w:rsidRPr="00216965" w:rsidRDefault="006B380D" w:rsidP="008A33DA">
      <w:pPr>
        <w:spacing w:line="360" w:lineRule="auto"/>
        <w:jc w:val="both"/>
      </w:pPr>
      <w:r w:rsidRPr="00216965">
        <w:t xml:space="preserve">The effect of biochar feedstock and application rate on the bioavailability of HMs in soils is shown in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t xml:space="preserve">. The bioavailable concentrations of Pb and Cd before the incubation experiment (day 0) were significantly higher than the 0 % biochar groups at the end of the experiment (day 30) in the Pb-soil, Cd-soil and Mix-soil treatments, while the Zn concentration did not change significantly. The bioavailable concentrations of Pb and Cd in the multielement polluted soil (Mix-soil) at 0% biochar were lower than that of these elements in the single element spiked soils. </w:t>
      </w:r>
    </w:p>
    <w:p w14:paraId="153016E4" w14:textId="2A4CC2C9" w:rsidR="006B380D" w:rsidRPr="00216965" w:rsidRDefault="006B380D" w:rsidP="008A33DA">
      <w:pPr>
        <w:spacing w:line="360" w:lineRule="auto"/>
        <w:jc w:val="both"/>
      </w:pPr>
      <w:r w:rsidRPr="00216965">
        <w:t>After 30 days of incubation all biochars added to the Pb-soil significantly reduced the bioavailable metal concentration to a similar extent at 1% application rates, to values 58-69 % of the control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bCs/>
        </w:rPr>
        <w:t>A</w:t>
      </w:r>
      <w:r w:rsidRPr="00216965">
        <w:t>). With greater biochar application rates (3% and 5%), the bioavailable Pb concentration tended to increase. This was most noticeable with OSR550 where the Pb concentration exceeded the control at the highest (5%) application rate. Increases were also evident with SWP550 and WSP550, but not MSP550. None of the biochars caused significant changes in the bioavailable Cd at any application rate in the Cd-soil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bCs/>
        </w:rPr>
        <w:t>B</w:t>
      </w:r>
      <w:r w:rsidRPr="00216965">
        <w:t>). With Zn-amended soils, biochars at all rates (with the exception of 1% OSR550) significantly reduced the bioavailable Zn to 60-80% of the control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bCs/>
        </w:rPr>
        <w:t>C</w:t>
      </w:r>
      <w:r w:rsidRPr="00216965">
        <w:rPr>
          <w:b/>
        </w:rPr>
        <w:t>)</w:t>
      </w:r>
      <w:r w:rsidRPr="00216965">
        <w:t xml:space="preserve">. </w:t>
      </w:r>
    </w:p>
    <w:p w14:paraId="70EAE8BD" w14:textId="2998D1DC" w:rsidR="006B380D" w:rsidRPr="00216965" w:rsidRDefault="006B380D" w:rsidP="001C7822">
      <w:pPr>
        <w:spacing w:line="360" w:lineRule="auto"/>
        <w:jc w:val="both"/>
      </w:pPr>
      <w:r w:rsidRPr="00216965">
        <w:t>In the soils amended with a ternary mixture of elements (Mix-soil), all biochars applied at 1 % significantly reduced bioavailable Pb to 36% of the control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rPr>
        <w:t>D)</w:t>
      </w:r>
      <w:r w:rsidRPr="00216965">
        <w:t>. OSR550 was the only biochar to cause a significant decrease in bioavailable Cd, to 40 % of the control at all application rates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rPr>
        <w:t>E)</w:t>
      </w:r>
      <w:r w:rsidRPr="00216965">
        <w:t>. The concentration of bioavailable Zn in the Mix-soil decreased significantly to 70-84 % depending on the biochar and the application rate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rPr>
        <w:t>F)</w:t>
      </w:r>
      <w:r w:rsidRPr="00216965">
        <w:t>.</w:t>
      </w:r>
    </w:p>
    <w:p w14:paraId="7EEF9889" w14:textId="1A5CD89F" w:rsidR="006B380D" w:rsidRPr="00216965" w:rsidRDefault="006B380D" w:rsidP="008A33DA">
      <w:pPr>
        <w:spacing w:line="360" w:lineRule="auto"/>
      </w:pPr>
      <w:r w:rsidRPr="00216965">
        <w:rPr>
          <w:noProof/>
        </w:rPr>
        <w:lastRenderedPageBreak/>
        <w:drawing>
          <wp:inline distT="0" distB="0" distL="0" distR="0" wp14:anchorId="5BAFDD60" wp14:editId="787E24F6">
            <wp:extent cx="5353050" cy="4095750"/>
            <wp:effectExtent l="0" t="0" r="0" b="0"/>
            <wp:docPr id="57" name="Picture 5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53050" cy="4095750"/>
                    </a:xfrm>
                    <a:prstGeom prst="rect">
                      <a:avLst/>
                    </a:prstGeom>
                    <a:noFill/>
                    <a:ln>
                      <a:noFill/>
                    </a:ln>
                  </pic:spPr>
                </pic:pic>
              </a:graphicData>
            </a:graphic>
          </wp:inline>
        </w:drawing>
      </w:r>
    </w:p>
    <w:p w14:paraId="48BBC5F7" w14:textId="14720F8E" w:rsidR="006B380D" w:rsidRPr="00216965" w:rsidRDefault="006B380D" w:rsidP="008A33DA">
      <w:pPr>
        <w:spacing w:after="200" w:line="240" w:lineRule="auto"/>
        <w:jc w:val="both"/>
        <w:rPr>
          <w:color w:val="000000"/>
        </w:rPr>
      </w:pPr>
      <w:bookmarkStart w:id="217" w:name="_heading=h.147n2zr"/>
      <w:bookmarkStart w:id="218" w:name="_Ref75009525"/>
      <w:bookmarkStart w:id="219" w:name="_Hlk76903251"/>
      <w:bookmarkStart w:id="220" w:name="_Toc86439363"/>
      <w:bookmarkEnd w:id="217"/>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w:t>
      </w:r>
      <w:r w:rsidR="00BF3EBE" w:rsidRPr="00216965">
        <w:rPr>
          <w:b/>
          <w:bCs/>
        </w:rPr>
        <w:fldChar w:fldCharType="end"/>
      </w:r>
      <w:bookmarkEnd w:id="218"/>
      <w:r w:rsidRPr="00216965">
        <w:rPr>
          <w:b/>
          <w:bCs/>
        </w:rPr>
        <w:t xml:space="preserve">. </w:t>
      </w:r>
      <w:bookmarkEnd w:id="219"/>
      <w:r w:rsidRPr="00216965">
        <w:rPr>
          <w:b/>
          <w:bCs/>
          <w:color w:val="000000"/>
        </w:rPr>
        <w:t>Box plot of NH</w:t>
      </w:r>
      <w:r w:rsidRPr="00216965">
        <w:rPr>
          <w:b/>
          <w:bCs/>
          <w:color w:val="000000"/>
          <w:vertAlign w:val="subscript"/>
        </w:rPr>
        <w:t>4</w:t>
      </w:r>
      <w:r w:rsidRPr="00216965">
        <w:rPr>
          <w:b/>
          <w:bCs/>
          <w:color w:val="000000"/>
        </w:rPr>
        <w:t>-NO</w:t>
      </w:r>
      <w:r w:rsidRPr="00216965">
        <w:rPr>
          <w:b/>
          <w:bCs/>
          <w:color w:val="000000"/>
          <w:vertAlign w:val="subscript"/>
        </w:rPr>
        <w:t>3</w:t>
      </w:r>
      <w:r w:rsidRPr="00216965">
        <w:rPr>
          <w:b/>
          <w:bCs/>
          <w:color w:val="000000"/>
        </w:rPr>
        <w:t xml:space="preserve"> extractable HMs in soils treated with biochar at different application rates (</w:t>
      </w:r>
      <w:r w:rsidRPr="00216965">
        <w:rPr>
          <w:b/>
          <w:bCs/>
          <w:i/>
          <w:iCs/>
          <w:color w:val="000000"/>
        </w:rPr>
        <w:t>w/w</w:t>
      </w:r>
      <w:r w:rsidRPr="00216965">
        <w:rPr>
          <w:b/>
          <w:bCs/>
          <w:color w:val="000000"/>
        </w:rPr>
        <w:t>)</w:t>
      </w:r>
      <w:r w:rsidRPr="00216965">
        <w:rPr>
          <w:color w:val="000000"/>
        </w:rPr>
        <w:t>. A) Pb-soil, B) Cd-soil, C) Zn-soil, D-F) Mix-soil. Values at day 0 correspond to the initial concentrations before the incubation experiment; values at day 30 indicate the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extractable HMs at the end of the incubation. Treatments with the same letter do not differ significantly according to Tukey post hoc test (α=0.05).</w:t>
      </w:r>
      <w:bookmarkEnd w:id="220"/>
    </w:p>
    <w:p w14:paraId="66A67ADB" w14:textId="77777777" w:rsidR="006B380D" w:rsidRPr="00216965" w:rsidRDefault="006B380D" w:rsidP="008A33DA">
      <w:pPr>
        <w:pStyle w:val="Heading4"/>
      </w:pPr>
      <w:bookmarkStart w:id="221" w:name="_heading=h.3o7alnk"/>
      <w:bookmarkStart w:id="222" w:name="_Ref86405550"/>
      <w:bookmarkEnd w:id="221"/>
      <w:r w:rsidRPr="00216965">
        <w:t>Plant biomass</w:t>
      </w:r>
      <w:bookmarkEnd w:id="222"/>
    </w:p>
    <w:p w14:paraId="1BC41381" w14:textId="22181FE0" w:rsidR="006B380D" w:rsidRPr="00216965" w:rsidRDefault="006B380D" w:rsidP="008A33DA">
      <w:pPr>
        <w:spacing w:line="360" w:lineRule="auto"/>
        <w:jc w:val="both"/>
      </w:pPr>
      <w:r w:rsidRPr="00216965">
        <w:t>Plant development showed high variability between replicates, probably caused by the heterogeneous nature of both biochar and the artificially contaminated soil. At the end of the incubation experiment (day 30) plants in the single element spiked soils with 0% biochar grew to a comparable extent without any visible signs of damage (</w:t>
      </w:r>
      <w:r w:rsidRPr="00216965">
        <w:fldChar w:fldCharType="begin"/>
      </w:r>
      <w:r w:rsidRPr="00216965">
        <w:instrText xml:space="preserve"> REF _Ref82644489 \h </w:instrText>
      </w:r>
      <w:r w:rsidR="00216965" w:rsidRPr="00216965">
        <w:instrText xml:space="preserve">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rPr>
        <w:noBreakHyphen/>
      </w:r>
      <w:r w:rsidR="006E23EA" w:rsidRPr="00216965">
        <w:rPr>
          <w:b/>
          <w:bCs/>
          <w:noProof/>
        </w:rPr>
        <w:t>2</w:t>
      </w:r>
      <w:r w:rsidRPr="00216965">
        <w:fldChar w:fldCharType="end"/>
      </w:r>
      <w:r w:rsidRPr="00216965">
        <w:t xml:space="preserve"> and </w:t>
      </w:r>
      <w:r w:rsidRPr="00216965">
        <w:rPr>
          <w:b/>
          <w:bCs/>
        </w:rPr>
        <w:fldChar w:fldCharType="begin"/>
      </w:r>
      <w:r w:rsidRPr="00216965">
        <w:rPr>
          <w:b/>
          <w:bCs/>
        </w:rPr>
        <w:instrText xml:space="preserve"> REF _Ref82644491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4</w:t>
      </w:r>
      <w:r w:rsidR="006E23EA" w:rsidRPr="00216965">
        <w:rPr>
          <w:b/>
          <w:bCs/>
          <w:noProof/>
        </w:rPr>
        <w:noBreakHyphen/>
        <w:t>3</w:t>
      </w:r>
      <w:r w:rsidRPr="00216965">
        <w:rPr>
          <w:b/>
          <w:bCs/>
        </w:rPr>
        <w:fldChar w:fldCharType="end"/>
      </w:r>
      <w:r w:rsidRPr="00216965">
        <w:t>). Conversely, in the Mix-soil with 0% biochar there were fewer plants. Those present were stunted and smaller than in the other soil treatments.</w:t>
      </w:r>
    </w:p>
    <w:p w14:paraId="4C2CFD93" w14:textId="128B9F15" w:rsidR="006B380D" w:rsidRPr="00216965" w:rsidRDefault="006B380D" w:rsidP="008A33DA">
      <w:pPr>
        <w:spacing w:line="360" w:lineRule="auto"/>
        <w:jc w:val="both"/>
      </w:pPr>
      <w:r w:rsidRPr="00216965">
        <w:t>Overall, plants grown in soils amended with biochars applied at 1% appeared similar to the control groups (0% biochar) in the single Pb/Cd/Zn spiked soils, while in the Mix-soil a 1% biochar application increased the plant size. Biochars OSR550 and WSP550 at 3 and 5% reduced growth in the single Pb</w:t>
      </w:r>
      <w:r w:rsidR="00F27C1C" w:rsidRPr="00216965">
        <w:t xml:space="preserve">- </w:t>
      </w:r>
      <w:r w:rsidRPr="00216965">
        <w:t>Cd</w:t>
      </w:r>
      <w:r w:rsidR="00F27C1C" w:rsidRPr="00216965">
        <w:t xml:space="preserve">- and </w:t>
      </w:r>
      <w:r w:rsidRPr="00216965">
        <w:t>Mix-</w:t>
      </w:r>
      <w:r w:rsidR="00F27C1C" w:rsidRPr="00216965">
        <w:t xml:space="preserve"> </w:t>
      </w:r>
      <w:r w:rsidRPr="00216965">
        <w:t>soils and, to lesser extent, in Zn-</w:t>
      </w:r>
      <w:r w:rsidRPr="00216965">
        <w:lastRenderedPageBreak/>
        <w:t>soil. However, a few plants were considerably larger in some pots at these biochar application rates. Only in the Cd-soil amended with biochars OSR550, WSP550 and MSP550 at 3 and 5 % was chlorosis in leaf tissue of plants observed (</w:t>
      </w:r>
      <w:r w:rsidRPr="00216965">
        <w:fldChar w:fldCharType="begin"/>
      </w:r>
      <w:r w:rsidRPr="00216965">
        <w:instrText xml:space="preserve"> REF _Ref82644489 \h </w:instrText>
      </w:r>
      <w:r w:rsidR="00216965" w:rsidRPr="00216965">
        <w:instrText xml:space="preserve">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rPr>
        <w:noBreakHyphen/>
      </w:r>
      <w:r w:rsidR="006E23EA" w:rsidRPr="00216965">
        <w:rPr>
          <w:b/>
          <w:bCs/>
          <w:noProof/>
        </w:rPr>
        <w:t>2</w:t>
      </w:r>
      <w:r w:rsidRPr="00216965">
        <w:fldChar w:fldCharType="end"/>
      </w:r>
      <w:r w:rsidRPr="00216965">
        <w:rPr>
          <w:b/>
        </w:rPr>
        <w:t>A</w:t>
      </w:r>
      <w:r w:rsidRPr="00216965">
        <w:t xml:space="preserve"> and </w:t>
      </w:r>
      <w:r w:rsidRPr="00216965">
        <w:rPr>
          <w:b/>
          <w:bCs/>
        </w:rPr>
        <w:fldChar w:fldCharType="begin"/>
      </w:r>
      <w:r w:rsidRPr="00216965">
        <w:rPr>
          <w:b/>
          <w:bCs/>
        </w:rPr>
        <w:instrText xml:space="preserve"> REF _Ref82644491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3</w:t>
      </w:r>
      <w:r w:rsidRPr="00216965">
        <w:rPr>
          <w:b/>
          <w:bCs/>
        </w:rPr>
        <w:fldChar w:fldCharType="end"/>
      </w:r>
      <w:r w:rsidRPr="00216965">
        <w:rPr>
          <w:b/>
        </w:rPr>
        <w:t>A-B</w:t>
      </w:r>
      <w:r w:rsidRPr="00216965">
        <w:t>), suggesting an interaction between Cd and biochar that negatively affected the plants.</w:t>
      </w:r>
    </w:p>
    <w:p w14:paraId="7508D5B4" w14:textId="482BD72B" w:rsidR="006B380D" w:rsidRPr="00216965" w:rsidRDefault="006B380D" w:rsidP="008A33DA">
      <w:pPr>
        <w:spacing w:line="360" w:lineRule="auto"/>
        <w:jc w:val="both"/>
      </w:pPr>
      <w:r w:rsidRPr="00216965">
        <w:t xml:space="preserve">Dry above-ground biomass of </w:t>
      </w:r>
      <w:r w:rsidRPr="00216965">
        <w:rPr>
          <w:i/>
        </w:rPr>
        <w:t>Arabidopsis thaliana</w:t>
      </w:r>
      <w:r w:rsidRPr="00216965">
        <w:t xml:space="preserve"> Col-0 is shown in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t>. Overall, an increase in biochar from 1 to 5 % tended to reduce biomass. This trend was observed for OSR550, WSP550 and MSP550, but not SWP550. Biochars applied at 1% to soils promoted greater above-ground biomass than the control (0% biochar). Biochar WSP550 added at 1% increased the dry biomass in the Zn-soil and Mix-soil by 48 % and 58 % relative to the control, respectively, whereas OSR550 added at 1% significantly increased biomass in the Mix-soil by 51% relative to the control (</w:t>
      </w:r>
      <w:r w:rsidR="00831AE6" w:rsidRPr="00216965">
        <w:t>p</w:t>
      </w:r>
      <w:r w:rsidRPr="00216965">
        <w:t xml:space="preserve"> &lt; 0.001). Other increases in biomass were observed at 1% with OSR550, SWP550 and WSP550 in other treatments. However, these increases were not statistically significant, possibly due to the limited statistical power based on 3 replicates. None of the biochars at any application rate enhanced dry biomass in the Cd spiked soil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rPr>
          <w:b/>
          <w:bCs/>
        </w:rPr>
        <w:t>B</w:t>
      </w:r>
      <w:r w:rsidRPr="00216965">
        <w:rPr>
          <w:b/>
        </w:rPr>
        <w:t>)</w:t>
      </w:r>
      <w:r w:rsidRPr="00216965">
        <w:t xml:space="preserve">. The results indicate that the biochars added at low application rates had a protective effect on these plants against HM toxicity and a deleterious effect at high application rates. </w:t>
      </w:r>
    </w:p>
    <w:p w14:paraId="6EFB4A68" w14:textId="2B6070AA" w:rsidR="006B380D" w:rsidRPr="00216965" w:rsidRDefault="006B380D" w:rsidP="008A33DA">
      <w:pPr>
        <w:spacing w:after="0" w:line="360" w:lineRule="auto"/>
        <w:jc w:val="center"/>
      </w:pPr>
      <w:bookmarkStart w:id="223" w:name="_heading=h.23ckvvd"/>
      <w:bookmarkEnd w:id="223"/>
      <w:r w:rsidRPr="00216965">
        <w:rPr>
          <w:noProof/>
        </w:rPr>
        <w:lastRenderedPageBreak/>
        <w:drawing>
          <wp:inline distT="0" distB="0" distL="0" distR="0" wp14:anchorId="04CC88DD" wp14:editId="73A8D78B">
            <wp:extent cx="5076825" cy="7858125"/>
            <wp:effectExtent l="0" t="0" r="0" b="9525"/>
            <wp:docPr id="56" name="Picture 56" descr="A picture containing decorated, paint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descr="A picture containing decorated, painted, colorful&#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7021" cy="7858428"/>
                    </a:xfrm>
                    <a:prstGeom prst="rect">
                      <a:avLst/>
                    </a:prstGeom>
                    <a:noFill/>
                    <a:ln>
                      <a:noFill/>
                    </a:ln>
                  </pic:spPr>
                </pic:pic>
              </a:graphicData>
            </a:graphic>
          </wp:inline>
        </w:drawing>
      </w:r>
    </w:p>
    <w:p w14:paraId="396266E7" w14:textId="7A91C447" w:rsidR="006B380D" w:rsidRPr="00216965" w:rsidRDefault="006B380D" w:rsidP="008A33DA">
      <w:pPr>
        <w:spacing w:after="0" w:line="240" w:lineRule="auto"/>
        <w:jc w:val="both"/>
      </w:pPr>
      <w:bookmarkStart w:id="224" w:name="_heading=h.ihv636"/>
      <w:bookmarkStart w:id="225" w:name="_Ref82644489"/>
      <w:bookmarkStart w:id="226" w:name="_Toc86439364"/>
      <w:bookmarkEnd w:id="224"/>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2</w:t>
      </w:r>
      <w:r w:rsidR="00BF3EBE" w:rsidRPr="00216965">
        <w:rPr>
          <w:b/>
          <w:bCs/>
        </w:rPr>
        <w:fldChar w:fldCharType="end"/>
      </w:r>
      <w:bookmarkEnd w:id="225"/>
      <w:r w:rsidRPr="00216965">
        <w:rPr>
          <w:b/>
          <w:bCs/>
        </w:rPr>
        <w:t>.</w:t>
      </w:r>
      <w:r w:rsidRPr="00216965">
        <w:t xml:space="preserve"> </w:t>
      </w:r>
      <w:r w:rsidRPr="00216965">
        <w:rPr>
          <w:b/>
          <w:bCs/>
          <w:i/>
        </w:rPr>
        <w:t>Arabidopsis thaliana</w:t>
      </w:r>
      <w:r w:rsidRPr="00216965">
        <w:rPr>
          <w:b/>
          <w:bCs/>
        </w:rPr>
        <w:t xml:space="preserve"> growing in soil artificially contaminated with heavy metals</w:t>
      </w:r>
      <w:r w:rsidRPr="00216965">
        <w:t>. Soil amended with biochars, A) OSR550 and B) SWP550, at different application rates. Picture taken 24 days after sowing, background grid = 5 cm.</w:t>
      </w:r>
      <w:bookmarkEnd w:id="226"/>
    </w:p>
    <w:p w14:paraId="0F126DC9" w14:textId="6C54557B" w:rsidR="006B380D" w:rsidRPr="00216965" w:rsidRDefault="006B380D" w:rsidP="008A33DA">
      <w:pPr>
        <w:spacing w:after="0" w:line="360" w:lineRule="auto"/>
      </w:pPr>
      <w:r w:rsidRPr="00216965">
        <w:rPr>
          <w:noProof/>
        </w:rPr>
        <w:lastRenderedPageBreak/>
        <w:drawing>
          <wp:inline distT="0" distB="0" distL="0" distR="0" wp14:anchorId="35AB49B9" wp14:editId="17BA978A">
            <wp:extent cx="5162550" cy="7905750"/>
            <wp:effectExtent l="0" t="0" r="0" b="0"/>
            <wp:docPr id="55" name="Picture 55" descr="A picture containing decorated, paint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descr="A picture containing decorated, painted, colorful&#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2550" cy="7905750"/>
                    </a:xfrm>
                    <a:prstGeom prst="rect">
                      <a:avLst/>
                    </a:prstGeom>
                    <a:noFill/>
                    <a:ln>
                      <a:noFill/>
                    </a:ln>
                  </pic:spPr>
                </pic:pic>
              </a:graphicData>
            </a:graphic>
          </wp:inline>
        </w:drawing>
      </w:r>
    </w:p>
    <w:p w14:paraId="510A5E88" w14:textId="723C869F" w:rsidR="006B380D" w:rsidRPr="00216965" w:rsidRDefault="006B380D" w:rsidP="008A33DA">
      <w:pPr>
        <w:spacing w:after="200" w:line="240" w:lineRule="auto"/>
        <w:jc w:val="both"/>
        <w:rPr>
          <w:color w:val="000000"/>
        </w:rPr>
      </w:pPr>
      <w:bookmarkStart w:id="227" w:name="_heading=h.32hioqz"/>
      <w:bookmarkStart w:id="228" w:name="_Ref82644491"/>
      <w:bookmarkStart w:id="229" w:name="_Toc86439365"/>
      <w:bookmarkEnd w:id="227"/>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3</w:t>
      </w:r>
      <w:r w:rsidR="00BF3EBE" w:rsidRPr="00216965">
        <w:rPr>
          <w:b/>
          <w:bCs/>
        </w:rPr>
        <w:fldChar w:fldCharType="end"/>
      </w:r>
      <w:bookmarkEnd w:id="228"/>
      <w:r w:rsidRPr="00216965">
        <w:rPr>
          <w:b/>
          <w:bCs/>
        </w:rPr>
        <w:t xml:space="preserve">.  </w:t>
      </w:r>
      <w:r w:rsidRPr="00216965">
        <w:rPr>
          <w:b/>
          <w:bCs/>
          <w:i/>
          <w:color w:val="000000"/>
        </w:rPr>
        <w:t>Arabidopsis thaliana</w:t>
      </w:r>
      <w:r w:rsidRPr="00216965">
        <w:rPr>
          <w:b/>
          <w:bCs/>
          <w:color w:val="000000"/>
        </w:rPr>
        <w:t xml:space="preserve"> growing in soil artificially contaminated with heavy metals.</w:t>
      </w:r>
      <w:r w:rsidRPr="00216965">
        <w:rPr>
          <w:color w:val="000000"/>
        </w:rPr>
        <w:t xml:space="preserve"> Soil amended with biochars, A) WSP550 and B) MSP550, at different application rates. Picture taken 24 days after sowing, background grid = 5 cm.</w:t>
      </w:r>
      <w:bookmarkEnd w:id="229"/>
    </w:p>
    <w:p w14:paraId="15D96F2F" w14:textId="77777777" w:rsidR="006B380D" w:rsidRPr="00216965" w:rsidRDefault="006B380D" w:rsidP="008A33DA">
      <w:pPr>
        <w:spacing w:line="360" w:lineRule="auto"/>
      </w:pPr>
    </w:p>
    <w:p w14:paraId="518B2781" w14:textId="07A78073" w:rsidR="006B380D" w:rsidRPr="00216965" w:rsidRDefault="006B380D" w:rsidP="008A33DA">
      <w:pPr>
        <w:spacing w:after="0" w:line="360" w:lineRule="auto"/>
      </w:pPr>
      <w:r w:rsidRPr="00216965">
        <w:rPr>
          <w:noProof/>
        </w:rPr>
        <w:drawing>
          <wp:inline distT="0" distB="0" distL="0" distR="0" wp14:anchorId="073803F8" wp14:editId="7B18F622">
            <wp:extent cx="5400040" cy="4603115"/>
            <wp:effectExtent l="0" t="0" r="0" b="6985"/>
            <wp:docPr id="54" name="Picture 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A picture containing graphical user interfac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4603115"/>
                    </a:xfrm>
                    <a:prstGeom prst="rect">
                      <a:avLst/>
                    </a:prstGeom>
                    <a:noFill/>
                    <a:ln>
                      <a:noFill/>
                    </a:ln>
                  </pic:spPr>
                </pic:pic>
              </a:graphicData>
            </a:graphic>
          </wp:inline>
        </w:drawing>
      </w:r>
    </w:p>
    <w:p w14:paraId="62775A00" w14:textId="47A66373" w:rsidR="006B380D" w:rsidRPr="00216965" w:rsidRDefault="006B380D" w:rsidP="008A33DA">
      <w:pPr>
        <w:spacing w:after="200" w:line="240" w:lineRule="auto"/>
        <w:jc w:val="both"/>
        <w:rPr>
          <w:color w:val="000000"/>
        </w:rPr>
      </w:pPr>
      <w:bookmarkStart w:id="230" w:name="_heading=h.1hmsyys"/>
      <w:bookmarkStart w:id="231" w:name="_Ref76646294"/>
      <w:bookmarkStart w:id="232" w:name="_Toc86439366"/>
      <w:bookmarkEnd w:id="230"/>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4</w:t>
      </w:r>
      <w:r w:rsidR="00BF3EBE" w:rsidRPr="00216965">
        <w:rPr>
          <w:b/>
          <w:bCs/>
        </w:rPr>
        <w:fldChar w:fldCharType="end"/>
      </w:r>
      <w:bookmarkEnd w:id="231"/>
      <w:r w:rsidRPr="00216965">
        <w:rPr>
          <w:b/>
          <w:bCs/>
        </w:rPr>
        <w:t>.</w:t>
      </w:r>
      <w:r w:rsidRPr="00216965">
        <w:t xml:space="preserve"> </w:t>
      </w:r>
      <w:r w:rsidR="00F44875" w:rsidRPr="00216965">
        <w:rPr>
          <w:b/>
          <w:bCs/>
        </w:rPr>
        <w:t>Box plot of d</w:t>
      </w:r>
      <w:r w:rsidRPr="00216965">
        <w:rPr>
          <w:b/>
          <w:bCs/>
          <w:color w:val="000000"/>
        </w:rPr>
        <w:t xml:space="preserve">ry above-ground biomass of </w:t>
      </w:r>
      <w:r w:rsidRPr="00216965">
        <w:rPr>
          <w:b/>
          <w:bCs/>
          <w:i/>
          <w:color w:val="000000"/>
        </w:rPr>
        <w:t>Arabidopsis thaliana</w:t>
      </w:r>
      <w:r w:rsidRPr="00216965">
        <w:rPr>
          <w:b/>
          <w:bCs/>
          <w:color w:val="000000"/>
        </w:rPr>
        <w:t xml:space="preserve"> Col-0 harvested from soil artificially contaminated with HMs and amended with plant-derived biochars at different application rates.</w:t>
      </w:r>
      <w:r w:rsidRPr="00216965">
        <w:rPr>
          <w:color w:val="000000"/>
        </w:rPr>
        <w:t xml:space="preserve"> A) Pb-soil, B) Cd-soil, C) Zn-soil, D) Mix-soil. Harvesting time was 25 days after planting. Treatments with the same letter do not differ significantly according to Tukey post hoc test (α=0.05).</w:t>
      </w:r>
      <w:bookmarkEnd w:id="232"/>
    </w:p>
    <w:p w14:paraId="17C49F8C" w14:textId="77777777" w:rsidR="006B380D" w:rsidRPr="00216965" w:rsidRDefault="006B380D" w:rsidP="008A33DA">
      <w:pPr>
        <w:pStyle w:val="Heading4"/>
      </w:pPr>
      <w:r w:rsidRPr="00216965">
        <w:t>Plant growth rates</w:t>
      </w:r>
    </w:p>
    <w:p w14:paraId="6D2986C3" w14:textId="11629FC8" w:rsidR="006B380D" w:rsidRPr="00216965" w:rsidRDefault="006B380D" w:rsidP="008A33DA">
      <w:pPr>
        <w:spacing w:line="360" w:lineRule="auto"/>
        <w:jc w:val="both"/>
      </w:pPr>
      <w:r w:rsidRPr="00216965">
        <w:t xml:space="preserve">Plant growth rate (as assessed by leaf area vs time) is shown in </w:t>
      </w:r>
      <w:r w:rsidRPr="00216965">
        <w:fldChar w:fldCharType="begin"/>
      </w:r>
      <w:r w:rsidRPr="00216965">
        <w:instrText xml:space="preserve"> REF _Ref82646627 \h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noProof/>
        </w:rPr>
        <w:noBreakHyphen/>
        <w:t>5</w:t>
      </w:r>
      <w:r w:rsidRPr="00216965">
        <w:fldChar w:fldCharType="end"/>
      </w:r>
      <w:r w:rsidRPr="00216965">
        <w:t>. There was high variability between replicates but consistent patterns emerged with the variability observed in the dry above-ground biomass data (</w:t>
      </w:r>
      <w:r w:rsidRPr="00216965">
        <w:rPr>
          <w:b/>
          <w:bCs/>
        </w:rPr>
        <w:t xml:space="preserve">section </w:t>
      </w:r>
      <w:r w:rsidRPr="00216965">
        <w:rPr>
          <w:b/>
          <w:bCs/>
        </w:rPr>
        <w:fldChar w:fldCharType="begin"/>
      </w:r>
      <w:r w:rsidRPr="00216965">
        <w:rPr>
          <w:b/>
          <w:bCs/>
        </w:rPr>
        <w:instrText xml:space="preserve"> REF _Ref86405550 \r \h </w:instrText>
      </w:r>
      <w:r w:rsidRPr="00216965">
        <w:rPr>
          <w:b/>
          <w:bCs/>
        </w:rPr>
      </w:r>
      <w:r w:rsidR="00216965" w:rsidRPr="00216965">
        <w:rPr>
          <w:b/>
          <w:bCs/>
        </w:rPr>
        <w:instrText xml:space="preserve"> \* MERGEFORMAT </w:instrText>
      </w:r>
      <w:r w:rsidRPr="00216965">
        <w:rPr>
          <w:b/>
          <w:bCs/>
        </w:rPr>
        <w:fldChar w:fldCharType="separate"/>
      </w:r>
      <w:r w:rsidR="006E23EA" w:rsidRPr="00216965">
        <w:rPr>
          <w:b/>
          <w:bCs/>
        </w:rPr>
        <w:t>4.3.2.2</w:t>
      </w:r>
      <w:r w:rsidRPr="00216965">
        <w:rPr>
          <w:b/>
          <w:bCs/>
        </w:rPr>
        <w:fldChar w:fldCharType="end"/>
      </w:r>
      <w:r w:rsidRPr="00216965">
        <w:t xml:space="preserve">). </w:t>
      </w:r>
    </w:p>
    <w:p w14:paraId="6D23DCED" w14:textId="5A0F0A34" w:rsidR="006B380D" w:rsidRPr="00216965" w:rsidRDefault="006B380D" w:rsidP="008A33DA">
      <w:pPr>
        <w:spacing w:line="360" w:lineRule="auto"/>
      </w:pPr>
      <w:r w:rsidRPr="00216965">
        <w:rPr>
          <w:noProof/>
        </w:rPr>
        <w:lastRenderedPageBreak/>
        <w:drawing>
          <wp:inline distT="0" distB="0" distL="0" distR="0" wp14:anchorId="0AFCF8B2" wp14:editId="46DE527B">
            <wp:extent cx="5391150" cy="3981450"/>
            <wp:effectExtent l="0" t="0" r="0" b="0"/>
            <wp:docPr id="53" name="Picture 5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Chart, line char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1150" cy="3981450"/>
                    </a:xfrm>
                    <a:prstGeom prst="rect">
                      <a:avLst/>
                    </a:prstGeom>
                    <a:noFill/>
                    <a:ln>
                      <a:noFill/>
                    </a:ln>
                  </pic:spPr>
                </pic:pic>
              </a:graphicData>
            </a:graphic>
          </wp:inline>
        </w:drawing>
      </w:r>
    </w:p>
    <w:p w14:paraId="13DF5421" w14:textId="7614A91E" w:rsidR="006B380D" w:rsidRPr="00216965" w:rsidRDefault="006B380D" w:rsidP="008A33DA">
      <w:pPr>
        <w:spacing w:after="0" w:line="240" w:lineRule="auto"/>
        <w:jc w:val="both"/>
      </w:pPr>
      <w:bookmarkStart w:id="233" w:name="_heading=h.41mghml"/>
      <w:bookmarkStart w:id="234" w:name="_Ref82646627"/>
      <w:bookmarkStart w:id="235" w:name="_Toc86439367"/>
      <w:bookmarkEnd w:id="233"/>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5</w:t>
      </w:r>
      <w:r w:rsidR="00BF3EBE" w:rsidRPr="00216965">
        <w:rPr>
          <w:b/>
          <w:bCs/>
        </w:rPr>
        <w:fldChar w:fldCharType="end"/>
      </w:r>
      <w:bookmarkEnd w:id="234"/>
      <w:r w:rsidRPr="00216965">
        <w:rPr>
          <w:b/>
          <w:bCs/>
        </w:rPr>
        <w:t>.</w:t>
      </w:r>
      <w:r w:rsidRPr="00216965">
        <w:t xml:space="preserve"> </w:t>
      </w:r>
      <w:r w:rsidRPr="00216965">
        <w:rPr>
          <w:b/>
          <w:bCs/>
          <w:i/>
        </w:rPr>
        <w:t>Arabidopsis thalian</w:t>
      </w:r>
      <w:r w:rsidRPr="00216965">
        <w:rPr>
          <w:b/>
          <w:bCs/>
        </w:rPr>
        <w:t>a Col-0 mean leaf area over time</w:t>
      </w:r>
      <w:r w:rsidRPr="00216965">
        <w:t xml:space="preserve"> </w:t>
      </w:r>
      <w:r w:rsidRPr="00216965">
        <w:rPr>
          <w:b/>
          <w:bCs/>
        </w:rPr>
        <w:t>in plants growing in soil artificially contaminated with single elements Cd, Pb, Zn and a multielement contaminated soil (Mix-soil)</w:t>
      </w:r>
      <w:r w:rsidRPr="00216965">
        <w:t>. Soil was amended with plant-based biochars at application rates of 0, 1, 3 and 5 % (</w:t>
      </w:r>
      <w:r w:rsidRPr="00216965">
        <w:rPr>
          <w:i/>
          <w:iCs/>
        </w:rPr>
        <w:t>w/w</w:t>
      </w:r>
      <w:r w:rsidRPr="00216965">
        <w:t>). Measurements started 10 days after sowing. Dots represent the mean of green leaf area at different times; the grey area represents the standard error (n=3).</w:t>
      </w:r>
      <w:bookmarkEnd w:id="235"/>
    </w:p>
    <w:p w14:paraId="79AB3C58" w14:textId="77777777" w:rsidR="006B380D" w:rsidRPr="00216965" w:rsidRDefault="006B380D" w:rsidP="008A33DA">
      <w:pPr>
        <w:spacing w:after="0" w:line="360" w:lineRule="auto"/>
      </w:pPr>
    </w:p>
    <w:p w14:paraId="3936EB50" w14:textId="685575FD" w:rsidR="006B380D" w:rsidRPr="00216965" w:rsidRDefault="006B380D" w:rsidP="008A33DA">
      <w:pPr>
        <w:spacing w:after="0" w:line="360" w:lineRule="auto"/>
        <w:jc w:val="both"/>
      </w:pPr>
      <w:r w:rsidRPr="00216965">
        <w:t>The four parameter logistic model fitted to each replicate described the data well (</w:t>
      </w:r>
      <w:r w:rsidR="003A7BA9" w:rsidRPr="00216965">
        <w:rPr>
          <w:b/>
          <w:bCs/>
        </w:rPr>
        <w:fldChar w:fldCharType="begin"/>
      </w:r>
      <w:r w:rsidR="003A7BA9" w:rsidRPr="00216965">
        <w:rPr>
          <w:b/>
          <w:bCs/>
        </w:rPr>
        <w:instrText xml:space="preserve"> REF _Ref86438359 \h  \* MERGEFORMAT </w:instrText>
      </w:r>
      <w:r w:rsidR="003A7BA9" w:rsidRPr="00216965">
        <w:rPr>
          <w:b/>
          <w:bCs/>
        </w:rPr>
      </w:r>
      <w:r w:rsidR="003A7BA9" w:rsidRPr="00216965">
        <w:rPr>
          <w:b/>
          <w:bCs/>
        </w:rPr>
        <w:fldChar w:fldCharType="separate"/>
      </w:r>
      <w:r w:rsidR="006E23EA" w:rsidRPr="00216965">
        <w:rPr>
          <w:b/>
          <w:bCs/>
        </w:rPr>
        <w:t>Appendix 1</w:t>
      </w:r>
      <w:r w:rsidR="003A7BA9" w:rsidRPr="00216965">
        <w:rPr>
          <w:b/>
          <w:bCs/>
        </w:rPr>
        <w:fldChar w:fldCharType="end"/>
      </w:r>
      <w:r w:rsidRPr="00216965">
        <w:t>) and was used to smooth the data before the estimation of AGRs (</w:t>
      </w:r>
      <w:r w:rsidRPr="00216965">
        <w:fldChar w:fldCharType="begin"/>
      </w:r>
      <w:r w:rsidRPr="00216965">
        <w:instrText xml:space="preserve"> REF _Ref82646663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6</w:t>
      </w:r>
      <w:r w:rsidRPr="00216965">
        <w:fldChar w:fldCharType="end"/>
      </w:r>
      <w:r w:rsidRPr="00216965">
        <w:t>). AGRs for plants grown in the 0% biochar were similar for the single Pb/Cd/Zn spiked soils but lower for the Mix-soil, which is consistent with the lower biomass observed in this treatment.</w:t>
      </w:r>
    </w:p>
    <w:p w14:paraId="0AEE32E8" w14:textId="75C69A25" w:rsidR="006B380D" w:rsidRPr="00216965" w:rsidRDefault="006B380D" w:rsidP="008A33DA">
      <w:pPr>
        <w:spacing w:after="0" w:line="360" w:lineRule="auto"/>
      </w:pPr>
      <w:r w:rsidRPr="00216965">
        <w:rPr>
          <w:noProof/>
        </w:rPr>
        <w:lastRenderedPageBreak/>
        <w:drawing>
          <wp:inline distT="0" distB="0" distL="0" distR="0" wp14:anchorId="25DD6F9A" wp14:editId="1BB47A5A">
            <wp:extent cx="5391150" cy="6638925"/>
            <wp:effectExtent l="0" t="0" r="0" b="9525"/>
            <wp:docPr id="52" name="Picture 5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A picture containing char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1150" cy="6638925"/>
                    </a:xfrm>
                    <a:prstGeom prst="rect">
                      <a:avLst/>
                    </a:prstGeom>
                    <a:noFill/>
                    <a:ln>
                      <a:noFill/>
                    </a:ln>
                  </pic:spPr>
                </pic:pic>
              </a:graphicData>
            </a:graphic>
          </wp:inline>
        </w:drawing>
      </w:r>
    </w:p>
    <w:p w14:paraId="6F23B5C3" w14:textId="6A87A1B2" w:rsidR="006B380D" w:rsidRPr="00216965" w:rsidRDefault="006B380D" w:rsidP="008A33DA">
      <w:pPr>
        <w:spacing w:after="200" w:line="240" w:lineRule="auto"/>
        <w:jc w:val="both"/>
        <w:rPr>
          <w:color w:val="000000"/>
        </w:rPr>
      </w:pPr>
      <w:bookmarkStart w:id="236" w:name="_heading=h.2grqrue"/>
      <w:bookmarkStart w:id="237" w:name="_Ref82646663"/>
      <w:bookmarkStart w:id="238" w:name="_Toc86439261"/>
      <w:bookmarkStart w:id="239" w:name="_Toc86442261"/>
      <w:bookmarkStart w:id="240" w:name="_Toc86443620"/>
      <w:bookmarkStart w:id="241" w:name="_Toc86504672"/>
      <w:bookmarkStart w:id="242" w:name="_Toc86439368"/>
      <w:bookmarkEnd w:id="236"/>
      <w:r w:rsidRPr="00216965">
        <w:rPr>
          <w:rStyle w:val="Heading2Char"/>
          <w:rFonts w:eastAsiaTheme="minorHAnsi"/>
        </w:rPr>
        <w:t xml:space="preserve">Fig. </w:t>
      </w:r>
      <w:r w:rsidR="00BF3EBE" w:rsidRPr="00216965">
        <w:rPr>
          <w:rStyle w:val="Heading2Char"/>
          <w:rFonts w:eastAsiaTheme="minorHAnsi"/>
        </w:rPr>
        <w:fldChar w:fldCharType="begin"/>
      </w:r>
      <w:r w:rsidR="00BF3EBE" w:rsidRPr="00216965">
        <w:rPr>
          <w:rStyle w:val="Heading2Char"/>
          <w:rFonts w:eastAsiaTheme="minorHAnsi"/>
        </w:rPr>
        <w:instrText xml:space="preserve"> STYLEREF 1 \s </w:instrText>
      </w:r>
      <w:r w:rsidR="00BF3EBE" w:rsidRPr="00216965">
        <w:rPr>
          <w:rStyle w:val="Heading2Char"/>
          <w:rFonts w:eastAsiaTheme="minorHAnsi"/>
        </w:rPr>
        <w:fldChar w:fldCharType="separate"/>
      </w:r>
      <w:r w:rsidR="006E23EA" w:rsidRPr="00216965">
        <w:rPr>
          <w:rStyle w:val="Heading2Char"/>
          <w:rFonts w:eastAsiaTheme="minorHAnsi"/>
          <w:noProof/>
        </w:rPr>
        <w:t>4</w:t>
      </w:r>
      <w:r w:rsidR="00BF3EBE" w:rsidRPr="00216965">
        <w:rPr>
          <w:rStyle w:val="Heading2Char"/>
          <w:rFonts w:eastAsiaTheme="minorHAnsi"/>
        </w:rPr>
        <w:fldChar w:fldCharType="end"/>
      </w:r>
      <w:r w:rsidR="00BF3EBE" w:rsidRPr="00216965">
        <w:rPr>
          <w:rStyle w:val="Heading2Char"/>
          <w:rFonts w:eastAsiaTheme="minorHAnsi"/>
        </w:rPr>
        <w:noBreakHyphen/>
      </w:r>
      <w:r w:rsidR="00BF3EBE" w:rsidRPr="00216965">
        <w:rPr>
          <w:rStyle w:val="Heading2Char"/>
          <w:rFonts w:eastAsiaTheme="minorHAnsi"/>
        </w:rPr>
        <w:fldChar w:fldCharType="begin"/>
      </w:r>
      <w:r w:rsidR="00BF3EBE" w:rsidRPr="00216965">
        <w:rPr>
          <w:rStyle w:val="Heading2Char"/>
          <w:rFonts w:eastAsiaTheme="minorHAnsi"/>
        </w:rPr>
        <w:instrText xml:space="preserve"> SEQ Figure \* ARABIC \s 1 </w:instrText>
      </w:r>
      <w:r w:rsidR="00BF3EBE" w:rsidRPr="00216965">
        <w:rPr>
          <w:rStyle w:val="Heading2Char"/>
          <w:rFonts w:eastAsiaTheme="minorHAnsi"/>
        </w:rPr>
        <w:fldChar w:fldCharType="separate"/>
      </w:r>
      <w:r w:rsidR="006E23EA" w:rsidRPr="00216965">
        <w:rPr>
          <w:rStyle w:val="Heading2Char"/>
          <w:rFonts w:eastAsiaTheme="minorHAnsi"/>
          <w:noProof/>
        </w:rPr>
        <w:t>6</w:t>
      </w:r>
      <w:r w:rsidR="00BF3EBE" w:rsidRPr="00216965">
        <w:rPr>
          <w:rStyle w:val="Heading2Char"/>
          <w:rFonts w:eastAsiaTheme="minorHAnsi"/>
        </w:rPr>
        <w:fldChar w:fldCharType="end"/>
      </w:r>
      <w:bookmarkEnd w:id="237"/>
      <w:r w:rsidRPr="00216965">
        <w:rPr>
          <w:rStyle w:val="Heading2Char"/>
          <w:rFonts w:eastAsiaTheme="minorHAnsi"/>
        </w:rPr>
        <w:t>.</w:t>
      </w:r>
      <w:bookmarkEnd w:id="238"/>
      <w:bookmarkEnd w:id="239"/>
      <w:bookmarkEnd w:id="240"/>
      <w:bookmarkEnd w:id="241"/>
      <w:r w:rsidRPr="00216965">
        <w:rPr>
          <w:b/>
          <w:bCs/>
          <w:color w:val="000000"/>
        </w:rPr>
        <w:t xml:space="preserve"> Mean absolute growth rates (AGRs) predicted from the four-parameter logistic model for biochars OSR550, SWP550, MSP550 and MSP550 at application rates 0 (control), 1, 3 and 5 % (</w:t>
      </w:r>
      <w:r w:rsidRPr="00216965">
        <w:rPr>
          <w:b/>
          <w:bCs/>
          <w:i/>
          <w:iCs/>
          <w:color w:val="000000"/>
        </w:rPr>
        <w:t>w/w</w:t>
      </w:r>
      <w:r w:rsidRPr="00216965">
        <w:rPr>
          <w:b/>
          <w:bCs/>
          <w:color w:val="000000"/>
        </w:rPr>
        <w:t>).</w:t>
      </w:r>
      <w:r w:rsidRPr="00216965">
        <w:rPr>
          <w:color w:val="000000"/>
        </w:rPr>
        <w:t xml:space="preserve"> Lines represent the mean AGR values predicted from the four-parameter logistic model, grey curves indicate 95% confidence intervals (n=3).</w:t>
      </w:r>
      <w:bookmarkEnd w:id="242"/>
      <w:r w:rsidRPr="00216965">
        <w:rPr>
          <w:color w:val="000000"/>
        </w:rPr>
        <w:t xml:space="preserve"> </w:t>
      </w:r>
    </w:p>
    <w:p w14:paraId="4800DE9E" w14:textId="77777777" w:rsidR="006B380D" w:rsidRPr="00216965" w:rsidRDefault="006B380D" w:rsidP="008A33DA">
      <w:pPr>
        <w:spacing w:after="0" w:line="240" w:lineRule="auto"/>
        <w:rPr>
          <w:color w:val="000000"/>
        </w:rPr>
        <w:sectPr w:rsidR="006B380D" w:rsidRPr="00216965" w:rsidSect="006B7849">
          <w:type w:val="continuous"/>
          <w:pgSz w:w="11906" w:h="16838"/>
          <w:pgMar w:top="1701" w:right="1701" w:bottom="1701" w:left="1701" w:header="708" w:footer="708" w:gutter="0"/>
          <w:cols w:space="720"/>
        </w:sectPr>
      </w:pPr>
    </w:p>
    <w:p w14:paraId="64693913" w14:textId="166789C3" w:rsidR="006B380D" w:rsidRPr="00216965" w:rsidRDefault="006B380D" w:rsidP="008A33DA">
      <w:pPr>
        <w:spacing w:line="360" w:lineRule="auto"/>
        <w:jc w:val="both"/>
      </w:pPr>
      <w:r w:rsidRPr="00216965">
        <w:lastRenderedPageBreak/>
        <w:t>In general, the addition of 1 % biochar resulted in AGRs that were either similar to, or greater than, the control (0 % biochar). AGRs were greater than the control in three of the four treatments for OSR550 and SWP550, one of four treatments for WSP550 but no treatments for MSP550. At higher application rates (3 and 5 %) the impact of biochar addition tended to be negative, with AGRs lower than the control (</w:t>
      </w:r>
      <w:r w:rsidRPr="00216965">
        <w:fldChar w:fldCharType="begin"/>
      </w:r>
      <w:r w:rsidRPr="00216965">
        <w:instrText xml:space="preserve"> REF _Ref82646663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6</w:t>
      </w:r>
      <w:r w:rsidRPr="00216965">
        <w:fldChar w:fldCharType="end"/>
      </w:r>
      <w:r w:rsidRPr="00216965">
        <w:t>).</w:t>
      </w:r>
    </w:p>
    <w:p w14:paraId="33BF7A66" w14:textId="0F986326" w:rsidR="006B380D" w:rsidRPr="00216965" w:rsidRDefault="006B380D" w:rsidP="008A33DA">
      <w:pPr>
        <w:spacing w:line="360" w:lineRule="auto"/>
        <w:jc w:val="both"/>
        <w:rPr>
          <w:b/>
        </w:rPr>
      </w:pPr>
      <w:r w:rsidRPr="00216965">
        <w:t>Overall, a biochar application rate of 1% demonstrated a positive response in AGRs. Therefore, only AGRs from the 1% biochar additions were assessed for significant differences between groups, following the protocol described in</w:t>
      </w:r>
      <w:r w:rsidRPr="00216965">
        <w:rPr>
          <w:b/>
          <w:bCs/>
        </w:rPr>
        <w:t xml:space="preserve"> section </w:t>
      </w:r>
      <w:r w:rsidRPr="00216965">
        <w:rPr>
          <w:b/>
          <w:bCs/>
        </w:rPr>
        <w:fldChar w:fldCharType="begin"/>
      </w:r>
      <w:r w:rsidRPr="00216965">
        <w:rPr>
          <w:b/>
          <w:bCs/>
        </w:rPr>
        <w:instrText xml:space="preserve"> REF _Ref86405627 \r \h </w:instrText>
      </w:r>
      <w:r w:rsidRPr="00216965">
        <w:rPr>
          <w:b/>
          <w:bCs/>
        </w:rPr>
      </w:r>
      <w:r w:rsidR="00216965" w:rsidRPr="00216965">
        <w:rPr>
          <w:b/>
          <w:bCs/>
        </w:rPr>
        <w:instrText xml:space="preserve"> \* MERGEFORMAT </w:instrText>
      </w:r>
      <w:r w:rsidRPr="00216965">
        <w:rPr>
          <w:b/>
          <w:bCs/>
        </w:rPr>
        <w:fldChar w:fldCharType="separate"/>
      </w:r>
      <w:r w:rsidR="006E23EA" w:rsidRPr="00216965">
        <w:rPr>
          <w:b/>
          <w:bCs/>
        </w:rPr>
        <w:t>4.2.4.7</w:t>
      </w:r>
      <w:r w:rsidRPr="00216965">
        <w:rPr>
          <w:b/>
          <w:bCs/>
        </w:rPr>
        <w:fldChar w:fldCharType="end"/>
      </w:r>
      <w:r w:rsidR="006B7849" w:rsidRPr="00216965">
        <w:rPr>
          <w:b/>
          <w:bCs/>
        </w:rPr>
        <w:t>.</w:t>
      </w:r>
      <w:r w:rsidRPr="00216965">
        <w:t xml:space="preserve"> The comparison of AGRs with the controls for each treatment (metal, biochar, 1% rate) is shown in </w:t>
      </w:r>
      <w:r w:rsidRPr="00216965">
        <w:rPr>
          <w:b/>
          <w:bCs/>
        </w:rPr>
        <w:fldChar w:fldCharType="begin"/>
      </w:r>
      <w:r w:rsidRPr="00216965">
        <w:rPr>
          <w:b/>
          <w:bCs/>
        </w:rPr>
        <w:instrText xml:space="preserve"> REF _Ref72784183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7</w:t>
      </w:r>
      <w:r w:rsidRPr="00216965">
        <w:rPr>
          <w:b/>
          <w:bCs/>
        </w:rPr>
        <w:fldChar w:fldCharType="end"/>
      </w:r>
      <w:r w:rsidRPr="00216965">
        <w:rPr>
          <w:b/>
        </w:rPr>
        <w:t xml:space="preserve">. </w:t>
      </w:r>
    </w:p>
    <w:p w14:paraId="53C7757E" w14:textId="3DA9A65B" w:rsidR="006B380D" w:rsidRPr="00216965" w:rsidRDefault="006B380D" w:rsidP="008A33DA">
      <w:pPr>
        <w:spacing w:line="360" w:lineRule="auto"/>
        <w:jc w:val="center"/>
        <w:rPr>
          <w:b/>
        </w:rPr>
      </w:pPr>
      <w:r w:rsidRPr="00216965">
        <w:rPr>
          <w:noProof/>
        </w:rPr>
        <w:lastRenderedPageBreak/>
        <w:drawing>
          <wp:inline distT="0" distB="0" distL="0" distR="0" wp14:anchorId="3B0F1D7E" wp14:editId="7236DC2D">
            <wp:extent cx="5400040" cy="6487795"/>
            <wp:effectExtent l="0" t="0" r="0" b="8255"/>
            <wp:docPr id="51" name="Picture 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Graphical user interfac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6487795"/>
                    </a:xfrm>
                    <a:prstGeom prst="rect">
                      <a:avLst/>
                    </a:prstGeom>
                    <a:noFill/>
                    <a:ln>
                      <a:noFill/>
                    </a:ln>
                  </pic:spPr>
                </pic:pic>
              </a:graphicData>
            </a:graphic>
          </wp:inline>
        </w:drawing>
      </w:r>
    </w:p>
    <w:p w14:paraId="25F345D5" w14:textId="677D031E" w:rsidR="006B380D" w:rsidRPr="00216965" w:rsidRDefault="006B380D" w:rsidP="008A33DA">
      <w:pPr>
        <w:spacing w:after="200" w:line="240" w:lineRule="auto"/>
        <w:jc w:val="both"/>
        <w:rPr>
          <w:color w:val="000000"/>
        </w:rPr>
      </w:pPr>
      <w:bookmarkStart w:id="243" w:name="_heading=h.vx1227"/>
      <w:bookmarkStart w:id="244" w:name="_Ref72784183"/>
      <w:bookmarkStart w:id="245" w:name="_Toc86439369"/>
      <w:bookmarkEnd w:id="243"/>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7</w:t>
      </w:r>
      <w:r w:rsidR="00BF3EBE" w:rsidRPr="00216965">
        <w:rPr>
          <w:b/>
          <w:bCs/>
        </w:rPr>
        <w:fldChar w:fldCharType="end"/>
      </w:r>
      <w:bookmarkEnd w:id="244"/>
      <w:r w:rsidRPr="00216965">
        <w:rPr>
          <w:b/>
          <w:bCs/>
        </w:rPr>
        <w:t xml:space="preserve">. </w:t>
      </w:r>
      <w:r w:rsidRPr="00216965">
        <w:rPr>
          <w:b/>
          <w:bCs/>
          <w:color w:val="000000"/>
        </w:rPr>
        <w:t xml:space="preserve"> Pairwise comparisons of absolute growth rates (AGRs) between control groups (no biochar) and 1% (</w:t>
      </w:r>
      <w:r w:rsidRPr="00216965">
        <w:rPr>
          <w:b/>
          <w:bCs/>
          <w:i/>
          <w:iCs/>
          <w:color w:val="000000"/>
        </w:rPr>
        <w:t>w/w</w:t>
      </w:r>
      <w:r w:rsidRPr="00216965">
        <w:rPr>
          <w:b/>
          <w:bCs/>
          <w:color w:val="000000"/>
        </w:rPr>
        <w:t>) biochars.</w:t>
      </w:r>
      <w:r w:rsidRPr="00216965">
        <w:rPr>
          <w:color w:val="000000"/>
        </w:rPr>
        <w:t xml:space="preserve"> The difference was calculated by subtracting the mean AGR at 1% (</w:t>
      </w:r>
      <w:r w:rsidRPr="00216965">
        <w:rPr>
          <w:i/>
          <w:iCs/>
          <w:color w:val="000000"/>
        </w:rPr>
        <w:t>w/w</w:t>
      </w:r>
      <w:r w:rsidRPr="00216965">
        <w:rPr>
          <w:color w:val="000000"/>
        </w:rPr>
        <w:t>) of each biochar from the mean AGR of the control group (no biochar). Grey curves indicate 95% confidence intervals for the difference of the means (AGRs), n= 3. Differences were considered significant when the confidence interval around the difference did not overlap zero. Values above zero (dotted line) indicate the days at which the control groups had greater AGRs, while values below the dotted line indicate the days at which 1% (</w:t>
      </w:r>
      <w:r w:rsidRPr="00216965">
        <w:rPr>
          <w:i/>
          <w:iCs/>
          <w:color w:val="000000"/>
        </w:rPr>
        <w:t>w/w</w:t>
      </w:r>
      <w:r w:rsidRPr="00216965">
        <w:rPr>
          <w:color w:val="000000"/>
        </w:rPr>
        <w:t>) biochars demonstrated greater AGR than the control.</w:t>
      </w:r>
      <w:bookmarkEnd w:id="245"/>
      <w:r w:rsidRPr="00216965">
        <w:rPr>
          <w:color w:val="000000"/>
        </w:rPr>
        <w:t xml:space="preserve"> </w:t>
      </w:r>
    </w:p>
    <w:p w14:paraId="00CAB4CE" w14:textId="77777777" w:rsidR="006B380D" w:rsidRPr="00216965" w:rsidRDefault="006B380D" w:rsidP="008A33DA">
      <w:pPr>
        <w:pStyle w:val="Heading4"/>
      </w:pPr>
      <w:r w:rsidRPr="00216965">
        <w:lastRenderedPageBreak/>
        <w:t>Toxicological bioavailability of HMs</w:t>
      </w:r>
    </w:p>
    <w:p w14:paraId="7B86EDB1" w14:textId="3DAC0E0D" w:rsidR="006B380D" w:rsidRPr="00216965" w:rsidRDefault="006B380D" w:rsidP="008A33DA">
      <w:pPr>
        <w:spacing w:line="360" w:lineRule="auto"/>
        <w:jc w:val="both"/>
        <w:rPr>
          <w:b/>
        </w:rPr>
      </w:pPr>
      <w:r w:rsidRPr="00216965">
        <w:t xml:space="preserve">The concentration of HMs in </w:t>
      </w:r>
      <w:r w:rsidRPr="00216965">
        <w:rPr>
          <w:i/>
        </w:rPr>
        <w:t>Arabidopsis thaliana</w:t>
      </w:r>
      <w:r w:rsidRPr="00216965">
        <w:t xml:space="preserve"> Col-0 above-ground tissue is presented in </w:t>
      </w:r>
      <w:r w:rsidRPr="00216965">
        <w:rPr>
          <w:b/>
          <w:bCs/>
        </w:rPr>
        <w:fldChar w:fldCharType="begin"/>
      </w:r>
      <w:r w:rsidRPr="00216965">
        <w:rPr>
          <w:b/>
          <w:bCs/>
        </w:rPr>
        <w:instrText xml:space="preserve"> REF _Ref76562277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8</w:t>
      </w:r>
      <w:r w:rsidRPr="00216965">
        <w:rPr>
          <w:b/>
          <w:bCs/>
        </w:rPr>
        <w:fldChar w:fldCharType="end"/>
      </w:r>
      <w:r w:rsidRPr="00216965">
        <w:t>. The concentration of Pb/Cd or Zn in the 0% biochar treatments that were not exposed to these metals (i.e. Pb concentration in the tissue of plants grown in Zn-soil) was below the detection limit (data not shown). Except for OSR550 added at 5 % (which significantly reduced the concentration of Pb in the tissue of plants grown in Pb-soil), there was no significant reduction (</w:t>
      </w:r>
      <w:r w:rsidR="00831AE6" w:rsidRPr="00216965">
        <w:t>p</w:t>
      </w:r>
      <w:r w:rsidRPr="00216965">
        <w:t xml:space="preserve"> &gt; 0.05) in tissue concentration of HMs in Pb-soil, Cd-soil and Zn-soil treatments in the other biochar treatments (</w:t>
      </w:r>
      <w:r w:rsidRPr="00216965">
        <w:rPr>
          <w:b/>
          <w:bCs/>
        </w:rPr>
        <w:fldChar w:fldCharType="begin"/>
      </w:r>
      <w:r w:rsidRPr="00216965">
        <w:rPr>
          <w:b/>
          <w:bCs/>
        </w:rPr>
        <w:instrText xml:space="preserve"> REF _Ref76562277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8</w:t>
      </w:r>
      <w:r w:rsidRPr="00216965">
        <w:rPr>
          <w:b/>
          <w:bCs/>
        </w:rPr>
        <w:fldChar w:fldCharType="end"/>
      </w:r>
      <w:r w:rsidRPr="00216965">
        <w:rPr>
          <w:b/>
          <w:bCs/>
        </w:rPr>
        <w:t xml:space="preserve"> </w:t>
      </w:r>
      <w:r w:rsidRPr="00216965">
        <w:rPr>
          <w:b/>
        </w:rPr>
        <w:t>A-C)</w:t>
      </w:r>
      <w:r w:rsidRPr="00216965">
        <w:t xml:space="preserve">. </w:t>
      </w:r>
    </w:p>
    <w:p w14:paraId="02599B9D" w14:textId="02F025C0" w:rsidR="006B380D" w:rsidRPr="00216965" w:rsidRDefault="006B380D" w:rsidP="008A33DA">
      <w:pPr>
        <w:spacing w:line="360" w:lineRule="auto"/>
        <w:jc w:val="both"/>
      </w:pPr>
      <w:r w:rsidRPr="00216965">
        <w:t>The concentration of Pb, Cd and Zn in the tissue of plants grown in the Mix-soil decreased significantly (</w:t>
      </w:r>
      <w:r w:rsidR="00831AE6" w:rsidRPr="00216965">
        <w:t>p</w:t>
      </w:r>
      <w:r w:rsidRPr="00216965">
        <w:t xml:space="preserve"> &lt; 0.01) with OSR550, WSP550 and SWP550 at all application rates and with MSR550 at 1 and 5 % (</w:t>
      </w:r>
      <w:r w:rsidRPr="00216965">
        <w:rPr>
          <w:b/>
          <w:bCs/>
        </w:rPr>
        <w:fldChar w:fldCharType="begin"/>
      </w:r>
      <w:r w:rsidRPr="00216965">
        <w:rPr>
          <w:b/>
          <w:bCs/>
        </w:rPr>
        <w:instrText xml:space="preserve"> REF _Ref76562277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8</w:t>
      </w:r>
      <w:r w:rsidRPr="00216965">
        <w:rPr>
          <w:b/>
          <w:bCs/>
        </w:rPr>
        <w:fldChar w:fldCharType="end"/>
      </w:r>
      <w:r w:rsidRPr="00216965">
        <w:rPr>
          <w:b/>
          <w:bCs/>
        </w:rPr>
        <w:t xml:space="preserve"> </w:t>
      </w:r>
      <w:r w:rsidRPr="00216965">
        <w:rPr>
          <w:b/>
        </w:rPr>
        <w:t>D-F</w:t>
      </w:r>
      <w:r w:rsidRPr="00216965">
        <w:t xml:space="preserve">). The lowest Pb and Cd tissue concentrations were observed with biochar OSR550 and WSP550 added at 3 and 5 %, with reductions &gt; 96%. The concentrations of HMs in the tissue of plants grown in the control group (0% biochar) of the Mix-soil were higher than the tissue concentrations of plants grown in the control groups of the single element contaminated soils. As shown before (section </w:t>
      </w:r>
      <w:r w:rsidRPr="00216965">
        <w:rPr>
          <w:b/>
          <w:bCs/>
        </w:rPr>
        <w:fldChar w:fldCharType="begin"/>
      </w:r>
      <w:r w:rsidRPr="00216965">
        <w:rPr>
          <w:b/>
          <w:bCs/>
        </w:rPr>
        <w:instrText xml:space="preserve"> REF _Ref86405550 \r \h  \* MERGEFORMAT </w:instrText>
      </w:r>
      <w:r w:rsidRPr="00216965">
        <w:rPr>
          <w:b/>
          <w:bCs/>
        </w:rPr>
      </w:r>
      <w:r w:rsidRPr="00216965">
        <w:rPr>
          <w:b/>
          <w:bCs/>
        </w:rPr>
        <w:fldChar w:fldCharType="separate"/>
      </w:r>
      <w:r w:rsidR="006E23EA" w:rsidRPr="00216965">
        <w:rPr>
          <w:b/>
          <w:bCs/>
        </w:rPr>
        <w:t>4.3.2.2</w:t>
      </w:r>
      <w:r w:rsidRPr="00216965">
        <w:rPr>
          <w:b/>
          <w:bCs/>
        </w:rPr>
        <w:fldChar w:fldCharType="end"/>
      </w:r>
      <w:r w:rsidRPr="00216965">
        <w:t>) this is associated with a lower biomass observed for the Mix-soil treatment, which may have caused a concentration effect.</w:t>
      </w:r>
    </w:p>
    <w:p w14:paraId="42B37BE0" w14:textId="2B535580" w:rsidR="006B380D" w:rsidRPr="00216965" w:rsidRDefault="006B380D" w:rsidP="008A33DA">
      <w:pPr>
        <w:spacing w:line="360" w:lineRule="auto"/>
      </w:pPr>
      <w:r w:rsidRPr="00216965">
        <w:rPr>
          <w:noProof/>
        </w:rPr>
        <w:lastRenderedPageBreak/>
        <w:drawing>
          <wp:inline distT="0" distB="0" distL="0" distR="0" wp14:anchorId="4DEB4D9A" wp14:editId="0CCCE3FF">
            <wp:extent cx="5353050" cy="4695825"/>
            <wp:effectExtent l="0" t="0" r="0" b="9525"/>
            <wp:docPr id="50" name="Picture 5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Graphical user interfac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3050" cy="4695825"/>
                    </a:xfrm>
                    <a:prstGeom prst="rect">
                      <a:avLst/>
                    </a:prstGeom>
                    <a:noFill/>
                    <a:ln>
                      <a:noFill/>
                    </a:ln>
                  </pic:spPr>
                </pic:pic>
              </a:graphicData>
            </a:graphic>
          </wp:inline>
        </w:drawing>
      </w:r>
    </w:p>
    <w:p w14:paraId="7AA40FCC" w14:textId="7AEC5423" w:rsidR="006B380D" w:rsidRPr="00216965" w:rsidRDefault="006B380D" w:rsidP="008A33DA">
      <w:pPr>
        <w:spacing w:after="200" w:line="240" w:lineRule="auto"/>
        <w:jc w:val="both"/>
        <w:rPr>
          <w:color w:val="000000"/>
        </w:rPr>
      </w:pPr>
      <w:bookmarkStart w:id="246" w:name="_heading=h.3fwokq0"/>
      <w:bookmarkStart w:id="247" w:name="_Ref76562277"/>
      <w:bookmarkStart w:id="248" w:name="_Toc86439370"/>
      <w:bookmarkEnd w:id="246"/>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8</w:t>
      </w:r>
      <w:r w:rsidR="00BF3EBE" w:rsidRPr="00216965">
        <w:rPr>
          <w:b/>
          <w:bCs/>
        </w:rPr>
        <w:fldChar w:fldCharType="end"/>
      </w:r>
      <w:bookmarkEnd w:id="247"/>
      <w:r w:rsidRPr="00216965">
        <w:rPr>
          <w:b/>
          <w:bCs/>
        </w:rPr>
        <w:t xml:space="preserve">. </w:t>
      </w:r>
      <w:r w:rsidRPr="00216965">
        <w:rPr>
          <w:b/>
          <w:bCs/>
          <w:color w:val="000000"/>
        </w:rPr>
        <w:t xml:space="preserve">Box plot of the concentration of HMs in above-ground tissue of </w:t>
      </w:r>
      <w:r w:rsidRPr="00216965">
        <w:rPr>
          <w:b/>
          <w:bCs/>
          <w:i/>
          <w:color w:val="000000"/>
        </w:rPr>
        <w:t>Arabidopsis thaliana</w:t>
      </w:r>
      <w:r w:rsidRPr="00216965">
        <w:rPr>
          <w:b/>
          <w:bCs/>
          <w:color w:val="000000"/>
        </w:rPr>
        <w:t xml:space="preserve"> Col-0 growing in artificially contaminated soils.</w:t>
      </w:r>
      <w:r w:rsidRPr="00216965">
        <w:rPr>
          <w:color w:val="000000"/>
        </w:rPr>
        <w:t xml:space="preserve"> A) Pb-soil, B) Cd-soil, C) Zn-soil, D-F) Mix-soil. The red line represents the lower threshold detection limit of the instrument. Different letters indicate significant differences between treatments according to the Tukey post hoc test, ns= no significant difference (α=0.05).</w:t>
      </w:r>
      <w:bookmarkEnd w:id="248"/>
    </w:p>
    <w:p w14:paraId="02FF0AA3" w14:textId="77777777" w:rsidR="006B380D" w:rsidRPr="00216965" w:rsidRDefault="006B380D" w:rsidP="008A33DA">
      <w:pPr>
        <w:pStyle w:val="Heading4"/>
      </w:pPr>
      <w:r w:rsidRPr="00216965">
        <w:t>Plant stress (Fv/Fm)</w:t>
      </w:r>
    </w:p>
    <w:p w14:paraId="0D47B6B5" w14:textId="51E4F7DD" w:rsidR="006B380D" w:rsidRPr="00216965" w:rsidRDefault="006B380D" w:rsidP="008A33DA">
      <w:pPr>
        <w:spacing w:line="360" w:lineRule="auto"/>
        <w:jc w:val="both"/>
      </w:pPr>
      <w:r w:rsidRPr="00216965">
        <w:t xml:space="preserve">The functioning of photosystem II (PSII) of </w:t>
      </w:r>
      <w:r w:rsidRPr="00216965">
        <w:rPr>
          <w:i/>
        </w:rPr>
        <w:t>Arabidopsis thaliana</w:t>
      </w:r>
      <w:r w:rsidRPr="00216965">
        <w:t xml:space="preserve"> expressed by Fv/Fm, showed a varied effect on plant response over time depending on biochar type, application rate and the HM in soil. Mean Fv/Fm values at 0% biochar addition were ~</w:t>
      </w:r>
      <w:r w:rsidR="00831AE6" w:rsidRPr="00216965">
        <w:t xml:space="preserve"> </w:t>
      </w:r>
      <w:r w:rsidRPr="00216965">
        <w:t>0.8 in the single Pb/Cd/Zn spiked soils (</w:t>
      </w:r>
      <w:r w:rsidRPr="00216965">
        <w:rPr>
          <w:szCs w:val="24"/>
        </w:rPr>
        <w:fldChar w:fldCharType="begin"/>
      </w:r>
      <w:r w:rsidRPr="00216965">
        <w:rPr>
          <w:szCs w:val="24"/>
        </w:rPr>
        <w:instrText xml:space="preserve"> REF _Ref72785360 \h  \* MERGEFORMAT </w:instrText>
      </w:r>
      <w:r w:rsidRPr="00216965">
        <w:rPr>
          <w:szCs w:val="24"/>
        </w:rPr>
      </w:r>
      <w:r w:rsidRPr="00216965">
        <w:rPr>
          <w:szCs w:val="24"/>
        </w:rPr>
        <w:fldChar w:fldCharType="separate"/>
      </w:r>
      <w:r w:rsidR="006E23EA" w:rsidRPr="00216965">
        <w:rPr>
          <w:rStyle w:val="Heading1Char"/>
          <w:sz w:val="24"/>
          <w:szCs w:val="24"/>
        </w:rPr>
        <w:t xml:space="preserve">Fig. </w:t>
      </w:r>
      <w:r w:rsidR="006E23EA" w:rsidRPr="00216965">
        <w:rPr>
          <w:rStyle w:val="Heading1Char"/>
          <w:noProof/>
          <w:sz w:val="24"/>
          <w:szCs w:val="24"/>
        </w:rPr>
        <w:t>4</w:t>
      </w:r>
      <w:r w:rsidR="006E23EA" w:rsidRPr="00216965">
        <w:rPr>
          <w:rStyle w:val="Heading1Char"/>
          <w:noProof/>
          <w:sz w:val="24"/>
          <w:szCs w:val="24"/>
        </w:rPr>
        <w:noBreakHyphen/>
        <w:t>9</w:t>
      </w:r>
      <w:r w:rsidRPr="00216965">
        <w:rPr>
          <w:szCs w:val="24"/>
        </w:rPr>
        <w:fldChar w:fldCharType="end"/>
      </w:r>
      <w:r w:rsidRPr="00216965">
        <w:t xml:space="preserve">). These are Fv/Fm values typical of healthy plants and show that the addition of HMs did not affect PSII function. The addition of biochar from 1 to 5 % tended to decrease Fv/Fm values, indicating that plant stress increased with biochar additions. At 5% biochar additions, Fv/Fm values could sometimes not be measured, especially for biochar OSR550. This was because some plants died with the </w:t>
      </w:r>
      <w:r w:rsidRPr="00216965">
        <w:lastRenderedPageBreak/>
        <w:t xml:space="preserve">addition of this biochar at this application rate, or plants were too small to be detected by the fluorescence camera. </w:t>
      </w:r>
    </w:p>
    <w:p w14:paraId="1338E6AC" w14:textId="0CB3ACF2" w:rsidR="006B380D" w:rsidRPr="00216965" w:rsidRDefault="006B380D" w:rsidP="008A33DA">
      <w:pPr>
        <w:spacing w:line="360" w:lineRule="auto"/>
        <w:jc w:val="both"/>
        <w:rPr>
          <w:b/>
        </w:rPr>
      </w:pPr>
      <w:r w:rsidRPr="00216965">
        <w:t>In the Mix-soil the Fv/Fm values at 0 % biochar were lower than in the single Pb/Cd/Zn spiked soils, indicating plant damage due to the combined effect of HMs. However, Fv/Fm values (0 % biochar) tended to recover as the experiment progressed. Biochar additions of 1 and 3 % led to an increase in Fv/F</w:t>
      </w:r>
      <w:r w:rsidR="00F27C1C" w:rsidRPr="00216965">
        <w:t>m</w:t>
      </w:r>
      <w:r w:rsidRPr="00216965">
        <w:t xml:space="preserve"> values at all times, relative to the control (0 % biochar). In the case of OSR550 and WSP550, Fv/Fm values were around 0.8 or higher and for SWP550 and MSP550 values were approaching 0.8, indicating no impact on PSII function. A direct comparison of Fv/Fm values with the controls for each treatment (metal, biochar, rate) is shown in </w:t>
      </w:r>
      <w:r w:rsidRPr="00216965">
        <w:fldChar w:fldCharType="begin"/>
      </w:r>
      <w:r w:rsidRPr="00216965">
        <w:instrText xml:space="preserve"> REF _Ref82647701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10</w:t>
      </w:r>
      <w:r w:rsidRPr="00216965">
        <w:fldChar w:fldCharType="end"/>
      </w:r>
      <w:r w:rsidRPr="00216965">
        <w:rPr>
          <w:bCs/>
        </w:rPr>
        <w:t>.</w:t>
      </w:r>
      <w:r w:rsidRPr="00216965">
        <w:rPr>
          <w:b/>
        </w:rPr>
        <w:t xml:space="preserve"> </w:t>
      </w:r>
      <w:r w:rsidRPr="00216965">
        <w:t>The raw data for Fv/Fm plotted against time can be found in</w:t>
      </w:r>
      <w:r w:rsidR="003A7BA9" w:rsidRPr="00216965">
        <w:t xml:space="preserve"> </w:t>
      </w:r>
      <w:r w:rsidR="003A7BA9" w:rsidRPr="00216965">
        <w:rPr>
          <w:b/>
          <w:bCs/>
        </w:rPr>
        <w:fldChar w:fldCharType="begin"/>
      </w:r>
      <w:r w:rsidR="003A7BA9" w:rsidRPr="00216965">
        <w:rPr>
          <w:b/>
          <w:bCs/>
        </w:rPr>
        <w:instrText xml:space="preserve"> REF _Ref86438434 \h  \* MERGEFORMAT </w:instrText>
      </w:r>
      <w:r w:rsidR="003A7BA9" w:rsidRPr="00216965">
        <w:rPr>
          <w:b/>
          <w:bCs/>
        </w:rPr>
      </w:r>
      <w:r w:rsidR="003A7BA9" w:rsidRPr="00216965">
        <w:rPr>
          <w:b/>
          <w:bCs/>
        </w:rPr>
        <w:fldChar w:fldCharType="separate"/>
      </w:r>
      <w:r w:rsidR="006E23EA" w:rsidRPr="00216965">
        <w:rPr>
          <w:b/>
          <w:bCs/>
          <w:noProof/>
        </w:rPr>
        <w:t>Appendix 2</w:t>
      </w:r>
      <w:r w:rsidR="003A7BA9" w:rsidRPr="00216965">
        <w:rPr>
          <w:b/>
          <w:bCs/>
        </w:rPr>
        <w:fldChar w:fldCharType="end"/>
      </w:r>
      <w:r w:rsidRPr="00216965">
        <w:t>.</w:t>
      </w:r>
    </w:p>
    <w:p w14:paraId="08F5FF56" w14:textId="77777777" w:rsidR="006B380D" w:rsidRPr="00216965" w:rsidRDefault="006B380D" w:rsidP="008A33DA">
      <w:pPr>
        <w:spacing w:line="360" w:lineRule="auto"/>
      </w:pPr>
    </w:p>
    <w:p w14:paraId="60514CEF" w14:textId="2E535F3B" w:rsidR="006B380D" w:rsidRPr="00216965" w:rsidRDefault="006B380D" w:rsidP="008A33DA">
      <w:pPr>
        <w:spacing w:line="240" w:lineRule="auto"/>
      </w:pPr>
      <w:r w:rsidRPr="00216965">
        <w:rPr>
          <w:noProof/>
        </w:rPr>
        <w:lastRenderedPageBreak/>
        <w:drawing>
          <wp:inline distT="0" distB="0" distL="0" distR="0" wp14:anchorId="570CFD30" wp14:editId="5F8E8470">
            <wp:extent cx="5391150" cy="5596467"/>
            <wp:effectExtent l="0" t="0" r="0" b="4445"/>
            <wp:docPr id="49" name="Picture 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Graphical user interfac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5793" cy="5601287"/>
                    </a:xfrm>
                    <a:prstGeom prst="rect">
                      <a:avLst/>
                    </a:prstGeom>
                    <a:noFill/>
                    <a:ln>
                      <a:noFill/>
                    </a:ln>
                  </pic:spPr>
                </pic:pic>
              </a:graphicData>
            </a:graphic>
          </wp:inline>
        </w:drawing>
      </w:r>
    </w:p>
    <w:p w14:paraId="2A016858" w14:textId="2073F118" w:rsidR="006B380D" w:rsidRPr="00216965" w:rsidRDefault="006B380D" w:rsidP="008A33DA">
      <w:pPr>
        <w:spacing w:after="240" w:line="240" w:lineRule="auto"/>
        <w:jc w:val="both"/>
      </w:pPr>
      <w:bookmarkStart w:id="249" w:name="_Ref72785360"/>
      <w:bookmarkStart w:id="250" w:name="_Toc86439262"/>
      <w:bookmarkStart w:id="251" w:name="_Toc86442262"/>
      <w:bookmarkStart w:id="252" w:name="_Toc86443621"/>
      <w:bookmarkStart w:id="253" w:name="_Toc86504673"/>
      <w:bookmarkStart w:id="254" w:name="_Toc86439371"/>
      <w:r w:rsidRPr="00216965">
        <w:rPr>
          <w:rStyle w:val="Heading1Char"/>
          <w:sz w:val="24"/>
          <w:szCs w:val="24"/>
        </w:rPr>
        <w:t xml:space="preserve">Fig. </w:t>
      </w:r>
      <w:r w:rsidR="00BF3EBE" w:rsidRPr="00216965">
        <w:rPr>
          <w:rStyle w:val="Heading1Char"/>
          <w:sz w:val="24"/>
          <w:szCs w:val="24"/>
        </w:rPr>
        <w:fldChar w:fldCharType="begin"/>
      </w:r>
      <w:r w:rsidR="00BF3EBE" w:rsidRPr="00216965">
        <w:rPr>
          <w:rStyle w:val="Heading1Char"/>
          <w:sz w:val="24"/>
          <w:szCs w:val="24"/>
        </w:rPr>
        <w:instrText xml:space="preserve"> STYLEREF 1 \s </w:instrText>
      </w:r>
      <w:r w:rsidR="00BF3EBE" w:rsidRPr="00216965">
        <w:rPr>
          <w:rStyle w:val="Heading1Char"/>
          <w:sz w:val="24"/>
          <w:szCs w:val="24"/>
        </w:rPr>
        <w:fldChar w:fldCharType="separate"/>
      </w:r>
      <w:r w:rsidR="006E23EA" w:rsidRPr="00216965">
        <w:rPr>
          <w:rStyle w:val="Heading1Char"/>
          <w:noProof/>
          <w:sz w:val="24"/>
          <w:szCs w:val="24"/>
        </w:rPr>
        <w:t>4</w:t>
      </w:r>
      <w:r w:rsidR="00BF3EBE" w:rsidRPr="00216965">
        <w:rPr>
          <w:rStyle w:val="Heading1Char"/>
          <w:sz w:val="24"/>
          <w:szCs w:val="24"/>
        </w:rPr>
        <w:fldChar w:fldCharType="end"/>
      </w:r>
      <w:r w:rsidR="00BF3EBE" w:rsidRPr="00216965">
        <w:rPr>
          <w:rStyle w:val="Heading1Char"/>
          <w:sz w:val="24"/>
          <w:szCs w:val="24"/>
        </w:rPr>
        <w:noBreakHyphen/>
      </w:r>
      <w:r w:rsidR="00BF3EBE" w:rsidRPr="00216965">
        <w:rPr>
          <w:rStyle w:val="Heading1Char"/>
          <w:sz w:val="24"/>
          <w:szCs w:val="24"/>
        </w:rPr>
        <w:fldChar w:fldCharType="begin"/>
      </w:r>
      <w:r w:rsidR="00BF3EBE" w:rsidRPr="00216965">
        <w:rPr>
          <w:rStyle w:val="Heading1Char"/>
          <w:sz w:val="24"/>
          <w:szCs w:val="24"/>
        </w:rPr>
        <w:instrText xml:space="preserve"> SEQ Figure \* ARABIC \s 1 </w:instrText>
      </w:r>
      <w:r w:rsidR="00BF3EBE" w:rsidRPr="00216965">
        <w:rPr>
          <w:rStyle w:val="Heading1Char"/>
          <w:sz w:val="24"/>
          <w:szCs w:val="24"/>
        </w:rPr>
        <w:fldChar w:fldCharType="separate"/>
      </w:r>
      <w:r w:rsidR="006E23EA" w:rsidRPr="00216965">
        <w:rPr>
          <w:rStyle w:val="Heading1Char"/>
          <w:noProof/>
          <w:sz w:val="24"/>
          <w:szCs w:val="24"/>
        </w:rPr>
        <w:t>9</w:t>
      </w:r>
      <w:r w:rsidR="00BF3EBE" w:rsidRPr="00216965">
        <w:rPr>
          <w:rStyle w:val="Heading1Char"/>
          <w:sz w:val="24"/>
          <w:szCs w:val="24"/>
        </w:rPr>
        <w:fldChar w:fldCharType="end"/>
      </w:r>
      <w:bookmarkEnd w:id="249"/>
      <w:r w:rsidRPr="00216965">
        <w:rPr>
          <w:rStyle w:val="Heading1Char"/>
          <w:sz w:val="24"/>
          <w:szCs w:val="24"/>
        </w:rPr>
        <w:t>.</w:t>
      </w:r>
      <w:bookmarkEnd w:id="250"/>
      <w:bookmarkEnd w:id="251"/>
      <w:bookmarkEnd w:id="252"/>
      <w:bookmarkEnd w:id="253"/>
      <w:r w:rsidRPr="00216965">
        <w:rPr>
          <w:b/>
          <w:bCs/>
        </w:rPr>
        <w:t xml:space="preserve"> Effect of biochar and application rate on Fv/Fm over time measured in </w:t>
      </w:r>
      <w:r w:rsidRPr="00216965">
        <w:rPr>
          <w:b/>
          <w:bCs/>
          <w:i/>
        </w:rPr>
        <w:t>Arabidopsis thaliana</w:t>
      </w:r>
      <w:r w:rsidRPr="00216965">
        <w:rPr>
          <w:b/>
          <w:bCs/>
        </w:rPr>
        <w:t xml:space="preserve"> ol-0 growing in artificially contaminated soils amended with biochars OSR550, SWP550, WSP550 and MSP550 applied at 0, 1, 3 and 5 % (</w:t>
      </w:r>
      <w:r w:rsidRPr="00216965">
        <w:rPr>
          <w:b/>
          <w:bCs/>
          <w:i/>
        </w:rPr>
        <w:t>w/w</w:t>
      </w:r>
      <w:r w:rsidRPr="00216965">
        <w:rPr>
          <w:b/>
          <w:bCs/>
        </w:rPr>
        <w:t>).</w:t>
      </w:r>
      <w:r w:rsidRPr="00216965">
        <w:t xml:space="preserve"> Lines are the linear regression of Fv/Fm values for the interaction biochar:rate:time. Grey areas correspond to the 95% confidence interval (n=3).</w:t>
      </w:r>
      <w:bookmarkEnd w:id="254"/>
    </w:p>
    <w:p w14:paraId="130CCF57" w14:textId="77777777" w:rsidR="006B380D" w:rsidRPr="00216965" w:rsidRDefault="006B380D" w:rsidP="008A33DA">
      <w:pPr>
        <w:spacing w:after="240" w:line="360" w:lineRule="auto"/>
      </w:pPr>
    </w:p>
    <w:p w14:paraId="6D7AE823" w14:textId="77777777" w:rsidR="006B380D" w:rsidRPr="00216965" w:rsidRDefault="006B380D" w:rsidP="008A33DA">
      <w:pPr>
        <w:spacing w:after="240" w:line="360" w:lineRule="auto"/>
      </w:pPr>
    </w:p>
    <w:p w14:paraId="1F287503" w14:textId="77777777" w:rsidR="006B380D" w:rsidRPr="00216965" w:rsidRDefault="006B380D" w:rsidP="008A33DA">
      <w:pPr>
        <w:spacing w:after="240" w:line="360" w:lineRule="auto"/>
      </w:pPr>
    </w:p>
    <w:p w14:paraId="6E1DB5F3" w14:textId="76830E1D" w:rsidR="006B380D" w:rsidRPr="00216965" w:rsidRDefault="006B380D" w:rsidP="008A33DA">
      <w:pPr>
        <w:spacing w:after="240" w:line="360" w:lineRule="auto"/>
      </w:pPr>
      <w:r w:rsidRPr="00216965">
        <w:rPr>
          <w:noProof/>
        </w:rPr>
        <w:lastRenderedPageBreak/>
        <w:drawing>
          <wp:inline distT="0" distB="0" distL="0" distR="0" wp14:anchorId="2859F806" wp14:editId="5430B313">
            <wp:extent cx="5362575" cy="4114800"/>
            <wp:effectExtent l="0" t="0" r="9525" b="0"/>
            <wp:docPr id="48" name="Picture 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Graphical user interface&#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62575" cy="4114800"/>
                    </a:xfrm>
                    <a:prstGeom prst="rect">
                      <a:avLst/>
                    </a:prstGeom>
                    <a:noFill/>
                    <a:ln>
                      <a:noFill/>
                    </a:ln>
                  </pic:spPr>
                </pic:pic>
              </a:graphicData>
            </a:graphic>
          </wp:inline>
        </w:drawing>
      </w:r>
    </w:p>
    <w:p w14:paraId="04DA1E85" w14:textId="4B7B2D06" w:rsidR="006B380D" w:rsidRPr="00216965" w:rsidRDefault="006B380D" w:rsidP="008A33DA">
      <w:pPr>
        <w:spacing w:after="200" w:line="240" w:lineRule="auto"/>
        <w:jc w:val="both"/>
        <w:rPr>
          <w:b/>
          <w:color w:val="000000"/>
        </w:rPr>
      </w:pPr>
      <w:bookmarkStart w:id="255" w:name="_heading=h.4f1mdlm"/>
      <w:bookmarkStart w:id="256" w:name="_Ref82647701"/>
      <w:bookmarkStart w:id="257" w:name="_Toc86439263"/>
      <w:bookmarkStart w:id="258" w:name="_Toc86442263"/>
      <w:bookmarkStart w:id="259" w:name="_Toc86443622"/>
      <w:bookmarkStart w:id="260" w:name="_Toc86504674"/>
      <w:bookmarkStart w:id="261" w:name="_Hlk76904475"/>
      <w:bookmarkStart w:id="262" w:name="_Toc86439372"/>
      <w:bookmarkEnd w:id="255"/>
      <w:r w:rsidRPr="00216965">
        <w:rPr>
          <w:rStyle w:val="Heading2Char"/>
          <w:rFonts w:eastAsiaTheme="minorHAnsi"/>
        </w:rPr>
        <w:t xml:space="preserve">Fig. </w:t>
      </w:r>
      <w:r w:rsidR="00BF3EBE" w:rsidRPr="00216965">
        <w:rPr>
          <w:rStyle w:val="Heading2Char"/>
          <w:rFonts w:eastAsiaTheme="minorHAnsi"/>
        </w:rPr>
        <w:fldChar w:fldCharType="begin"/>
      </w:r>
      <w:r w:rsidR="00BF3EBE" w:rsidRPr="00216965">
        <w:rPr>
          <w:rStyle w:val="Heading2Char"/>
          <w:rFonts w:eastAsiaTheme="minorHAnsi"/>
        </w:rPr>
        <w:instrText xml:space="preserve"> STYLEREF 1 \s </w:instrText>
      </w:r>
      <w:r w:rsidR="00BF3EBE" w:rsidRPr="00216965">
        <w:rPr>
          <w:rStyle w:val="Heading2Char"/>
          <w:rFonts w:eastAsiaTheme="minorHAnsi"/>
        </w:rPr>
        <w:fldChar w:fldCharType="separate"/>
      </w:r>
      <w:r w:rsidR="006E23EA" w:rsidRPr="00216965">
        <w:rPr>
          <w:rStyle w:val="Heading2Char"/>
          <w:rFonts w:eastAsiaTheme="minorHAnsi"/>
          <w:noProof/>
        </w:rPr>
        <w:t>4</w:t>
      </w:r>
      <w:r w:rsidR="00BF3EBE" w:rsidRPr="00216965">
        <w:rPr>
          <w:rStyle w:val="Heading2Char"/>
          <w:rFonts w:eastAsiaTheme="minorHAnsi"/>
        </w:rPr>
        <w:fldChar w:fldCharType="end"/>
      </w:r>
      <w:r w:rsidR="00BF3EBE" w:rsidRPr="00216965">
        <w:rPr>
          <w:rStyle w:val="Heading2Char"/>
          <w:rFonts w:eastAsiaTheme="minorHAnsi"/>
        </w:rPr>
        <w:noBreakHyphen/>
      </w:r>
      <w:r w:rsidR="00BF3EBE" w:rsidRPr="00216965">
        <w:rPr>
          <w:rStyle w:val="Heading2Char"/>
          <w:rFonts w:eastAsiaTheme="minorHAnsi"/>
        </w:rPr>
        <w:fldChar w:fldCharType="begin"/>
      </w:r>
      <w:r w:rsidR="00BF3EBE" w:rsidRPr="00216965">
        <w:rPr>
          <w:rStyle w:val="Heading2Char"/>
          <w:rFonts w:eastAsiaTheme="minorHAnsi"/>
        </w:rPr>
        <w:instrText xml:space="preserve"> SEQ Figure \* ARABIC \s 1 </w:instrText>
      </w:r>
      <w:r w:rsidR="00BF3EBE" w:rsidRPr="00216965">
        <w:rPr>
          <w:rStyle w:val="Heading2Char"/>
          <w:rFonts w:eastAsiaTheme="minorHAnsi"/>
        </w:rPr>
        <w:fldChar w:fldCharType="separate"/>
      </w:r>
      <w:r w:rsidR="006E23EA" w:rsidRPr="00216965">
        <w:rPr>
          <w:rStyle w:val="Heading2Char"/>
          <w:rFonts w:eastAsiaTheme="minorHAnsi"/>
          <w:noProof/>
        </w:rPr>
        <w:t>10</w:t>
      </w:r>
      <w:r w:rsidR="00BF3EBE" w:rsidRPr="00216965">
        <w:rPr>
          <w:rStyle w:val="Heading2Char"/>
          <w:rFonts w:eastAsiaTheme="minorHAnsi"/>
        </w:rPr>
        <w:fldChar w:fldCharType="end"/>
      </w:r>
      <w:bookmarkEnd w:id="256"/>
      <w:r w:rsidRPr="00216965">
        <w:rPr>
          <w:rStyle w:val="Heading2Char"/>
          <w:rFonts w:eastAsiaTheme="minorHAnsi"/>
        </w:rPr>
        <w:t>.</w:t>
      </w:r>
      <w:bookmarkEnd w:id="257"/>
      <w:bookmarkEnd w:id="258"/>
      <w:bookmarkEnd w:id="259"/>
      <w:bookmarkEnd w:id="260"/>
      <w:r w:rsidRPr="00216965">
        <w:t xml:space="preserve"> </w:t>
      </w:r>
      <w:bookmarkEnd w:id="261"/>
      <w:r w:rsidRPr="00216965">
        <w:rPr>
          <w:b/>
          <w:bCs/>
          <w:color w:val="000000"/>
        </w:rPr>
        <w:t>Plot showing significant differences in the effect of biochar and rate on Fv/Fm between control groups (no biochar) and biochars at different application rates.</w:t>
      </w:r>
      <w:r w:rsidRPr="00216965">
        <w:rPr>
          <w:color w:val="000000"/>
        </w:rPr>
        <w:t xml:space="preserve"> The difference </w:t>
      </w:r>
      <w:r w:rsidRPr="00216965">
        <w:t>corresponds</w:t>
      </w:r>
      <w:r w:rsidRPr="00216965">
        <w:rPr>
          <w:color w:val="000000"/>
        </w:rPr>
        <w:t xml:space="preserve"> to the pairwise comparison (Tukey method) control vs biochar treatments of the Fv/Fm intercepts obtained from the linear regression of the interaction biochar:rate at different times. Grey curves indicate 95% confidence intervals. Differences are considered significant when the confidence interval around the difference does not overlap zero. Values above zero (dotted line) indicate the days at which the control (0% biochar) had significantly greater Fv/Fm values, while values below the dotted line indicate the days when biochar addition produced Fv/Fm values significantly greater than the control</w:t>
      </w:r>
      <w:r w:rsidRPr="00216965">
        <w:rPr>
          <w:b/>
          <w:color w:val="000000"/>
        </w:rPr>
        <w:t>.</w:t>
      </w:r>
      <w:bookmarkEnd w:id="262"/>
    </w:p>
    <w:p w14:paraId="3ED195E1" w14:textId="77777777" w:rsidR="006B380D" w:rsidRPr="00216965" w:rsidRDefault="006B380D" w:rsidP="008A33DA">
      <w:pPr>
        <w:spacing w:after="240" w:line="360" w:lineRule="auto"/>
      </w:pPr>
    </w:p>
    <w:p w14:paraId="096FB01C" w14:textId="77777777" w:rsidR="006B380D" w:rsidRPr="00216965" w:rsidRDefault="006B380D" w:rsidP="008A33DA">
      <w:pPr>
        <w:pStyle w:val="Heading4"/>
      </w:pPr>
      <w:bookmarkStart w:id="263" w:name="_heading=h.2u6wntf"/>
      <w:bookmarkEnd w:id="263"/>
      <w:r w:rsidRPr="00216965">
        <w:t>The effect of biochar on soil chemistry</w:t>
      </w:r>
    </w:p>
    <w:p w14:paraId="1CC3CDB5" w14:textId="6BCF2E01" w:rsidR="006B380D" w:rsidRPr="00216965" w:rsidRDefault="006B380D" w:rsidP="008A33DA">
      <w:pPr>
        <w:spacing w:line="360" w:lineRule="auto"/>
        <w:jc w:val="both"/>
      </w:pPr>
      <w:r w:rsidRPr="00216965">
        <w:t xml:space="preserve">The pH and EC of the soils after application of the biochars are shown in </w:t>
      </w:r>
      <w:r w:rsidRPr="00216965">
        <w:rPr>
          <w:b/>
          <w:bCs/>
          <w:lang w:val="en-US"/>
        </w:rPr>
        <w:fldChar w:fldCharType="begin"/>
      </w:r>
      <w:r w:rsidRPr="00216965">
        <w:rPr>
          <w:b/>
          <w:bCs/>
          <w:lang w:val="en-US"/>
        </w:rPr>
        <w:instrText xml:space="preserve"> REF _Ref86060878 \h  \* MERGEFORMAT </w:instrText>
      </w:r>
      <w:r w:rsidRPr="00216965">
        <w:rPr>
          <w:b/>
          <w:bCs/>
          <w:lang w:val="en-US"/>
        </w:rPr>
      </w:r>
      <w:r w:rsidRPr="00216965">
        <w:rPr>
          <w:b/>
          <w:bCs/>
          <w:lang w:val="en-US"/>
        </w:rPr>
        <w:fldChar w:fldCharType="separate"/>
      </w:r>
      <w:r w:rsidR="006E23EA" w:rsidRPr="00216965">
        <w:rPr>
          <w:b/>
          <w:bCs/>
        </w:rPr>
        <w:t xml:space="preserve">Fig. </w:t>
      </w:r>
      <w:r w:rsidR="006E23EA" w:rsidRPr="00216965">
        <w:rPr>
          <w:b/>
          <w:bCs/>
          <w:noProof/>
        </w:rPr>
        <w:t>4</w:t>
      </w:r>
      <w:r w:rsidR="006E23EA" w:rsidRPr="00216965">
        <w:rPr>
          <w:b/>
          <w:bCs/>
          <w:noProof/>
        </w:rPr>
        <w:noBreakHyphen/>
        <w:t>11</w:t>
      </w:r>
      <w:r w:rsidRPr="00216965">
        <w:rPr>
          <w:b/>
          <w:bCs/>
          <w:lang w:val="en-US"/>
        </w:rPr>
        <w:fldChar w:fldCharType="end"/>
      </w:r>
      <w:r w:rsidRPr="00216965">
        <w:rPr>
          <w:b/>
          <w:bCs/>
          <w:lang w:val="en-US"/>
        </w:rPr>
        <w:t>.</w:t>
      </w:r>
      <w:r w:rsidRPr="00216965">
        <w:rPr>
          <w:b/>
          <w:lang w:val="en-US"/>
        </w:rPr>
        <w:t xml:space="preserve"> </w:t>
      </w:r>
      <w:r w:rsidRPr="00216965">
        <w:t>Overall three of four biochars studied increased the soil pH and EC at 3 and 5 % addition. The increase in soil pH after the addition of biochar was consistent with the pH, EC and ash content of each material. For example, biochars OSR550 and WSP550, derived from herbaceous materials, which possess high EC (2270 and 1700 μS.cm</w:t>
      </w:r>
      <w:r w:rsidRPr="00216965">
        <w:rPr>
          <w:vertAlign w:val="superscript"/>
        </w:rPr>
        <w:t>-1</w:t>
      </w:r>
      <w:r w:rsidRPr="00216965">
        <w:t xml:space="preserve">, respectively), pH (9.78 and 9.94, respectively) and ash contents (19.50 and 21.25 %, respectively) produced </w:t>
      </w:r>
      <w:r w:rsidRPr="00216965">
        <w:lastRenderedPageBreak/>
        <w:t>a significant rise of 0.3-0.7 pH units and 1.5-2 fold increase in soil EC (p &lt; 0.05). In contrast, at the same application rates, SWP550, with EC of 0.09 d</w:t>
      </w:r>
      <w:r w:rsidR="008563DC" w:rsidRPr="00216965">
        <w:t>S</w:t>
      </w:r>
      <w:r w:rsidRPr="00216965">
        <w:t>.m</w:t>
      </w:r>
      <w:r w:rsidRPr="00216965">
        <w:rPr>
          <w:vertAlign w:val="superscript"/>
        </w:rPr>
        <w:t>-1</w:t>
      </w:r>
      <w:r w:rsidRPr="00216965">
        <w:t>, pH = 7.91 and ash content of 1.25 %, had a neglectable effect on soil pH and EC relative to the control (p &lt; 0.05) (</w:t>
      </w:r>
      <w:r w:rsidRPr="00216965">
        <w:rPr>
          <w:b/>
          <w:bCs/>
        </w:rPr>
        <w:fldChar w:fldCharType="begin"/>
      </w:r>
      <w:r w:rsidRPr="00216965">
        <w:rPr>
          <w:b/>
          <w:bCs/>
        </w:rPr>
        <w:instrText xml:space="preserve"> REF _Ref86060878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11</w:t>
      </w:r>
      <w:r w:rsidRPr="00216965">
        <w:rPr>
          <w:b/>
          <w:bCs/>
        </w:rPr>
        <w:fldChar w:fldCharType="end"/>
      </w:r>
      <w:r w:rsidRPr="00216965">
        <w:t>).</w:t>
      </w:r>
      <w:r w:rsidRPr="00216965">
        <w:rPr>
          <w:b/>
        </w:rPr>
        <w:t xml:space="preserve"> </w:t>
      </w:r>
    </w:p>
    <w:p w14:paraId="1EB760B0" w14:textId="7B5BA90A" w:rsidR="006B380D" w:rsidRPr="00216965" w:rsidRDefault="006B380D" w:rsidP="008A33DA">
      <w:pPr>
        <w:spacing w:line="360" w:lineRule="auto"/>
        <w:jc w:val="both"/>
      </w:pPr>
      <w:r w:rsidRPr="00216965">
        <w:t>Considering the water extractable soil ions from the Mix-soil (</w:t>
      </w:r>
      <w:r w:rsidRPr="00216965">
        <w:rPr>
          <w:b/>
          <w:bCs/>
        </w:rPr>
        <w:fldChar w:fldCharType="begin"/>
      </w:r>
      <w:r w:rsidRPr="00216965">
        <w:rPr>
          <w:b/>
          <w:bCs/>
        </w:rPr>
        <w:instrText xml:space="preserve"> REF _Ref86402244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2</w:t>
      </w:r>
      <w:r w:rsidRPr="00216965">
        <w:rPr>
          <w:b/>
          <w:bCs/>
        </w:rPr>
        <w:fldChar w:fldCharType="end"/>
      </w:r>
      <w:r w:rsidRPr="00216965">
        <w:t>), there was no effect of biochar addition on anions (Cl</w:t>
      </w:r>
      <w:r w:rsidRPr="00216965">
        <w:rPr>
          <w:vertAlign w:val="superscript"/>
        </w:rPr>
        <w:t>-</w:t>
      </w:r>
      <w:r w:rsidRPr="00216965">
        <w:t>, NO</w:t>
      </w:r>
      <w:r w:rsidRPr="00216965">
        <w:rPr>
          <w:vertAlign w:val="superscript"/>
        </w:rPr>
        <w:t>-2</w:t>
      </w:r>
      <w:r w:rsidRPr="00216965">
        <w:t>, S</w:t>
      </w:r>
      <w:r w:rsidRPr="00216965">
        <w:rPr>
          <w:vertAlign w:val="subscript"/>
        </w:rPr>
        <w:t>2</w:t>
      </w:r>
      <w:r w:rsidRPr="00216965">
        <w:t>O</w:t>
      </w:r>
      <w:r w:rsidRPr="00216965">
        <w:rPr>
          <w:vertAlign w:val="subscript"/>
        </w:rPr>
        <w:t>3</w:t>
      </w:r>
      <w:r w:rsidRPr="00216965">
        <w:rPr>
          <w:vertAlign w:val="superscript"/>
        </w:rPr>
        <w:t>-2</w:t>
      </w:r>
      <w:r w:rsidRPr="00216965">
        <w:t>, NO</w:t>
      </w:r>
      <w:r w:rsidRPr="00216965">
        <w:rPr>
          <w:vertAlign w:val="subscript"/>
        </w:rPr>
        <w:t>3</w:t>
      </w:r>
      <w:r w:rsidRPr="00216965">
        <w:rPr>
          <w:vertAlign w:val="superscript"/>
        </w:rPr>
        <w:t>-</w:t>
      </w:r>
      <w:r w:rsidRPr="00216965">
        <w:t>, PO</w:t>
      </w:r>
      <w:r w:rsidRPr="00216965">
        <w:rPr>
          <w:vertAlign w:val="subscript"/>
        </w:rPr>
        <w:t>4</w:t>
      </w:r>
      <w:r w:rsidRPr="00216965">
        <w:rPr>
          <w:vertAlign w:val="superscript"/>
        </w:rPr>
        <w:t>-3</w:t>
      </w:r>
      <w:r w:rsidRPr="00216965">
        <w:t>) (P &gt; 0.05), but a significant effect on water extractable cations. For example, the biochars increased the concentration of water soluble Na</w:t>
      </w:r>
      <w:r w:rsidRPr="00216965">
        <w:rPr>
          <w:vertAlign w:val="superscript"/>
        </w:rPr>
        <w:t>+</w:t>
      </w:r>
      <w:r w:rsidRPr="00216965">
        <w:t xml:space="preserve"> (</w:t>
      </w:r>
      <w:r w:rsidR="00831AE6" w:rsidRPr="00216965">
        <w:t>p</w:t>
      </w:r>
      <w:r w:rsidRPr="00216965">
        <w:t xml:space="preserve"> &lt; 0.01), except for MSP550 at 1%. Similarly, the concentrations of water soluble K</w:t>
      </w:r>
      <w:r w:rsidRPr="00216965">
        <w:rPr>
          <w:vertAlign w:val="superscript"/>
        </w:rPr>
        <w:t>+</w:t>
      </w:r>
      <w:r w:rsidRPr="00216965">
        <w:t xml:space="preserve"> increased with OSR550 and WSP550 at 3 and 5 %, and with MSP550 at 5% (</w:t>
      </w:r>
      <w:r w:rsidR="00831AE6" w:rsidRPr="00216965">
        <w:t>p</w:t>
      </w:r>
      <w:r w:rsidRPr="00216965">
        <w:t xml:space="preserve"> &lt; 0.05). The water soluble Mg</w:t>
      </w:r>
      <w:r w:rsidRPr="00216965">
        <w:rPr>
          <w:vertAlign w:val="superscript"/>
        </w:rPr>
        <w:t xml:space="preserve">2+ </w:t>
      </w:r>
      <w:r w:rsidRPr="00216965">
        <w:t>concentration was significantly higher in the soils amended with SWP550 (</w:t>
      </w:r>
      <w:r w:rsidR="00831AE6" w:rsidRPr="00216965">
        <w:t xml:space="preserve">p </w:t>
      </w:r>
      <w:r w:rsidRPr="00216965">
        <w:t>&lt;</w:t>
      </w:r>
      <w:r w:rsidR="00831AE6" w:rsidRPr="00216965">
        <w:t xml:space="preserve"> </w:t>
      </w:r>
      <w:r w:rsidRPr="00216965">
        <w:t>0.01). Conversely, the concentration of water soluble Ca</w:t>
      </w:r>
      <w:r w:rsidRPr="00216965">
        <w:rPr>
          <w:vertAlign w:val="superscript"/>
        </w:rPr>
        <w:t>2+</w:t>
      </w:r>
      <w:r w:rsidRPr="00216965">
        <w:t xml:space="preserve"> decreased with the addition of biochars OSR550 and WSP550 at 3 and 5 %. </w:t>
      </w:r>
    </w:p>
    <w:p w14:paraId="7C0501CC" w14:textId="7206641D" w:rsidR="006B380D" w:rsidRPr="00216965" w:rsidRDefault="006B380D" w:rsidP="008A33DA">
      <w:pPr>
        <w:spacing w:line="360" w:lineRule="auto"/>
        <w:jc w:val="both"/>
      </w:pPr>
      <w:r w:rsidRPr="00216965">
        <w:t>Plant available phosphate (Olsen extract) increased significantly (</w:t>
      </w:r>
      <w:r w:rsidR="00831AE6" w:rsidRPr="00216965">
        <w:t>p</w:t>
      </w:r>
      <w:r w:rsidRPr="00216965">
        <w:t xml:space="preserve"> &lt; 0.01) after the addition of biochars, with the exception of OSR550 and WSP550 at 1%, which were not different from the control. Conversely, the concentration of plant available nitrate and nitrite was significantly higher with the addition of biochars OSR550 and WSP550 at 3 % (</w:t>
      </w:r>
      <w:r w:rsidR="00831AE6" w:rsidRPr="00216965">
        <w:t>p</w:t>
      </w:r>
      <w:r w:rsidRPr="00216965">
        <w:t xml:space="preserve"> &lt; 0.01). </w:t>
      </w:r>
    </w:p>
    <w:p w14:paraId="6722E259" w14:textId="77777777" w:rsidR="006B380D" w:rsidRPr="00216965" w:rsidRDefault="006B380D" w:rsidP="008A33DA">
      <w:pPr>
        <w:spacing w:after="0" w:line="360" w:lineRule="auto"/>
        <w:sectPr w:rsidR="006B380D" w:rsidRPr="00216965">
          <w:pgSz w:w="11906" w:h="16838"/>
          <w:pgMar w:top="1701" w:right="1701" w:bottom="1701" w:left="1701" w:header="708" w:footer="708" w:gutter="0"/>
          <w:cols w:space="720"/>
        </w:sectPr>
      </w:pPr>
    </w:p>
    <w:p w14:paraId="40525842" w14:textId="2F0B38B3" w:rsidR="006B380D" w:rsidRPr="00216965" w:rsidRDefault="006B380D" w:rsidP="008A33DA">
      <w:pPr>
        <w:tabs>
          <w:tab w:val="left" w:pos="2320"/>
        </w:tabs>
        <w:spacing w:line="360" w:lineRule="auto"/>
      </w:pPr>
      <w:r w:rsidRPr="00216965">
        <w:rPr>
          <w:noProof/>
        </w:rPr>
        <w:lastRenderedPageBreak/>
        <w:drawing>
          <wp:inline distT="0" distB="0" distL="0" distR="0" wp14:anchorId="1E8CD300" wp14:editId="05EB4D90">
            <wp:extent cx="5391150" cy="4524375"/>
            <wp:effectExtent l="0" t="0" r="0" b="9525"/>
            <wp:docPr id="47" name="Picture 4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A picture containing char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1150" cy="4524375"/>
                    </a:xfrm>
                    <a:prstGeom prst="rect">
                      <a:avLst/>
                    </a:prstGeom>
                    <a:noFill/>
                    <a:ln>
                      <a:noFill/>
                    </a:ln>
                  </pic:spPr>
                </pic:pic>
              </a:graphicData>
            </a:graphic>
          </wp:inline>
        </w:drawing>
      </w:r>
    </w:p>
    <w:p w14:paraId="3210B358" w14:textId="102AC528" w:rsidR="006B380D" w:rsidRPr="00216965" w:rsidRDefault="006B380D" w:rsidP="008A33DA">
      <w:pPr>
        <w:spacing w:after="200" w:line="240" w:lineRule="auto"/>
        <w:jc w:val="both"/>
        <w:rPr>
          <w:color w:val="4F81BD"/>
        </w:rPr>
      </w:pPr>
      <w:bookmarkStart w:id="264" w:name="_heading=h.19c6y18"/>
      <w:bookmarkStart w:id="265" w:name="_Ref86060878"/>
      <w:bookmarkStart w:id="266" w:name="_Toc86439373"/>
      <w:bookmarkEnd w:id="264"/>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11</w:t>
      </w:r>
      <w:r w:rsidR="00BF3EBE" w:rsidRPr="00216965">
        <w:rPr>
          <w:b/>
          <w:bCs/>
        </w:rPr>
        <w:fldChar w:fldCharType="end"/>
      </w:r>
      <w:bookmarkEnd w:id="265"/>
      <w:r w:rsidRPr="00216965">
        <w:rPr>
          <w:b/>
          <w:bCs/>
        </w:rPr>
        <w:t xml:space="preserve"> </w:t>
      </w:r>
      <w:r w:rsidR="004663BC" w:rsidRPr="00216965">
        <w:rPr>
          <w:b/>
          <w:bCs/>
        </w:rPr>
        <w:t>Box plot of s</w:t>
      </w:r>
      <w:r w:rsidRPr="00216965">
        <w:rPr>
          <w:b/>
          <w:bCs/>
          <w:color w:val="000000"/>
        </w:rPr>
        <w:t>oil pH and EC after treatment with biochars OSR550, SWP550, WSP550 and MSP550 at 0, 1, 3 and 5 % (</w:t>
      </w:r>
      <w:r w:rsidRPr="00216965">
        <w:rPr>
          <w:b/>
          <w:bCs/>
          <w:i/>
          <w:color w:val="000000"/>
        </w:rPr>
        <w:t>w/w</w:t>
      </w:r>
      <w:r w:rsidRPr="00216965">
        <w:rPr>
          <w:b/>
          <w:bCs/>
          <w:color w:val="000000"/>
        </w:rPr>
        <w:t>).</w:t>
      </w:r>
      <w:r w:rsidRPr="00216965">
        <w:rPr>
          <w:color w:val="000000"/>
        </w:rPr>
        <w:t xml:space="preserve"> Values are the mean ± standard deviation, n=3. Treatments which do not share a letter are significantly different according to Tukey post hoc test HSD (α=0.05, n=4)</w:t>
      </w:r>
      <w:bookmarkEnd w:id="266"/>
      <w:r w:rsidR="00A95538" w:rsidRPr="00216965">
        <w:rPr>
          <w:color w:val="000000"/>
        </w:rPr>
        <w:t>.</w:t>
      </w:r>
    </w:p>
    <w:p w14:paraId="45BD08DE" w14:textId="77777777" w:rsidR="006B380D" w:rsidRPr="00216965" w:rsidRDefault="006B380D" w:rsidP="008A33DA">
      <w:pPr>
        <w:spacing w:after="0" w:line="240" w:lineRule="auto"/>
        <w:rPr>
          <w:color w:val="4F81BD"/>
        </w:rPr>
        <w:sectPr w:rsidR="006B380D" w:rsidRPr="00216965">
          <w:pgSz w:w="11906" w:h="16838"/>
          <w:pgMar w:top="1701" w:right="1701" w:bottom="1701" w:left="1701" w:header="708" w:footer="708" w:gutter="0"/>
          <w:cols w:space="720"/>
        </w:sectPr>
      </w:pPr>
    </w:p>
    <w:p w14:paraId="0009F495" w14:textId="26B92884" w:rsidR="006B380D" w:rsidRPr="00216965" w:rsidRDefault="006B380D" w:rsidP="008A33DA">
      <w:pPr>
        <w:pStyle w:val="Caption"/>
        <w:rPr>
          <w:color w:val="000000"/>
        </w:rPr>
      </w:pPr>
      <w:bookmarkStart w:id="267" w:name="_heading=h.3tbugp1"/>
      <w:bookmarkStart w:id="268" w:name="_Ref86402244"/>
      <w:bookmarkStart w:id="269" w:name="_Toc86440369"/>
      <w:bookmarkEnd w:id="267"/>
      <w:r w:rsidRPr="00216965">
        <w:rPr>
          <w:b/>
          <w:bCs w:val="0"/>
          <w:szCs w:val="24"/>
        </w:rPr>
        <w:lastRenderedPageBreak/>
        <w:t xml:space="preserve">Table </w:t>
      </w:r>
      <w:r w:rsidR="00E569FA" w:rsidRPr="00216965">
        <w:rPr>
          <w:b/>
          <w:bCs w:val="0"/>
          <w:szCs w:val="24"/>
        </w:rPr>
        <w:fldChar w:fldCharType="begin"/>
      </w:r>
      <w:r w:rsidR="00E569FA" w:rsidRPr="00216965">
        <w:rPr>
          <w:b/>
          <w:bCs w:val="0"/>
          <w:szCs w:val="24"/>
        </w:rPr>
        <w:instrText xml:space="preserve"> STYLEREF 1 \s </w:instrText>
      </w:r>
      <w:r w:rsidR="00E569FA" w:rsidRPr="00216965">
        <w:rPr>
          <w:b/>
          <w:bCs w:val="0"/>
          <w:szCs w:val="24"/>
        </w:rPr>
        <w:fldChar w:fldCharType="separate"/>
      </w:r>
      <w:r w:rsidR="006E23EA" w:rsidRPr="00216965">
        <w:rPr>
          <w:b/>
          <w:bCs w:val="0"/>
          <w:noProof/>
          <w:szCs w:val="24"/>
        </w:rPr>
        <w:t>4</w:t>
      </w:r>
      <w:r w:rsidR="00E569FA" w:rsidRPr="00216965">
        <w:rPr>
          <w:b/>
          <w:bCs w:val="0"/>
          <w:szCs w:val="24"/>
        </w:rPr>
        <w:fldChar w:fldCharType="end"/>
      </w:r>
      <w:r w:rsidR="00E569FA" w:rsidRPr="00216965">
        <w:rPr>
          <w:b/>
          <w:bCs w:val="0"/>
          <w:szCs w:val="24"/>
        </w:rPr>
        <w:noBreakHyphen/>
      </w:r>
      <w:r w:rsidR="00E569FA" w:rsidRPr="00216965">
        <w:rPr>
          <w:b/>
          <w:bCs w:val="0"/>
          <w:szCs w:val="24"/>
        </w:rPr>
        <w:fldChar w:fldCharType="begin"/>
      </w:r>
      <w:r w:rsidR="00E569FA" w:rsidRPr="00216965">
        <w:rPr>
          <w:b/>
          <w:bCs w:val="0"/>
          <w:szCs w:val="24"/>
        </w:rPr>
        <w:instrText xml:space="preserve"> SEQ Table \* ARABIC \s 1 </w:instrText>
      </w:r>
      <w:r w:rsidR="00E569FA" w:rsidRPr="00216965">
        <w:rPr>
          <w:b/>
          <w:bCs w:val="0"/>
          <w:szCs w:val="24"/>
        </w:rPr>
        <w:fldChar w:fldCharType="separate"/>
      </w:r>
      <w:r w:rsidR="006E23EA" w:rsidRPr="00216965">
        <w:rPr>
          <w:b/>
          <w:bCs w:val="0"/>
          <w:noProof/>
          <w:szCs w:val="24"/>
        </w:rPr>
        <w:t>2</w:t>
      </w:r>
      <w:r w:rsidR="00E569FA" w:rsidRPr="00216965">
        <w:rPr>
          <w:b/>
          <w:bCs w:val="0"/>
          <w:szCs w:val="24"/>
        </w:rPr>
        <w:fldChar w:fldCharType="end"/>
      </w:r>
      <w:bookmarkEnd w:id="268"/>
      <w:r w:rsidRPr="00216965">
        <w:rPr>
          <w:b/>
          <w:bCs w:val="0"/>
        </w:rPr>
        <w:t xml:space="preserve"> </w:t>
      </w:r>
      <w:r w:rsidRPr="00216965">
        <w:rPr>
          <w:b/>
          <w:bCs w:val="0"/>
          <w:color w:val="000000"/>
          <w:szCs w:val="24"/>
        </w:rPr>
        <w:t>Soil properties for the Mix-soil treatment. Values are the mean ± standard deviation, n=3.</w:t>
      </w:r>
      <w:r w:rsidRPr="00216965">
        <w:rPr>
          <w:color w:val="000000"/>
          <w:szCs w:val="24"/>
        </w:rPr>
        <w:t xml:space="preserve"> Treatments which do not share a letter are significantly different according to Tukey post hoc test HSD (α</w:t>
      </w:r>
      <w:r w:rsidR="001C7822" w:rsidRPr="00216965">
        <w:rPr>
          <w:color w:val="000000"/>
          <w:szCs w:val="24"/>
        </w:rPr>
        <w:t xml:space="preserve"> </w:t>
      </w:r>
      <w:r w:rsidRPr="00216965">
        <w:rPr>
          <w:color w:val="000000"/>
          <w:szCs w:val="24"/>
        </w:rPr>
        <w:t>=</w:t>
      </w:r>
      <w:r w:rsidR="001C7822" w:rsidRPr="00216965">
        <w:rPr>
          <w:color w:val="000000"/>
          <w:szCs w:val="24"/>
        </w:rPr>
        <w:t xml:space="preserve"> </w:t>
      </w:r>
      <w:r w:rsidRPr="00216965">
        <w:rPr>
          <w:color w:val="000000"/>
          <w:szCs w:val="24"/>
        </w:rPr>
        <w:t>0.05).</w:t>
      </w:r>
      <w:bookmarkEnd w:id="269"/>
    </w:p>
    <w:tbl>
      <w:tblPr>
        <w:tblW w:w="13469" w:type="dxa"/>
        <w:jc w:val="center"/>
        <w:tblBorders>
          <w:top w:val="single" w:sz="4" w:space="0" w:color="auto"/>
          <w:bottom w:val="single" w:sz="4" w:space="0" w:color="auto"/>
        </w:tblBorders>
        <w:tblLook w:val="0400" w:firstRow="0" w:lastRow="0" w:firstColumn="0" w:lastColumn="0" w:noHBand="0" w:noVBand="1"/>
      </w:tblPr>
      <w:tblGrid>
        <w:gridCol w:w="851"/>
        <w:gridCol w:w="754"/>
        <w:gridCol w:w="1128"/>
        <w:gridCol w:w="976"/>
        <w:gridCol w:w="1000"/>
        <w:gridCol w:w="988"/>
        <w:gridCol w:w="989"/>
        <w:gridCol w:w="283"/>
        <w:gridCol w:w="1271"/>
        <w:gridCol w:w="1129"/>
        <w:gridCol w:w="848"/>
        <w:gridCol w:w="989"/>
        <w:gridCol w:w="283"/>
        <w:gridCol w:w="989"/>
        <w:gridCol w:w="991"/>
      </w:tblGrid>
      <w:tr w:rsidR="006B380D" w:rsidRPr="00216965" w14:paraId="04A66866" w14:textId="77777777" w:rsidTr="008A33DA">
        <w:trPr>
          <w:trHeight w:val="288"/>
          <w:jc w:val="center"/>
        </w:trPr>
        <w:tc>
          <w:tcPr>
            <w:tcW w:w="851" w:type="dxa"/>
            <w:tcBorders>
              <w:top w:val="single" w:sz="4" w:space="0" w:color="auto"/>
              <w:left w:val="nil"/>
              <w:bottom w:val="nil"/>
              <w:right w:val="nil"/>
            </w:tcBorders>
            <w:shd w:val="clear" w:color="auto" w:fill="A8D08D" w:themeFill="accent6" w:themeFillTint="99"/>
            <w:vAlign w:val="bottom"/>
          </w:tcPr>
          <w:p w14:paraId="18F8B9FE" w14:textId="77777777" w:rsidR="006B380D" w:rsidRPr="00216965" w:rsidRDefault="006B380D">
            <w:pPr>
              <w:spacing w:after="0" w:line="240" w:lineRule="auto"/>
              <w:rPr>
                <w:sz w:val="18"/>
                <w:szCs w:val="18"/>
              </w:rPr>
            </w:pPr>
          </w:p>
        </w:tc>
        <w:tc>
          <w:tcPr>
            <w:tcW w:w="754" w:type="dxa"/>
            <w:tcBorders>
              <w:top w:val="single" w:sz="4" w:space="0" w:color="auto"/>
              <w:left w:val="nil"/>
              <w:bottom w:val="nil"/>
              <w:right w:val="nil"/>
            </w:tcBorders>
            <w:shd w:val="clear" w:color="auto" w:fill="A8D08D" w:themeFill="accent6" w:themeFillTint="99"/>
            <w:vAlign w:val="bottom"/>
          </w:tcPr>
          <w:p w14:paraId="19041227" w14:textId="77777777" w:rsidR="006B380D" w:rsidRPr="00216965" w:rsidRDefault="006B380D">
            <w:pPr>
              <w:spacing w:after="0" w:line="240" w:lineRule="auto"/>
              <w:rPr>
                <w:sz w:val="18"/>
                <w:szCs w:val="18"/>
              </w:rPr>
            </w:pPr>
          </w:p>
        </w:tc>
        <w:tc>
          <w:tcPr>
            <w:tcW w:w="5081" w:type="dxa"/>
            <w:gridSpan w:val="5"/>
            <w:tcBorders>
              <w:top w:val="single" w:sz="4" w:space="0" w:color="auto"/>
              <w:left w:val="nil"/>
              <w:bottom w:val="single" w:sz="4" w:space="0" w:color="auto"/>
              <w:right w:val="nil"/>
            </w:tcBorders>
            <w:shd w:val="clear" w:color="auto" w:fill="A8D08D" w:themeFill="accent6" w:themeFillTint="99"/>
            <w:vAlign w:val="center"/>
            <w:hideMark/>
          </w:tcPr>
          <w:p w14:paraId="4C39313C" w14:textId="77777777" w:rsidR="006B380D" w:rsidRPr="00216965" w:rsidRDefault="006B380D">
            <w:pPr>
              <w:spacing w:after="0" w:line="240" w:lineRule="auto"/>
              <w:rPr>
                <w:sz w:val="18"/>
                <w:szCs w:val="18"/>
              </w:rPr>
            </w:pPr>
            <w:r w:rsidRPr="00216965">
              <w:rPr>
                <w:sz w:val="18"/>
                <w:szCs w:val="18"/>
                <w:vertAlign w:val="superscript"/>
              </w:rPr>
              <w:t>*</w:t>
            </w:r>
            <w:r w:rsidRPr="00216965">
              <w:rPr>
                <w:sz w:val="18"/>
                <w:szCs w:val="18"/>
              </w:rPr>
              <w:t>Anions</w:t>
            </w:r>
            <w:r w:rsidRPr="00216965">
              <w:rPr>
                <w:sz w:val="18"/>
                <w:szCs w:val="18"/>
                <w:vertAlign w:val="superscript"/>
              </w:rPr>
              <w:t xml:space="preserve">  </w:t>
            </w:r>
            <w:r w:rsidRPr="00216965">
              <w:rPr>
                <w:sz w:val="18"/>
                <w:szCs w:val="18"/>
              </w:rPr>
              <w:t>[mg.kg</w:t>
            </w:r>
            <w:r w:rsidRPr="00216965">
              <w:rPr>
                <w:sz w:val="18"/>
                <w:szCs w:val="18"/>
                <w:vertAlign w:val="superscript"/>
              </w:rPr>
              <w:t>-1</w:t>
            </w:r>
            <w:r w:rsidRPr="00216965">
              <w:rPr>
                <w:sz w:val="18"/>
                <w:szCs w:val="18"/>
              </w:rPr>
              <w:t>]</w:t>
            </w:r>
          </w:p>
        </w:tc>
        <w:tc>
          <w:tcPr>
            <w:tcW w:w="283" w:type="dxa"/>
            <w:tcBorders>
              <w:top w:val="single" w:sz="4" w:space="0" w:color="auto"/>
              <w:left w:val="nil"/>
              <w:bottom w:val="nil"/>
              <w:right w:val="nil"/>
            </w:tcBorders>
            <w:shd w:val="clear" w:color="auto" w:fill="A8D08D" w:themeFill="accent6" w:themeFillTint="99"/>
          </w:tcPr>
          <w:p w14:paraId="4922B4FD" w14:textId="77777777" w:rsidR="006B380D" w:rsidRPr="00216965" w:rsidRDefault="006B380D">
            <w:pPr>
              <w:spacing w:after="0" w:line="240" w:lineRule="auto"/>
              <w:rPr>
                <w:sz w:val="18"/>
                <w:szCs w:val="18"/>
              </w:rPr>
            </w:pPr>
          </w:p>
        </w:tc>
        <w:tc>
          <w:tcPr>
            <w:tcW w:w="4237" w:type="dxa"/>
            <w:gridSpan w:val="4"/>
            <w:tcBorders>
              <w:top w:val="single" w:sz="4" w:space="0" w:color="auto"/>
              <w:left w:val="nil"/>
              <w:bottom w:val="single" w:sz="4" w:space="0" w:color="auto"/>
              <w:right w:val="nil"/>
            </w:tcBorders>
            <w:shd w:val="clear" w:color="auto" w:fill="A8D08D" w:themeFill="accent6" w:themeFillTint="99"/>
            <w:vAlign w:val="center"/>
            <w:hideMark/>
          </w:tcPr>
          <w:p w14:paraId="53862EA4" w14:textId="77777777" w:rsidR="006B380D" w:rsidRPr="00216965" w:rsidRDefault="006B380D">
            <w:pPr>
              <w:spacing w:after="0" w:line="240" w:lineRule="auto"/>
              <w:rPr>
                <w:sz w:val="18"/>
                <w:szCs w:val="18"/>
              </w:rPr>
            </w:pPr>
            <w:r w:rsidRPr="00216965">
              <w:rPr>
                <w:sz w:val="18"/>
                <w:szCs w:val="18"/>
                <w:vertAlign w:val="superscript"/>
              </w:rPr>
              <w:t>*</w:t>
            </w:r>
            <w:r w:rsidRPr="00216965">
              <w:rPr>
                <w:sz w:val="18"/>
                <w:szCs w:val="18"/>
              </w:rPr>
              <w:t>Cations [mg.kg</w:t>
            </w:r>
            <w:r w:rsidRPr="00216965">
              <w:rPr>
                <w:sz w:val="18"/>
                <w:szCs w:val="18"/>
                <w:vertAlign w:val="superscript"/>
              </w:rPr>
              <w:t>-1</w:t>
            </w:r>
            <w:r w:rsidRPr="00216965">
              <w:rPr>
                <w:sz w:val="18"/>
                <w:szCs w:val="18"/>
              </w:rPr>
              <w:t>]</w:t>
            </w:r>
          </w:p>
        </w:tc>
        <w:tc>
          <w:tcPr>
            <w:tcW w:w="283" w:type="dxa"/>
            <w:tcBorders>
              <w:top w:val="single" w:sz="4" w:space="0" w:color="auto"/>
              <w:left w:val="nil"/>
              <w:bottom w:val="nil"/>
              <w:right w:val="nil"/>
            </w:tcBorders>
            <w:shd w:val="clear" w:color="auto" w:fill="A8D08D" w:themeFill="accent6" w:themeFillTint="99"/>
          </w:tcPr>
          <w:p w14:paraId="5DB83686" w14:textId="77777777" w:rsidR="006B380D" w:rsidRPr="00216965" w:rsidRDefault="006B380D">
            <w:pPr>
              <w:spacing w:after="0" w:line="240" w:lineRule="auto"/>
              <w:rPr>
                <w:sz w:val="18"/>
                <w:szCs w:val="18"/>
              </w:rPr>
            </w:pPr>
          </w:p>
        </w:tc>
        <w:tc>
          <w:tcPr>
            <w:tcW w:w="1980" w:type="dxa"/>
            <w:gridSpan w:val="2"/>
            <w:tcBorders>
              <w:top w:val="single" w:sz="4" w:space="0" w:color="auto"/>
              <w:left w:val="nil"/>
              <w:bottom w:val="single" w:sz="4" w:space="0" w:color="auto"/>
              <w:right w:val="nil"/>
            </w:tcBorders>
            <w:shd w:val="clear" w:color="auto" w:fill="A8D08D" w:themeFill="accent6" w:themeFillTint="99"/>
            <w:vAlign w:val="center"/>
            <w:hideMark/>
          </w:tcPr>
          <w:p w14:paraId="7F109090" w14:textId="7188732B" w:rsidR="006B380D" w:rsidRPr="00216965" w:rsidRDefault="006B380D" w:rsidP="00C84F12">
            <w:pPr>
              <w:spacing w:after="0" w:line="240" w:lineRule="auto"/>
              <w:rPr>
                <w:sz w:val="18"/>
                <w:szCs w:val="18"/>
              </w:rPr>
            </w:pPr>
            <w:r w:rsidRPr="00216965">
              <w:rPr>
                <w:sz w:val="18"/>
                <w:szCs w:val="18"/>
              </w:rPr>
              <w:t>Plant available nutrients</w:t>
            </w:r>
          </w:p>
          <w:p w14:paraId="3986D501" w14:textId="77777777" w:rsidR="006B380D" w:rsidRPr="00216965" w:rsidRDefault="006B380D" w:rsidP="00C84F12">
            <w:pPr>
              <w:spacing w:after="0" w:line="240" w:lineRule="auto"/>
              <w:rPr>
                <w:sz w:val="18"/>
                <w:szCs w:val="18"/>
              </w:rPr>
            </w:pPr>
            <w:r w:rsidRPr="00216965">
              <w:rPr>
                <w:sz w:val="18"/>
                <w:szCs w:val="18"/>
              </w:rPr>
              <w:t>[mg.kg</w:t>
            </w:r>
            <w:r w:rsidRPr="00216965">
              <w:rPr>
                <w:sz w:val="18"/>
                <w:szCs w:val="18"/>
                <w:vertAlign w:val="superscript"/>
              </w:rPr>
              <w:t>-1</w:t>
            </w:r>
            <w:r w:rsidRPr="00216965">
              <w:rPr>
                <w:sz w:val="18"/>
                <w:szCs w:val="18"/>
              </w:rPr>
              <w:t>]</w:t>
            </w:r>
          </w:p>
        </w:tc>
      </w:tr>
      <w:tr w:rsidR="00C84F12" w:rsidRPr="00216965" w14:paraId="4C5C97AD" w14:textId="77777777" w:rsidTr="008A33DA">
        <w:trPr>
          <w:trHeight w:val="288"/>
          <w:jc w:val="center"/>
        </w:trPr>
        <w:tc>
          <w:tcPr>
            <w:tcW w:w="851" w:type="dxa"/>
            <w:tcBorders>
              <w:top w:val="nil"/>
              <w:left w:val="nil"/>
              <w:bottom w:val="single" w:sz="4" w:space="0" w:color="auto"/>
              <w:right w:val="nil"/>
            </w:tcBorders>
            <w:shd w:val="clear" w:color="auto" w:fill="A8D08D" w:themeFill="accent6" w:themeFillTint="99"/>
            <w:vAlign w:val="bottom"/>
            <w:hideMark/>
          </w:tcPr>
          <w:p w14:paraId="7EFFCD25" w14:textId="77777777" w:rsidR="006B380D" w:rsidRPr="00216965" w:rsidRDefault="006B380D">
            <w:pPr>
              <w:spacing w:after="0" w:line="240" w:lineRule="auto"/>
              <w:rPr>
                <w:sz w:val="18"/>
                <w:szCs w:val="18"/>
              </w:rPr>
            </w:pPr>
            <w:r w:rsidRPr="00216965">
              <w:rPr>
                <w:sz w:val="18"/>
                <w:szCs w:val="18"/>
              </w:rPr>
              <w:t>Biochar</w:t>
            </w:r>
          </w:p>
        </w:tc>
        <w:tc>
          <w:tcPr>
            <w:tcW w:w="754" w:type="dxa"/>
            <w:tcBorders>
              <w:top w:val="nil"/>
              <w:left w:val="nil"/>
              <w:bottom w:val="single" w:sz="4" w:space="0" w:color="auto"/>
              <w:right w:val="nil"/>
            </w:tcBorders>
            <w:shd w:val="clear" w:color="auto" w:fill="A8D08D" w:themeFill="accent6" w:themeFillTint="99"/>
            <w:vAlign w:val="bottom"/>
            <w:hideMark/>
          </w:tcPr>
          <w:p w14:paraId="366DF835" w14:textId="77777777" w:rsidR="006B380D" w:rsidRPr="00216965" w:rsidRDefault="006B380D">
            <w:pPr>
              <w:spacing w:after="0" w:line="240" w:lineRule="auto"/>
              <w:rPr>
                <w:sz w:val="18"/>
                <w:szCs w:val="18"/>
              </w:rPr>
            </w:pPr>
            <w:r w:rsidRPr="00216965">
              <w:rPr>
                <w:sz w:val="18"/>
                <w:szCs w:val="18"/>
              </w:rPr>
              <w:t>Rate % (</w:t>
            </w:r>
            <w:r w:rsidRPr="00216965">
              <w:rPr>
                <w:i/>
                <w:iCs/>
                <w:sz w:val="18"/>
                <w:szCs w:val="18"/>
              </w:rPr>
              <w:t>w/w</w:t>
            </w:r>
            <w:r w:rsidRPr="00216965">
              <w:rPr>
                <w:sz w:val="18"/>
                <w:szCs w:val="18"/>
              </w:rPr>
              <w:t>)</w:t>
            </w:r>
          </w:p>
        </w:tc>
        <w:tc>
          <w:tcPr>
            <w:tcW w:w="1128" w:type="dxa"/>
            <w:tcBorders>
              <w:top w:val="single" w:sz="4" w:space="0" w:color="auto"/>
              <w:left w:val="nil"/>
              <w:bottom w:val="single" w:sz="4" w:space="0" w:color="auto"/>
              <w:right w:val="nil"/>
            </w:tcBorders>
            <w:shd w:val="clear" w:color="auto" w:fill="A8D08D" w:themeFill="accent6" w:themeFillTint="99"/>
            <w:vAlign w:val="bottom"/>
            <w:hideMark/>
          </w:tcPr>
          <w:p w14:paraId="33D7D528" w14:textId="77777777" w:rsidR="006B380D" w:rsidRPr="00216965" w:rsidRDefault="006B380D">
            <w:pPr>
              <w:spacing w:after="0" w:line="240" w:lineRule="auto"/>
              <w:rPr>
                <w:sz w:val="18"/>
                <w:szCs w:val="18"/>
              </w:rPr>
            </w:pPr>
            <w:r w:rsidRPr="00216965">
              <w:rPr>
                <w:sz w:val="18"/>
                <w:szCs w:val="18"/>
              </w:rPr>
              <w:t>Cl</w:t>
            </w:r>
            <w:r w:rsidRPr="00216965">
              <w:rPr>
                <w:sz w:val="18"/>
                <w:szCs w:val="18"/>
                <w:vertAlign w:val="superscript"/>
              </w:rPr>
              <w:t>-</w:t>
            </w:r>
          </w:p>
        </w:tc>
        <w:tc>
          <w:tcPr>
            <w:tcW w:w="976" w:type="dxa"/>
            <w:tcBorders>
              <w:top w:val="single" w:sz="4" w:space="0" w:color="auto"/>
              <w:left w:val="nil"/>
              <w:bottom w:val="single" w:sz="4" w:space="0" w:color="auto"/>
              <w:right w:val="nil"/>
            </w:tcBorders>
            <w:shd w:val="clear" w:color="auto" w:fill="A8D08D" w:themeFill="accent6" w:themeFillTint="99"/>
            <w:vAlign w:val="bottom"/>
            <w:hideMark/>
          </w:tcPr>
          <w:p w14:paraId="7A193971" w14:textId="77777777" w:rsidR="006B380D" w:rsidRPr="00216965" w:rsidRDefault="006B380D">
            <w:pPr>
              <w:spacing w:after="0" w:line="240" w:lineRule="auto"/>
              <w:rPr>
                <w:sz w:val="18"/>
                <w:szCs w:val="18"/>
              </w:rPr>
            </w:pPr>
            <w:r w:rsidRPr="00216965">
              <w:rPr>
                <w:sz w:val="18"/>
                <w:szCs w:val="18"/>
              </w:rPr>
              <w:t>NO</w:t>
            </w:r>
            <w:r w:rsidRPr="00216965">
              <w:rPr>
                <w:sz w:val="18"/>
                <w:szCs w:val="18"/>
                <w:vertAlign w:val="superscript"/>
              </w:rPr>
              <w:t>-2</w:t>
            </w:r>
          </w:p>
        </w:tc>
        <w:tc>
          <w:tcPr>
            <w:tcW w:w="1000" w:type="dxa"/>
            <w:tcBorders>
              <w:top w:val="single" w:sz="4" w:space="0" w:color="auto"/>
              <w:left w:val="nil"/>
              <w:bottom w:val="single" w:sz="4" w:space="0" w:color="auto"/>
              <w:right w:val="nil"/>
            </w:tcBorders>
            <w:shd w:val="clear" w:color="auto" w:fill="A8D08D" w:themeFill="accent6" w:themeFillTint="99"/>
            <w:vAlign w:val="bottom"/>
            <w:hideMark/>
          </w:tcPr>
          <w:p w14:paraId="34BDA30E" w14:textId="77777777" w:rsidR="006B380D" w:rsidRPr="00216965" w:rsidRDefault="006B380D">
            <w:pPr>
              <w:spacing w:after="0" w:line="240" w:lineRule="auto"/>
              <w:rPr>
                <w:sz w:val="18"/>
                <w:szCs w:val="18"/>
              </w:rPr>
            </w:pPr>
            <w:r w:rsidRPr="00216965">
              <w:rPr>
                <w:sz w:val="18"/>
                <w:szCs w:val="18"/>
              </w:rPr>
              <w:t>S</w:t>
            </w:r>
            <w:r w:rsidRPr="00216965">
              <w:rPr>
                <w:sz w:val="18"/>
                <w:szCs w:val="18"/>
                <w:vertAlign w:val="subscript"/>
              </w:rPr>
              <w:t>2</w:t>
            </w:r>
            <w:r w:rsidRPr="00216965">
              <w:rPr>
                <w:sz w:val="18"/>
                <w:szCs w:val="18"/>
              </w:rPr>
              <w:t>O</w:t>
            </w:r>
            <w:r w:rsidRPr="00216965">
              <w:rPr>
                <w:sz w:val="18"/>
                <w:szCs w:val="18"/>
                <w:vertAlign w:val="subscript"/>
              </w:rPr>
              <w:t>3</w:t>
            </w:r>
            <w:r w:rsidRPr="00216965">
              <w:rPr>
                <w:sz w:val="18"/>
                <w:szCs w:val="18"/>
                <w:vertAlign w:val="superscript"/>
              </w:rPr>
              <w:t>-2</w:t>
            </w:r>
          </w:p>
        </w:tc>
        <w:tc>
          <w:tcPr>
            <w:tcW w:w="988" w:type="dxa"/>
            <w:tcBorders>
              <w:top w:val="single" w:sz="4" w:space="0" w:color="auto"/>
              <w:left w:val="nil"/>
              <w:bottom w:val="single" w:sz="4" w:space="0" w:color="auto"/>
              <w:right w:val="nil"/>
            </w:tcBorders>
            <w:shd w:val="clear" w:color="auto" w:fill="A8D08D" w:themeFill="accent6" w:themeFillTint="99"/>
            <w:vAlign w:val="bottom"/>
            <w:hideMark/>
          </w:tcPr>
          <w:p w14:paraId="6A25256D" w14:textId="77777777" w:rsidR="006B380D" w:rsidRPr="00216965" w:rsidRDefault="006B380D">
            <w:pPr>
              <w:spacing w:after="0" w:line="240" w:lineRule="auto"/>
              <w:rPr>
                <w:sz w:val="18"/>
                <w:szCs w:val="18"/>
              </w:rPr>
            </w:pPr>
            <w:r w:rsidRPr="00216965">
              <w:rPr>
                <w:sz w:val="18"/>
                <w:szCs w:val="18"/>
              </w:rPr>
              <w:t>NO</w:t>
            </w:r>
            <w:r w:rsidRPr="00216965">
              <w:rPr>
                <w:sz w:val="18"/>
                <w:szCs w:val="18"/>
                <w:vertAlign w:val="superscript"/>
              </w:rPr>
              <w:t>-3</w:t>
            </w:r>
          </w:p>
        </w:tc>
        <w:tc>
          <w:tcPr>
            <w:tcW w:w="989" w:type="dxa"/>
            <w:tcBorders>
              <w:top w:val="single" w:sz="4" w:space="0" w:color="auto"/>
              <w:left w:val="nil"/>
              <w:bottom w:val="single" w:sz="4" w:space="0" w:color="auto"/>
              <w:right w:val="nil"/>
            </w:tcBorders>
            <w:shd w:val="clear" w:color="auto" w:fill="A8D08D" w:themeFill="accent6" w:themeFillTint="99"/>
            <w:vAlign w:val="bottom"/>
            <w:hideMark/>
          </w:tcPr>
          <w:p w14:paraId="2E19C288" w14:textId="77777777" w:rsidR="006B380D" w:rsidRPr="00216965" w:rsidRDefault="006B380D">
            <w:pPr>
              <w:spacing w:after="0" w:line="240" w:lineRule="auto"/>
              <w:rPr>
                <w:sz w:val="18"/>
                <w:szCs w:val="18"/>
              </w:rPr>
            </w:pPr>
            <w:r w:rsidRPr="00216965">
              <w:rPr>
                <w:sz w:val="18"/>
                <w:szCs w:val="18"/>
              </w:rPr>
              <w:t>PO</w:t>
            </w:r>
            <w:r w:rsidRPr="00216965">
              <w:rPr>
                <w:sz w:val="18"/>
                <w:szCs w:val="18"/>
                <w:vertAlign w:val="subscript"/>
              </w:rPr>
              <w:t>4</w:t>
            </w:r>
            <w:r w:rsidRPr="00216965">
              <w:rPr>
                <w:sz w:val="18"/>
                <w:szCs w:val="18"/>
                <w:vertAlign w:val="superscript"/>
              </w:rPr>
              <w:t>-3</w:t>
            </w:r>
          </w:p>
        </w:tc>
        <w:tc>
          <w:tcPr>
            <w:tcW w:w="283" w:type="dxa"/>
            <w:tcBorders>
              <w:top w:val="nil"/>
              <w:left w:val="nil"/>
              <w:bottom w:val="single" w:sz="4" w:space="0" w:color="auto"/>
              <w:right w:val="nil"/>
            </w:tcBorders>
            <w:shd w:val="clear" w:color="auto" w:fill="A8D08D" w:themeFill="accent6" w:themeFillTint="99"/>
          </w:tcPr>
          <w:p w14:paraId="2D489F84" w14:textId="77777777" w:rsidR="006B380D" w:rsidRPr="00216965" w:rsidRDefault="006B380D">
            <w:pPr>
              <w:spacing w:after="0" w:line="240" w:lineRule="auto"/>
              <w:rPr>
                <w:sz w:val="18"/>
                <w:szCs w:val="18"/>
              </w:rPr>
            </w:pPr>
          </w:p>
        </w:tc>
        <w:tc>
          <w:tcPr>
            <w:tcW w:w="1271" w:type="dxa"/>
            <w:tcBorders>
              <w:top w:val="single" w:sz="4" w:space="0" w:color="auto"/>
              <w:left w:val="nil"/>
              <w:bottom w:val="single" w:sz="4" w:space="0" w:color="auto"/>
              <w:right w:val="nil"/>
            </w:tcBorders>
            <w:shd w:val="clear" w:color="auto" w:fill="A8D08D" w:themeFill="accent6" w:themeFillTint="99"/>
            <w:vAlign w:val="bottom"/>
            <w:hideMark/>
          </w:tcPr>
          <w:p w14:paraId="561C6910" w14:textId="77777777" w:rsidR="006B380D" w:rsidRPr="00216965" w:rsidRDefault="006B380D">
            <w:pPr>
              <w:spacing w:after="0" w:line="240" w:lineRule="auto"/>
              <w:rPr>
                <w:sz w:val="18"/>
                <w:szCs w:val="18"/>
              </w:rPr>
            </w:pPr>
            <w:r w:rsidRPr="00216965">
              <w:rPr>
                <w:sz w:val="18"/>
                <w:szCs w:val="18"/>
              </w:rPr>
              <w:t>Na</w:t>
            </w:r>
            <w:r w:rsidRPr="00216965">
              <w:rPr>
                <w:sz w:val="18"/>
                <w:szCs w:val="18"/>
                <w:vertAlign w:val="superscript"/>
              </w:rPr>
              <w:t>+</w:t>
            </w:r>
          </w:p>
        </w:tc>
        <w:tc>
          <w:tcPr>
            <w:tcW w:w="1129" w:type="dxa"/>
            <w:tcBorders>
              <w:top w:val="single" w:sz="4" w:space="0" w:color="auto"/>
              <w:left w:val="nil"/>
              <w:bottom w:val="single" w:sz="4" w:space="0" w:color="auto"/>
              <w:right w:val="nil"/>
            </w:tcBorders>
            <w:shd w:val="clear" w:color="auto" w:fill="A8D08D" w:themeFill="accent6" w:themeFillTint="99"/>
            <w:vAlign w:val="bottom"/>
            <w:hideMark/>
          </w:tcPr>
          <w:p w14:paraId="1AF76A0D" w14:textId="77777777" w:rsidR="006B380D" w:rsidRPr="00216965" w:rsidRDefault="006B380D">
            <w:pPr>
              <w:spacing w:after="0" w:line="240" w:lineRule="auto"/>
              <w:rPr>
                <w:sz w:val="18"/>
                <w:szCs w:val="18"/>
              </w:rPr>
            </w:pPr>
            <w:r w:rsidRPr="00216965">
              <w:rPr>
                <w:sz w:val="18"/>
                <w:szCs w:val="18"/>
              </w:rPr>
              <w:t>K</w:t>
            </w:r>
            <w:r w:rsidRPr="00216965">
              <w:rPr>
                <w:sz w:val="18"/>
                <w:szCs w:val="18"/>
                <w:vertAlign w:val="superscript"/>
              </w:rPr>
              <w:t>+</w:t>
            </w:r>
          </w:p>
        </w:tc>
        <w:tc>
          <w:tcPr>
            <w:tcW w:w="848" w:type="dxa"/>
            <w:tcBorders>
              <w:top w:val="single" w:sz="4" w:space="0" w:color="auto"/>
              <w:left w:val="nil"/>
              <w:bottom w:val="single" w:sz="4" w:space="0" w:color="auto"/>
              <w:right w:val="nil"/>
            </w:tcBorders>
            <w:shd w:val="clear" w:color="auto" w:fill="A8D08D" w:themeFill="accent6" w:themeFillTint="99"/>
            <w:vAlign w:val="bottom"/>
            <w:hideMark/>
          </w:tcPr>
          <w:p w14:paraId="20AC2308" w14:textId="77777777" w:rsidR="006B380D" w:rsidRPr="00216965" w:rsidRDefault="006B380D">
            <w:pPr>
              <w:spacing w:after="0" w:line="240" w:lineRule="auto"/>
              <w:rPr>
                <w:sz w:val="18"/>
                <w:szCs w:val="18"/>
              </w:rPr>
            </w:pPr>
            <w:r w:rsidRPr="00216965">
              <w:rPr>
                <w:sz w:val="18"/>
                <w:szCs w:val="18"/>
              </w:rPr>
              <w:t>Mg</w:t>
            </w:r>
            <w:r w:rsidRPr="00216965">
              <w:rPr>
                <w:sz w:val="18"/>
                <w:szCs w:val="18"/>
                <w:vertAlign w:val="superscript"/>
              </w:rPr>
              <w:t>2+</w:t>
            </w:r>
          </w:p>
        </w:tc>
        <w:tc>
          <w:tcPr>
            <w:tcW w:w="989" w:type="dxa"/>
            <w:tcBorders>
              <w:top w:val="single" w:sz="4" w:space="0" w:color="auto"/>
              <w:left w:val="nil"/>
              <w:bottom w:val="single" w:sz="4" w:space="0" w:color="auto"/>
              <w:right w:val="nil"/>
            </w:tcBorders>
            <w:shd w:val="clear" w:color="auto" w:fill="A8D08D" w:themeFill="accent6" w:themeFillTint="99"/>
            <w:vAlign w:val="bottom"/>
            <w:hideMark/>
          </w:tcPr>
          <w:p w14:paraId="06C8A720" w14:textId="77777777" w:rsidR="006B380D" w:rsidRPr="00216965" w:rsidRDefault="006B380D">
            <w:pPr>
              <w:spacing w:after="0" w:line="240" w:lineRule="auto"/>
              <w:rPr>
                <w:sz w:val="18"/>
                <w:szCs w:val="18"/>
              </w:rPr>
            </w:pPr>
            <w:r w:rsidRPr="00216965">
              <w:rPr>
                <w:sz w:val="18"/>
                <w:szCs w:val="18"/>
              </w:rPr>
              <w:t>Ca</w:t>
            </w:r>
            <w:r w:rsidRPr="00216965">
              <w:rPr>
                <w:sz w:val="18"/>
                <w:szCs w:val="18"/>
                <w:vertAlign w:val="superscript"/>
              </w:rPr>
              <w:t>2+</w:t>
            </w:r>
          </w:p>
        </w:tc>
        <w:tc>
          <w:tcPr>
            <w:tcW w:w="283" w:type="dxa"/>
            <w:tcBorders>
              <w:top w:val="nil"/>
              <w:left w:val="nil"/>
              <w:bottom w:val="single" w:sz="4" w:space="0" w:color="auto"/>
              <w:right w:val="nil"/>
            </w:tcBorders>
            <w:shd w:val="clear" w:color="auto" w:fill="A8D08D" w:themeFill="accent6" w:themeFillTint="99"/>
          </w:tcPr>
          <w:p w14:paraId="5AC03976" w14:textId="77777777" w:rsidR="006B380D" w:rsidRPr="00216965" w:rsidRDefault="006B380D">
            <w:pPr>
              <w:spacing w:after="0" w:line="240" w:lineRule="auto"/>
              <w:rPr>
                <w:sz w:val="18"/>
                <w:szCs w:val="18"/>
                <w:vertAlign w:val="superscript"/>
              </w:rPr>
            </w:pPr>
          </w:p>
        </w:tc>
        <w:tc>
          <w:tcPr>
            <w:tcW w:w="989" w:type="dxa"/>
            <w:tcBorders>
              <w:top w:val="single" w:sz="4" w:space="0" w:color="auto"/>
              <w:left w:val="nil"/>
              <w:bottom w:val="single" w:sz="4" w:space="0" w:color="auto"/>
              <w:right w:val="nil"/>
            </w:tcBorders>
            <w:shd w:val="clear" w:color="auto" w:fill="A8D08D" w:themeFill="accent6" w:themeFillTint="99"/>
            <w:vAlign w:val="center"/>
            <w:hideMark/>
          </w:tcPr>
          <w:p w14:paraId="1B693E9C" w14:textId="77777777" w:rsidR="006B380D" w:rsidRPr="00216965" w:rsidRDefault="006B380D">
            <w:pPr>
              <w:spacing w:after="0" w:line="240" w:lineRule="auto"/>
              <w:rPr>
                <w:sz w:val="18"/>
                <w:szCs w:val="18"/>
              </w:rPr>
            </w:pPr>
            <w:r w:rsidRPr="00216965">
              <w:rPr>
                <w:sz w:val="18"/>
                <w:szCs w:val="18"/>
                <w:vertAlign w:val="superscript"/>
              </w:rPr>
              <w:t>**</w:t>
            </w:r>
            <w:r w:rsidRPr="00216965">
              <w:rPr>
                <w:sz w:val="18"/>
                <w:szCs w:val="18"/>
              </w:rPr>
              <w:t>PO</w:t>
            </w:r>
            <w:r w:rsidRPr="00216965">
              <w:rPr>
                <w:sz w:val="18"/>
                <w:szCs w:val="18"/>
                <w:vertAlign w:val="subscript"/>
              </w:rPr>
              <w:t>4</w:t>
            </w:r>
            <w:r w:rsidRPr="00216965">
              <w:rPr>
                <w:sz w:val="18"/>
                <w:szCs w:val="18"/>
                <w:vertAlign w:val="superscript"/>
              </w:rPr>
              <w:t>3-</w:t>
            </w:r>
          </w:p>
        </w:tc>
        <w:tc>
          <w:tcPr>
            <w:tcW w:w="991" w:type="dxa"/>
            <w:tcBorders>
              <w:top w:val="single" w:sz="4" w:space="0" w:color="auto"/>
              <w:left w:val="nil"/>
              <w:bottom w:val="single" w:sz="4" w:space="0" w:color="auto"/>
              <w:right w:val="nil"/>
            </w:tcBorders>
            <w:shd w:val="clear" w:color="auto" w:fill="A8D08D" w:themeFill="accent6" w:themeFillTint="99"/>
            <w:vAlign w:val="center"/>
            <w:hideMark/>
          </w:tcPr>
          <w:p w14:paraId="2F9398E0" w14:textId="77777777" w:rsidR="006B380D" w:rsidRPr="00216965" w:rsidRDefault="006B380D">
            <w:pPr>
              <w:spacing w:after="0" w:line="240" w:lineRule="auto"/>
              <w:rPr>
                <w:sz w:val="18"/>
                <w:szCs w:val="18"/>
              </w:rPr>
            </w:pPr>
            <w:r w:rsidRPr="00216965">
              <w:rPr>
                <w:sz w:val="18"/>
                <w:szCs w:val="18"/>
                <w:vertAlign w:val="superscript"/>
              </w:rPr>
              <w:t>***</w:t>
            </w:r>
            <w:r w:rsidRPr="00216965">
              <w:rPr>
                <w:sz w:val="18"/>
                <w:szCs w:val="18"/>
              </w:rPr>
              <w:t xml:space="preserve"> NO</w:t>
            </w:r>
            <w:r w:rsidRPr="00216965">
              <w:rPr>
                <w:sz w:val="18"/>
                <w:szCs w:val="18"/>
                <w:vertAlign w:val="subscript"/>
              </w:rPr>
              <w:t>3</w:t>
            </w:r>
            <w:r w:rsidRPr="00216965">
              <w:rPr>
                <w:sz w:val="18"/>
                <w:szCs w:val="18"/>
                <w:vertAlign w:val="superscript"/>
              </w:rPr>
              <w:t>-</w:t>
            </w:r>
          </w:p>
        </w:tc>
      </w:tr>
      <w:tr w:rsidR="006B380D" w:rsidRPr="00216965" w14:paraId="37053B55" w14:textId="77777777" w:rsidTr="008A33DA">
        <w:trPr>
          <w:trHeight w:val="288"/>
          <w:jc w:val="center"/>
        </w:trPr>
        <w:tc>
          <w:tcPr>
            <w:tcW w:w="851" w:type="dxa"/>
            <w:tcBorders>
              <w:top w:val="single" w:sz="4" w:space="0" w:color="auto"/>
              <w:left w:val="nil"/>
              <w:bottom w:val="nil"/>
              <w:right w:val="nil"/>
            </w:tcBorders>
            <w:vAlign w:val="bottom"/>
            <w:hideMark/>
          </w:tcPr>
          <w:p w14:paraId="17339A92" w14:textId="77777777" w:rsidR="006B380D" w:rsidRPr="00216965" w:rsidRDefault="006B380D">
            <w:pPr>
              <w:spacing w:after="0" w:line="240" w:lineRule="auto"/>
              <w:rPr>
                <w:sz w:val="16"/>
                <w:szCs w:val="16"/>
              </w:rPr>
            </w:pPr>
            <w:r w:rsidRPr="00216965">
              <w:rPr>
                <w:sz w:val="16"/>
                <w:szCs w:val="16"/>
              </w:rPr>
              <w:t>no biochar</w:t>
            </w:r>
          </w:p>
        </w:tc>
        <w:tc>
          <w:tcPr>
            <w:tcW w:w="754" w:type="dxa"/>
            <w:tcBorders>
              <w:top w:val="single" w:sz="4" w:space="0" w:color="auto"/>
              <w:left w:val="nil"/>
              <w:bottom w:val="nil"/>
              <w:right w:val="nil"/>
            </w:tcBorders>
            <w:vAlign w:val="bottom"/>
            <w:hideMark/>
          </w:tcPr>
          <w:p w14:paraId="31BD9AE6" w14:textId="77777777" w:rsidR="006B380D" w:rsidRPr="00216965" w:rsidRDefault="006B380D">
            <w:pPr>
              <w:spacing w:after="0" w:line="240" w:lineRule="auto"/>
              <w:rPr>
                <w:sz w:val="16"/>
                <w:szCs w:val="16"/>
              </w:rPr>
            </w:pPr>
            <w:r w:rsidRPr="00216965">
              <w:rPr>
                <w:sz w:val="16"/>
                <w:szCs w:val="16"/>
              </w:rPr>
              <w:t>0</w:t>
            </w:r>
          </w:p>
        </w:tc>
        <w:tc>
          <w:tcPr>
            <w:tcW w:w="1128" w:type="dxa"/>
            <w:tcBorders>
              <w:top w:val="single" w:sz="4" w:space="0" w:color="auto"/>
              <w:left w:val="nil"/>
              <w:bottom w:val="nil"/>
              <w:right w:val="nil"/>
            </w:tcBorders>
            <w:vAlign w:val="bottom"/>
            <w:hideMark/>
          </w:tcPr>
          <w:p w14:paraId="51EC2473" w14:textId="77777777" w:rsidR="006B380D" w:rsidRPr="00216965" w:rsidRDefault="006B380D">
            <w:pPr>
              <w:spacing w:after="0" w:line="240" w:lineRule="auto"/>
              <w:rPr>
                <w:sz w:val="16"/>
                <w:szCs w:val="16"/>
              </w:rPr>
            </w:pPr>
            <w:r w:rsidRPr="00216965">
              <w:rPr>
                <w:sz w:val="16"/>
                <w:szCs w:val="16"/>
              </w:rPr>
              <w:t>63 ± 14 ab</w:t>
            </w:r>
          </w:p>
        </w:tc>
        <w:tc>
          <w:tcPr>
            <w:tcW w:w="976" w:type="dxa"/>
            <w:tcBorders>
              <w:top w:val="single" w:sz="4" w:space="0" w:color="auto"/>
              <w:left w:val="nil"/>
              <w:bottom w:val="nil"/>
              <w:right w:val="nil"/>
            </w:tcBorders>
            <w:vAlign w:val="bottom"/>
            <w:hideMark/>
          </w:tcPr>
          <w:p w14:paraId="6B3F20C6" w14:textId="77777777" w:rsidR="006B380D" w:rsidRPr="00216965" w:rsidRDefault="006B380D">
            <w:pPr>
              <w:spacing w:after="0" w:line="240" w:lineRule="auto"/>
              <w:rPr>
                <w:sz w:val="16"/>
                <w:szCs w:val="16"/>
              </w:rPr>
            </w:pPr>
            <w:r w:rsidRPr="00216965">
              <w:rPr>
                <w:sz w:val="16"/>
                <w:szCs w:val="16"/>
              </w:rPr>
              <w:t>8.1 ± 1.4 a</w:t>
            </w:r>
          </w:p>
        </w:tc>
        <w:tc>
          <w:tcPr>
            <w:tcW w:w="1000" w:type="dxa"/>
            <w:tcBorders>
              <w:top w:val="single" w:sz="4" w:space="0" w:color="auto"/>
              <w:left w:val="nil"/>
              <w:bottom w:val="nil"/>
              <w:right w:val="nil"/>
            </w:tcBorders>
            <w:vAlign w:val="bottom"/>
            <w:hideMark/>
          </w:tcPr>
          <w:p w14:paraId="6FD93354" w14:textId="77777777" w:rsidR="006B380D" w:rsidRPr="00216965" w:rsidRDefault="006B380D">
            <w:pPr>
              <w:spacing w:after="0" w:line="240" w:lineRule="auto"/>
              <w:rPr>
                <w:sz w:val="16"/>
                <w:szCs w:val="16"/>
              </w:rPr>
            </w:pPr>
            <w:r w:rsidRPr="00216965">
              <w:rPr>
                <w:sz w:val="16"/>
                <w:szCs w:val="16"/>
              </w:rPr>
              <w:t>100 ± 21 a</w:t>
            </w:r>
          </w:p>
        </w:tc>
        <w:tc>
          <w:tcPr>
            <w:tcW w:w="988" w:type="dxa"/>
            <w:tcBorders>
              <w:top w:val="single" w:sz="4" w:space="0" w:color="auto"/>
              <w:left w:val="nil"/>
              <w:bottom w:val="nil"/>
              <w:right w:val="nil"/>
            </w:tcBorders>
            <w:vAlign w:val="bottom"/>
            <w:hideMark/>
          </w:tcPr>
          <w:p w14:paraId="7A9310D4" w14:textId="77777777" w:rsidR="006B380D" w:rsidRPr="00216965" w:rsidRDefault="006B380D">
            <w:pPr>
              <w:spacing w:after="0" w:line="240" w:lineRule="auto"/>
              <w:rPr>
                <w:sz w:val="16"/>
                <w:szCs w:val="16"/>
              </w:rPr>
            </w:pPr>
            <w:r w:rsidRPr="00216965">
              <w:rPr>
                <w:sz w:val="16"/>
                <w:szCs w:val="16"/>
              </w:rPr>
              <w:t>55 ± 6 a</w:t>
            </w:r>
          </w:p>
        </w:tc>
        <w:tc>
          <w:tcPr>
            <w:tcW w:w="989" w:type="dxa"/>
            <w:tcBorders>
              <w:top w:val="single" w:sz="4" w:space="0" w:color="auto"/>
              <w:left w:val="nil"/>
              <w:bottom w:val="nil"/>
              <w:right w:val="nil"/>
            </w:tcBorders>
            <w:vAlign w:val="bottom"/>
            <w:hideMark/>
          </w:tcPr>
          <w:p w14:paraId="76F983D5" w14:textId="77777777" w:rsidR="006B380D" w:rsidRPr="00216965" w:rsidRDefault="006B380D">
            <w:pPr>
              <w:spacing w:after="0" w:line="240" w:lineRule="auto"/>
              <w:rPr>
                <w:sz w:val="16"/>
                <w:szCs w:val="16"/>
              </w:rPr>
            </w:pPr>
            <w:r w:rsidRPr="00216965">
              <w:rPr>
                <w:sz w:val="16"/>
                <w:szCs w:val="16"/>
              </w:rPr>
              <w:t>99 ± 11 a</w:t>
            </w:r>
          </w:p>
        </w:tc>
        <w:tc>
          <w:tcPr>
            <w:tcW w:w="283" w:type="dxa"/>
            <w:tcBorders>
              <w:top w:val="single" w:sz="4" w:space="0" w:color="auto"/>
              <w:left w:val="nil"/>
              <w:bottom w:val="nil"/>
              <w:right w:val="nil"/>
            </w:tcBorders>
          </w:tcPr>
          <w:p w14:paraId="5D437518" w14:textId="77777777" w:rsidR="006B380D" w:rsidRPr="00216965" w:rsidRDefault="006B380D">
            <w:pPr>
              <w:spacing w:after="0" w:line="240" w:lineRule="auto"/>
              <w:rPr>
                <w:sz w:val="16"/>
                <w:szCs w:val="16"/>
              </w:rPr>
            </w:pPr>
          </w:p>
        </w:tc>
        <w:tc>
          <w:tcPr>
            <w:tcW w:w="1271" w:type="dxa"/>
            <w:tcBorders>
              <w:top w:val="single" w:sz="4" w:space="0" w:color="auto"/>
              <w:left w:val="nil"/>
              <w:bottom w:val="nil"/>
              <w:right w:val="nil"/>
            </w:tcBorders>
            <w:vAlign w:val="bottom"/>
            <w:hideMark/>
          </w:tcPr>
          <w:p w14:paraId="7FEFF727" w14:textId="77777777" w:rsidR="006B380D" w:rsidRPr="00216965" w:rsidRDefault="006B380D">
            <w:pPr>
              <w:spacing w:after="0" w:line="240" w:lineRule="auto"/>
              <w:rPr>
                <w:sz w:val="16"/>
                <w:szCs w:val="16"/>
              </w:rPr>
            </w:pPr>
            <w:r w:rsidRPr="00216965">
              <w:rPr>
                <w:sz w:val="16"/>
                <w:szCs w:val="16"/>
              </w:rPr>
              <w:t>5.1 ± 0.4 f</w:t>
            </w:r>
          </w:p>
        </w:tc>
        <w:tc>
          <w:tcPr>
            <w:tcW w:w="1129" w:type="dxa"/>
            <w:tcBorders>
              <w:top w:val="single" w:sz="4" w:space="0" w:color="auto"/>
              <w:left w:val="nil"/>
              <w:bottom w:val="nil"/>
              <w:right w:val="nil"/>
            </w:tcBorders>
            <w:vAlign w:val="bottom"/>
            <w:hideMark/>
          </w:tcPr>
          <w:p w14:paraId="33E9806A" w14:textId="77777777" w:rsidR="006B380D" w:rsidRPr="00216965" w:rsidRDefault="006B380D">
            <w:pPr>
              <w:spacing w:after="0" w:line="240" w:lineRule="auto"/>
              <w:rPr>
                <w:sz w:val="16"/>
                <w:szCs w:val="16"/>
              </w:rPr>
            </w:pPr>
            <w:r w:rsidRPr="00216965">
              <w:rPr>
                <w:sz w:val="16"/>
                <w:szCs w:val="16"/>
              </w:rPr>
              <w:t xml:space="preserve">199 ± 18 e </w:t>
            </w:r>
          </w:p>
        </w:tc>
        <w:tc>
          <w:tcPr>
            <w:tcW w:w="848" w:type="dxa"/>
            <w:tcBorders>
              <w:top w:val="single" w:sz="4" w:space="0" w:color="auto"/>
              <w:left w:val="nil"/>
              <w:bottom w:val="nil"/>
              <w:right w:val="nil"/>
            </w:tcBorders>
            <w:vAlign w:val="bottom"/>
            <w:hideMark/>
          </w:tcPr>
          <w:p w14:paraId="1FF0360E" w14:textId="77777777" w:rsidR="006B380D" w:rsidRPr="00216965" w:rsidRDefault="006B380D">
            <w:pPr>
              <w:spacing w:after="0" w:line="240" w:lineRule="auto"/>
              <w:rPr>
                <w:sz w:val="16"/>
                <w:szCs w:val="16"/>
              </w:rPr>
            </w:pPr>
            <w:r w:rsidRPr="00216965">
              <w:rPr>
                <w:sz w:val="16"/>
                <w:szCs w:val="16"/>
              </w:rPr>
              <w:t>19 ± 1 ab</w:t>
            </w:r>
          </w:p>
        </w:tc>
        <w:tc>
          <w:tcPr>
            <w:tcW w:w="989" w:type="dxa"/>
            <w:tcBorders>
              <w:top w:val="single" w:sz="4" w:space="0" w:color="auto"/>
              <w:left w:val="nil"/>
              <w:bottom w:val="nil"/>
              <w:right w:val="nil"/>
            </w:tcBorders>
            <w:vAlign w:val="bottom"/>
            <w:hideMark/>
          </w:tcPr>
          <w:p w14:paraId="5D567EDE" w14:textId="77777777" w:rsidR="006B380D" w:rsidRPr="00216965" w:rsidRDefault="006B380D">
            <w:pPr>
              <w:spacing w:after="0" w:line="240" w:lineRule="auto"/>
              <w:rPr>
                <w:sz w:val="16"/>
                <w:szCs w:val="16"/>
              </w:rPr>
            </w:pPr>
            <w:r w:rsidRPr="00216965">
              <w:rPr>
                <w:sz w:val="16"/>
                <w:szCs w:val="16"/>
              </w:rPr>
              <w:t>158 ± 26 a</w:t>
            </w:r>
          </w:p>
        </w:tc>
        <w:tc>
          <w:tcPr>
            <w:tcW w:w="283" w:type="dxa"/>
            <w:tcBorders>
              <w:top w:val="single" w:sz="4" w:space="0" w:color="auto"/>
              <w:left w:val="nil"/>
              <w:bottom w:val="nil"/>
              <w:right w:val="nil"/>
            </w:tcBorders>
          </w:tcPr>
          <w:p w14:paraId="5A4DE4F0" w14:textId="77777777" w:rsidR="006B380D" w:rsidRPr="00216965" w:rsidRDefault="006B380D">
            <w:pPr>
              <w:spacing w:after="0" w:line="240" w:lineRule="auto"/>
              <w:rPr>
                <w:sz w:val="16"/>
                <w:szCs w:val="16"/>
              </w:rPr>
            </w:pPr>
          </w:p>
        </w:tc>
        <w:tc>
          <w:tcPr>
            <w:tcW w:w="989" w:type="dxa"/>
            <w:tcBorders>
              <w:top w:val="single" w:sz="4" w:space="0" w:color="auto"/>
              <w:left w:val="nil"/>
              <w:bottom w:val="nil"/>
              <w:right w:val="nil"/>
            </w:tcBorders>
            <w:vAlign w:val="center"/>
            <w:hideMark/>
          </w:tcPr>
          <w:p w14:paraId="7954A04E" w14:textId="77777777" w:rsidR="006B380D" w:rsidRPr="00216965" w:rsidRDefault="006B380D">
            <w:pPr>
              <w:spacing w:after="0" w:line="240" w:lineRule="auto"/>
              <w:rPr>
                <w:sz w:val="16"/>
                <w:szCs w:val="16"/>
              </w:rPr>
            </w:pPr>
            <w:r w:rsidRPr="00216965">
              <w:rPr>
                <w:sz w:val="16"/>
                <w:szCs w:val="16"/>
              </w:rPr>
              <w:t>72 ± 5 e</w:t>
            </w:r>
          </w:p>
        </w:tc>
        <w:tc>
          <w:tcPr>
            <w:tcW w:w="991" w:type="dxa"/>
            <w:tcBorders>
              <w:top w:val="single" w:sz="4" w:space="0" w:color="auto"/>
              <w:left w:val="nil"/>
              <w:bottom w:val="nil"/>
              <w:right w:val="nil"/>
            </w:tcBorders>
            <w:vAlign w:val="center"/>
            <w:hideMark/>
          </w:tcPr>
          <w:p w14:paraId="3E96B75D" w14:textId="77777777" w:rsidR="006B380D" w:rsidRPr="00216965" w:rsidRDefault="006B380D">
            <w:pPr>
              <w:spacing w:after="0" w:line="240" w:lineRule="auto"/>
              <w:rPr>
                <w:sz w:val="16"/>
                <w:szCs w:val="16"/>
              </w:rPr>
            </w:pPr>
            <w:r w:rsidRPr="00216965">
              <w:rPr>
                <w:sz w:val="16"/>
                <w:szCs w:val="16"/>
              </w:rPr>
              <w:t>151 ± 35 cd</w:t>
            </w:r>
          </w:p>
        </w:tc>
      </w:tr>
      <w:tr w:rsidR="006B380D" w:rsidRPr="00216965" w14:paraId="249A1AC9" w14:textId="77777777" w:rsidTr="008A33DA">
        <w:trPr>
          <w:trHeight w:val="288"/>
          <w:jc w:val="center"/>
        </w:trPr>
        <w:tc>
          <w:tcPr>
            <w:tcW w:w="851" w:type="dxa"/>
            <w:vMerge w:val="restart"/>
            <w:tcBorders>
              <w:top w:val="nil"/>
              <w:left w:val="nil"/>
              <w:bottom w:val="nil"/>
              <w:right w:val="nil"/>
            </w:tcBorders>
            <w:vAlign w:val="center"/>
            <w:hideMark/>
          </w:tcPr>
          <w:p w14:paraId="5EC20FD5" w14:textId="77777777" w:rsidR="006B380D" w:rsidRPr="00216965" w:rsidRDefault="006B380D">
            <w:pPr>
              <w:spacing w:after="0" w:line="240" w:lineRule="auto"/>
              <w:rPr>
                <w:sz w:val="16"/>
                <w:szCs w:val="16"/>
              </w:rPr>
            </w:pPr>
            <w:r w:rsidRPr="00216965">
              <w:rPr>
                <w:sz w:val="16"/>
                <w:szCs w:val="16"/>
              </w:rPr>
              <w:t>OSR550</w:t>
            </w:r>
          </w:p>
        </w:tc>
        <w:tc>
          <w:tcPr>
            <w:tcW w:w="754" w:type="dxa"/>
            <w:tcBorders>
              <w:top w:val="nil"/>
              <w:left w:val="nil"/>
              <w:bottom w:val="nil"/>
              <w:right w:val="nil"/>
            </w:tcBorders>
            <w:vAlign w:val="bottom"/>
            <w:hideMark/>
          </w:tcPr>
          <w:p w14:paraId="55E6440E" w14:textId="77777777" w:rsidR="006B380D" w:rsidRPr="00216965" w:rsidRDefault="006B380D">
            <w:pPr>
              <w:spacing w:after="0" w:line="240" w:lineRule="auto"/>
              <w:rPr>
                <w:sz w:val="16"/>
                <w:szCs w:val="16"/>
              </w:rPr>
            </w:pPr>
            <w:r w:rsidRPr="00216965">
              <w:rPr>
                <w:sz w:val="16"/>
                <w:szCs w:val="16"/>
              </w:rPr>
              <w:t>1</w:t>
            </w:r>
          </w:p>
        </w:tc>
        <w:tc>
          <w:tcPr>
            <w:tcW w:w="1128" w:type="dxa"/>
            <w:tcBorders>
              <w:top w:val="nil"/>
              <w:left w:val="nil"/>
              <w:bottom w:val="nil"/>
              <w:right w:val="nil"/>
            </w:tcBorders>
            <w:vAlign w:val="bottom"/>
            <w:hideMark/>
          </w:tcPr>
          <w:p w14:paraId="7DCDB994" w14:textId="77777777" w:rsidR="006B380D" w:rsidRPr="00216965" w:rsidRDefault="006B380D">
            <w:pPr>
              <w:spacing w:after="0" w:line="240" w:lineRule="auto"/>
              <w:rPr>
                <w:sz w:val="16"/>
                <w:szCs w:val="16"/>
              </w:rPr>
            </w:pPr>
            <w:r w:rsidRPr="00216965">
              <w:rPr>
                <w:sz w:val="16"/>
                <w:szCs w:val="16"/>
              </w:rPr>
              <w:t>69 ± 34 b</w:t>
            </w:r>
          </w:p>
        </w:tc>
        <w:tc>
          <w:tcPr>
            <w:tcW w:w="976" w:type="dxa"/>
            <w:tcBorders>
              <w:top w:val="nil"/>
              <w:left w:val="nil"/>
              <w:bottom w:val="nil"/>
              <w:right w:val="nil"/>
            </w:tcBorders>
            <w:vAlign w:val="bottom"/>
            <w:hideMark/>
          </w:tcPr>
          <w:p w14:paraId="58556391" w14:textId="77777777" w:rsidR="006B380D" w:rsidRPr="00216965" w:rsidRDefault="006B380D">
            <w:pPr>
              <w:spacing w:after="0" w:line="240" w:lineRule="auto"/>
              <w:rPr>
                <w:sz w:val="16"/>
                <w:szCs w:val="16"/>
              </w:rPr>
            </w:pPr>
            <w:r w:rsidRPr="00216965">
              <w:rPr>
                <w:sz w:val="16"/>
                <w:szCs w:val="16"/>
              </w:rPr>
              <w:t>8.4 ± 0.5 a</w:t>
            </w:r>
          </w:p>
        </w:tc>
        <w:tc>
          <w:tcPr>
            <w:tcW w:w="1000" w:type="dxa"/>
            <w:tcBorders>
              <w:top w:val="nil"/>
              <w:left w:val="nil"/>
              <w:bottom w:val="nil"/>
              <w:right w:val="nil"/>
            </w:tcBorders>
            <w:vAlign w:val="bottom"/>
            <w:hideMark/>
          </w:tcPr>
          <w:p w14:paraId="5ED994CE" w14:textId="77777777" w:rsidR="006B380D" w:rsidRPr="00216965" w:rsidRDefault="006B380D">
            <w:pPr>
              <w:spacing w:after="0" w:line="240" w:lineRule="auto"/>
              <w:rPr>
                <w:sz w:val="16"/>
                <w:szCs w:val="16"/>
              </w:rPr>
            </w:pPr>
            <w:r w:rsidRPr="00216965">
              <w:rPr>
                <w:sz w:val="16"/>
                <w:szCs w:val="16"/>
              </w:rPr>
              <w:t>115 ± 52 a</w:t>
            </w:r>
          </w:p>
        </w:tc>
        <w:tc>
          <w:tcPr>
            <w:tcW w:w="988" w:type="dxa"/>
            <w:tcBorders>
              <w:top w:val="nil"/>
              <w:left w:val="nil"/>
              <w:bottom w:val="nil"/>
              <w:right w:val="nil"/>
            </w:tcBorders>
            <w:vAlign w:val="bottom"/>
            <w:hideMark/>
          </w:tcPr>
          <w:p w14:paraId="5C2E8896" w14:textId="77777777" w:rsidR="006B380D" w:rsidRPr="00216965" w:rsidRDefault="006B380D">
            <w:pPr>
              <w:spacing w:after="0" w:line="240" w:lineRule="auto"/>
              <w:rPr>
                <w:sz w:val="16"/>
                <w:szCs w:val="16"/>
              </w:rPr>
            </w:pPr>
            <w:r w:rsidRPr="00216965">
              <w:rPr>
                <w:sz w:val="16"/>
                <w:szCs w:val="16"/>
              </w:rPr>
              <w:t>95 ± 42 a</w:t>
            </w:r>
          </w:p>
        </w:tc>
        <w:tc>
          <w:tcPr>
            <w:tcW w:w="989" w:type="dxa"/>
            <w:tcBorders>
              <w:top w:val="nil"/>
              <w:left w:val="nil"/>
              <w:bottom w:val="nil"/>
              <w:right w:val="nil"/>
            </w:tcBorders>
            <w:vAlign w:val="bottom"/>
            <w:hideMark/>
          </w:tcPr>
          <w:p w14:paraId="003AD5F6" w14:textId="77777777" w:rsidR="006B380D" w:rsidRPr="00216965" w:rsidRDefault="006B380D">
            <w:pPr>
              <w:spacing w:after="0" w:line="240" w:lineRule="auto"/>
              <w:rPr>
                <w:sz w:val="16"/>
                <w:szCs w:val="16"/>
              </w:rPr>
            </w:pPr>
            <w:r w:rsidRPr="00216965">
              <w:rPr>
                <w:sz w:val="16"/>
                <w:szCs w:val="16"/>
              </w:rPr>
              <w:t>89 ± 22 a</w:t>
            </w:r>
          </w:p>
        </w:tc>
        <w:tc>
          <w:tcPr>
            <w:tcW w:w="283" w:type="dxa"/>
            <w:tcBorders>
              <w:top w:val="nil"/>
              <w:left w:val="nil"/>
              <w:bottom w:val="nil"/>
              <w:right w:val="nil"/>
            </w:tcBorders>
          </w:tcPr>
          <w:p w14:paraId="6C2EEE52"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5F79A338" w14:textId="77777777" w:rsidR="006B380D" w:rsidRPr="00216965" w:rsidRDefault="006B380D">
            <w:pPr>
              <w:spacing w:after="0" w:line="240" w:lineRule="auto"/>
              <w:rPr>
                <w:sz w:val="16"/>
                <w:szCs w:val="16"/>
              </w:rPr>
            </w:pPr>
            <w:r w:rsidRPr="00216965">
              <w:rPr>
                <w:sz w:val="16"/>
                <w:szCs w:val="16"/>
              </w:rPr>
              <w:t xml:space="preserve">8.4 ± 0.7 de </w:t>
            </w:r>
          </w:p>
        </w:tc>
        <w:tc>
          <w:tcPr>
            <w:tcW w:w="1129" w:type="dxa"/>
            <w:tcBorders>
              <w:top w:val="nil"/>
              <w:left w:val="nil"/>
              <w:bottom w:val="nil"/>
              <w:right w:val="nil"/>
            </w:tcBorders>
            <w:vAlign w:val="bottom"/>
            <w:hideMark/>
          </w:tcPr>
          <w:p w14:paraId="58778511" w14:textId="77777777" w:rsidR="006B380D" w:rsidRPr="00216965" w:rsidRDefault="006B380D">
            <w:pPr>
              <w:spacing w:after="0" w:line="240" w:lineRule="auto"/>
              <w:rPr>
                <w:sz w:val="16"/>
                <w:szCs w:val="16"/>
              </w:rPr>
            </w:pPr>
            <w:r w:rsidRPr="00216965">
              <w:rPr>
                <w:sz w:val="16"/>
                <w:szCs w:val="16"/>
              </w:rPr>
              <w:t>284 ± 31 de</w:t>
            </w:r>
          </w:p>
        </w:tc>
        <w:tc>
          <w:tcPr>
            <w:tcW w:w="848" w:type="dxa"/>
            <w:tcBorders>
              <w:top w:val="nil"/>
              <w:left w:val="nil"/>
              <w:bottom w:val="nil"/>
              <w:right w:val="nil"/>
            </w:tcBorders>
            <w:vAlign w:val="bottom"/>
            <w:hideMark/>
          </w:tcPr>
          <w:p w14:paraId="7C38C253" w14:textId="77777777" w:rsidR="006B380D" w:rsidRPr="00216965" w:rsidRDefault="006B380D">
            <w:pPr>
              <w:spacing w:after="0" w:line="240" w:lineRule="auto"/>
              <w:rPr>
                <w:sz w:val="16"/>
                <w:szCs w:val="16"/>
              </w:rPr>
            </w:pPr>
            <w:r w:rsidRPr="00216965">
              <w:rPr>
                <w:sz w:val="16"/>
                <w:szCs w:val="16"/>
              </w:rPr>
              <w:t>18 ± 2 b</w:t>
            </w:r>
          </w:p>
        </w:tc>
        <w:tc>
          <w:tcPr>
            <w:tcW w:w="989" w:type="dxa"/>
            <w:tcBorders>
              <w:top w:val="nil"/>
              <w:left w:val="nil"/>
              <w:bottom w:val="nil"/>
              <w:right w:val="nil"/>
            </w:tcBorders>
            <w:vAlign w:val="bottom"/>
            <w:hideMark/>
          </w:tcPr>
          <w:p w14:paraId="2883F299" w14:textId="77777777" w:rsidR="006B380D" w:rsidRPr="00216965" w:rsidRDefault="006B380D">
            <w:pPr>
              <w:spacing w:after="0" w:line="240" w:lineRule="auto"/>
              <w:rPr>
                <w:sz w:val="16"/>
                <w:szCs w:val="16"/>
              </w:rPr>
            </w:pPr>
            <w:r w:rsidRPr="00216965">
              <w:rPr>
                <w:sz w:val="16"/>
                <w:szCs w:val="16"/>
              </w:rPr>
              <w:t>131 ± 53 ab</w:t>
            </w:r>
          </w:p>
        </w:tc>
        <w:tc>
          <w:tcPr>
            <w:tcW w:w="283" w:type="dxa"/>
            <w:tcBorders>
              <w:top w:val="nil"/>
              <w:left w:val="nil"/>
              <w:bottom w:val="nil"/>
              <w:right w:val="nil"/>
            </w:tcBorders>
          </w:tcPr>
          <w:p w14:paraId="68FEA894"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0C961D2C" w14:textId="77777777" w:rsidR="006B380D" w:rsidRPr="00216965" w:rsidRDefault="006B380D">
            <w:pPr>
              <w:spacing w:after="0" w:line="240" w:lineRule="auto"/>
              <w:rPr>
                <w:sz w:val="16"/>
                <w:szCs w:val="16"/>
              </w:rPr>
            </w:pPr>
            <w:r w:rsidRPr="00216965">
              <w:rPr>
                <w:sz w:val="16"/>
                <w:szCs w:val="16"/>
              </w:rPr>
              <w:t>70 ± 5 e</w:t>
            </w:r>
          </w:p>
        </w:tc>
        <w:tc>
          <w:tcPr>
            <w:tcW w:w="991" w:type="dxa"/>
            <w:tcBorders>
              <w:top w:val="nil"/>
              <w:left w:val="nil"/>
              <w:bottom w:val="nil"/>
              <w:right w:val="nil"/>
            </w:tcBorders>
            <w:vAlign w:val="center"/>
            <w:hideMark/>
          </w:tcPr>
          <w:p w14:paraId="75E9C792" w14:textId="77777777" w:rsidR="006B380D" w:rsidRPr="00216965" w:rsidRDefault="006B380D">
            <w:pPr>
              <w:spacing w:after="0" w:line="240" w:lineRule="auto"/>
              <w:rPr>
                <w:sz w:val="16"/>
                <w:szCs w:val="16"/>
              </w:rPr>
            </w:pPr>
            <w:r w:rsidRPr="00216965">
              <w:rPr>
                <w:sz w:val="16"/>
                <w:szCs w:val="16"/>
              </w:rPr>
              <w:t>95 ± 51 cd</w:t>
            </w:r>
          </w:p>
        </w:tc>
      </w:tr>
      <w:tr w:rsidR="006B380D" w:rsidRPr="00216965" w14:paraId="1C60E233" w14:textId="77777777" w:rsidTr="008A33DA">
        <w:trPr>
          <w:trHeight w:val="288"/>
          <w:jc w:val="center"/>
        </w:trPr>
        <w:tc>
          <w:tcPr>
            <w:tcW w:w="0" w:type="auto"/>
            <w:vMerge/>
            <w:tcBorders>
              <w:top w:val="nil"/>
              <w:left w:val="nil"/>
              <w:bottom w:val="nil"/>
              <w:right w:val="nil"/>
            </w:tcBorders>
            <w:vAlign w:val="center"/>
            <w:hideMark/>
          </w:tcPr>
          <w:p w14:paraId="4702567A"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3FBC6EC5" w14:textId="77777777" w:rsidR="006B380D" w:rsidRPr="00216965" w:rsidRDefault="006B380D">
            <w:pPr>
              <w:spacing w:after="0" w:line="240" w:lineRule="auto"/>
              <w:rPr>
                <w:sz w:val="16"/>
                <w:szCs w:val="16"/>
              </w:rPr>
            </w:pPr>
            <w:r w:rsidRPr="00216965">
              <w:rPr>
                <w:sz w:val="16"/>
                <w:szCs w:val="16"/>
              </w:rPr>
              <w:t>3</w:t>
            </w:r>
          </w:p>
        </w:tc>
        <w:tc>
          <w:tcPr>
            <w:tcW w:w="1128" w:type="dxa"/>
            <w:tcBorders>
              <w:top w:val="nil"/>
              <w:left w:val="nil"/>
              <w:bottom w:val="nil"/>
              <w:right w:val="nil"/>
            </w:tcBorders>
            <w:vAlign w:val="bottom"/>
            <w:hideMark/>
          </w:tcPr>
          <w:p w14:paraId="3AF25D59" w14:textId="77777777" w:rsidR="006B380D" w:rsidRPr="00216965" w:rsidRDefault="006B380D">
            <w:pPr>
              <w:spacing w:after="0" w:line="240" w:lineRule="auto"/>
              <w:rPr>
                <w:sz w:val="16"/>
                <w:szCs w:val="16"/>
              </w:rPr>
            </w:pPr>
            <w:r w:rsidRPr="00216965">
              <w:rPr>
                <w:sz w:val="16"/>
                <w:szCs w:val="16"/>
              </w:rPr>
              <w:t>153 ± 22 ab</w:t>
            </w:r>
          </w:p>
        </w:tc>
        <w:tc>
          <w:tcPr>
            <w:tcW w:w="976" w:type="dxa"/>
            <w:tcBorders>
              <w:top w:val="nil"/>
              <w:left w:val="nil"/>
              <w:bottom w:val="nil"/>
              <w:right w:val="nil"/>
            </w:tcBorders>
            <w:vAlign w:val="bottom"/>
            <w:hideMark/>
          </w:tcPr>
          <w:p w14:paraId="7EF3FABE" w14:textId="77777777" w:rsidR="006B380D" w:rsidRPr="00216965" w:rsidRDefault="006B380D">
            <w:pPr>
              <w:spacing w:after="0" w:line="240" w:lineRule="auto"/>
              <w:rPr>
                <w:sz w:val="16"/>
                <w:szCs w:val="16"/>
              </w:rPr>
            </w:pPr>
            <w:r w:rsidRPr="00216965">
              <w:rPr>
                <w:sz w:val="16"/>
                <w:szCs w:val="16"/>
              </w:rPr>
              <w:t>7.6 ± 1.6 a</w:t>
            </w:r>
          </w:p>
        </w:tc>
        <w:tc>
          <w:tcPr>
            <w:tcW w:w="1000" w:type="dxa"/>
            <w:tcBorders>
              <w:top w:val="nil"/>
              <w:left w:val="nil"/>
              <w:bottom w:val="nil"/>
              <w:right w:val="nil"/>
            </w:tcBorders>
            <w:vAlign w:val="bottom"/>
            <w:hideMark/>
          </w:tcPr>
          <w:p w14:paraId="70E73BF0" w14:textId="77777777" w:rsidR="006B380D" w:rsidRPr="00216965" w:rsidRDefault="006B380D">
            <w:pPr>
              <w:spacing w:after="0" w:line="240" w:lineRule="auto"/>
              <w:rPr>
                <w:sz w:val="16"/>
                <w:szCs w:val="16"/>
              </w:rPr>
            </w:pPr>
            <w:r w:rsidRPr="00216965">
              <w:rPr>
                <w:sz w:val="16"/>
                <w:szCs w:val="16"/>
              </w:rPr>
              <w:t>112 ± 13 a</w:t>
            </w:r>
          </w:p>
        </w:tc>
        <w:tc>
          <w:tcPr>
            <w:tcW w:w="988" w:type="dxa"/>
            <w:tcBorders>
              <w:top w:val="nil"/>
              <w:left w:val="nil"/>
              <w:bottom w:val="nil"/>
              <w:right w:val="nil"/>
            </w:tcBorders>
            <w:vAlign w:val="bottom"/>
            <w:hideMark/>
          </w:tcPr>
          <w:p w14:paraId="71F35C32" w14:textId="77777777" w:rsidR="006B380D" w:rsidRPr="00216965" w:rsidRDefault="006B380D">
            <w:pPr>
              <w:spacing w:after="0" w:line="240" w:lineRule="auto"/>
              <w:rPr>
                <w:sz w:val="16"/>
                <w:szCs w:val="16"/>
              </w:rPr>
            </w:pPr>
            <w:r w:rsidRPr="00216965">
              <w:rPr>
                <w:sz w:val="16"/>
                <w:szCs w:val="16"/>
              </w:rPr>
              <w:t>104 ± 30 a</w:t>
            </w:r>
          </w:p>
        </w:tc>
        <w:tc>
          <w:tcPr>
            <w:tcW w:w="989" w:type="dxa"/>
            <w:tcBorders>
              <w:top w:val="nil"/>
              <w:left w:val="nil"/>
              <w:bottom w:val="nil"/>
              <w:right w:val="nil"/>
            </w:tcBorders>
            <w:vAlign w:val="bottom"/>
            <w:hideMark/>
          </w:tcPr>
          <w:p w14:paraId="2024EDAA" w14:textId="77777777" w:rsidR="006B380D" w:rsidRPr="00216965" w:rsidRDefault="006B380D">
            <w:pPr>
              <w:spacing w:after="0" w:line="240" w:lineRule="auto"/>
              <w:rPr>
                <w:sz w:val="16"/>
                <w:szCs w:val="16"/>
              </w:rPr>
            </w:pPr>
            <w:r w:rsidRPr="00216965">
              <w:rPr>
                <w:sz w:val="16"/>
                <w:szCs w:val="16"/>
              </w:rPr>
              <w:t>91 ± 25 a</w:t>
            </w:r>
          </w:p>
        </w:tc>
        <w:tc>
          <w:tcPr>
            <w:tcW w:w="283" w:type="dxa"/>
            <w:tcBorders>
              <w:top w:val="nil"/>
              <w:left w:val="nil"/>
              <w:bottom w:val="nil"/>
              <w:right w:val="nil"/>
            </w:tcBorders>
          </w:tcPr>
          <w:p w14:paraId="43BE6434"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7A1709BC" w14:textId="77777777" w:rsidR="006B380D" w:rsidRPr="00216965" w:rsidRDefault="006B380D">
            <w:pPr>
              <w:spacing w:after="0" w:line="240" w:lineRule="auto"/>
              <w:rPr>
                <w:sz w:val="16"/>
                <w:szCs w:val="16"/>
              </w:rPr>
            </w:pPr>
            <w:r w:rsidRPr="00216965">
              <w:rPr>
                <w:sz w:val="16"/>
                <w:szCs w:val="16"/>
              </w:rPr>
              <w:t>9.6 ± 0.6 abcde</w:t>
            </w:r>
          </w:p>
        </w:tc>
        <w:tc>
          <w:tcPr>
            <w:tcW w:w="1129" w:type="dxa"/>
            <w:tcBorders>
              <w:top w:val="nil"/>
              <w:left w:val="nil"/>
              <w:bottom w:val="nil"/>
              <w:right w:val="nil"/>
            </w:tcBorders>
            <w:vAlign w:val="bottom"/>
            <w:hideMark/>
          </w:tcPr>
          <w:p w14:paraId="60DD723F" w14:textId="77777777" w:rsidR="006B380D" w:rsidRPr="00216965" w:rsidRDefault="006B380D">
            <w:pPr>
              <w:spacing w:after="0" w:line="240" w:lineRule="auto"/>
              <w:rPr>
                <w:sz w:val="16"/>
                <w:szCs w:val="16"/>
              </w:rPr>
            </w:pPr>
            <w:r w:rsidRPr="00216965">
              <w:rPr>
                <w:sz w:val="16"/>
                <w:szCs w:val="16"/>
              </w:rPr>
              <w:t xml:space="preserve">562 ± 47 bc </w:t>
            </w:r>
          </w:p>
        </w:tc>
        <w:tc>
          <w:tcPr>
            <w:tcW w:w="848" w:type="dxa"/>
            <w:tcBorders>
              <w:top w:val="nil"/>
              <w:left w:val="nil"/>
              <w:bottom w:val="nil"/>
              <w:right w:val="nil"/>
            </w:tcBorders>
            <w:vAlign w:val="bottom"/>
            <w:hideMark/>
          </w:tcPr>
          <w:p w14:paraId="2A74CBF5" w14:textId="77777777" w:rsidR="006B380D" w:rsidRPr="00216965" w:rsidRDefault="006B380D">
            <w:pPr>
              <w:spacing w:after="0" w:line="240" w:lineRule="auto"/>
              <w:rPr>
                <w:sz w:val="16"/>
                <w:szCs w:val="16"/>
              </w:rPr>
            </w:pPr>
            <w:r w:rsidRPr="00216965">
              <w:rPr>
                <w:sz w:val="16"/>
                <w:szCs w:val="16"/>
              </w:rPr>
              <w:t>16 ± 1 b</w:t>
            </w:r>
          </w:p>
        </w:tc>
        <w:tc>
          <w:tcPr>
            <w:tcW w:w="989" w:type="dxa"/>
            <w:tcBorders>
              <w:top w:val="nil"/>
              <w:left w:val="nil"/>
              <w:bottom w:val="nil"/>
              <w:right w:val="nil"/>
            </w:tcBorders>
            <w:vAlign w:val="bottom"/>
            <w:hideMark/>
          </w:tcPr>
          <w:p w14:paraId="5DC12D26" w14:textId="77777777" w:rsidR="006B380D" w:rsidRPr="00216965" w:rsidRDefault="006B380D">
            <w:pPr>
              <w:spacing w:after="0" w:line="240" w:lineRule="auto"/>
              <w:rPr>
                <w:sz w:val="16"/>
                <w:szCs w:val="16"/>
              </w:rPr>
            </w:pPr>
            <w:r w:rsidRPr="00216965">
              <w:rPr>
                <w:sz w:val="16"/>
                <w:szCs w:val="16"/>
              </w:rPr>
              <w:t>78 ± 17 b</w:t>
            </w:r>
          </w:p>
        </w:tc>
        <w:tc>
          <w:tcPr>
            <w:tcW w:w="283" w:type="dxa"/>
            <w:tcBorders>
              <w:top w:val="nil"/>
              <w:left w:val="nil"/>
              <w:bottom w:val="nil"/>
              <w:right w:val="nil"/>
            </w:tcBorders>
          </w:tcPr>
          <w:p w14:paraId="56EDFF04"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035D3218" w14:textId="77777777" w:rsidR="006B380D" w:rsidRPr="00216965" w:rsidRDefault="006B380D">
            <w:pPr>
              <w:spacing w:after="0" w:line="240" w:lineRule="auto"/>
              <w:rPr>
                <w:sz w:val="16"/>
                <w:szCs w:val="16"/>
              </w:rPr>
            </w:pPr>
            <w:r w:rsidRPr="00216965">
              <w:rPr>
                <w:sz w:val="16"/>
                <w:szCs w:val="16"/>
              </w:rPr>
              <w:t>93 ± 7 cd</w:t>
            </w:r>
          </w:p>
        </w:tc>
        <w:tc>
          <w:tcPr>
            <w:tcW w:w="991" w:type="dxa"/>
            <w:tcBorders>
              <w:top w:val="nil"/>
              <w:left w:val="nil"/>
              <w:bottom w:val="nil"/>
              <w:right w:val="nil"/>
            </w:tcBorders>
            <w:vAlign w:val="center"/>
            <w:hideMark/>
          </w:tcPr>
          <w:p w14:paraId="29577CF1" w14:textId="77777777" w:rsidR="006B380D" w:rsidRPr="00216965" w:rsidRDefault="006B380D">
            <w:pPr>
              <w:spacing w:after="0" w:line="240" w:lineRule="auto"/>
              <w:rPr>
                <w:sz w:val="16"/>
                <w:szCs w:val="16"/>
              </w:rPr>
            </w:pPr>
            <w:r w:rsidRPr="00216965">
              <w:rPr>
                <w:sz w:val="16"/>
                <w:szCs w:val="16"/>
              </w:rPr>
              <w:t>300 ± 57 a</w:t>
            </w:r>
          </w:p>
        </w:tc>
      </w:tr>
      <w:tr w:rsidR="006B380D" w:rsidRPr="00216965" w14:paraId="550F18C5" w14:textId="77777777" w:rsidTr="008A33DA">
        <w:trPr>
          <w:trHeight w:val="288"/>
          <w:jc w:val="center"/>
        </w:trPr>
        <w:tc>
          <w:tcPr>
            <w:tcW w:w="0" w:type="auto"/>
            <w:vMerge/>
            <w:tcBorders>
              <w:top w:val="nil"/>
              <w:left w:val="nil"/>
              <w:bottom w:val="nil"/>
              <w:right w:val="nil"/>
            </w:tcBorders>
            <w:vAlign w:val="center"/>
            <w:hideMark/>
          </w:tcPr>
          <w:p w14:paraId="4BD27E4A"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6543CCD3" w14:textId="77777777" w:rsidR="006B380D" w:rsidRPr="00216965" w:rsidRDefault="006B380D">
            <w:pPr>
              <w:spacing w:after="0" w:line="240" w:lineRule="auto"/>
              <w:rPr>
                <w:sz w:val="16"/>
                <w:szCs w:val="16"/>
              </w:rPr>
            </w:pPr>
            <w:r w:rsidRPr="00216965">
              <w:rPr>
                <w:sz w:val="16"/>
                <w:szCs w:val="16"/>
              </w:rPr>
              <w:t>5</w:t>
            </w:r>
          </w:p>
        </w:tc>
        <w:tc>
          <w:tcPr>
            <w:tcW w:w="1128" w:type="dxa"/>
            <w:tcBorders>
              <w:top w:val="nil"/>
              <w:left w:val="nil"/>
              <w:bottom w:val="nil"/>
              <w:right w:val="nil"/>
            </w:tcBorders>
            <w:vAlign w:val="bottom"/>
            <w:hideMark/>
          </w:tcPr>
          <w:p w14:paraId="7515A2BA" w14:textId="77777777" w:rsidR="006B380D" w:rsidRPr="00216965" w:rsidRDefault="006B380D">
            <w:pPr>
              <w:spacing w:after="0" w:line="240" w:lineRule="auto"/>
              <w:rPr>
                <w:sz w:val="16"/>
                <w:szCs w:val="16"/>
              </w:rPr>
            </w:pPr>
            <w:r w:rsidRPr="00216965">
              <w:rPr>
                <w:sz w:val="16"/>
                <w:szCs w:val="16"/>
              </w:rPr>
              <w:t>114 ± 110 ab</w:t>
            </w:r>
          </w:p>
        </w:tc>
        <w:tc>
          <w:tcPr>
            <w:tcW w:w="976" w:type="dxa"/>
            <w:tcBorders>
              <w:top w:val="nil"/>
              <w:left w:val="nil"/>
              <w:bottom w:val="nil"/>
              <w:right w:val="nil"/>
            </w:tcBorders>
            <w:vAlign w:val="bottom"/>
            <w:hideMark/>
          </w:tcPr>
          <w:p w14:paraId="5A109EDF" w14:textId="77777777" w:rsidR="006B380D" w:rsidRPr="00216965" w:rsidRDefault="006B380D">
            <w:pPr>
              <w:spacing w:after="0" w:line="240" w:lineRule="auto"/>
              <w:rPr>
                <w:sz w:val="16"/>
                <w:szCs w:val="16"/>
              </w:rPr>
            </w:pPr>
            <w:r w:rsidRPr="00216965">
              <w:rPr>
                <w:sz w:val="16"/>
                <w:szCs w:val="16"/>
              </w:rPr>
              <w:t>10 ± 1 a</w:t>
            </w:r>
          </w:p>
        </w:tc>
        <w:tc>
          <w:tcPr>
            <w:tcW w:w="1000" w:type="dxa"/>
            <w:tcBorders>
              <w:top w:val="nil"/>
              <w:left w:val="nil"/>
              <w:bottom w:val="nil"/>
              <w:right w:val="nil"/>
            </w:tcBorders>
            <w:vAlign w:val="bottom"/>
            <w:hideMark/>
          </w:tcPr>
          <w:p w14:paraId="4AABC107" w14:textId="77777777" w:rsidR="006B380D" w:rsidRPr="00216965" w:rsidRDefault="006B380D">
            <w:pPr>
              <w:spacing w:after="0" w:line="240" w:lineRule="auto"/>
              <w:rPr>
                <w:sz w:val="16"/>
                <w:szCs w:val="16"/>
              </w:rPr>
            </w:pPr>
            <w:r w:rsidRPr="00216965">
              <w:rPr>
                <w:sz w:val="16"/>
                <w:szCs w:val="16"/>
              </w:rPr>
              <w:t>120 ± 15 a</w:t>
            </w:r>
          </w:p>
        </w:tc>
        <w:tc>
          <w:tcPr>
            <w:tcW w:w="988" w:type="dxa"/>
            <w:tcBorders>
              <w:top w:val="nil"/>
              <w:left w:val="nil"/>
              <w:bottom w:val="nil"/>
              <w:right w:val="nil"/>
            </w:tcBorders>
            <w:vAlign w:val="bottom"/>
            <w:hideMark/>
          </w:tcPr>
          <w:p w14:paraId="3A191896" w14:textId="77777777" w:rsidR="006B380D" w:rsidRPr="00216965" w:rsidRDefault="006B380D">
            <w:pPr>
              <w:spacing w:after="0" w:line="240" w:lineRule="auto"/>
              <w:rPr>
                <w:sz w:val="16"/>
                <w:szCs w:val="16"/>
              </w:rPr>
            </w:pPr>
            <w:r w:rsidRPr="00216965">
              <w:rPr>
                <w:sz w:val="16"/>
                <w:szCs w:val="16"/>
              </w:rPr>
              <w:t>112 ± 53 a</w:t>
            </w:r>
          </w:p>
        </w:tc>
        <w:tc>
          <w:tcPr>
            <w:tcW w:w="989" w:type="dxa"/>
            <w:tcBorders>
              <w:top w:val="nil"/>
              <w:left w:val="nil"/>
              <w:bottom w:val="nil"/>
              <w:right w:val="nil"/>
            </w:tcBorders>
            <w:vAlign w:val="bottom"/>
            <w:hideMark/>
          </w:tcPr>
          <w:p w14:paraId="6FD113AC" w14:textId="77777777" w:rsidR="006B380D" w:rsidRPr="00216965" w:rsidRDefault="006B380D">
            <w:pPr>
              <w:spacing w:after="0" w:line="240" w:lineRule="auto"/>
              <w:rPr>
                <w:sz w:val="16"/>
                <w:szCs w:val="16"/>
              </w:rPr>
            </w:pPr>
            <w:r w:rsidRPr="00216965">
              <w:rPr>
                <w:sz w:val="16"/>
                <w:szCs w:val="16"/>
              </w:rPr>
              <w:t>96 ± 39 a</w:t>
            </w:r>
          </w:p>
        </w:tc>
        <w:tc>
          <w:tcPr>
            <w:tcW w:w="283" w:type="dxa"/>
            <w:tcBorders>
              <w:top w:val="nil"/>
              <w:left w:val="nil"/>
              <w:bottom w:val="nil"/>
              <w:right w:val="nil"/>
            </w:tcBorders>
          </w:tcPr>
          <w:p w14:paraId="42EC9DE1"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0A7185E7" w14:textId="77777777" w:rsidR="006B380D" w:rsidRPr="00216965" w:rsidRDefault="006B380D">
            <w:pPr>
              <w:spacing w:after="0" w:line="240" w:lineRule="auto"/>
              <w:rPr>
                <w:sz w:val="16"/>
                <w:szCs w:val="16"/>
              </w:rPr>
            </w:pPr>
            <w:r w:rsidRPr="00216965">
              <w:rPr>
                <w:sz w:val="16"/>
                <w:szCs w:val="16"/>
              </w:rPr>
              <w:t xml:space="preserve">8.4 ± 0.3 de </w:t>
            </w:r>
          </w:p>
        </w:tc>
        <w:tc>
          <w:tcPr>
            <w:tcW w:w="1129" w:type="dxa"/>
            <w:tcBorders>
              <w:top w:val="nil"/>
              <w:left w:val="nil"/>
              <w:bottom w:val="nil"/>
              <w:right w:val="nil"/>
            </w:tcBorders>
            <w:vAlign w:val="bottom"/>
            <w:hideMark/>
          </w:tcPr>
          <w:p w14:paraId="402A9522" w14:textId="77777777" w:rsidR="006B380D" w:rsidRPr="00216965" w:rsidRDefault="006B380D">
            <w:pPr>
              <w:spacing w:after="0" w:line="240" w:lineRule="auto"/>
              <w:rPr>
                <w:sz w:val="16"/>
                <w:szCs w:val="16"/>
              </w:rPr>
            </w:pPr>
            <w:r w:rsidRPr="00216965">
              <w:rPr>
                <w:sz w:val="16"/>
                <w:szCs w:val="16"/>
              </w:rPr>
              <w:t xml:space="preserve">897 ± 26 a </w:t>
            </w:r>
          </w:p>
        </w:tc>
        <w:tc>
          <w:tcPr>
            <w:tcW w:w="848" w:type="dxa"/>
            <w:tcBorders>
              <w:top w:val="nil"/>
              <w:left w:val="nil"/>
              <w:bottom w:val="nil"/>
              <w:right w:val="nil"/>
            </w:tcBorders>
            <w:vAlign w:val="bottom"/>
            <w:hideMark/>
          </w:tcPr>
          <w:p w14:paraId="3CA80541" w14:textId="77777777" w:rsidR="006B380D" w:rsidRPr="00216965" w:rsidRDefault="006B380D">
            <w:pPr>
              <w:spacing w:after="0" w:line="240" w:lineRule="auto"/>
              <w:rPr>
                <w:sz w:val="16"/>
                <w:szCs w:val="16"/>
              </w:rPr>
            </w:pPr>
            <w:r w:rsidRPr="00216965">
              <w:rPr>
                <w:sz w:val="16"/>
                <w:szCs w:val="16"/>
              </w:rPr>
              <w:t>19 ± 3 b</w:t>
            </w:r>
          </w:p>
        </w:tc>
        <w:tc>
          <w:tcPr>
            <w:tcW w:w="989" w:type="dxa"/>
            <w:tcBorders>
              <w:top w:val="nil"/>
              <w:left w:val="nil"/>
              <w:bottom w:val="nil"/>
              <w:right w:val="nil"/>
            </w:tcBorders>
            <w:vAlign w:val="bottom"/>
            <w:hideMark/>
          </w:tcPr>
          <w:p w14:paraId="14DE6888" w14:textId="77777777" w:rsidR="006B380D" w:rsidRPr="00216965" w:rsidRDefault="006B380D">
            <w:pPr>
              <w:spacing w:after="0" w:line="240" w:lineRule="auto"/>
              <w:rPr>
                <w:sz w:val="16"/>
                <w:szCs w:val="16"/>
              </w:rPr>
            </w:pPr>
            <w:r w:rsidRPr="00216965">
              <w:rPr>
                <w:sz w:val="16"/>
                <w:szCs w:val="16"/>
              </w:rPr>
              <w:t>66 ± 11 b</w:t>
            </w:r>
          </w:p>
        </w:tc>
        <w:tc>
          <w:tcPr>
            <w:tcW w:w="283" w:type="dxa"/>
            <w:tcBorders>
              <w:top w:val="nil"/>
              <w:left w:val="nil"/>
              <w:bottom w:val="nil"/>
              <w:right w:val="nil"/>
            </w:tcBorders>
          </w:tcPr>
          <w:p w14:paraId="335CDBAF"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0C649DD9" w14:textId="77777777" w:rsidR="006B380D" w:rsidRPr="00216965" w:rsidRDefault="006B380D">
            <w:pPr>
              <w:spacing w:after="0" w:line="240" w:lineRule="auto"/>
              <w:rPr>
                <w:sz w:val="16"/>
                <w:szCs w:val="16"/>
              </w:rPr>
            </w:pPr>
            <w:r w:rsidRPr="00216965">
              <w:rPr>
                <w:sz w:val="16"/>
                <w:szCs w:val="16"/>
              </w:rPr>
              <w:t>98 ± 12 cd</w:t>
            </w:r>
          </w:p>
        </w:tc>
        <w:tc>
          <w:tcPr>
            <w:tcW w:w="991" w:type="dxa"/>
            <w:tcBorders>
              <w:top w:val="nil"/>
              <w:left w:val="nil"/>
              <w:bottom w:val="nil"/>
              <w:right w:val="nil"/>
            </w:tcBorders>
            <w:vAlign w:val="center"/>
            <w:hideMark/>
          </w:tcPr>
          <w:p w14:paraId="0B083612" w14:textId="77777777" w:rsidR="006B380D" w:rsidRPr="00216965" w:rsidRDefault="006B380D">
            <w:pPr>
              <w:spacing w:after="0" w:line="240" w:lineRule="auto"/>
              <w:rPr>
                <w:sz w:val="16"/>
                <w:szCs w:val="16"/>
              </w:rPr>
            </w:pPr>
            <w:r w:rsidRPr="00216965">
              <w:rPr>
                <w:sz w:val="16"/>
                <w:szCs w:val="16"/>
              </w:rPr>
              <w:t>137 ± 20 cd</w:t>
            </w:r>
          </w:p>
        </w:tc>
      </w:tr>
      <w:tr w:rsidR="006B380D" w:rsidRPr="00216965" w14:paraId="21CF897D" w14:textId="77777777" w:rsidTr="008A33DA">
        <w:trPr>
          <w:trHeight w:val="288"/>
          <w:jc w:val="center"/>
        </w:trPr>
        <w:tc>
          <w:tcPr>
            <w:tcW w:w="851" w:type="dxa"/>
            <w:vMerge w:val="restart"/>
            <w:tcBorders>
              <w:top w:val="nil"/>
              <w:left w:val="nil"/>
              <w:bottom w:val="nil"/>
              <w:right w:val="nil"/>
            </w:tcBorders>
            <w:vAlign w:val="center"/>
            <w:hideMark/>
          </w:tcPr>
          <w:p w14:paraId="3F361B4D" w14:textId="77777777" w:rsidR="006B380D" w:rsidRPr="00216965" w:rsidRDefault="006B380D">
            <w:pPr>
              <w:spacing w:after="0" w:line="240" w:lineRule="auto"/>
              <w:rPr>
                <w:sz w:val="16"/>
                <w:szCs w:val="16"/>
              </w:rPr>
            </w:pPr>
            <w:r w:rsidRPr="00216965">
              <w:rPr>
                <w:sz w:val="16"/>
                <w:szCs w:val="16"/>
              </w:rPr>
              <w:t>SWP550</w:t>
            </w:r>
          </w:p>
        </w:tc>
        <w:tc>
          <w:tcPr>
            <w:tcW w:w="754" w:type="dxa"/>
            <w:tcBorders>
              <w:top w:val="nil"/>
              <w:left w:val="nil"/>
              <w:bottom w:val="nil"/>
              <w:right w:val="nil"/>
            </w:tcBorders>
            <w:vAlign w:val="bottom"/>
            <w:hideMark/>
          </w:tcPr>
          <w:p w14:paraId="19C23BBB" w14:textId="77777777" w:rsidR="006B380D" w:rsidRPr="00216965" w:rsidRDefault="006B380D">
            <w:pPr>
              <w:spacing w:after="0" w:line="240" w:lineRule="auto"/>
              <w:rPr>
                <w:sz w:val="16"/>
                <w:szCs w:val="16"/>
              </w:rPr>
            </w:pPr>
            <w:r w:rsidRPr="00216965">
              <w:rPr>
                <w:sz w:val="16"/>
                <w:szCs w:val="16"/>
              </w:rPr>
              <w:t>1</w:t>
            </w:r>
          </w:p>
        </w:tc>
        <w:tc>
          <w:tcPr>
            <w:tcW w:w="1128" w:type="dxa"/>
            <w:tcBorders>
              <w:top w:val="nil"/>
              <w:left w:val="nil"/>
              <w:bottom w:val="nil"/>
              <w:right w:val="nil"/>
            </w:tcBorders>
            <w:vAlign w:val="bottom"/>
            <w:hideMark/>
          </w:tcPr>
          <w:p w14:paraId="4B7A37D8" w14:textId="77777777" w:rsidR="006B380D" w:rsidRPr="00216965" w:rsidRDefault="006B380D">
            <w:pPr>
              <w:spacing w:after="0" w:line="240" w:lineRule="auto"/>
              <w:rPr>
                <w:sz w:val="16"/>
                <w:szCs w:val="16"/>
              </w:rPr>
            </w:pPr>
            <w:r w:rsidRPr="00216965">
              <w:rPr>
                <w:sz w:val="16"/>
                <w:szCs w:val="16"/>
              </w:rPr>
              <w:t>49 ± 17b</w:t>
            </w:r>
          </w:p>
        </w:tc>
        <w:tc>
          <w:tcPr>
            <w:tcW w:w="976" w:type="dxa"/>
            <w:tcBorders>
              <w:top w:val="nil"/>
              <w:left w:val="nil"/>
              <w:bottom w:val="nil"/>
              <w:right w:val="nil"/>
            </w:tcBorders>
            <w:vAlign w:val="bottom"/>
            <w:hideMark/>
          </w:tcPr>
          <w:p w14:paraId="2ABD3B2D" w14:textId="77777777" w:rsidR="006B380D" w:rsidRPr="00216965" w:rsidRDefault="006B380D">
            <w:pPr>
              <w:spacing w:after="0" w:line="240" w:lineRule="auto"/>
              <w:rPr>
                <w:sz w:val="16"/>
                <w:szCs w:val="16"/>
              </w:rPr>
            </w:pPr>
            <w:r w:rsidRPr="00216965">
              <w:rPr>
                <w:sz w:val="16"/>
                <w:szCs w:val="16"/>
              </w:rPr>
              <w:t>13 ± 6 a</w:t>
            </w:r>
          </w:p>
        </w:tc>
        <w:tc>
          <w:tcPr>
            <w:tcW w:w="1000" w:type="dxa"/>
            <w:tcBorders>
              <w:top w:val="nil"/>
              <w:left w:val="nil"/>
              <w:bottom w:val="nil"/>
              <w:right w:val="nil"/>
            </w:tcBorders>
            <w:vAlign w:val="bottom"/>
            <w:hideMark/>
          </w:tcPr>
          <w:p w14:paraId="389401CB" w14:textId="77777777" w:rsidR="006B380D" w:rsidRPr="00216965" w:rsidRDefault="006B380D">
            <w:pPr>
              <w:spacing w:after="0" w:line="240" w:lineRule="auto"/>
              <w:rPr>
                <w:sz w:val="16"/>
                <w:szCs w:val="16"/>
              </w:rPr>
            </w:pPr>
            <w:r w:rsidRPr="00216965">
              <w:rPr>
                <w:sz w:val="16"/>
                <w:szCs w:val="16"/>
              </w:rPr>
              <w:t>101 ± 26 a</w:t>
            </w:r>
          </w:p>
        </w:tc>
        <w:tc>
          <w:tcPr>
            <w:tcW w:w="988" w:type="dxa"/>
            <w:tcBorders>
              <w:top w:val="nil"/>
              <w:left w:val="nil"/>
              <w:bottom w:val="nil"/>
              <w:right w:val="nil"/>
            </w:tcBorders>
            <w:vAlign w:val="bottom"/>
            <w:hideMark/>
          </w:tcPr>
          <w:p w14:paraId="2115976C" w14:textId="77777777" w:rsidR="006B380D" w:rsidRPr="00216965" w:rsidRDefault="006B380D">
            <w:pPr>
              <w:spacing w:after="0" w:line="240" w:lineRule="auto"/>
              <w:rPr>
                <w:sz w:val="16"/>
                <w:szCs w:val="16"/>
              </w:rPr>
            </w:pPr>
            <w:r w:rsidRPr="00216965">
              <w:rPr>
                <w:sz w:val="16"/>
                <w:szCs w:val="16"/>
              </w:rPr>
              <w:t>101 ± 38 a</w:t>
            </w:r>
          </w:p>
        </w:tc>
        <w:tc>
          <w:tcPr>
            <w:tcW w:w="989" w:type="dxa"/>
            <w:tcBorders>
              <w:top w:val="nil"/>
              <w:left w:val="nil"/>
              <w:bottom w:val="nil"/>
              <w:right w:val="nil"/>
            </w:tcBorders>
            <w:vAlign w:val="bottom"/>
            <w:hideMark/>
          </w:tcPr>
          <w:p w14:paraId="545ED96F" w14:textId="77777777" w:rsidR="006B380D" w:rsidRPr="00216965" w:rsidRDefault="006B380D">
            <w:pPr>
              <w:spacing w:after="0" w:line="240" w:lineRule="auto"/>
              <w:rPr>
                <w:sz w:val="16"/>
                <w:szCs w:val="16"/>
              </w:rPr>
            </w:pPr>
            <w:r w:rsidRPr="00216965">
              <w:rPr>
                <w:sz w:val="16"/>
                <w:szCs w:val="16"/>
              </w:rPr>
              <w:t>56 ± 26 a</w:t>
            </w:r>
          </w:p>
        </w:tc>
        <w:tc>
          <w:tcPr>
            <w:tcW w:w="283" w:type="dxa"/>
            <w:tcBorders>
              <w:top w:val="nil"/>
              <w:left w:val="nil"/>
              <w:bottom w:val="nil"/>
              <w:right w:val="nil"/>
            </w:tcBorders>
          </w:tcPr>
          <w:p w14:paraId="55C850F0"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00D5EA52" w14:textId="77777777" w:rsidR="006B380D" w:rsidRPr="00216965" w:rsidRDefault="006B380D">
            <w:pPr>
              <w:spacing w:after="0" w:line="240" w:lineRule="auto"/>
              <w:rPr>
                <w:sz w:val="16"/>
                <w:szCs w:val="16"/>
              </w:rPr>
            </w:pPr>
            <w:r w:rsidRPr="00216965">
              <w:rPr>
                <w:sz w:val="16"/>
                <w:szCs w:val="16"/>
              </w:rPr>
              <w:t xml:space="preserve">8.6 ± 1.0 cde </w:t>
            </w:r>
          </w:p>
        </w:tc>
        <w:tc>
          <w:tcPr>
            <w:tcW w:w="1129" w:type="dxa"/>
            <w:tcBorders>
              <w:top w:val="nil"/>
              <w:left w:val="nil"/>
              <w:bottom w:val="nil"/>
              <w:right w:val="nil"/>
            </w:tcBorders>
            <w:vAlign w:val="bottom"/>
            <w:hideMark/>
          </w:tcPr>
          <w:p w14:paraId="298B0B2E" w14:textId="77777777" w:rsidR="006B380D" w:rsidRPr="00216965" w:rsidRDefault="006B380D">
            <w:pPr>
              <w:spacing w:after="0" w:line="240" w:lineRule="auto"/>
              <w:rPr>
                <w:sz w:val="16"/>
                <w:szCs w:val="16"/>
              </w:rPr>
            </w:pPr>
            <w:r w:rsidRPr="00216965">
              <w:rPr>
                <w:sz w:val="16"/>
                <w:szCs w:val="16"/>
              </w:rPr>
              <w:t xml:space="preserve">228 ± 15 e </w:t>
            </w:r>
          </w:p>
        </w:tc>
        <w:tc>
          <w:tcPr>
            <w:tcW w:w="848" w:type="dxa"/>
            <w:tcBorders>
              <w:top w:val="nil"/>
              <w:left w:val="nil"/>
              <w:bottom w:val="nil"/>
              <w:right w:val="nil"/>
            </w:tcBorders>
            <w:vAlign w:val="bottom"/>
            <w:hideMark/>
          </w:tcPr>
          <w:p w14:paraId="5638B0D0" w14:textId="77777777" w:rsidR="006B380D" w:rsidRPr="00216965" w:rsidRDefault="006B380D">
            <w:pPr>
              <w:spacing w:after="0" w:line="240" w:lineRule="auto"/>
              <w:rPr>
                <w:sz w:val="16"/>
                <w:szCs w:val="16"/>
              </w:rPr>
            </w:pPr>
            <w:r w:rsidRPr="00216965">
              <w:rPr>
                <w:sz w:val="16"/>
                <w:szCs w:val="16"/>
              </w:rPr>
              <w:t>21 ± 3 a</w:t>
            </w:r>
          </w:p>
        </w:tc>
        <w:tc>
          <w:tcPr>
            <w:tcW w:w="989" w:type="dxa"/>
            <w:tcBorders>
              <w:top w:val="nil"/>
              <w:left w:val="nil"/>
              <w:bottom w:val="nil"/>
              <w:right w:val="nil"/>
            </w:tcBorders>
            <w:vAlign w:val="bottom"/>
            <w:hideMark/>
          </w:tcPr>
          <w:p w14:paraId="57E3FD61" w14:textId="77777777" w:rsidR="006B380D" w:rsidRPr="00216965" w:rsidRDefault="006B380D">
            <w:pPr>
              <w:spacing w:after="0" w:line="240" w:lineRule="auto"/>
              <w:rPr>
                <w:sz w:val="16"/>
                <w:szCs w:val="16"/>
              </w:rPr>
            </w:pPr>
            <w:r w:rsidRPr="00216965">
              <w:rPr>
                <w:sz w:val="16"/>
                <w:szCs w:val="16"/>
              </w:rPr>
              <w:t>105 ± 17 ab</w:t>
            </w:r>
          </w:p>
        </w:tc>
        <w:tc>
          <w:tcPr>
            <w:tcW w:w="283" w:type="dxa"/>
            <w:tcBorders>
              <w:top w:val="nil"/>
              <w:left w:val="nil"/>
              <w:bottom w:val="nil"/>
              <w:right w:val="nil"/>
            </w:tcBorders>
          </w:tcPr>
          <w:p w14:paraId="607C6447"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1F1FE32B" w14:textId="77777777" w:rsidR="006B380D" w:rsidRPr="00216965" w:rsidRDefault="006B380D">
            <w:pPr>
              <w:spacing w:after="0" w:line="240" w:lineRule="auto"/>
              <w:rPr>
                <w:sz w:val="16"/>
                <w:szCs w:val="16"/>
              </w:rPr>
            </w:pPr>
            <w:r w:rsidRPr="00216965">
              <w:rPr>
                <w:sz w:val="16"/>
                <w:szCs w:val="16"/>
              </w:rPr>
              <w:t>100 ± 1 cd</w:t>
            </w:r>
          </w:p>
        </w:tc>
        <w:tc>
          <w:tcPr>
            <w:tcW w:w="991" w:type="dxa"/>
            <w:tcBorders>
              <w:top w:val="nil"/>
              <w:left w:val="nil"/>
              <w:bottom w:val="nil"/>
              <w:right w:val="nil"/>
            </w:tcBorders>
            <w:vAlign w:val="center"/>
            <w:hideMark/>
          </w:tcPr>
          <w:p w14:paraId="255AA743" w14:textId="77777777" w:rsidR="006B380D" w:rsidRPr="00216965" w:rsidRDefault="006B380D">
            <w:pPr>
              <w:spacing w:after="0" w:line="240" w:lineRule="auto"/>
              <w:rPr>
                <w:sz w:val="16"/>
                <w:szCs w:val="16"/>
              </w:rPr>
            </w:pPr>
            <w:r w:rsidRPr="00216965">
              <w:rPr>
                <w:sz w:val="16"/>
                <w:szCs w:val="16"/>
              </w:rPr>
              <w:t>130 ± 58 cd</w:t>
            </w:r>
          </w:p>
        </w:tc>
      </w:tr>
      <w:tr w:rsidR="006B380D" w:rsidRPr="00216965" w14:paraId="03537EF1" w14:textId="77777777" w:rsidTr="008A33DA">
        <w:trPr>
          <w:trHeight w:val="288"/>
          <w:jc w:val="center"/>
        </w:trPr>
        <w:tc>
          <w:tcPr>
            <w:tcW w:w="0" w:type="auto"/>
            <w:vMerge/>
            <w:tcBorders>
              <w:top w:val="nil"/>
              <w:left w:val="nil"/>
              <w:bottom w:val="nil"/>
              <w:right w:val="nil"/>
            </w:tcBorders>
            <w:vAlign w:val="center"/>
            <w:hideMark/>
          </w:tcPr>
          <w:p w14:paraId="31DA3336"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1AEB7E4E" w14:textId="77777777" w:rsidR="006B380D" w:rsidRPr="00216965" w:rsidRDefault="006B380D">
            <w:pPr>
              <w:spacing w:after="0" w:line="240" w:lineRule="auto"/>
              <w:rPr>
                <w:sz w:val="16"/>
                <w:szCs w:val="16"/>
              </w:rPr>
            </w:pPr>
            <w:r w:rsidRPr="00216965">
              <w:rPr>
                <w:sz w:val="16"/>
                <w:szCs w:val="16"/>
              </w:rPr>
              <w:t>3</w:t>
            </w:r>
          </w:p>
        </w:tc>
        <w:tc>
          <w:tcPr>
            <w:tcW w:w="1128" w:type="dxa"/>
            <w:tcBorders>
              <w:top w:val="nil"/>
              <w:left w:val="nil"/>
              <w:bottom w:val="nil"/>
              <w:right w:val="nil"/>
            </w:tcBorders>
            <w:vAlign w:val="bottom"/>
            <w:hideMark/>
          </w:tcPr>
          <w:p w14:paraId="57592816" w14:textId="77777777" w:rsidR="006B380D" w:rsidRPr="00216965" w:rsidRDefault="006B380D">
            <w:pPr>
              <w:spacing w:after="0" w:line="240" w:lineRule="auto"/>
              <w:rPr>
                <w:sz w:val="16"/>
                <w:szCs w:val="16"/>
              </w:rPr>
            </w:pPr>
            <w:r w:rsidRPr="00216965">
              <w:rPr>
                <w:sz w:val="16"/>
                <w:szCs w:val="16"/>
              </w:rPr>
              <w:t>46 ± 5 ab</w:t>
            </w:r>
          </w:p>
        </w:tc>
        <w:tc>
          <w:tcPr>
            <w:tcW w:w="976" w:type="dxa"/>
            <w:tcBorders>
              <w:top w:val="nil"/>
              <w:left w:val="nil"/>
              <w:bottom w:val="nil"/>
              <w:right w:val="nil"/>
            </w:tcBorders>
            <w:vAlign w:val="bottom"/>
            <w:hideMark/>
          </w:tcPr>
          <w:p w14:paraId="1263C536" w14:textId="77777777" w:rsidR="006B380D" w:rsidRPr="00216965" w:rsidRDefault="006B380D">
            <w:pPr>
              <w:spacing w:after="0" w:line="240" w:lineRule="auto"/>
              <w:rPr>
                <w:sz w:val="16"/>
                <w:szCs w:val="16"/>
              </w:rPr>
            </w:pPr>
            <w:r w:rsidRPr="00216965">
              <w:rPr>
                <w:sz w:val="16"/>
                <w:szCs w:val="16"/>
              </w:rPr>
              <w:t>23 ± 15 a</w:t>
            </w:r>
          </w:p>
        </w:tc>
        <w:tc>
          <w:tcPr>
            <w:tcW w:w="1000" w:type="dxa"/>
            <w:tcBorders>
              <w:top w:val="nil"/>
              <w:left w:val="nil"/>
              <w:bottom w:val="nil"/>
              <w:right w:val="nil"/>
            </w:tcBorders>
            <w:vAlign w:val="bottom"/>
            <w:hideMark/>
          </w:tcPr>
          <w:p w14:paraId="18916DB4" w14:textId="77777777" w:rsidR="006B380D" w:rsidRPr="00216965" w:rsidRDefault="006B380D">
            <w:pPr>
              <w:spacing w:after="0" w:line="240" w:lineRule="auto"/>
              <w:rPr>
                <w:sz w:val="16"/>
                <w:szCs w:val="16"/>
              </w:rPr>
            </w:pPr>
            <w:r w:rsidRPr="00216965">
              <w:rPr>
                <w:sz w:val="16"/>
                <w:szCs w:val="16"/>
              </w:rPr>
              <w:t>80 ± 3 a</w:t>
            </w:r>
          </w:p>
        </w:tc>
        <w:tc>
          <w:tcPr>
            <w:tcW w:w="988" w:type="dxa"/>
            <w:tcBorders>
              <w:top w:val="nil"/>
              <w:left w:val="nil"/>
              <w:bottom w:val="nil"/>
              <w:right w:val="nil"/>
            </w:tcBorders>
            <w:vAlign w:val="bottom"/>
            <w:hideMark/>
          </w:tcPr>
          <w:p w14:paraId="1E2A5800" w14:textId="77777777" w:rsidR="006B380D" w:rsidRPr="00216965" w:rsidRDefault="006B380D">
            <w:pPr>
              <w:spacing w:after="0" w:line="240" w:lineRule="auto"/>
              <w:rPr>
                <w:sz w:val="16"/>
                <w:szCs w:val="16"/>
              </w:rPr>
            </w:pPr>
            <w:r w:rsidRPr="00216965">
              <w:rPr>
                <w:sz w:val="16"/>
                <w:szCs w:val="16"/>
              </w:rPr>
              <w:t>31 ± 9 a</w:t>
            </w:r>
          </w:p>
        </w:tc>
        <w:tc>
          <w:tcPr>
            <w:tcW w:w="989" w:type="dxa"/>
            <w:tcBorders>
              <w:top w:val="nil"/>
              <w:left w:val="nil"/>
              <w:bottom w:val="nil"/>
              <w:right w:val="nil"/>
            </w:tcBorders>
            <w:vAlign w:val="bottom"/>
            <w:hideMark/>
          </w:tcPr>
          <w:p w14:paraId="597EC806" w14:textId="77777777" w:rsidR="006B380D" w:rsidRPr="00216965" w:rsidRDefault="006B380D">
            <w:pPr>
              <w:spacing w:after="0" w:line="240" w:lineRule="auto"/>
              <w:rPr>
                <w:sz w:val="16"/>
                <w:szCs w:val="16"/>
              </w:rPr>
            </w:pPr>
            <w:r w:rsidRPr="00216965">
              <w:rPr>
                <w:sz w:val="16"/>
                <w:szCs w:val="16"/>
              </w:rPr>
              <w:t>63 ± 36 a</w:t>
            </w:r>
          </w:p>
        </w:tc>
        <w:tc>
          <w:tcPr>
            <w:tcW w:w="283" w:type="dxa"/>
            <w:tcBorders>
              <w:top w:val="nil"/>
              <w:left w:val="nil"/>
              <w:bottom w:val="nil"/>
              <w:right w:val="nil"/>
            </w:tcBorders>
          </w:tcPr>
          <w:p w14:paraId="6FCC67B7"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0FB3DA02" w14:textId="77777777" w:rsidR="006B380D" w:rsidRPr="00216965" w:rsidRDefault="006B380D">
            <w:pPr>
              <w:spacing w:after="0" w:line="240" w:lineRule="auto"/>
              <w:rPr>
                <w:sz w:val="16"/>
                <w:szCs w:val="16"/>
              </w:rPr>
            </w:pPr>
            <w:r w:rsidRPr="00216965">
              <w:rPr>
                <w:sz w:val="16"/>
                <w:szCs w:val="16"/>
              </w:rPr>
              <w:t xml:space="preserve">9.1 ± 0.8 bcde </w:t>
            </w:r>
          </w:p>
        </w:tc>
        <w:tc>
          <w:tcPr>
            <w:tcW w:w="1129" w:type="dxa"/>
            <w:tcBorders>
              <w:top w:val="nil"/>
              <w:left w:val="nil"/>
              <w:bottom w:val="nil"/>
              <w:right w:val="nil"/>
            </w:tcBorders>
            <w:vAlign w:val="bottom"/>
            <w:hideMark/>
          </w:tcPr>
          <w:p w14:paraId="01BF4264" w14:textId="77777777" w:rsidR="006B380D" w:rsidRPr="00216965" w:rsidRDefault="006B380D">
            <w:pPr>
              <w:spacing w:after="0" w:line="240" w:lineRule="auto"/>
              <w:rPr>
                <w:sz w:val="16"/>
                <w:szCs w:val="16"/>
              </w:rPr>
            </w:pPr>
            <w:r w:rsidRPr="00216965">
              <w:rPr>
                <w:sz w:val="16"/>
                <w:szCs w:val="16"/>
              </w:rPr>
              <w:t xml:space="preserve">218 ± 25 e </w:t>
            </w:r>
          </w:p>
        </w:tc>
        <w:tc>
          <w:tcPr>
            <w:tcW w:w="848" w:type="dxa"/>
            <w:tcBorders>
              <w:top w:val="nil"/>
              <w:left w:val="nil"/>
              <w:bottom w:val="nil"/>
              <w:right w:val="nil"/>
            </w:tcBorders>
            <w:vAlign w:val="bottom"/>
            <w:hideMark/>
          </w:tcPr>
          <w:p w14:paraId="2162AAA1" w14:textId="77777777" w:rsidR="006B380D" w:rsidRPr="00216965" w:rsidRDefault="006B380D">
            <w:pPr>
              <w:spacing w:after="0" w:line="240" w:lineRule="auto"/>
              <w:rPr>
                <w:sz w:val="16"/>
                <w:szCs w:val="16"/>
              </w:rPr>
            </w:pPr>
            <w:r w:rsidRPr="00216965">
              <w:rPr>
                <w:sz w:val="16"/>
                <w:szCs w:val="16"/>
              </w:rPr>
              <w:t>19 ± 3 a</w:t>
            </w:r>
          </w:p>
        </w:tc>
        <w:tc>
          <w:tcPr>
            <w:tcW w:w="989" w:type="dxa"/>
            <w:tcBorders>
              <w:top w:val="nil"/>
              <w:left w:val="nil"/>
              <w:bottom w:val="nil"/>
              <w:right w:val="nil"/>
            </w:tcBorders>
            <w:vAlign w:val="bottom"/>
            <w:hideMark/>
          </w:tcPr>
          <w:p w14:paraId="6138B416" w14:textId="77777777" w:rsidR="006B380D" w:rsidRPr="00216965" w:rsidRDefault="006B380D">
            <w:pPr>
              <w:spacing w:after="0" w:line="240" w:lineRule="auto"/>
              <w:rPr>
                <w:sz w:val="16"/>
                <w:szCs w:val="16"/>
              </w:rPr>
            </w:pPr>
            <w:r w:rsidRPr="00216965">
              <w:rPr>
                <w:sz w:val="16"/>
                <w:szCs w:val="16"/>
              </w:rPr>
              <w:t>121 ± 9 ab</w:t>
            </w:r>
          </w:p>
        </w:tc>
        <w:tc>
          <w:tcPr>
            <w:tcW w:w="283" w:type="dxa"/>
            <w:tcBorders>
              <w:top w:val="nil"/>
              <w:left w:val="nil"/>
              <w:bottom w:val="nil"/>
              <w:right w:val="nil"/>
            </w:tcBorders>
          </w:tcPr>
          <w:p w14:paraId="5761996A"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56476726" w14:textId="77777777" w:rsidR="006B380D" w:rsidRPr="00216965" w:rsidRDefault="006B380D">
            <w:pPr>
              <w:spacing w:after="0" w:line="240" w:lineRule="auto"/>
              <w:rPr>
                <w:sz w:val="16"/>
                <w:szCs w:val="16"/>
              </w:rPr>
            </w:pPr>
            <w:r w:rsidRPr="00216965">
              <w:rPr>
                <w:sz w:val="16"/>
                <w:szCs w:val="16"/>
              </w:rPr>
              <w:t>103 ± 8 c</w:t>
            </w:r>
          </w:p>
        </w:tc>
        <w:tc>
          <w:tcPr>
            <w:tcW w:w="991" w:type="dxa"/>
            <w:tcBorders>
              <w:top w:val="nil"/>
              <w:left w:val="nil"/>
              <w:bottom w:val="nil"/>
              <w:right w:val="nil"/>
            </w:tcBorders>
            <w:vAlign w:val="center"/>
            <w:hideMark/>
          </w:tcPr>
          <w:p w14:paraId="0C4D0F60" w14:textId="77777777" w:rsidR="006B380D" w:rsidRPr="00216965" w:rsidRDefault="006B380D">
            <w:pPr>
              <w:spacing w:after="0" w:line="240" w:lineRule="auto"/>
              <w:rPr>
                <w:sz w:val="16"/>
                <w:szCs w:val="16"/>
              </w:rPr>
            </w:pPr>
            <w:r w:rsidRPr="00216965">
              <w:rPr>
                <w:sz w:val="16"/>
                <w:szCs w:val="16"/>
              </w:rPr>
              <w:t>172 ± 20 cd</w:t>
            </w:r>
          </w:p>
        </w:tc>
      </w:tr>
      <w:tr w:rsidR="006B380D" w:rsidRPr="00216965" w14:paraId="29D19CCF" w14:textId="77777777" w:rsidTr="008A33DA">
        <w:trPr>
          <w:trHeight w:val="288"/>
          <w:jc w:val="center"/>
        </w:trPr>
        <w:tc>
          <w:tcPr>
            <w:tcW w:w="0" w:type="auto"/>
            <w:vMerge/>
            <w:tcBorders>
              <w:top w:val="nil"/>
              <w:left w:val="nil"/>
              <w:bottom w:val="nil"/>
              <w:right w:val="nil"/>
            </w:tcBorders>
            <w:vAlign w:val="center"/>
            <w:hideMark/>
          </w:tcPr>
          <w:p w14:paraId="35398558"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7ABD57BC" w14:textId="77777777" w:rsidR="006B380D" w:rsidRPr="00216965" w:rsidRDefault="006B380D">
            <w:pPr>
              <w:spacing w:after="0" w:line="240" w:lineRule="auto"/>
              <w:rPr>
                <w:sz w:val="16"/>
                <w:szCs w:val="16"/>
              </w:rPr>
            </w:pPr>
            <w:r w:rsidRPr="00216965">
              <w:rPr>
                <w:sz w:val="16"/>
                <w:szCs w:val="16"/>
              </w:rPr>
              <w:t>5</w:t>
            </w:r>
          </w:p>
        </w:tc>
        <w:tc>
          <w:tcPr>
            <w:tcW w:w="1128" w:type="dxa"/>
            <w:tcBorders>
              <w:top w:val="nil"/>
              <w:left w:val="nil"/>
              <w:bottom w:val="nil"/>
              <w:right w:val="nil"/>
            </w:tcBorders>
            <w:vAlign w:val="bottom"/>
            <w:hideMark/>
          </w:tcPr>
          <w:p w14:paraId="4CDBC52D" w14:textId="77777777" w:rsidR="006B380D" w:rsidRPr="00216965" w:rsidRDefault="006B380D">
            <w:pPr>
              <w:spacing w:after="0" w:line="240" w:lineRule="auto"/>
              <w:rPr>
                <w:sz w:val="16"/>
                <w:szCs w:val="16"/>
              </w:rPr>
            </w:pPr>
            <w:r w:rsidRPr="00216965">
              <w:rPr>
                <w:sz w:val="16"/>
                <w:szCs w:val="16"/>
              </w:rPr>
              <w:t>189 ± 118 a</w:t>
            </w:r>
          </w:p>
        </w:tc>
        <w:tc>
          <w:tcPr>
            <w:tcW w:w="976" w:type="dxa"/>
            <w:tcBorders>
              <w:top w:val="nil"/>
              <w:left w:val="nil"/>
              <w:bottom w:val="nil"/>
              <w:right w:val="nil"/>
            </w:tcBorders>
            <w:vAlign w:val="bottom"/>
            <w:hideMark/>
          </w:tcPr>
          <w:p w14:paraId="26282F2F" w14:textId="77777777" w:rsidR="006B380D" w:rsidRPr="00216965" w:rsidRDefault="006B380D">
            <w:pPr>
              <w:spacing w:after="0" w:line="240" w:lineRule="auto"/>
              <w:rPr>
                <w:sz w:val="16"/>
                <w:szCs w:val="16"/>
              </w:rPr>
            </w:pPr>
            <w:r w:rsidRPr="00216965">
              <w:rPr>
                <w:sz w:val="16"/>
                <w:szCs w:val="16"/>
              </w:rPr>
              <w:t>8.8 ± 1.2 a</w:t>
            </w:r>
          </w:p>
        </w:tc>
        <w:tc>
          <w:tcPr>
            <w:tcW w:w="1000" w:type="dxa"/>
            <w:tcBorders>
              <w:top w:val="nil"/>
              <w:left w:val="nil"/>
              <w:bottom w:val="nil"/>
              <w:right w:val="nil"/>
            </w:tcBorders>
            <w:vAlign w:val="bottom"/>
            <w:hideMark/>
          </w:tcPr>
          <w:p w14:paraId="6EA6DDC3" w14:textId="77777777" w:rsidR="006B380D" w:rsidRPr="00216965" w:rsidRDefault="006B380D">
            <w:pPr>
              <w:spacing w:after="0" w:line="240" w:lineRule="auto"/>
              <w:rPr>
                <w:sz w:val="16"/>
                <w:szCs w:val="16"/>
              </w:rPr>
            </w:pPr>
            <w:r w:rsidRPr="00216965">
              <w:rPr>
                <w:sz w:val="16"/>
                <w:szCs w:val="16"/>
              </w:rPr>
              <w:t>161 ± 50 a</w:t>
            </w:r>
          </w:p>
        </w:tc>
        <w:tc>
          <w:tcPr>
            <w:tcW w:w="988" w:type="dxa"/>
            <w:tcBorders>
              <w:top w:val="nil"/>
              <w:left w:val="nil"/>
              <w:bottom w:val="nil"/>
              <w:right w:val="nil"/>
            </w:tcBorders>
            <w:vAlign w:val="bottom"/>
            <w:hideMark/>
          </w:tcPr>
          <w:p w14:paraId="12966AD1" w14:textId="77777777" w:rsidR="006B380D" w:rsidRPr="00216965" w:rsidRDefault="006B380D">
            <w:pPr>
              <w:spacing w:after="0" w:line="240" w:lineRule="auto"/>
              <w:rPr>
                <w:sz w:val="16"/>
                <w:szCs w:val="16"/>
              </w:rPr>
            </w:pPr>
            <w:r w:rsidRPr="00216965">
              <w:rPr>
                <w:sz w:val="16"/>
                <w:szCs w:val="16"/>
              </w:rPr>
              <w:t>139 ± 30 a</w:t>
            </w:r>
          </w:p>
        </w:tc>
        <w:tc>
          <w:tcPr>
            <w:tcW w:w="989" w:type="dxa"/>
            <w:tcBorders>
              <w:top w:val="nil"/>
              <w:left w:val="nil"/>
              <w:bottom w:val="nil"/>
              <w:right w:val="nil"/>
            </w:tcBorders>
            <w:vAlign w:val="bottom"/>
            <w:hideMark/>
          </w:tcPr>
          <w:p w14:paraId="2F8C99D6" w14:textId="77777777" w:rsidR="006B380D" w:rsidRPr="00216965" w:rsidRDefault="006B380D">
            <w:pPr>
              <w:spacing w:after="0" w:line="240" w:lineRule="auto"/>
              <w:rPr>
                <w:sz w:val="16"/>
                <w:szCs w:val="16"/>
              </w:rPr>
            </w:pPr>
            <w:r w:rsidRPr="00216965">
              <w:rPr>
                <w:sz w:val="16"/>
                <w:szCs w:val="16"/>
              </w:rPr>
              <w:t>123 ± 31 a</w:t>
            </w:r>
          </w:p>
        </w:tc>
        <w:tc>
          <w:tcPr>
            <w:tcW w:w="283" w:type="dxa"/>
            <w:tcBorders>
              <w:top w:val="nil"/>
              <w:left w:val="nil"/>
              <w:bottom w:val="nil"/>
              <w:right w:val="nil"/>
            </w:tcBorders>
          </w:tcPr>
          <w:p w14:paraId="3FF66C47"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6BA4A8D9" w14:textId="77777777" w:rsidR="006B380D" w:rsidRPr="00216965" w:rsidRDefault="006B380D">
            <w:pPr>
              <w:spacing w:after="0" w:line="240" w:lineRule="auto"/>
              <w:rPr>
                <w:sz w:val="16"/>
                <w:szCs w:val="16"/>
              </w:rPr>
            </w:pPr>
            <w:r w:rsidRPr="00216965">
              <w:rPr>
                <w:sz w:val="16"/>
                <w:szCs w:val="16"/>
              </w:rPr>
              <w:t xml:space="preserve">8.3 ± 0.5 de </w:t>
            </w:r>
          </w:p>
        </w:tc>
        <w:tc>
          <w:tcPr>
            <w:tcW w:w="1129" w:type="dxa"/>
            <w:tcBorders>
              <w:top w:val="nil"/>
              <w:left w:val="nil"/>
              <w:bottom w:val="nil"/>
              <w:right w:val="nil"/>
            </w:tcBorders>
            <w:vAlign w:val="bottom"/>
            <w:hideMark/>
          </w:tcPr>
          <w:p w14:paraId="26EE6A7F" w14:textId="77777777" w:rsidR="006B380D" w:rsidRPr="00216965" w:rsidRDefault="006B380D">
            <w:pPr>
              <w:spacing w:after="0" w:line="240" w:lineRule="auto"/>
              <w:rPr>
                <w:sz w:val="16"/>
                <w:szCs w:val="16"/>
              </w:rPr>
            </w:pPr>
            <w:r w:rsidRPr="00216965">
              <w:rPr>
                <w:sz w:val="16"/>
                <w:szCs w:val="16"/>
              </w:rPr>
              <w:t>227 ± 25 e</w:t>
            </w:r>
          </w:p>
        </w:tc>
        <w:tc>
          <w:tcPr>
            <w:tcW w:w="848" w:type="dxa"/>
            <w:tcBorders>
              <w:top w:val="nil"/>
              <w:left w:val="nil"/>
              <w:bottom w:val="nil"/>
              <w:right w:val="nil"/>
            </w:tcBorders>
            <w:vAlign w:val="bottom"/>
            <w:hideMark/>
          </w:tcPr>
          <w:p w14:paraId="23783FB6" w14:textId="77777777" w:rsidR="006B380D" w:rsidRPr="00216965" w:rsidRDefault="006B380D">
            <w:pPr>
              <w:spacing w:after="0" w:line="240" w:lineRule="auto"/>
              <w:rPr>
                <w:sz w:val="16"/>
                <w:szCs w:val="16"/>
              </w:rPr>
            </w:pPr>
            <w:r w:rsidRPr="00216965">
              <w:rPr>
                <w:sz w:val="16"/>
                <w:szCs w:val="16"/>
              </w:rPr>
              <w:t>22 ± 3 a</w:t>
            </w:r>
          </w:p>
        </w:tc>
        <w:tc>
          <w:tcPr>
            <w:tcW w:w="989" w:type="dxa"/>
            <w:tcBorders>
              <w:top w:val="nil"/>
              <w:left w:val="nil"/>
              <w:bottom w:val="nil"/>
              <w:right w:val="nil"/>
            </w:tcBorders>
            <w:vAlign w:val="bottom"/>
            <w:hideMark/>
          </w:tcPr>
          <w:p w14:paraId="5730FE16" w14:textId="77777777" w:rsidR="006B380D" w:rsidRPr="00216965" w:rsidRDefault="006B380D">
            <w:pPr>
              <w:spacing w:after="0" w:line="240" w:lineRule="auto"/>
              <w:rPr>
                <w:sz w:val="16"/>
                <w:szCs w:val="16"/>
              </w:rPr>
            </w:pPr>
            <w:r w:rsidRPr="00216965">
              <w:rPr>
                <w:sz w:val="16"/>
                <w:szCs w:val="16"/>
              </w:rPr>
              <w:t>138 ± 48 ab</w:t>
            </w:r>
          </w:p>
        </w:tc>
        <w:tc>
          <w:tcPr>
            <w:tcW w:w="283" w:type="dxa"/>
            <w:tcBorders>
              <w:top w:val="nil"/>
              <w:left w:val="nil"/>
              <w:bottom w:val="nil"/>
              <w:right w:val="nil"/>
            </w:tcBorders>
          </w:tcPr>
          <w:p w14:paraId="0D906B16"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7868DD57" w14:textId="77777777" w:rsidR="006B380D" w:rsidRPr="00216965" w:rsidRDefault="006B380D">
            <w:pPr>
              <w:spacing w:after="0" w:line="240" w:lineRule="auto"/>
              <w:rPr>
                <w:sz w:val="16"/>
                <w:szCs w:val="16"/>
              </w:rPr>
            </w:pPr>
            <w:r w:rsidRPr="00216965">
              <w:rPr>
                <w:sz w:val="16"/>
                <w:szCs w:val="16"/>
              </w:rPr>
              <w:t>107 ± 4 c</w:t>
            </w:r>
          </w:p>
        </w:tc>
        <w:tc>
          <w:tcPr>
            <w:tcW w:w="991" w:type="dxa"/>
            <w:tcBorders>
              <w:top w:val="nil"/>
              <w:left w:val="nil"/>
              <w:bottom w:val="nil"/>
              <w:right w:val="nil"/>
            </w:tcBorders>
            <w:vAlign w:val="center"/>
            <w:hideMark/>
          </w:tcPr>
          <w:p w14:paraId="6A005534" w14:textId="77777777" w:rsidR="006B380D" w:rsidRPr="00216965" w:rsidRDefault="006B380D">
            <w:pPr>
              <w:spacing w:after="0" w:line="240" w:lineRule="auto"/>
              <w:rPr>
                <w:sz w:val="16"/>
                <w:szCs w:val="16"/>
              </w:rPr>
            </w:pPr>
            <w:r w:rsidRPr="00216965">
              <w:rPr>
                <w:sz w:val="16"/>
                <w:szCs w:val="16"/>
              </w:rPr>
              <w:t>73 ± 28 d</w:t>
            </w:r>
          </w:p>
        </w:tc>
      </w:tr>
      <w:tr w:rsidR="006B380D" w:rsidRPr="00216965" w14:paraId="20C88EC5" w14:textId="77777777" w:rsidTr="008A33DA">
        <w:trPr>
          <w:trHeight w:val="288"/>
          <w:jc w:val="center"/>
        </w:trPr>
        <w:tc>
          <w:tcPr>
            <w:tcW w:w="851" w:type="dxa"/>
            <w:vMerge w:val="restart"/>
            <w:tcBorders>
              <w:top w:val="nil"/>
              <w:left w:val="nil"/>
              <w:bottom w:val="nil"/>
              <w:right w:val="nil"/>
            </w:tcBorders>
            <w:vAlign w:val="center"/>
            <w:hideMark/>
          </w:tcPr>
          <w:p w14:paraId="697980C5" w14:textId="77777777" w:rsidR="006B380D" w:rsidRPr="00216965" w:rsidRDefault="006B380D">
            <w:pPr>
              <w:spacing w:after="0" w:line="240" w:lineRule="auto"/>
              <w:rPr>
                <w:sz w:val="16"/>
                <w:szCs w:val="16"/>
              </w:rPr>
            </w:pPr>
            <w:r w:rsidRPr="00216965">
              <w:rPr>
                <w:sz w:val="16"/>
                <w:szCs w:val="16"/>
              </w:rPr>
              <w:t>WSP550</w:t>
            </w:r>
          </w:p>
        </w:tc>
        <w:tc>
          <w:tcPr>
            <w:tcW w:w="754" w:type="dxa"/>
            <w:tcBorders>
              <w:top w:val="nil"/>
              <w:left w:val="nil"/>
              <w:bottom w:val="nil"/>
              <w:right w:val="nil"/>
            </w:tcBorders>
            <w:vAlign w:val="bottom"/>
            <w:hideMark/>
          </w:tcPr>
          <w:p w14:paraId="754E0205" w14:textId="77777777" w:rsidR="006B380D" w:rsidRPr="00216965" w:rsidRDefault="006B380D">
            <w:pPr>
              <w:spacing w:after="0" w:line="240" w:lineRule="auto"/>
              <w:rPr>
                <w:sz w:val="16"/>
                <w:szCs w:val="16"/>
              </w:rPr>
            </w:pPr>
            <w:r w:rsidRPr="00216965">
              <w:rPr>
                <w:sz w:val="16"/>
                <w:szCs w:val="16"/>
              </w:rPr>
              <w:t>1</w:t>
            </w:r>
          </w:p>
        </w:tc>
        <w:tc>
          <w:tcPr>
            <w:tcW w:w="1128" w:type="dxa"/>
            <w:tcBorders>
              <w:top w:val="nil"/>
              <w:left w:val="nil"/>
              <w:bottom w:val="nil"/>
              <w:right w:val="nil"/>
            </w:tcBorders>
            <w:vAlign w:val="bottom"/>
            <w:hideMark/>
          </w:tcPr>
          <w:p w14:paraId="4CB06EB4" w14:textId="77777777" w:rsidR="006B380D" w:rsidRPr="00216965" w:rsidRDefault="006B380D">
            <w:pPr>
              <w:spacing w:after="0" w:line="240" w:lineRule="auto"/>
              <w:rPr>
                <w:sz w:val="16"/>
                <w:szCs w:val="16"/>
              </w:rPr>
            </w:pPr>
            <w:r w:rsidRPr="00216965">
              <w:rPr>
                <w:sz w:val="16"/>
                <w:szCs w:val="16"/>
              </w:rPr>
              <w:t>40 ± 10 b</w:t>
            </w:r>
          </w:p>
        </w:tc>
        <w:tc>
          <w:tcPr>
            <w:tcW w:w="976" w:type="dxa"/>
            <w:tcBorders>
              <w:top w:val="nil"/>
              <w:left w:val="nil"/>
              <w:bottom w:val="nil"/>
              <w:right w:val="nil"/>
            </w:tcBorders>
            <w:vAlign w:val="bottom"/>
            <w:hideMark/>
          </w:tcPr>
          <w:p w14:paraId="2793D705" w14:textId="77777777" w:rsidR="006B380D" w:rsidRPr="00216965" w:rsidRDefault="006B380D">
            <w:pPr>
              <w:spacing w:after="0" w:line="240" w:lineRule="auto"/>
              <w:rPr>
                <w:sz w:val="16"/>
                <w:szCs w:val="16"/>
              </w:rPr>
            </w:pPr>
            <w:r w:rsidRPr="00216965">
              <w:rPr>
                <w:sz w:val="16"/>
                <w:szCs w:val="16"/>
              </w:rPr>
              <w:t>7.9 ± 1.1 a</w:t>
            </w:r>
          </w:p>
        </w:tc>
        <w:tc>
          <w:tcPr>
            <w:tcW w:w="1000" w:type="dxa"/>
            <w:tcBorders>
              <w:top w:val="nil"/>
              <w:left w:val="nil"/>
              <w:bottom w:val="nil"/>
              <w:right w:val="nil"/>
            </w:tcBorders>
            <w:vAlign w:val="bottom"/>
            <w:hideMark/>
          </w:tcPr>
          <w:p w14:paraId="6DAC964F" w14:textId="77777777" w:rsidR="006B380D" w:rsidRPr="00216965" w:rsidRDefault="006B380D">
            <w:pPr>
              <w:spacing w:after="0" w:line="240" w:lineRule="auto"/>
              <w:rPr>
                <w:sz w:val="16"/>
                <w:szCs w:val="16"/>
              </w:rPr>
            </w:pPr>
            <w:r w:rsidRPr="00216965">
              <w:rPr>
                <w:sz w:val="16"/>
                <w:szCs w:val="16"/>
              </w:rPr>
              <w:t>98 ± 33 a</w:t>
            </w:r>
          </w:p>
        </w:tc>
        <w:tc>
          <w:tcPr>
            <w:tcW w:w="988" w:type="dxa"/>
            <w:tcBorders>
              <w:top w:val="nil"/>
              <w:left w:val="nil"/>
              <w:bottom w:val="nil"/>
              <w:right w:val="nil"/>
            </w:tcBorders>
            <w:vAlign w:val="bottom"/>
            <w:hideMark/>
          </w:tcPr>
          <w:p w14:paraId="110F3715" w14:textId="77777777" w:rsidR="006B380D" w:rsidRPr="00216965" w:rsidRDefault="006B380D">
            <w:pPr>
              <w:spacing w:after="0" w:line="240" w:lineRule="auto"/>
              <w:rPr>
                <w:sz w:val="16"/>
                <w:szCs w:val="16"/>
              </w:rPr>
            </w:pPr>
            <w:r w:rsidRPr="00216965">
              <w:rPr>
                <w:sz w:val="16"/>
                <w:szCs w:val="16"/>
              </w:rPr>
              <w:t>67 ± 34 a</w:t>
            </w:r>
          </w:p>
        </w:tc>
        <w:tc>
          <w:tcPr>
            <w:tcW w:w="989" w:type="dxa"/>
            <w:tcBorders>
              <w:top w:val="nil"/>
              <w:left w:val="nil"/>
              <w:bottom w:val="nil"/>
              <w:right w:val="nil"/>
            </w:tcBorders>
            <w:vAlign w:val="bottom"/>
            <w:hideMark/>
          </w:tcPr>
          <w:p w14:paraId="0FC0E724" w14:textId="77777777" w:rsidR="006B380D" w:rsidRPr="00216965" w:rsidRDefault="006B380D">
            <w:pPr>
              <w:spacing w:after="0" w:line="240" w:lineRule="auto"/>
              <w:rPr>
                <w:sz w:val="16"/>
                <w:szCs w:val="16"/>
              </w:rPr>
            </w:pPr>
            <w:r w:rsidRPr="00216965">
              <w:rPr>
                <w:sz w:val="16"/>
                <w:szCs w:val="16"/>
              </w:rPr>
              <w:t>43 ± 7 a</w:t>
            </w:r>
          </w:p>
        </w:tc>
        <w:tc>
          <w:tcPr>
            <w:tcW w:w="283" w:type="dxa"/>
            <w:tcBorders>
              <w:top w:val="nil"/>
              <w:left w:val="nil"/>
              <w:bottom w:val="nil"/>
              <w:right w:val="nil"/>
            </w:tcBorders>
          </w:tcPr>
          <w:p w14:paraId="767000A1"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41D5154D" w14:textId="77777777" w:rsidR="006B380D" w:rsidRPr="00216965" w:rsidRDefault="006B380D">
            <w:pPr>
              <w:spacing w:after="0" w:line="240" w:lineRule="auto"/>
              <w:rPr>
                <w:sz w:val="16"/>
                <w:szCs w:val="16"/>
              </w:rPr>
            </w:pPr>
            <w:r w:rsidRPr="00216965">
              <w:rPr>
                <w:sz w:val="16"/>
                <w:szCs w:val="16"/>
              </w:rPr>
              <w:t xml:space="preserve">8.3 ± 1.3 de </w:t>
            </w:r>
          </w:p>
        </w:tc>
        <w:tc>
          <w:tcPr>
            <w:tcW w:w="1129" w:type="dxa"/>
            <w:tcBorders>
              <w:top w:val="nil"/>
              <w:left w:val="nil"/>
              <w:bottom w:val="nil"/>
              <w:right w:val="nil"/>
            </w:tcBorders>
            <w:vAlign w:val="bottom"/>
            <w:hideMark/>
          </w:tcPr>
          <w:p w14:paraId="269F0BB5" w14:textId="77777777" w:rsidR="006B380D" w:rsidRPr="00216965" w:rsidRDefault="006B380D">
            <w:pPr>
              <w:spacing w:after="0" w:line="240" w:lineRule="auto"/>
              <w:rPr>
                <w:sz w:val="16"/>
                <w:szCs w:val="16"/>
              </w:rPr>
            </w:pPr>
            <w:r w:rsidRPr="00216965">
              <w:rPr>
                <w:sz w:val="16"/>
                <w:szCs w:val="16"/>
              </w:rPr>
              <w:t xml:space="preserve">302 ± 67 de </w:t>
            </w:r>
          </w:p>
        </w:tc>
        <w:tc>
          <w:tcPr>
            <w:tcW w:w="848" w:type="dxa"/>
            <w:tcBorders>
              <w:top w:val="nil"/>
              <w:left w:val="nil"/>
              <w:bottom w:val="nil"/>
              <w:right w:val="nil"/>
            </w:tcBorders>
            <w:vAlign w:val="bottom"/>
            <w:hideMark/>
          </w:tcPr>
          <w:p w14:paraId="3E90E556" w14:textId="77777777" w:rsidR="006B380D" w:rsidRPr="00216965" w:rsidRDefault="006B380D">
            <w:pPr>
              <w:spacing w:after="0" w:line="240" w:lineRule="auto"/>
              <w:rPr>
                <w:sz w:val="16"/>
                <w:szCs w:val="16"/>
              </w:rPr>
            </w:pPr>
            <w:r w:rsidRPr="00216965">
              <w:rPr>
                <w:sz w:val="16"/>
                <w:szCs w:val="16"/>
              </w:rPr>
              <w:t>21 ± 3 ab</w:t>
            </w:r>
          </w:p>
        </w:tc>
        <w:tc>
          <w:tcPr>
            <w:tcW w:w="989" w:type="dxa"/>
            <w:tcBorders>
              <w:top w:val="nil"/>
              <w:left w:val="nil"/>
              <w:bottom w:val="nil"/>
              <w:right w:val="nil"/>
            </w:tcBorders>
            <w:vAlign w:val="bottom"/>
            <w:hideMark/>
          </w:tcPr>
          <w:p w14:paraId="57BAF220" w14:textId="77777777" w:rsidR="006B380D" w:rsidRPr="00216965" w:rsidRDefault="006B380D">
            <w:pPr>
              <w:spacing w:after="0" w:line="240" w:lineRule="auto"/>
              <w:rPr>
                <w:sz w:val="16"/>
                <w:szCs w:val="16"/>
              </w:rPr>
            </w:pPr>
            <w:r w:rsidRPr="00216965">
              <w:rPr>
                <w:sz w:val="16"/>
                <w:szCs w:val="16"/>
              </w:rPr>
              <w:t>84 ± 5 ab</w:t>
            </w:r>
          </w:p>
        </w:tc>
        <w:tc>
          <w:tcPr>
            <w:tcW w:w="283" w:type="dxa"/>
            <w:tcBorders>
              <w:top w:val="nil"/>
              <w:left w:val="nil"/>
              <w:bottom w:val="nil"/>
              <w:right w:val="nil"/>
            </w:tcBorders>
          </w:tcPr>
          <w:p w14:paraId="39E7A651"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06E45276" w14:textId="77777777" w:rsidR="006B380D" w:rsidRPr="00216965" w:rsidRDefault="006B380D">
            <w:pPr>
              <w:spacing w:after="0" w:line="240" w:lineRule="auto"/>
              <w:rPr>
                <w:sz w:val="16"/>
                <w:szCs w:val="16"/>
              </w:rPr>
            </w:pPr>
            <w:r w:rsidRPr="00216965">
              <w:rPr>
                <w:sz w:val="16"/>
                <w:szCs w:val="16"/>
              </w:rPr>
              <w:t>83 ± 4 de</w:t>
            </w:r>
          </w:p>
        </w:tc>
        <w:tc>
          <w:tcPr>
            <w:tcW w:w="991" w:type="dxa"/>
            <w:tcBorders>
              <w:top w:val="nil"/>
              <w:left w:val="nil"/>
              <w:bottom w:val="nil"/>
              <w:right w:val="nil"/>
            </w:tcBorders>
            <w:vAlign w:val="center"/>
            <w:hideMark/>
          </w:tcPr>
          <w:p w14:paraId="003C34F7" w14:textId="77777777" w:rsidR="006B380D" w:rsidRPr="00216965" w:rsidRDefault="006B380D">
            <w:pPr>
              <w:spacing w:after="0" w:line="240" w:lineRule="auto"/>
              <w:rPr>
                <w:sz w:val="16"/>
                <w:szCs w:val="16"/>
              </w:rPr>
            </w:pPr>
            <w:r w:rsidRPr="00216965">
              <w:rPr>
                <w:sz w:val="16"/>
                <w:szCs w:val="16"/>
              </w:rPr>
              <w:t>181 ± 28 c</w:t>
            </w:r>
          </w:p>
        </w:tc>
      </w:tr>
      <w:tr w:rsidR="006B380D" w:rsidRPr="00216965" w14:paraId="7D3BD233" w14:textId="77777777" w:rsidTr="008A33DA">
        <w:trPr>
          <w:trHeight w:val="288"/>
          <w:jc w:val="center"/>
        </w:trPr>
        <w:tc>
          <w:tcPr>
            <w:tcW w:w="0" w:type="auto"/>
            <w:vMerge/>
            <w:tcBorders>
              <w:top w:val="nil"/>
              <w:left w:val="nil"/>
              <w:bottom w:val="nil"/>
              <w:right w:val="nil"/>
            </w:tcBorders>
            <w:vAlign w:val="center"/>
            <w:hideMark/>
          </w:tcPr>
          <w:p w14:paraId="4919E765"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01CEEF07" w14:textId="77777777" w:rsidR="006B380D" w:rsidRPr="00216965" w:rsidRDefault="006B380D">
            <w:pPr>
              <w:spacing w:after="0" w:line="240" w:lineRule="auto"/>
              <w:rPr>
                <w:sz w:val="16"/>
                <w:szCs w:val="16"/>
              </w:rPr>
            </w:pPr>
            <w:r w:rsidRPr="00216965">
              <w:rPr>
                <w:sz w:val="16"/>
                <w:szCs w:val="16"/>
              </w:rPr>
              <w:t>3</w:t>
            </w:r>
          </w:p>
        </w:tc>
        <w:tc>
          <w:tcPr>
            <w:tcW w:w="1128" w:type="dxa"/>
            <w:tcBorders>
              <w:top w:val="nil"/>
              <w:left w:val="nil"/>
              <w:bottom w:val="nil"/>
              <w:right w:val="nil"/>
            </w:tcBorders>
            <w:vAlign w:val="bottom"/>
            <w:hideMark/>
          </w:tcPr>
          <w:p w14:paraId="7AB49124" w14:textId="77777777" w:rsidR="006B380D" w:rsidRPr="00216965" w:rsidRDefault="006B380D">
            <w:pPr>
              <w:spacing w:after="0" w:line="240" w:lineRule="auto"/>
              <w:rPr>
                <w:sz w:val="16"/>
                <w:szCs w:val="16"/>
              </w:rPr>
            </w:pPr>
            <w:r w:rsidRPr="00216965">
              <w:rPr>
                <w:sz w:val="16"/>
                <w:szCs w:val="16"/>
              </w:rPr>
              <w:t xml:space="preserve">50 ± 13 ab </w:t>
            </w:r>
          </w:p>
        </w:tc>
        <w:tc>
          <w:tcPr>
            <w:tcW w:w="976" w:type="dxa"/>
            <w:tcBorders>
              <w:top w:val="nil"/>
              <w:left w:val="nil"/>
              <w:bottom w:val="nil"/>
              <w:right w:val="nil"/>
            </w:tcBorders>
            <w:vAlign w:val="bottom"/>
            <w:hideMark/>
          </w:tcPr>
          <w:p w14:paraId="7C311BB8" w14:textId="77777777" w:rsidR="006B380D" w:rsidRPr="00216965" w:rsidRDefault="006B380D">
            <w:pPr>
              <w:spacing w:after="0" w:line="240" w:lineRule="auto"/>
              <w:rPr>
                <w:sz w:val="16"/>
                <w:szCs w:val="16"/>
              </w:rPr>
            </w:pPr>
            <w:r w:rsidRPr="00216965">
              <w:rPr>
                <w:sz w:val="16"/>
                <w:szCs w:val="16"/>
              </w:rPr>
              <w:t>8.9 ± 0.7 a</w:t>
            </w:r>
          </w:p>
        </w:tc>
        <w:tc>
          <w:tcPr>
            <w:tcW w:w="1000" w:type="dxa"/>
            <w:tcBorders>
              <w:top w:val="nil"/>
              <w:left w:val="nil"/>
              <w:bottom w:val="nil"/>
              <w:right w:val="nil"/>
            </w:tcBorders>
            <w:vAlign w:val="bottom"/>
            <w:hideMark/>
          </w:tcPr>
          <w:p w14:paraId="03016C8A" w14:textId="77777777" w:rsidR="006B380D" w:rsidRPr="00216965" w:rsidRDefault="006B380D">
            <w:pPr>
              <w:spacing w:after="0" w:line="240" w:lineRule="auto"/>
              <w:rPr>
                <w:sz w:val="16"/>
                <w:szCs w:val="16"/>
              </w:rPr>
            </w:pPr>
            <w:r w:rsidRPr="00216965">
              <w:rPr>
                <w:sz w:val="16"/>
                <w:szCs w:val="16"/>
              </w:rPr>
              <w:t>90 ± 33 a</w:t>
            </w:r>
          </w:p>
        </w:tc>
        <w:tc>
          <w:tcPr>
            <w:tcW w:w="988" w:type="dxa"/>
            <w:tcBorders>
              <w:top w:val="nil"/>
              <w:left w:val="nil"/>
              <w:bottom w:val="nil"/>
              <w:right w:val="nil"/>
            </w:tcBorders>
            <w:vAlign w:val="bottom"/>
            <w:hideMark/>
          </w:tcPr>
          <w:p w14:paraId="68ADA600" w14:textId="77777777" w:rsidR="006B380D" w:rsidRPr="00216965" w:rsidRDefault="006B380D">
            <w:pPr>
              <w:spacing w:after="0" w:line="240" w:lineRule="auto"/>
              <w:rPr>
                <w:sz w:val="16"/>
                <w:szCs w:val="16"/>
              </w:rPr>
            </w:pPr>
            <w:r w:rsidRPr="00216965">
              <w:rPr>
                <w:sz w:val="16"/>
                <w:szCs w:val="16"/>
              </w:rPr>
              <w:t>54 ± 40 a</w:t>
            </w:r>
          </w:p>
        </w:tc>
        <w:tc>
          <w:tcPr>
            <w:tcW w:w="989" w:type="dxa"/>
            <w:tcBorders>
              <w:top w:val="nil"/>
              <w:left w:val="nil"/>
              <w:bottom w:val="nil"/>
              <w:right w:val="nil"/>
            </w:tcBorders>
            <w:vAlign w:val="bottom"/>
            <w:hideMark/>
          </w:tcPr>
          <w:p w14:paraId="68C62CDC" w14:textId="77777777" w:rsidR="006B380D" w:rsidRPr="00216965" w:rsidRDefault="006B380D">
            <w:pPr>
              <w:spacing w:after="0" w:line="240" w:lineRule="auto"/>
              <w:rPr>
                <w:sz w:val="16"/>
                <w:szCs w:val="16"/>
              </w:rPr>
            </w:pPr>
            <w:r w:rsidRPr="00216965">
              <w:rPr>
                <w:sz w:val="16"/>
                <w:szCs w:val="16"/>
              </w:rPr>
              <w:t>62 ± 27 a</w:t>
            </w:r>
          </w:p>
        </w:tc>
        <w:tc>
          <w:tcPr>
            <w:tcW w:w="283" w:type="dxa"/>
            <w:tcBorders>
              <w:top w:val="nil"/>
              <w:left w:val="nil"/>
              <w:bottom w:val="nil"/>
              <w:right w:val="nil"/>
            </w:tcBorders>
          </w:tcPr>
          <w:p w14:paraId="15B3E31E"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311CBEA8" w14:textId="77777777" w:rsidR="006B380D" w:rsidRPr="00216965" w:rsidRDefault="006B380D">
            <w:pPr>
              <w:spacing w:after="0" w:line="240" w:lineRule="auto"/>
              <w:rPr>
                <w:sz w:val="16"/>
                <w:szCs w:val="16"/>
              </w:rPr>
            </w:pPr>
            <w:r w:rsidRPr="00216965">
              <w:rPr>
                <w:sz w:val="16"/>
                <w:szCs w:val="16"/>
              </w:rPr>
              <w:t>11.3 ± 0.8 abcd</w:t>
            </w:r>
          </w:p>
        </w:tc>
        <w:tc>
          <w:tcPr>
            <w:tcW w:w="1129" w:type="dxa"/>
            <w:tcBorders>
              <w:top w:val="nil"/>
              <w:left w:val="nil"/>
              <w:bottom w:val="nil"/>
              <w:right w:val="nil"/>
            </w:tcBorders>
            <w:vAlign w:val="bottom"/>
            <w:hideMark/>
          </w:tcPr>
          <w:p w14:paraId="36CAF4D2" w14:textId="77777777" w:rsidR="006B380D" w:rsidRPr="00216965" w:rsidRDefault="006B380D">
            <w:pPr>
              <w:spacing w:after="0" w:line="240" w:lineRule="auto"/>
              <w:rPr>
                <w:sz w:val="16"/>
                <w:szCs w:val="16"/>
              </w:rPr>
            </w:pPr>
            <w:r w:rsidRPr="00216965">
              <w:rPr>
                <w:sz w:val="16"/>
                <w:szCs w:val="16"/>
              </w:rPr>
              <w:t xml:space="preserve">469 ± 35 cd </w:t>
            </w:r>
          </w:p>
        </w:tc>
        <w:tc>
          <w:tcPr>
            <w:tcW w:w="848" w:type="dxa"/>
            <w:tcBorders>
              <w:top w:val="nil"/>
              <w:left w:val="nil"/>
              <w:bottom w:val="nil"/>
              <w:right w:val="nil"/>
            </w:tcBorders>
            <w:vAlign w:val="bottom"/>
            <w:hideMark/>
          </w:tcPr>
          <w:p w14:paraId="231EE233" w14:textId="77777777" w:rsidR="006B380D" w:rsidRPr="00216965" w:rsidRDefault="006B380D">
            <w:pPr>
              <w:spacing w:after="0" w:line="240" w:lineRule="auto"/>
              <w:rPr>
                <w:sz w:val="16"/>
                <w:szCs w:val="16"/>
              </w:rPr>
            </w:pPr>
            <w:r w:rsidRPr="00216965">
              <w:rPr>
                <w:sz w:val="16"/>
                <w:szCs w:val="16"/>
              </w:rPr>
              <w:t>19 ± 1 ab</w:t>
            </w:r>
          </w:p>
        </w:tc>
        <w:tc>
          <w:tcPr>
            <w:tcW w:w="989" w:type="dxa"/>
            <w:tcBorders>
              <w:top w:val="nil"/>
              <w:left w:val="nil"/>
              <w:bottom w:val="nil"/>
              <w:right w:val="nil"/>
            </w:tcBorders>
            <w:vAlign w:val="bottom"/>
            <w:hideMark/>
          </w:tcPr>
          <w:p w14:paraId="72D8840F" w14:textId="77777777" w:rsidR="006B380D" w:rsidRPr="00216965" w:rsidRDefault="006B380D">
            <w:pPr>
              <w:spacing w:after="0" w:line="240" w:lineRule="auto"/>
              <w:rPr>
                <w:sz w:val="16"/>
                <w:szCs w:val="16"/>
              </w:rPr>
            </w:pPr>
            <w:r w:rsidRPr="00216965">
              <w:rPr>
                <w:sz w:val="16"/>
                <w:szCs w:val="16"/>
              </w:rPr>
              <w:t>80 ± 5 b</w:t>
            </w:r>
          </w:p>
        </w:tc>
        <w:tc>
          <w:tcPr>
            <w:tcW w:w="283" w:type="dxa"/>
            <w:tcBorders>
              <w:top w:val="nil"/>
              <w:left w:val="nil"/>
              <w:bottom w:val="nil"/>
              <w:right w:val="nil"/>
            </w:tcBorders>
          </w:tcPr>
          <w:p w14:paraId="774F22DD"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31F97C63" w14:textId="77777777" w:rsidR="006B380D" w:rsidRPr="00216965" w:rsidRDefault="006B380D">
            <w:pPr>
              <w:spacing w:after="0" w:line="240" w:lineRule="auto"/>
              <w:rPr>
                <w:sz w:val="16"/>
                <w:szCs w:val="16"/>
              </w:rPr>
            </w:pPr>
            <w:r w:rsidRPr="00216965">
              <w:rPr>
                <w:sz w:val="16"/>
                <w:szCs w:val="16"/>
              </w:rPr>
              <w:t>102 ± 5 c</w:t>
            </w:r>
          </w:p>
        </w:tc>
        <w:tc>
          <w:tcPr>
            <w:tcW w:w="991" w:type="dxa"/>
            <w:tcBorders>
              <w:top w:val="nil"/>
              <w:left w:val="nil"/>
              <w:bottom w:val="nil"/>
              <w:right w:val="nil"/>
            </w:tcBorders>
            <w:vAlign w:val="center"/>
            <w:hideMark/>
          </w:tcPr>
          <w:p w14:paraId="4B259E6E" w14:textId="77777777" w:rsidR="006B380D" w:rsidRPr="00216965" w:rsidRDefault="006B380D">
            <w:pPr>
              <w:spacing w:after="0" w:line="240" w:lineRule="auto"/>
              <w:rPr>
                <w:sz w:val="16"/>
                <w:szCs w:val="16"/>
              </w:rPr>
            </w:pPr>
            <w:r w:rsidRPr="00216965">
              <w:rPr>
                <w:sz w:val="16"/>
                <w:szCs w:val="16"/>
              </w:rPr>
              <w:t>287 ± 38 ab</w:t>
            </w:r>
          </w:p>
        </w:tc>
      </w:tr>
      <w:tr w:rsidR="006B380D" w:rsidRPr="00216965" w14:paraId="6A9CAFC7" w14:textId="77777777" w:rsidTr="008A33DA">
        <w:trPr>
          <w:trHeight w:val="288"/>
          <w:jc w:val="center"/>
        </w:trPr>
        <w:tc>
          <w:tcPr>
            <w:tcW w:w="0" w:type="auto"/>
            <w:vMerge/>
            <w:tcBorders>
              <w:top w:val="nil"/>
              <w:left w:val="nil"/>
              <w:bottom w:val="nil"/>
              <w:right w:val="nil"/>
            </w:tcBorders>
            <w:vAlign w:val="center"/>
            <w:hideMark/>
          </w:tcPr>
          <w:p w14:paraId="7AFBF279"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2E920737" w14:textId="77777777" w:rsidR="006B380D" w:rsidRPr="00216965" w:rsidRDefault="006B380D">
            <w:pPr>
              <w:spacing w:after="0" w:line="240" w:lineRule="auto"/>
              <w:rPr>
                <w:sz w:val="16"/>
                <w:szCs w:val="16"/>
              </w:rPr>
            </w:pPr>
            <w:r w:rsidRPr="00216965">
              <w:rPr>
                <w:sz w:val="16"/>
                <w:szCs w:val="16"/>
              </w:rPr>
              <w:t>5</w:t>
            </w:r>
          </w:p>
        </w:tc>
        <w:tc>
          <w:tcPr>
            <w:tcW w:w="1128" w:type="dxa"/>
            <w:tcBorders>
              <w:top w:val="nil"/>
              <w:left w:val="nil"/>
              <w:bottom w:val="nil"/>
              <w:right w:val="nil"/>
            </w:tcBorders>
            <w:vAlign w:val="bottom"/>
            <w:hideMark/>
          </w:tcPr>
          <w:p w14:paraId="332B9B2E" w14:textId="77777777" w:rsidR="006B380D" w:rsidRPr="00216965" w:rsidRDefault="006B380D">
            <w:pPr>
              <w:spacing w:after="0" w:line="240" w:lineRule="auto"/>
              <w:rPr>
                <w:sz w:val="16"/>
                <w:szCs w:val="16"/>
              </w:rPr>
            </w:pPr>
            <w:r w:rsidRPr="00216965">
              <w:rPr>
                <w:sz w:val="16"/>
                <w:szCs w:val="16"/>
              </w:rPr>
              <w:t>95 ± 48 a</w:t>
            </w:r>
          </w:p>
        </w:tc>
        <w:tc>
          <w:tcPr>
            <w:tcW w:w="976" w:type="dxa"/>
            <w:tcBorders>
              <w:top w:val="nil"/>
              <w:left w:val="nil"/>
              <w:bottom w:val="nil"/>
              <w:right w:val="nil"/>
            </w:tcBorders>
            <w:vAlign w:val="bottom"/>
            <w:hideMark/>
          </w:tcPr>
          <w:p w14:paraId="2AECF127" w14:textId="77777777" w:rsidR="006B380D" w:rsidRPr="00216965" w:rsidRDefault="006B380D">
            <w:pPr>
              <w:spacing w:after="0" w:line="240" w:lineRule="auto"/>
              <w:rPr>
                <w:sz w:val="16"/>
                <w:szCs w:val="16"/>
              </w:rPr>
            </w:pPr>
            <w:r w:rsidRPr="00216965">
              <w:rPr>
                <w:sz w:val="16"/>
                <w:szCs w:val="16"/>
              </w:rPr>
              <w:t>15 ± 9 a</w:t>
            </w:r>
          </w:p>
        </w:tc>
        <w:tc>
          <w:tcPr>
            <w:tcW w:w="1000" w:type="dxa"/>
            <w:tcBorders>
              <w:top w:val="nil"/>
              <w:left w:val="nil"/>
              <w:bottom w:val="nil"/>
              <w:right w:val="nil"/>
            </w:tcBorders>
            <w:vAlign w:val="bottom"/>
            <w:hideMark/>
          </w:tcPr>
          <w:p w14:paraId="5EEC3CE8" w14:textId="77777777" w:rsidR="006B380D" w:rsidRPr="00216965" w:rsidRDefault="006B380D">
            <w:pPr>
              <w:spacing w:after="0" w:line="240" w:lineRule="auto"/>
              <w:rPr>
                <w:sz w:val="16"/>
                <w:szCs w:val="16"/>
              </w:rPr>
            </w:pPr>
            <w:r w:rsidRPr="00216965">
              <w:rPr>
                <w:sz w:val="16"/>
                <w:szCs w:val="16"/>
              </w:rPr>
              <w:t>162 ± 32 a</w:t>
            </w:r>
          </w:p>
        </w:tc>
        <w:tc>
          <w:tcPr>
            <w:tcW w:w="988" w:type="dxa"/>
            <w:tcBorders>
              <w:top w:val="nil"/>
              <w:left w:val="nil"/>
              <w:bottom w:val="nil"/>
              <w:right w:val="nil"/>
            </w:tcBorders>
            <w:vAlign w:val="bottom"/>
            <w:hideMark/>
          </w:tcPr>
          <w:p w14:paraId="27E98505" w14:textId="77777777" w:rsidR="006B380D" w:rsidRPr="00216965" w:rsidRDefault="006B380D">
            <w:pPr>
              <w:spacing w:after="0" w:line="240" w:lineRule="auto"/>
              <w:rPr>
                <w:sz w:val="16"/>
                <w:szCs w:val="16"/>
              </w:rPr>
            </w:pPr>
            <w:r w:rsidRPr="00216965">
              <w:rPr>
                <w:sz w:val="16"/>
                <w:szCs w:val="16"/>
              </w:rPr>
              <w:t>92 ± 60 a</w:t>
            </w:r>
          </w:p>
        </w:tc>
        <w:tc>
          <w:tcPr>
            <w:tcW w:w="989" w:type="dxa"/>
            <w:tcBorders>
              <w:top w:val="nil"/>
              <w:left w:val="nil"/>
              <w:bottom w:val="nil"/>
              <w:right w:val="nil"/>
            </w:tcBorders>
            <w:vAlign w:val="bottom"/>
            <w:hideMark/>
          </w:tcPr>
          <w:p w14:paraId="44A0EA81" w14:textId="77777777" w:rsidR="006B380D" w:rsidRPr="00216965" w:rsidRDefault="006B380D">
            <w:pPr>
              <w:spacing w:after="0" w:line="240" w:lineRule="auto"/>
              <w:rPr>
                <w:sz w:val="16"/>
                <w:szCs w:val="16"/>
              </w:rPr>
            </w:pPr>
            <w:r w:rsidRPr="00216965">
              <w:rPr>
                <w:sz w:val="16"/>
                <w:szCs w:val="16"/>
              </w:rPr>
              <w:t>145 ± 52 a</w:t>
            </w:r>
          </w:p>
        </w:tc>
        <w:tc>
          <w:tcPr>
            <w:tcW w:w="283" w:type="dxa"/>
            <w:tcBorders>
              <w:top w:val="nil"/>
              <w:left w:val="nil"/>
              <w:bottom w:val="nil"/>
              <w:right w:val="nil"/>
            </w:tcBorders>
          </w:tcPr>
          <w:p w14:paraId="6C5140F6"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0435FF01" w14:textId="77777777" w:rsidR="006B380D" w:rsidRPr="00216965" w:rsidRDefault="006B380D">
            <w:pPr>
              <w:spacing w:after="0" w:line="240" w:lineRule="auto"/>
              <w:rPr>
                <w:sz w:val="16"/>
                <w:szCs w:val="16"/>
              </w:rPr>
            </w:pPr>
            <w:r w:rsidRPr="00216965">
              <w:rPr>
                <w:sz w:val="16"/>
                <w:szCs w:val="16"/>
              </w:rPr>
              <w:t>12 ± 1 ab</w:t>
            </w:r>
          </w:p>
        </w:tc>
        <w:tc>
          <w:tcPr>
            <w:tcW w:w="1129" w:type="dxa"/>
            <w:tcBorders>
              <w:top w:val="nil"/>
              <w:left w:val="nil"/>
              <w:bottom w:val="nil"/>
              <w:right w:val="nil"/>
            </w:tcBorders>
            <w:vAlign w:val="bottom"/>
            <w:hideMark/>
          </w:tcPr>
          <w:p w14:paraId="2684708D" w14:textId="77777777" w:rsidR="006B380D" w:rsidRPr="00216965" w:rsidRDefault="006B380D">
            <w:pPr>
              <w:spacing w:after="0" w:line="240" w:lineRule="auto"/>
              <w:rPr>
                <w:sz w:val="16"/>
                <w:szCs w:val="16"/>
              </w:rPr>
            </w:pPr>
            <w:r w:rsidRPr="00216965">
              <w:rPr>
                <w:sz w:val="16"/>
                <w:szCs w:val="16"/>
              </w:rPr>
              <w:t>753 ± 82 ab</w:t>
            </w:r>
          </w:p>
        </w:tc>
        <w:tc>
          <w:tcPr>
            <w:tcW w:w="848" w:type="dxa"/>
            <w:tcBorders>
              <w:top w:val="nil"/>
              <w:left w:val="nil"/>
              <w:bottom w:val="nil"/>
              <w:right w:val="nil"/>
            </w:tcBorders>
            <w:vAlign w:val="bottom"/>
            <w:hideMark/>
          </w:tcPr>
          <w:p w14:paraId="41DEAAFD" w14:textId="77777777" w:rsidR="006B380D" w:rsidRPr="00216965" w:rsidRDefault="006B380D">
            <w:pPr>
              <w:spacing w:after="0" w:line="240" w:lineRule="auto"/>
              <w:rPr>
                <w:sz w:val="16"/>
                <w:szCs w:val="16"/>
              </w:rPr>
            </w:pPr>
            <w:r w:rsidRPr="00216965">
              <w:rPr>
                <w:sz w:val="16"/>
                <w:szCs w:val="16"/>
              </w:rPr>
              <w:t>22 ± 1 ab</w:t>
            </w:r>
          </w:p>
        </w:tc>
        <w:tc>
          <w:tcPr>
            <w:tcW w:w="989" w:type="dxa"/>
            <w:tcBorders>
              <w:top w:val="nil"/>
              <w:left w:val="nil"/>
              <w:bottom w:val="nil"/>
              <w:right w:val="nil"/>
            </w:tcBorders>
            <w:vAlign w:val="bottom"/>
            <w:hideMark/>
          </w:tcPr>
          <w:p w14:paraId="1652769E" w14:textId="77777777" w:rsidR="006B380D" w:rsidRPr="00216965" w:rsidRDefault="006B380D">
            <w:pPr>
              <w:spacing w:after="0" w:line="240" w:lineRule="auto"/>
              <w:rPr>
                <w:sz w:val="16"/>
                <w:szCs w:val="16"/>
              </w:rPr>
            </w:pPr>
            <w:r w:rsidRPr="00216965">
              <w:rPr>
                <w:sz w:val="16"/>
                <w:szCs w:val="16"/>
              </w:rPr>
              <w:t>77 ± 6 b</w:t>
            </w:r>
          </w:p>
        </w:tc>
        <w:tc>
          <w:tcPr>
            <w:tcW w:w="283" w:type="dxa"/>
            <w:tcBorders>
              <w:top w:val="nil"/>
              <w:left w:val="nil"/>
              <w:bottom w:val="nil"/>
              <w:right w:val="nil"/>
            </w:tcBorders>
          </w:tcPr>
          <w:p w14:paraId="749D428B"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500EC2B6" w14:textId="77777777" w:rsidR="006B380D" w:rsidRPr="00216965" w:rsidRDefault="006B380D">
            <w:pPr>
              <w:spacing w:after="0" w:line="240" w:lineRule="auto"/>
              <w:rPr>
                <w:sz w:val="16"/>
                <w:szCs w:val="16"/>
              </w:rPr>
            </w:pPr>
            <w:r w:rsidRPr="00216965">
              <w:rPr>
                <w:sz w:val="16"/>
                <w:szCs w:val="16"/>
              </w:rPr>
              <w:t>107 ± 5 c</w:t>
            </w:r>
          </w:p>
        </w:tc>
        <w:tc>
          <w:tcPr>
            <w:tcW w:w="991" w:type="dxa"/>
            <w:tcBorders>
              <w:top w:val="nil"/>
              <w:left w:val="nil"/>
              <w:bottom w:val="nil"/>
              <w:right w:val="nil"/>
            </w:tcBorders>
            <w:vAlign w:val="center"/>
            <w:hideMark/>
          </w:tcPr>
          <w:p w14:paraId="61508F77" w14:textId="77777777" w:rsidR="006B380D" w:rsidRPr="00216965" w:rsidRDefault="006B380D">
            <w:pPr>
              <w:spacing w:after="0" w:line="240" w:lineRule="auto"/>
              <w:rPr>
                <w:sz w:val="16"/>
                <w:szCs w:val="16"/>
              </w:rPr>
            </w:pPr>
            <w:r w:rsidRPr="00216965">
              <w:rPr>
                <w:sz w:val="16"/>
                <w:szCs w:val="16"/>
              </w:rPr>
              <w:t>123 ± 11 cd</w:t>
            </w:r>
          </w:p>
        </w:tc>
      </w:tr>
      <w:tr w:rsidR="006B380D" w:rsidRPr="00216965" w14:paraId="057F180F" w14:textId="77777777" w:rsidTr="008A33DA">
        <w:trPr>
          <w:trHeight w:val="288"/>
          <w:jc w:val="center"/>
        </w:trPr>
        <w:tc>
          <w:tcPr>
            <w:tcW w:w="851" w:type="dxa"/>
            <w:vMerge w:val="restart"/>
            <w:tcBorders>
              <w:top w:val="nil"/>
              <w:left w:val="nil"/>
              <w:bottom w:val="single" w:sz="4" w:space="0" w:color="auto"/>
              <w:right w:val="nil"/>
            </w:tcBorders>
            <w:vAlign w:val="center"/>
            <w:hideMark/>
          </w:tcPr>
          <w:p w14:paraId="1810668C" w14:textId="77777777" w:rsidR="006B380D" w:rsidRPr="00216965" w:rsidRDefault="006B380D">
            <w:pPr>
              <w:spacing w:after="0" w:line="240" w:lineRule="auto"/>
              <w:rPr>
                <w:sz w:val="16"/>
                <w:szCs w:val="16"/>
              </w:rPr>
            </w:pPr>
            <w:r w:rsidRPr="00216965">
              <w:rPr>
                <w:sz w:val="16"/>
                <w:szCs w:val="16"/>
              </w:rPr>
              <w:t>MSP550</w:t>
            </w:r>
          </w:p>
        </w:tc>
        <w:tc>
          <w:tcPr>
            <w:tcW w:w="754" w:type="dxa"/>
            <w:tcBorders>
              <w:top w:val="nil"/>
              <w:left w:val="nil"/>
              <w:bottom w:val="nil"/>
              <w:right w:val="nil"/>
            </w:tcBorders>
            <w:vAlign w:val="bottom"/>
            <w:hideMark/>
          </w:tcPr>
          <w:p w14:paraId="483AC8FF" w14:textId="77777777" w:rsidR="006B380D" w:rsidRPr="00216965" w:rsidRDefault="006B380D">
            <w:pPr>
              <w:spacing w:after="0" w:line="240" w:lineRule="auto"/>
              <w:rPr>
                <w:sz w:val="16"/>
                <w:szCs w:val="16"/>
              </w:rPr>
            </w:pPr>
            <w:r w:rsidRPr="00216965">
              <w:rPr>
                <w:sz w:val="16"/>
                <w:szCs w:val="16"/>
              </w:rPr>
              <w:t>1</w:t>
            </w:r>
          </w:p>
        </w:tc>
        <w:tc>
          <w:tcPr>
            <w:tcW w:w="1128" w:type="dxa"/>
            <w:tcBorders>
              <w:top w:val="nil"/>
              <w:left w:val="nil"/>
              <w:bottom w:val="nil"/>
              <w:right w:val="nil"/>
            </w:tcBorders>
            <w:vAlign w:val="bottom"/>
            <w:hideMark/>
          </w:tcPr>
          <w:p w14:paraId="123DCB10" w14:textId="77777777" w:rsidR="006B380D" w:rsidRPr="00216965" w:rsidRDefault="006B380D">
            <w:pPr>
              <w:spacing w:after="0" w:line="240" w:lineRule="auto"/>
              <w:rPr>
                <w:sz w:val="16"/>
                <w:szCs w:val="16"/>
              </w:rPr>
            </w:pPr>
            <w:r w:rsidRPr="00216965">
              <w:rPr>
                <w:sz w:val="16"/>
                <w:szCs w:val="16"/>
              </w:rPr>
              <w:t>43 ± 8 b</w:t>
            </w:r>
          </w:p>
        </w:tc>
        <w:tc>
          <w:tcPr>
            <w:tcW w:w="976" w:type="dxa"/>
            <w:tcBorders>
              <w:top w:val="nil"/>
              <w:left w:val="nil"/>
              <w:bottom w:val="nil"/>
              <w:right w:val="nil"/>
            </w:tcBorders>
            <w:vAlign w:val="bottom"/>
            <w:hideMark/>
          </w:tcPr>
          <w:p w14:paraId="67A3D1EB" w14:textId="77777777" w:rsidR="006B380D" w:rsidRPr="00216965" w:rsidRDefault="006B380D">
            <w:pPr>
              <w:spacing w:after="0" w:line="240" w:lineRule="auto"/>
              <w:rPr>
                <w:sz w:val="16"/>
                <w:szCs w:val="16"/>
              </w:rPr>
            </w:pPr>
            <w:r w:rsidRPr="00216965">
              <w:rPr>
                <w:sz w:val="16"/>
                <w:szCs w:val="16"/>
              </w:rPr>
              <w:t>7.6 ± 1.6 a</w:t>
            </w:r>
          </w:p>
        </w:tc>
        <w:tc>
          <w:tcPr>
            <w:tcW w:w="1000" w:type="dxa"/>
            <w:tcBorders>
              <w:top w:val="nil"/>
              <w:left w:val="nil"/>
              <w:bottom w:val="nil"/>
              <w:right w:val="nil"/>
            </w:tcBorders>
            <w:vAlign w:val="bottom"/>
            <w:hideMark/>
          </w:tcPr>
          <w:p w14:paraId="12B90B8D" w14:textId="77777777" w:rsidR="006B380D" w:rsidRPr="00216965" w:rsidRDefault="006B380D">
            <w:pPr>
              <w:spacing w:after="0" w:line="240" w:lineRule="auto"/>
              <w:rPr>
                <w:sz w:val="16"/>
                <w:szCs w:val="16"/>
              </w:rPr>
            </w:pPr>
            <w:r w:rsidRPr="00216965">
              <w:rPr>
                <w:sz w:val="16"/>
                <w:szCs w:val="16"/>
              </w:rPr>
              <w:t>95 ± 34 a</w:t>
            </w:r>
          </w:p>
        </w:tc>
        <w:tc>
          <w:tcPr>
            <w:tcW w:w="988" w:type="dxa"/>
            <w:tcBorders>
              <w:top w:val="nil"/>
              <w:left w:val="nil"/>
              <w:bottom w:val="nil"/>
              <w:right w:val="nil"/>
            </w:tcBorders>
            <w:vAlign w:val="bottom"/>
            <w:hideMark/>
          </w:tcPr>
          <w:p w14:paraId="5FFCD844" w14:textId="77777777" w:rsidR="006B380D" w:rsidRPr="00216965" w:rsidRDefault="006B380D">
            <w:pPr>
              <w:spacing w:after="0" w:line="240" w:lineRule="auto"/>
              <w:rPr>
                <w:sz w:val="16"/>
                <w:szCs w:val="16"/>
              </w:rPr>
            </w:pPr>
            <w:r w:rsidRPr="00216965">
              <w:rPr>
                <w:sz w:val="16"/>
                <w:szCs w:val="16"/>
              </w:rPr>
              <w:t>70 ± 20 a</w:t>
            </w:r>
          </w:p>
        </w:tc>
        <w:tc>
          <w:tcPr>
            <w:tcW w:w="989" w:type="dxa"/>
            <w:tcBorders>
              <w:top w:val="nil"/>
              <w:left w:val="nil"/>
              <w:bottom w:val="nil"/>
              <w:right w:val="nil"/>
            </w:tcBorders>
            <w:vAlign w:val="bottom"/>
            <w:hideMark/>
          </w:tcPr>
          <w:p w14:paraId="0201A3D0" w14:textId="77777777" w:rsidR="006B380D" w:rsidRPr="00216965" w:rsidRDefault="006B380D">
            <w:pPr>
              <w:spacing w:after="0" w:line="240" w:lineRule="auto"/>
              <w:rPr>
                <w:sz w:val="16"/>
                <w:szCs w:val="16"/>
              </w:rPr>
            </w:pPr>
            <w:r w:rsidRPr="00216965">
              <w:rPr>
                <w:sz w:val="16"/>
                <w:szCs w:val="16"/>
              </w:rPr>
              <w:t>39 ± 2 a</w:t>
            </w:r>
          </w:p>
        </w:tc>
        <w:tc>
          <w:tcPr>
            <w:tcW w:w="283" w:type="dxa"/>
            <w:tcBorders>
              <w:top w:val="nil"/>
              <w:left w:val="nil"/>
              <w:bottom w:val="nil"/>
              <w:right w:val="nil"/>
            </w:tcBorders>
          </w:tcPr>
          <w:p w14:paraId="13F626C0"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65395277" w14:textId="77777777" w:rsidR="006B380D" w:rsidRPr="00216965" w:rsidRDefault="006B380D">
            <w:pPr>
              <w:spacing w:after="0" w:line="240" w:lineRule="auto"/>
              <w:rPr>
                <w:sz w:val="16"/>
                <w:szCs w:val="16"/>
              </w:rPr>
            </w:pPr>
            <w:r w:rsidRPr="00216965">
              <w:rPr>
                <w:sz w:val="16"/>
                <w:szCs w:val="16"/>
              </w:rPr>
              <w:t>7.9 ± 0.4 ef</w:t>
            </w:r>
          </w:p>
        </w:tc>
        <w:tc>
          <w:tcPr>
            <w:tcW w:w="1129" w:type="dxa"/>
            <w:tcBorders>
              <w:top w:val="nil"/>
              <w:left w:val="nil"/>
              <w:bottom w:val="nil"/>
              <w:right w:val="nil"/>
            </w:tcBorders>
            <w:vAlign w:val="bottom"/>
            <w:hideMark/>
          </w:tcPr>
          <w:p w14:paraId="631D9158" w14:textId="77777777" w:rsidR="006B380D" w:rsidRPr="00216965" w:rsidRDefault="006B380D">
            <w:pPr>
              <w:spacing w:after="0" w:line="240" w:lineRule="auto"/>
              <w:rPr>
                <w:sz w:val="16"/>
                <w:szCs w:val="16"/>
              </w:rPr>
            </w:pPr>
            <w:r w:rsidRPr="00216965">
              <w:rPr>
                <w:sz w:val="16"/>
                <w:szCs w:val="16"/>
              </w:rPr>
              <w:t xml:space="preserve">292 ± 30 de </w:t>
            </w:r>
          </w:p>
        </w:tc>
        <w:tc>
          <w:tcPr>
            <w:tcW w:w="848" w:type="dxa"/>
            <w:tcBorders>
              <w:top w:val="nil"/>
              <w:left w:val="nil"/>
              <w:bottom w:val="nil"/>
              <w:right w:val="nil"/>
            </w:tcBorders>
            <w:vAlign w:val="bottom"/>
            <w:hideMark/>
          </w:tcPr>
          <w:p w14:paraId="005DCF50" w14:textId="77777777" w:rsidR="006B380D" w:rsidRPr="00216965" w:rsidRDefault="006B380D">
            <w:pPr>
              <w:spacing w:after="0" w:line="240" w:lineRule="auto"/>
              <w:rPr>
                <w:sz w:val="16"/>
                <w:szCs w:val="16"/>
              </w:rPr>
            </w:pPr>
            <w:r w:rsidRPr="00216965">
              <w:rPr>
                <w:sz w:val="16"/>
                <w:szCs w:val="16"/>
              </w:rPr>
              <w:t>20 ± 2 ab</w:t>
            </w:r>
          </w:p>
        </w:tc>
        <w:tc>
          <w:tcPr>
            <w:tcW w:w="989" w:type="dxa"/>
            <w:tcBorders>
              <w:top w:val="nil"/>
              <w:left w:val="nil"/>
              <w:bottom w:val="nil"/>
              <w:right w:val="nil"/>
            </w:tcBorders>
            <w:vAlign w:val="bottom"/>
            <w:hideMark/>
          </w:tcPr>
          <w:p w14:paraId="29E6EA95" w14:textId="77777777" w:rsidR="006B380D" w:rsidRPr="00216965" w:rsidRDefault="006B380D">
            <w:pPr>
              <w:spacing w:after="0" w:line="240" w:lineRule="auto"/>
              <w:rPr>
                <w:sz w:val="16"/>
                <w:szCs w:val="16"/>
              </w:rPr>
            </w:pPr>
            <w:r w:rsidRPr="00216965">
              <w:rPr>
                <w:sz w:val="16"/>
                <w:szCs w:val="16"/>
              </w:rPr>
              <w:t>116 ± 14 ab</w:t>
            </w:r>
          </w:p>
        </w:tc>
        <w:tc>
          <w:tcPr>
            <w:tcW w:w="283" w:type="dxa"/>
            <w:tcBorders>
              <w:top w:val="nil"/>
              <w:left w:val="nil"/>
              <w:bottom w:val="nil"/>
              <w:right w:val="nil"/>
            </w:tcBorders>
          </w:tcPr>
          <w:p w14:paraId="1AC22AA7"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25EB0656" w14:textId="77777777" w:rsidR="006B380D" w:rsidRPr="00216965" w:rsidRDefault="006B380D">
            <w:pPr>
              <w:spacing w:after="0" w:line="240" w:lineRule="auto"/>
              <w:rPr>
                <w:sz w:val="16"/>
                <w:szCs w:val="16"/>
              </w:rPr>
            </w:pPr>
            <w:r w:rsidRPr="00216965">
              <w:rPr>
                <w:sz w:val="16"/>
                <w:szCs w:val="16"/>
              </w:rPr>
              <w:t>128 ± 9 b</w:t>
            </w:r>
          </w:p>
        </w:tc>
        <w:tc>
          <w:tcPr>
            <w:tcW w:w="991" w:type="dxa"/>
            <w:tcBorders>
              <w:top w:val="nil"/>
              <w:left w:val="nil"/>
              <w:bottom w:val="nil"/>
              <w:right w:val="nil"/>
            </w:tcBorders>
            <w:vAlign w:val="center"/>
            <w:hideMark/>
          </w:tcPr>
          <w:p w14:paraId="445ED786" w14:textId="77777777" w:rsidR="006B380D" w:rsidRPr="00216965" w:rsidRDefault="006B380D">
            <w:pPr>
              <w:spacing w:after="0" w:line="240" w:lineRule="auto"/>
              <w:rPr>
                <w:sz w:val="16"/>
                <w:szCs w:val="16"/>
              </w:rPr>
            </w:pPr>
            <w:r w:rsidRPr="00216965">
              <w:rPr>
                <w:sz w:val="16"/>
                <w:szCs w:val="16"/>
              </w:rPr>
              <w:t>195 ± 28 bc</w:t>
            </w:r>
          </w:p>
        </w:tc>
      </w:tr>
      <w:tr w:rsidR="006B380D" w:rsidRPr="00216965" w14:paraId="03EF9C82" w14:textId="77777777" w:rsidTr="008A33DA">
        <w:trPr>
          <w:trHeight w:val="288"/>
          <w:jc w:val="center"/>
        </w:trPr>
        <w:tc>
          <w:tcPr>
            <w:tcW w:w="0" w:type="auto"/>
            <w:vMerge/>
            <w:tcBorders>
              <w:top w:val="nil"/>
              <w:left w:val="nil"/>
              <w:bottom w:val="single" w:sz="4" w:space="0" w:color="auto"/>
              <w:right w:val="nil"/>
            </w:tcBorders>
            <w:vAlign w:val="center"/>
            <w:hideMark/>
          </w:tcPr>
          <w:p w14:paraId="77CAABE5" w14:textId="77777777" w:rsidR="006B380D" w:rsidRPr="00216965" w:rsidRDefault="006B380D">
            <w:pPr>
              <w:spacing w:after="0"/>
              <w:rPr>
                <w:sz w:val="16"/>
                <w:szCs w:val="16"/>
              </w:rPr>
            </w:pPr>
          </w:p>
        </w:tc>
        <w:tc>
          <w:tcPr>
            <w:tcW w:w="754" w:type="dxa"/>
            <w:tcBorders>
              <w:top w:val="nil"/>
              <w:left w:val="nil"/>
              <w:bottom w:val="nil"/>
              <w:right w:val="nil"/>
            </w:tcBorders>
            <w:vAlign w:val="bottom"/>
            <w:hideMark/>
          </w:tcPr>
          <w:p w14:paraId="35317617" w14:textId="77777777" w:rsidR="006B380D" w:rsidRPr="00216965" w:rsidRDefault="006B380D">
            <w:pPr>
              <w:spacing w:after="0" w:line="240" w:lineRule="auto"/>
              <w:rPr>
                <w:sz w:val="16"/>
                <w:szCs w:val="16"/>
              </w:rPr>
            </w:pPr>
            <w:r w:rsidRPr="00216965">
              <w:rPr>
                <w:sz w:val="16"/>
                <w:szCs w:val="16"/>
              </w:rPr>
              <w:t>3</w:t>
            </w:r>
          </w:p>
        </w:tc>
        <w:tc>
          <w:tcPr>
            <w:tcW w:w="1128" w:type="dxa"/>
            <w:tcBorders>
              <w:top w:val="nil"/>
              <w:left w:val="nil"/>
              <w:bottom w:val="nil"/>
              <w:right w:val="nil"/>
            </w:tcBorders>
            <w:vAlign w:val="bottom"/>
            <w:hideMark/>
          </w:tcPr>
          <w:p w14:paraId="458C1A9C" w14:textId="77777777" w:rsidR="006B380D" w:rsidRPr="00216965" w:rsidRDefault="006B380D">
            <w:pPr>
              <w:spacing w:after="0" w:line="240" w:lineRule="auto"/>
              <w:rPr>
                <w:sz w:val="16"/>
                <w:szCs w:val="16"/>
              </w:rPr>
            </w:pPr>
            <w:r w:rsidRPr="00216965">
              <w:rPr>
                <w:sz w:val="16"/>
                <w:szCs w:val="16"/>
              </w:rPr>
              <w:t>46 ± 14 ab</w:t>
            </w:r>
          </w:p>
        </w:tc>
        <w:tc>
          <w:tcPr>
            <w:tcW w:w="976" w:type="dxa"/>
            <w:tcBorders>
              <w:top w:val="nil"/>
              <w:left w:val="nil"/>
              <w:bottom w:val="nil"/>
              <w:right w:val="nil"/>
            </w:tcBorders>
            <w:vAlign w:val="bottom"/>
            <w:hideMark/>
          </w:tcPr>
          <w:p w14:paraId="2AE5ACBD" w14:textId="77777777" w:rsidR="006B380D" w:rsidRPr="00216965" w:rsidRDefault="006B380D">
            <w:pPr>
              <w:spacing w:after="0" w:line="240" w:lineRule="auto"/>
              <w:rPr>
                <w:sz w:val="16"/>
                <w:szCs w:val="16"/>
              </w:rPr>
            </w:pPr>
            <w:r w:rsidRPr="00216965">
              <w:rPr>
                <w:sz w:val="16"/>
                <w:szCs w:val="16"/>
              </w:rPr>
              <w:t>9.5 ± 1.2 a</w:t>
            </w:r>
          </w:p>
        </w:tc>
        <w:tc>
          <w:tcPr>
            <w:tcW w:w="1000" w:type="dxa"/>
            <w:tcBorders>
              <w:top w:val="nil"/>
              <w:left w:val="nil"/>
              <w:bottom w:val="nil"/>
              <w:right w:val="nil"/>
            </w:tcBorders>
            <w:vAlign w:val="bottom"/>
            <w:hideMark/>
          </w:tcPr>
          <w:p w14:paraId="48208EE0" w14:textId="77777777" w:rsidR="006B380D" w:rsidRPr="00216965" w:rsidRDefault="006B380D">
            <w:pPr>
              <w:spacing w:after="0" w:line="240" w:lineRule="auto"/>
              <w:rPr>
                <w:sz w:val="16"/>
                <w:szCs w:val="16"/>
              </w:rPr>
            </w:pPr>
            <w:r w:rsidRPr="00216965">
              <w:rPr>
                <w:sz w:val="16"/>
                <w:szCs w:val="16"/>
              </w:rPr>
              <w:t>105 ± 41 a</w:t>
            </w:r>
          </w:p>
        </w:tc>
        <w:tc>
          <w:tcPr>
            <w:tcW w:w="988" w:type="dxa"/>
            <w:tcBorders>
              <w:top w:val="nil"/>
              <w:left w:val="nil"/>
              <w:bottom w:val="nil"/>
              <w:right w:val="nil"/>
            </w:tcBorders>
            <w:vAlign w:val="bottom"/>
            <w:hideMark/>
          </w:tcPr>
          <w:p w14:paraId="2415F467" w14:textId="77777777" w:rsidR="006B380D" w:rsidRPr="00216965" w:rsidRDefault="006B380D">
            <w:pPr>
              <w:spacing w:after="0" w:line="240" w:lineRule="auto"/>
              <w:rPr>
                <w:sz w:val="16"/>
                <w:szCs w:val="16"/>
              </w:rPr>
            </w:pPr>
            <w:r w:rsidRPr="00216965">
              <w:rPr>
                <w:sz w:val="16"/>
                <w:szCs w:val="16"/>
              </w:rPr>
              <w:t>71 ± 20 a</w:t>
            </w:r>
          </w:p>
        </w:tc>
        <w:tc>
          <w:tcPr>
            <w:tcW w:w="989" w:type="dxa"/>
            <w:tcBorders>
              <w:top w:val="nil"/>
              <w:left w:val="nil"/>
              <w:bottom w:val="nil"/>
              <w:right w:val="nil"/>
            </w:tcBorders>
            <w:vAlign w:val="bottom"/>
            <w:hideMark/>
          </w:tcPr>
          <w:p w14:paraId="794DE2C4" w14:textId="77777777" w:rsidR="006B380D" w:rsidRPr="00216965" w:rsidRDefault="006B380D">
            <w:pPr>
              <w:spacing w:after="0" w:line="240" w:lineRule="auto"/>
              <w:rPr>
                <w:sz w:val="16"/>
                <w:szCs w:val="16"/>
              </w:rPr>
            </w:pPr>
            <w:r w:rsidRPr="00216965">
              <w:rPr>
                <w:sz w:val="16"/>
                <w:szCs w:val="16"/>
              </w:rPr>
              <w:t>36 ± 8 a</w:t>
            </w:r>
          </w:p>
        </w:tc>
        <w:tc>
          <w:tcPr>
            <w:tcW w:w="283" w:type="dxa"/>
            <w:tcBorders>
              <w:top w:val="nil"/>
              <w:left w:val="nil"/>
              <w:bottom w:val="nil"/>
              <w:right w:val="nil"/>
            </w:tcBorders>
          </w:tcPr>
          <w:p w14:paraId="3C0160C1" w14:textId="77777777" w:rsidR="006B380D" w:rsidRPr="00216965" w:rsidRDefault="006B380D">
            <w:pPr>
              <w:spacing w:after="0" w:line="240" w:lineRule="auto"/>
              <w:rPr>
                <w:sz w:val="16"/>
                <w:szCs w:val="16"/>
              </w:rPr>
            </w:pPr>
          </w:p>
        </w:tc>
        <w:tc>
          <w:tcPr>
            <w:tcW w:w="1271" w:type="dxa"/>
            <w:tcBorders>
              <w:top w:val="nil"/>
              <w:left w:val="nil"/>
              <w:bottom w:val="nil"/>
              <w:right w:val="nil"/>
            </w:tcBorders>
            <w:vAlign w:val="bottom"/>
            <w:hideMark/>
          </w:tcPr>
          <w:p w14:paraId="1BE9A727" w14:textId="77777777" w:rsidR="006B380D" w:rsidRPr="00216965" w:rsidRDefault="006B380D">
            <w:pPr>
              <w:spacing w:after="0" w:line="240" w:lineRule="auto"/>
              <w:rPr>
                <w:sz w:val="16"/>
                <w:szCs w:val="16"/>
              </w:rPr>
            </w:pPr>
            <w:r w:rsidRPr="00216965">
              <w:rPr>
                <w:sz w:val="16"/>
                <w:szCs w:val="16"/>
              </w:rPr>
              <w:t>11 ± 1 abc</w:t>
            </w:r>
          </w:p>
        </w:tc>
        <w:tc>
          <w:tcPr>
            <w:tcW w:w="1129" w:type="dxa"/>
            <w:tcBorders>
              <w:top w:val="nil"/>
              <w:left w:val="nil"/>
              <w:bottom w:val="nil"/>
              <w:right w:val="nil"/>
            </w:tcBorders>
            <w:vAlign w:val="bottom"/>
            <w:hideMark/>
          </w:tcPr>
          <w:p w14:paraId="6DBE513E" w14:textId="77777777" w:rsidR="006B380D" w:rsidRPr="00216965" w:rsidRDefault="006B380D">
            <w:pPr>
              <w:spacing w:after="0" w:line="240" w:lineRule="auto"/>
              <w:rPr>
                <w:sz w:val="16"/>
                <w:szCs w:val="16"/>
              </w:rPr>
            </w:pPr>
            <w:r w:rsidRPr="00216965">
              <w:rPr>
                <w:sz w:val="16"/>
                <w:szCs w:val="16"/>
              </w:rPr>
              <w:t>381 ± 13 cde</w:t>
            </w:r>
          </w:p>
        </w:tc>
        <w:tc>
          <w:tcPr>
            <w:tcW w:w="848" w:type="dxa"/>
            <w:tcBorders>
              <w:top w:val="nil"/>
              <w:left w:val="nil"/>
              <w:bottom w:val="nil"/>
              <w:right w:val="nil"/>
            </w:tcBorders>
            <w:vAlign w:val="bottom"/>
            <w:hideMark/>
          </w:tcPr>
          <w:p w14:paraId="393F9BB4" w14:textId="77777777" w:rsidR="006B380D" w:rsidRPr="00216965" w:rsidRDefault="006B380D">
            <w:pPr>
              <w:spacing w:after="0" w:line="240" w:lineRule="auto"/>
              <w:rPr>
                <w:sz w:val="16"/>
                <w:szCs w:val="16"/>
              </w:rPr>
            </w:pPr>
            <w:r w:rsidRPr="00216965">
              <w:rPr>
                <w:sz w:val="16"/>
                <w:szCs w:val="16"/>
              </w:rPr>
              <w:t>21 ± 1 ab</w:t>
            </w:r>
          </w:p>
        </w:tc>
        <w:tc>
          <w:tcPr>
            <w:tcW w:w="989" w:type="dxa"/>
            <w:tcBorders>
              <w:top w:val="nil"/>
              <w:left w:val="nil"/>
              <w:bottom w:val="nil"/>
              <w:right w:val="nil"/>
            </w:tcBorders>
            <w:vAlign w:val="bottom"/>
            <w:hideMark/>
          </w:tcPr>
          <w:p w14:paraId="58451CAF" w14:textId="77777777" w:rsidR="006B380D" w:rsidRPr="00216965" w:rsidRDefault="006B380D">
            <w:pPr>
              <w:spacing w:after="0" w:line="240" w:lineRule="auto"/>
              <w:rPr>
                <w:sz w:val="16"/>
                <w:szCs w:val="16"/>
              </w:rPr>
            </w:pPr>
            <w:r w:rsidRPr="00216965">
              <w:rPr>
                <w:sz w:val="16"/>
                <w:szCs w:val="16"/>
              </w:rPr>
              <w:t>121 ± 27 ab</w:t>
            </w:r>
          </w:p>
        </w:tc>
        <w:tc>
          <w:tcPr>
            <w:tcW w:w="283" w:type="dxa"/>
            <w:tcBorders>
              <w:top w:val="nil"/>
              <w:left w:val="nil"/>
              <w:bottom w:val="nil"/>
              <w:right w:val="nil"/>
            </w:tcBorders>
          </w:tcPr>
          <w:p w14:paraId="6E6A4CAC" w14:textId="77777777" w:rsidR="006B380D" w:rsidRPr="00216965" w:rsidRDefault="006B380D">
            <w:pPr>
              <w:spacing w:after="0" w:line="240" w:lineRule="auto"/>
              <w:rPr>
                <w:sz w:val="16"/>
                <w:szCs w:val="16"/>
              </w:rPr>
            </w:pPr>
          </w:p>
        </w:tc>
        <w:tc>
          <w:tcPr>
            <w:tcW w:w="989" w:type="dxa"/>
            <w:tcBorders>
              <w:top w:val="nil"/>
              <w:left w:val="nil"/>
              <w:bottom w:val="nil"/>
              <w:right w:val="nil"/>
            </w:tcBorders>
            <w:vAlign w:val="center"/>
            <w:hideMark/>
          </w:tcPr>
          <w:p w14:paraId="7F0C6049" w14:textId="77777777" w:rsidR="006B380D" w:rsidRPr="00216965" w:rsidRDefault="006B380D">
            <w:pPr>
              <w:spacing w:after="0" w:line="240" w:lineRule="auto"/>
              <w:rPr>
                <w:sz w:val="16"/>
                <w:szCs w:val="16"/>
              </w:rPr>
            </w:pPr>
            <w:r w:rsidRPr="00216965">
              <w:rPr>
                <w:sz w:val="16"/>
                <w:szCs w:val="16"/>
              </w:rPr>
              <w:t>140 ± 3 b</w:t>
            </w:r>
          </w:p>
        </w:tc>
        <w:tc>
          <w:tcPr>
            <w:tcW w:w="991" w:type="dxa"/>
            <w:tcBorders>
              <w:top w:val="nil"/>
              <w:left w:val="nil"/>
              <w:bottom w:val="nil"/>
              <w:right w:val="nil"/>
            </w:tcBorders>
            <w:vAlign w:val="center"/>
            <w:hideMark/>
          </w:tcPr>
          <w:p w14:paraId="18D6CFD3" w14:textId="77777777" w:rsidR="006B380D" w:rsidRPr="00216965" w:rsidRDefault="006B380D">
            <w:pPr>
              <w:spacing w:after="0" w:line="240" w:lineRule="auto"/>
              <w:rPr>
                <w:sz w:val="16"/>
                <w:szCs w:val="16"/>
              </w:rPr>
            </w:pPr>
            <w:r w:rsidRPr="00216965">
              <w:rPr>
                <w:sz w:val="16"/>
                <w:szCs w:val="16"/>
              </w:rPr>
              <w:t>179 ± 11 c</w:t>
            </w:r>
          </w:p>
        </w:tc>
      </w:tr>
      <w:tr w:rsidR="006B380D" w:rsidRPr="00216965" w14:paraId="72E853FC" w14:textId="77777777" w:rsidTr="008A33DA">
        <w:trPr>
          <w:trHeight w:val="288"/>
          <w:jc w:val="center"/>
        </w:trPr>
        <w:tc>
          <w:tcPr>
            <w:tcW w:w="0" w:type="auto"/>
            <w:vMerge/>
            <w:tcBorders>
              <w:top w:val="nil"/>
              <w:left w:val="nil"/>
              <w:bottom w:val="single" w:sz="4" w:space="0" w:color="auto"/>
              <w:right w:val="nil"/>
            </w:tcBorders>
            <w:vAlign w:val="center"/>
            <w:hideMark/>
          </w:tcPr>
          <w:p w14:paraId="1A53EC50" w14:textId="77777777" w:rsidR="006B380D" w:rsidRPr="00216965" w:rsidRDefault="006B380D">
            <w:pPr>
              <w:spacing w:after="0"/>
              <w:rPr>
                <w:sz w:val="16"/>
                <w:szCs w:val="16"/>
              </w:rPr>
            </w:pPr>
          </w:p>
        </w:tc>
        <w:tc>
          <w:tcPr>
            <w:tcW w:w="754" w:type="dxa"/>
            <w:tcBorders>
              <w:top w:val="nil"/>
              <w:left w:val="nil"/>
              <w:bottom w:val="single" w:sz="4" w:space="0" w:color="auto"/>
              <w:right w:val="nil"/>
            </w:tcBorders>
            <w:vAlign w:val="bottom"/>
            <w:hideMark/>
          </w:tcPr>
          <w:p w14:paraId="209D7EAC" w14:textId="77777777" w:rsidR="006B380D" w:rsidRPr="00216965" w:rsidRDefault="006B380D">
            <w:pPr>
              <w:spacing w:after="0" w:line="240" w:lineRule="auto"/>
              <w:rPr>
                <w:sz w:val="16"/>
                <w:szCs w:val="16"/>
              </w:rPr>
            </w:pPr>
            <w:r w:rsidRPr="00216965">
              <w:rPr>
                <w:sz w:val="16"/>
                <w:szCs w:val="16"/>
              </w:rPr>
              <w:t>5</w:t>
            </w:r>
          </w:p>
        </w:tc>
        <w:tc>
          <w:tcPr>
            <w:tcW w:w="1128" w:type="dxa"/>
            <w:tcBorders>
              <w:top w:val="nil"/>
              <w:left w:val="nil"/>
              <w:bottom w:val="single" w:sz="4" w:space="0" w:color="auto"/>
              <w:right w:val="nil"/>
            </w:tcBorders>
            <w:vAlign w:val="bottom"/>
            <w:hideMark/>
          </w:tcPr>
          <w:p w14:paraId="55115C82" w14:textId="77777777" w:rsidR="006B380D" w:rsidRPr="00216965" w:rsidRDefault="006B380D">
            <w:pPr>
              <w:spacing w:after="0" w:line="240" w:lineRule="auto"/>
              <w:rPr>
                <w:sz w:val="16"/>
                <w:szCs w:val="16"/>
              </w:rPr>
            </w:pPr>
            <w:r w:rsidRPr="00216965">
              <w:rPr>
                <w:sz w:val="16"/>
                <w:szCs w:val="16"/>
              </w:rPr>
              <w:t>64 ± 18 a</w:t>
            </w:r>
          </w:p>
        </w:tc>
        <w:tc>
          <w:tcPr>
            <w:tcW w:w="976" w:type="dxa"/>
            <w:tcBorders>
              <w:top w:val="nil"/>
              <w:left w:val="nil"/>
              <w:bottom w:val="single" w:sz="4" w:space="0" w:color="auto"/>
              <w:right w:val="nil"/>
            </w:tcBorders>
            <w:vAlign w:val="bottom"/>
            <w:hideMark/>
          </w:tcPr>
          <w:p w14:paraId="1616C0C5" w14:textId="77777777" w:rsidR="006B380D" w:rsidRPr="00216965" w:rsidRDefault="006B380D">
            <w:pPr>
              <w:spacing w:after="0" w:line="240" w:lineRule="auto"/>
              <w:rPr>
                <w:sz w:val="16"/>
                <w:szCs w:val="16"/>
              </w:rPr>
            </w:pPr>
            <w:r w:rsidRPr="00216965">
              <w:rPr>
                <w:sz w:val="16"/>
                <w:szCs w:val="16"/>
              </w:rPr>
              <w:t>12 ± 1 a</w:t>
            </w:r>
          </w:p>
        </w:tc>
        <w:tc>
          <w:tcPr>
            <w:tcW w:w="1000" w:type="dxa"/>
            <w:tcBorders>
              <w:top w:val="nil"/>
              <w:left w:val="nil"/>
              <w:bottom w:val="single" w:sz="4" w:space="0" w:color="auto"/>
              <w:right w:val="nil"/>
            </w:tcBorders>
            <w:vAlign w:val="bottom"/>
            <w:hideMark/>
          </w:tcPr>
          <w:p w14:paraId="01EDFB5E" w14:textId="77777777" w:rsidR="006B380D" w:rsidRPr="00216965" w:rsidRDefault="006B380D">
            <w:pPr>
              <w:spacing w:after="0" w:line="240" w:lineRule="auto"/>
              <w:rPr>
                <w:sz w:val="16"/>
                <w:szCs w:val="16"/>
              </w:rPr>
            </w:pPr>
            <w:r w:rsidRPr="00216965">
              <w:rPr>
                <w:sz w:val="16"/>
                <w:szCs w:val="16"/>
              </w:rPr>
              <w:t>89 ± 25 a</w:t>
            </w:r>
          </w:p>
        </w:tc>
        <w:tc>
          <w:tcPr>
            <w:tcW w:w="988" w:type="dxa"/>
            <w:tcBorders>
              <w:top w:val="nil"/>
              <w:left w:val="nil"/>
              <w:bottom w:val="single" w:sz="4" w:space="0" w:color="auto"/>
              <w:right w:val="nil"/>
            </w:tcBorders>
            <w:vAlign w:val="bottom"/>
            <w:hideMark/>
          </w:tcPr>
          <w:p w14:paraId="21D108A9" w14:textId="77777777" w:rsidR="006B380D" w:rsidRPr="00216965" w:rsidRDefault="006B380D">
            <w:pPr>
              <w:spacing w:after="0" w:line="240" w:lineRule="auto"/>
              <w:rPr>
                <w:sz w:val="16"/>
                <w:szCs w:val="16"/>
              </w:rPr>
            </w:pPr>
            <w:r w:rsidRPr="00216965">
              <w:rPr>
                <w:sz w:val="16"/>
                <w:szCs w:val="16"/>
              </w:rPr>
              <w:t>55 ± 8 a</w:t>
            </w:r>
          </w:p>
        </w:tc>
        <w:tc>
          <w:tcPr>
            <w:tcW w:w="989" w:type="dxa"/>
            <w:tcBorders>
              <w:top w:val="nil"/>
              <w:left w:val="nil"/>
              <w:bottom w:val="single" w:sz="4" w:space="0" w:color="auto"/>
              <w:right w:val="nil"/>
            </w:tcBorders>
            <w:vAlign w:val="bottom"/>
            <w:hideMark/>
          </w:tcPr>
          <w:p w14:paraId="6B46081F" w14:textId="77777777" w:rsidR="006B380D" w:rsidRPr="00216965" w:rsidRDefault="006B380D">
            <w:pPr>
              <w:spacing w:after="0" w:line="240" w:lineRule="auto"/>
              <w:rPr>
                <w:sz w:val="16"/>
                <w:szCs w:val="16"/>
              </w:rPr>
            </w:pPr>
            <w:r w:rsidRPr="00216965">
              <w:rPr>
                <w:sz w:val="16"/>
                <w:szCs w:val="16"/>
              </w:rPr>
              <w:t>71 ± 36 a</w:t>
            </w:r>
          </w:p>
        </w:tc>
        <w:tc>
          <w:tcPr>
            <w:tcW w:w="283" w:type="dxa"/>
            <w:tcBorders>
              <w:top w:val="nil"/>
              <w:left w:val="nil"/>
              <w:bottom w:val="single" w:sz="4" w:space="0" w:color="auto"/>
              <w:right w:val="nil"/>
            </w:tcBorders>
          </w:tcPr>
          <w:p w14:paraId="78B27E1A" w14:textId="77777777" w:rsidR="006B380D" w:rsidRPr="00216965" w:rsidRDefault="006B380D">
            <w:pPr>
              <w:spacing w:after="0" w:line="240" w:lineRule="auto"/>
              <w:rPr>
                <w:sz w:val="16"/>
                <w:szCs w:val="16"/>
              </w:rPr>
            </w:pPr>
          </w:p>
        </w:tc>
        <w:tc>
          <w:tcPr>
            <w:tcW w:w="1271" w:type="dxa"/>
            <w:tcBorders>
              <w:top w:val="nil"/>
              <w:left w:val="nil"/>
              <w:bottom w:val="single" w:sz="4" w:space="0" w:color="auto"/>
              <w:right w:val="nil"/>
            </w:tcBorders>
            <w:vAlign w:val="bottom"/>
            <w:hideMark/>
          </w:tcPr>
          <w:p w14:paraId="729C9A90" w14:textId="77777777" w:rsidR="006B380D" w:rsidRPr="00216965" w:rsidRDefault="006B380D">
            <w:pPr>
              <w:spacing w:after="0" w:line="240" w:lineRule="auto"/>
              <w:rPr>
                <w:sz w:val="16"/>
                <w:szCs w:val="16"/>
              </w:rPr>
            </w:pPr>
            <w:r w:rsidRPr="00216965">
              <w:rPr>
                <w:sz w:val="16"/>
                <w:szCs w:val="16"/>
              </w:rPr>
              <w:t xml:space="preserve">11.8 ± 0.7 ab </w:t>
            </w:r>
          </w:p>
        </w:tc>
        <w:tc>
          <w:tcPr>
            <w:tcW w:w="1129" w:type="dxa"/>
            <w:tcBorders>
              <w:top w:val="nil"/>
              <w:left w:val="nil"/>
              <w:bottom w:val="single" w:sz="4" w:space="0" w:color="auto"/>
              <w:right w:val="nil"/>
            </w:tcBorders>
            <w:vAlign w:val="bottom"/>
            <w:hideMark/>
          </w:tcPr>
          <w:p w14:paraId="7CE26E89" w14:textId="77777777" w:rsidR="006B380D" w:rsidRPr="00216965" w:rsidRDefault="006B380D">
            <w:pPr>
              <w:spacing w:after="0" w:line="240" w:lineRule="auto"/>
              <w:rPr>
                <w:sz w:val="16"/>
                <w:szCs w:val="16"/>
              </w:rPr>
            </w:pPr>
            <w:r w:rsidRPr="00216965">
              <w:rPr>
                <w:sz w:val="16"/>
                <w:szCs w:val="16"/>
              </w:rPr>
              <w:t>502 ± 48 cd</w:t>
            </w:r>
          </w:p>
        </w:tc>
        <w:tc>
          <w:tcPr>
            <w:tcW w:w="848" w:type="dxa"/>
            <w:tcBorders>
              <w:top w:val="nil"/>
              <w:left w:val="nil"/>
              <w:bottom w:val="single" w:sz="4" w:space="0" w:color="auto"/>
              <w:right w:val="nil"/>
            </w:tcBorders>
            <w:vAlign w:val="bottom"/>
            <w:hideMark/>
          </w:tcPr>
          <w:p w14:paraId="15B77116" w14:textId="77777777" w:rsidR="006B380D" w:rsidRPr="00216965" w:rsidRDefault="006B380D">
            <w:pPr>
              <w:spacing w:after="0" w:line="240" w:lineRule="auto"/>
              <w:rPr>
                <w:sz w:val="16"/>
                <w:szCs w:val="16"/>
              </w:rPr>
            </w:pPr>
            <w:r w:rsidRPr="00216965">
              <w:rPr>
                <w:sz w:val="16"/>
                <w:szCs w:val="16"/>
              </w:rPr>
              <w:t>19 ± 1 ab</w:t>
            </w:r>
          </w:p>
        </w:tc>
        <w:tc>
          <w:tcPr>
            <w:tcW w:w="989" w:type="dxa"/>
            <w:tcBorders>
              <w:top w:val="nil"/>
              <w:left w:val="nil"/>
              <w:bottom w:val="single" w:sz="4" w:space="0" w:color="auto"/>
              <w:right w:val="nil"/>
            </w:tcBorders>
            <w:vAlign w:val="bottom"/>
            <w:hideMark/>
          </w:tcPr>
          <w:p w14:paraId="397A2173" w14:textId="77777777" w:rsidR="006B380D" w:rsidRPr="00216965" w:rsidRDefault="006B380D">
            <w:pPr>
              <w:spacing w:after="0" w:line="240" w:lineRule="auto"/>
              <w:rPr>
                <w:sz w:val="16"/>
                <w:szCs w:val="16"/>
              </w:rPr>
            </w:pPr>
            <w:r w:rsidRPr="00216965">
              <w:rPr>
                <w:sz w:val="16"/>
                <w:szCs w:val="16"/>
              </w:rPr>
              <w:t>108 ± 15 ab</w:t>
            </w:r>
          </w:p>
        </w:tc>
        <w:tc>
          <w:tcPr>
            <w:tcW w:w="283" w:type="dxa"/>
            <w:tcBorders>
              <w:top w:val="nil"/>
              <w:left w:val="nil"/>
              <w:bottom w:val="single" w:sz="4" w:space="0" w:color="auto"/>
              <w:right w:val="nil"/>
            </w:tcBorders>
          </w:tcPr>
          <w:p w14:paraId="1D62050F" w14:textId="77777777" w:rsidR="006B380D" w:rsidRPr="00216965" w:rsidRDefault="006B380D">
            <w:pPr>
              <w:spacing w:after="0" w:line="240" w:lineRule="auto"/>
              <w:rPr>
                <w:sz w:val="16"/>
                <w:szCs w:val="16"/>
              </w:rPr>
            </w:pPr>
          </w:p>
        </w:tc>
        <w:tc>
          <w:tcPr>
            <w:tcW w:w="989" w:type="dxa"/>
            <w:tcBorders>
              <w:top w:val="nil"/>
              <w:left w:val="nil"/>
              <w:bottom w:val="single" w:sz="4" w:space="0" w:color="auto"/>
              <w:right w:val="nil"/>
            </w:tcBorders>
            <w:vAlign w:val="center"/>
            <w:hideMark/>
          </w:tcPr>
          <w:p w14:paraId="5468C07A" w14:textId="77777777" w:rsidR="006B380D" w:rsidRPr="00216965" w:rsidRDefault="006B380D">
            <w:pPr>
              <w:spacing w:after="0" w:line="240" w:lineRule="auto"/>
              <w:rPr>
                <w:sz w:val="16"/>
                <w:szCs w:val="16"/>
              </w:rPr>
            </w:pPr>
            <w:r w:rsidRPr="00216965">
              <w:rPr>
                <w:sz w:val="16"/>
                <w:szCs w:val="16"/>
              </w:rPr>
              <w:t>160 ± 6 a</w:t>
            </w:r>
          </w:p>
        </w:tc>
        <w:tc>
          <w:tcPr>
            <w:tcW w:w="991" w:type="dxa"/>
            <w:tcBorders>
              <w:top w:val="nil"/>
              <w:left w:val="nil"/>
              <w:bottom w:val="single" w:sz="4" w:space="0" w:color="auto"/>
              <w:right w:val="nil"/>
            </w:tcBorders>
            <w:vAlign w:val="center"/>
            <w:hideMark/>
          </w:tcPr>
          <w:p w14:paraId="51ACF2B8" w14:textId="77777777" w:rsidR="006B380D" w:rsidRPr="00216965" w:rsidRDefault="006B380D">
            <w:pPr>
              <w:spacing w:after="0" w:line="240" w:lineRule="auto"/>
              <w:rPr>
                <w:sz w:val="16"/>
                <w:szCs w:val="16"/>
              </w:rPr>
            </w:pPr>
            <w:r w:rsidRPr="00216965">
              <w:rPr>
                <w:sz w:val="16"/>
                <w:szCs w:val="16"/>
              </w:rPr>
              <w:t>144 ± 14 cd</w:t>
            </w:r>
          </w:p>
        </w:tc>
      </w:tr>
    </w:tbl>
    <w:p w14:paraId="2BE9EB5D" w14:textId="77777777" w:rsidR="006B380D" w:rsidRPr="00216965" w:rsidRDefault="006B380D" w:rsidP="008A33DA">
      <w:pPr>
        <w:spacing w:after="0" w:line="360" w:lineRule="auto"/>
      </w:pPr>
      <w:r w:rsidRPr="00216965">
        <w:t xml:space="preserve"> </w:t>
      </w:r>
      <w:r w:rsidRPr="00216965">
        <w:rPr>
          <w:vertAlign w:val="superscript"/>
        </w:rPr>
        <w:t>*</w:t>
      </w:r>
      <w:r w:rsidRPr="00216965">
        <w:t xml:space="preserve">=aqueous extract, </w:t>
      </w:r>
      <w:r w:rsidRPr="00216965">
        <w:rPr>
          <w:vertAlign w:val="superscript"/>
        </w:rPr>
        <w:t>**</w:t>
      </w:r>
      <w:r w:rsidRPr="00216965">
        <w:t xml:space="preserve">= Olsen extract, </w:t>
      </w:r>
      <w:r w:rsidRPr="00216965">
        <w:rPr>
          <w:vertAlign w:val="superscript"/>
        </w:rPr>
        <w:t>***</w:t>
      </w:r>
      <w:r w:rsidRPr="00216965">
        <w:t>= 2M KCl extract</w:t>
      </w:r>
    </w:p>
    <w:p w14:paraId="47F71D76" w14:textId="77777777" w:rsidR="006B380D" w:rsidRPr="00216965" w:rsidRDefault="006B380D" w:rsidP="008A33DA">
      <w:pPr>
        <w:spacing w:after="0" w:line="360" w:lineRule="auto"/>
        <w:sectPr w:rsidR="006B380D" w:rsidRPr="00216965">
          <w:pgSz w:w="16838" w:h="11906" w:orient="landscape"/>
          <w:pgMar w:top="1701" w:right="1701" w:bottom="1701" w:left="1701" w:header="708" w:footer="708" w:gutter="0"/>
          <w:cols w:space="720"/>
        </w:sectPr>
      </w:pPr>
    </w:p>
    <w:p w14:paraId="6E320710" w14:textId="77777777" w:rsidR="006B380D" w:rsidRPr="00216965" w:rsidRDefault="006B380D" w:rsidP="008A33DA">
      <w:pPr>
        <w:pStyle w:val="Heading4"/>
      </w:pPr>
      <w:r w:rsidRPr="00216965">
        <w:lastRenderedPageBreak/>
        <w:t>Chemical speciation of HMs</w:t>
      </w:r>
    </w:p>
    <w:p w14:paraId="1045F0CB" w14:textId="29C07E09" w:rsidR="006B380D" w:rsidRPr="00216965" w:rsidRDefault="006B380D" w:rsidP="008A33DA">
      <w:pPr>
        <w:spacing w:line="360" w:lineRule="auto"/>
        <w:jc w:val="both"/>
      </w:pPr>
      <w:r w:rsidRPr="00216965">
        <w:t>The chemical speciation of the Mix-soil treated with biochar OSR550 at 1% is presented as an example to assess the effect of biochar on the chemical speciation of HMs (</w:t>
      </w:r>
      <w:r w:rsidRPr="00216965">
        <w:rPr>
          <w:b/>
          <w:bCs/>
          <w:lang w:val="en-US"/>
        </w:rPr>
        <w:fldChar w:fldCharType="begin"/>
      </w:r>
      <w:r w:rsidRPr="00216965">
        <w:rPr>
          <w:b/>
          <w:bCs/>
          <w:lang w:val="en-US"/>
        </w:rPr>
        <w:instrText xml:space="preserve"> REF _Ref74906168 \h  \* MERGEFORMAT </w:instrText>
      </w:r>
      <w:r w:rsidRPr="00216965">
        <w:rPr>
          <w:b/>
          <w:bCs/>
          <w:lang w:val="en-US"/>
        </w:rPr>
      </w:r>
      <w:r w:rsidRPr="00216965">
        <w:rPr>
          <w:b/>
          <w:bCs/>
          <w:lang w:val="en-US"/>
        </w:rPr>
        <w:fldChar w:fldCharType="separate"/>
      </w:r>
      <w:r w:rsidR="006E23EA" w:rsidRPr="00216965">
        <w:rPr>
          <w:b/>
          <w:bCs/>
          <w:lang w:val="en-US"/>
        </w:rPr>
        <w:t>Table 4</w:t>
      </w:r>
      <w:r w:rsidR="006E23EA" w:rsidRPr="00216965">
        <w:rPr>
          <w:b/>
          <w:bCs/>
          <w:lang w:val="en-US"/>
        </w:rPr>
        <w:noBreakHyphen/>
        <w:t>3</w:t>
      </w:r>
      <w:r w:rsidRPr="00216965">
        <w:rPr>
          <w:b/>
          <w:bCs/>
          <w:lang w:val="en-US"/>
        </w:rPr>
        <w:fldChar w:fldCharType="end"/>
      </w:r>
      <w:r w:rsidRPr="00216965">
        <w:rPr>
          <w:b/>
        </w:rPr>
        <w:t>)</w:t>
      </w:r>
      <w:r w:rsidRPr="00216965">
        <w:t>. The speciation model predicted that Cd and Zn were mainly present in ionic forms, Cd</w:t>
      </w:r>
      <w:r w:rsidRPr="00216965">
        <w:rPr>
          <w:vertAlign w:val="superscript"/>
        </w:rPr>
        <w:t>2+</w:t>
      </w:r>
      <w:r w:rsidRPr="00216965">
        <w:t xml:space="preserve"> (54.6 %) and Zn</w:t>
      </w:r>
      <w:r w:rsidRPr="00216965">
        <w:rPr>
          <w:vertAlign w:val="superscript"/>
        </w:rPr>
        <w:t>2+</w:t>
      </w:r>
      <w:r w:rsidRPr="00216965">
        <w:t xml:space="preserve"> (71.83 %), while Pb was mostly in the hydrolyzed form of PbOH</w:t>
      </w:r>
      <w:r w:rsidRPr="00216965">
        <w:rPr>
          <w:vertAlign w:val="superscript"/>
        </w:rPr>
        <w:t>+</w:t>
      </w:r>
      <w:r w:rsidRPr="00216965">
        <w:t xml:space="preserve"> (69.87 %). In the case of Pb, Zn, and Ca the model predicted the formation of products which exceed the saturation indexes of specific mineral phases, such as chloropyromorphite ([Pb</w:t>
      </w:r>
      <w:r w:rsidRPr="00216965">
        <w:rPr>
          <w:vertAlign w:val="subscript"/>
        </w:rPr>
        <w:t>5</w:t>
      </w:r>
      <w:r w:rsidRPr="00216965">
        <w:t>(PO</w:t>
      </w:r>
      <w:r w:rsidRPr="00216965">
        <w:rPr>
          <w:vertAlign w:val="subscript"/>
        </w:rPr>
        <w:t>4</w:t>
      </w:r>
      <w:r w:rsidRPr="00216965">
        <w:t>)</w:t>
      </w:r>
      <w:r w:rsidRPr="00216965">
        <w:rPr>
          <w:vertAlign w:val="subscript"/>
        </w:rPr>
        <w:t>3</w:t>
      </w:r>
      <w:r w:rsidRPr="00216965">
        <w:t xml:space="preserve">Cl]), </w:t>
      </w:r>
      <w:r w:rsidRPr="00216965">
        <w:rPr>
          <w:color w:val="000000"/>
        </w:rPr>
        <w:t>Pb</w:t>
      </w:r>
      <w:r w:rsidRPr="00216965">
        <w:rPr>
          <w:color w:val="000000"/>
          <w:vertAlign w:val="subscript"/>
        </w:rPr>
        <w:t>5</w:t>
      </w:r>
      <w:r w:rsidRPr="00216965">
        <w:rPr>
          <w:color w:val="000000"/>
        </w:rPr>
        <w:t>(PO</w:t>
      </w:r>
      <w:r w:rsidRPr="00216965">
        <w:rPr>
          <w:color w:val="000000"/>
          <w:vertAlign w:val="subscript"/>
        </w:rPr>
        <w:t>4</w:t>
      </w:r>
      <w:r w:rsidRPr="00216965">
        <w:rPr>
          <w:color w:val="000000"/>
        </w:rPr>
        <w:t>)</w:t>
      </w:r>
      <w:r w:rsidRPr="00216965">
        <w:rPr>
          <w:color w:val="000000"/>
          <w:vertAlign w:val="subscript"/>
        </w:rPr>
        <w:t>3</w:t>
      </w:r>
      <w:r w:rsidRPr="00216965">
        <w:rPr>
          <w:color w:val="000000"/>
        </w:rPr>
        <w:t xml:space="preserve">(OH), </w:t>
      </w:r>
      <w:r w:rsidRPr="00216965">
        <w:t>Pb(OH)</w:t>
      </w:r>
      <w:r w:rsidRPr="00216965">
        <w:rPr>
          <w:vertAlign w:val="subscript"/>
        </w:rPr>
        <w:t>2 (s)</w:t>
      </w:r>
      <w:r w:rsidRPr="00216965">
        <w:t>, PbHPO</w:t>
      </w:r>
      <w:r w:rsidRPr="00216965">
        <w:rPr>
          <w:vertAlign w:val="subscript"/>
        </w:rPr>
        <w:t>4(s)</w:t>
      </w:r>
      <w:r w:rsidRPr="00216965">
        <w:t>, Zn</w:t>
      </w:r>
      <w:r w:rsidRPr="00216965">
        <w:rPr>
          <w:vertAlign w:val="subscript"/>
        </w:rPr>
        <w:t>3</w:t>
      </w:r>
      <w:r w:rsidRPr="00216965">
        <w:t>(PO</w:t>
      </w:r>
      <w:r w:rsidRPr="00216965">
        <w:rPr>
          <w:vertAlign w:val="subscript"/>
        </w:rPr>
        <w:t>4</w:t>
      </w:r>
      <w:r w:rsidRPr="00216965">
        <w:t>)2. 4H</w:t>
      </w:r>
      <w:r w:rsidRPr="00216965">
        <w:rPr>
          <w:vertAlign w:val="subscript"/>
        </w:rPr>
        <w:t>2</w:t>
      </w:r>
      <w:r w:rsidRPr="00216965">
        <w:t>O</w:t>
      </w:r>
      <w:r w:rsidRPr="00216965">
        <w:rPr>
          <w:vertAlign w:val="subscript"/>
        </w:rPr>
        <w:t>(s)</w:t>
      </w:r>
      <w:r w:rsidRPr="00216965">
        <w:t>, Ca</w:t>
      </w:r>
      <w:r w:rsidRPr="00216965">
        <w:rPr>
          <w:vertAlign w:val="subscript"/>
        </w:rPr>
        <w:t>3</w:t>
      </w:r>
      <w:r w:rsidRPr="00216965">
        <w:t>(PO</w:t>
      </w:r>
      <w:r w:rsidRPr="00216965">
        <w:rPr>
          <w:vertAlign w:val="subscript"/>
        </w:rPr>
        <w:t>4</w:t>
      </w:r>
      <w:r w:rsidRPr="00216965">
        <w:t>)</w:t>
      </w:r>
      <w:r w:rsidRPr="00216965">
        <w:rPr>
          <w:vertAlign w:val="subscript"/>
        </w:rPr>
        <w:t xml:space="preserve">2 </w:t>
      </w:r>
      <w:r w:rsidRPr="00216965">
        <w:t xml:space="preserve"> and Ca</w:t>
      </w:r>
      <w:r w:rsidRPr="00216965">
        <w:rPr>
          <w:vertAlign w:val="subscript"/>
        </w:rPr>
        <w:t>4</w:t>
      </w:r>
      <w:r w:rsidRPr="00216965">
        <w:t>H(PO</w:t>
      </w:r>
      <w:r w:rsidRPr="00216965">
        <w:rPr>
          <w:vertAlign w:val="subscript"/>
        </w:rPr>
        <w:t>4</w:t>
      </w:r>
      <w:r w:rsidRPr="00216965">
        <w:t>)</w:t>
      </w:r>
      <w:r w:rsidRPr="00216965">
        <w:rPr>
          <w:vertAlign w:val="subscript"/>
        </w:rPr>
        <w:t>3</w:t>
      </w:r>
      <w:r w:rsidRPr="00216965">
        <w:t>.3H</w:t>
      </w:r>
      <w:r w:rsidRPr="00216965">
        <w:rPr>
          <w:vertAlign w:val="subscript"/>
        </w:rPr>
        <w:t>2</w:t>
      </w:r>
      <w:r w:rsidRPr="00216965">
        <w:t xml:space="preserve">O </w:t>
      </w:r>
      <w:r w:rsidRPr="00216965">
        <w:rPr>
          <w:vertAlign w:val="subscript"/>
        </w:rPr>
        <w:t>(s)</w:t>
      </w:r>
      <w:r w:rsidRPr="00216965">
        <w:t xml:space="preserve">. No Cd-precipitates were predicted under the conditions evaluated. </w:t>
      </w:r>
    </w:p>
    <w:p w14:paraId="66335883" w14:textId="78B86B95" w:rsidR="006B380D" w:rsidRPr="00216965" w:rsidRDefault="006B380D" w:rsidP="008A33DA">
      <w:pPr>
        <w:spacing w:after="200" w:line="240" w:lineRule="auto"/>
        <w:rPr>
          <w:b/>
          <w:bCs/>
          <w:color w:val="4F81BD"/>
        </w:rPr>
      </w:pPr>
      <w:bookmarkStart w:id="270" w:name="_heading=h.28h4qwu"/>
      <w:bookmarkStart w:id="271" w:name="_Ref74906168"/>
      <w:bookmarkStart w:id="272" w:name="_Toc86440370"/>
      <w:bookmarkEnd w:id="270"/>
      <w:r w:rsidRPr="00216965">
        <w:rPr>
          <w:b/>
          <w:bCs/>
        </w:rPr>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4</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3</w:t>
      </w:r>
      <w:r w:rsidR="00E569FA" w:rsidRPr="00216965">
        <w:rPr>
          <w:b/>
          <w:bCs/>
        </w:rPr>
        <w:fldChar w:fldCharType="end"/>
      </w:r>
      <w:bookmarkEnd w:id="271"/>
      <w:r w:rsidRPr="00216965">
        <w:rPr>
          <w:b/>
          <w:bCs/>
        </w:rPr>
        <w:t xml:space="preserve">. </w:t>
      </w:r>
      <w:r w:rsidRPr="00216965">
        <w:rPr>
          <w:b/>
          <w:bCs/>
          <w:color w:val="000000"/>
        </w:rPr>
        <w:t>Species distribution predicted for Cd, Pb and Zn present in the Mix-soil treatment according to Visual MINTEQ 3.1.</w:t>
      </w:r>
      <w:bookmarkEnd w:id="272"/>
      <w:r w:rsidRPr="00216965">
        <w:rPr>
          <w:b/>
          <w:bCs/>
          <w:color w:val="000000"/>
        </w:rPr>
        <w:t xml:space="preserve"> </w:t>
      </w:r>
    </w:p>
    <w:tbl>
      <w:tblPr>
        <w:tblW w:w="7680" w:type="dxa"/>
        <w:tblInd w:w="709" w:type="dxa"/>
        <w:tblBorders>
          <w:top w:val="single" w:sz="4" w:space="0" w:color="000000"/>
          <w:bottom w:val="single" w:sz="4" w:space="0" w:color="000000"/>
          <w:insideH w:val="nil"/>
          <w:insideV w:val="nil"/>
        </w:tblBorders>
        <w:tblLayout w:type="fixed"/>
        <w:tblLook w:val="0400" w:firstRow="0" w:lastRow="0" w:firstColumn="0" w:lastColumn="0" w:noHBand="0" w:noVBand="1"/>
      </w:tblPr>
      <w:tblGrid>
        <w:gridCol w:w="1353"/>
        <w:gridCol w:w="1574"/>
        <w:gridCol w:w="1892"/>
        <w:gridCol w:w="2861"/>
      </w:tblGrid>
      <w:tr w:rsidR="006B380D" w:rsidRPr="00216965" w14:paraId="0C509140" w14:textId="77777777" w:rsidTr="008A33DA">
        <w:trPr>
          <w:trHeight w:val="479"/>
        </w:trPr>
        <w:tc>
          <w:tcPr>
            <w:tcW w:w="1353" w:type="dxa"/>
            <w:tcBorders>
              <w:top w:val="single" w:sz="4" w:space="0" w:color="000000"/>
              <w:left w:val="nil"/>
              <w:bottom w:val="single" w:sz="4" w:space="0" w:color="000000"/>
              <w:right w:val="nil"/>
            </w:tcBorders>
            <w:shd w:val="clear" w:color="auto" w:fill="A8D08D" w:themeFill="accent6" w:themeFillTint="99"/>
            <w:hideMark/>
          </w:tcPr>
          <w:p w14:paraId="5AD77F57" w14:textId="77777777" w:rsidR="006B380D" w:rsidRPr="00216965" w:rsidRDefault="006B380D" w:rsidP="003A7BA9">
            <w:pPr>
              <w:spacing w:after="0" w:line="240" w:lineRule="auto"/>
              <w:ind w:firstLine="177"/>
            </w:pPr>
            <w:r w:rsidRPr="00216965">
              <w:rPr>
                <w:sz w:val="22"/>
              </w:rPr>
              <w:t>Element</w:t>
            </w:r>
          </w:p>
        </w:tc>
        <w:tc>
          <w:tcPr>
            <w:tcW w:w="1574" w:type="dxa"/>
            <w:tcBorders>
              <w:top w:val="single" w:sz="4" w:space="0" w:color="000000"/>
              <w:left w:val="nil"/>
              <w:bottom w:val="single" w:sz="4" w:space="0" w:color="000000"/>
              <w:right w:val="nil"/>
            </w:tcBorders>
            <w:shd w:val="clear" w:color="auto" w:fill="A8D08D" w:themeFill="accent6" w:themeFillTint="99"/>
            <w:hideMark/>
          </w:tcPr>
          <w:p w14:paraId="183D2013" w14:textId="77777777" w:rsidR="006B380D" w:rsidRPr="00216965" w:rsidRDefault="006B380D" w:rsidP="003A7BA9">
            <w:pPr>
              <w:spacing w:after="0" w:line="240" w:lineRule="auto"/>
              <w:jc w:val="center"/>
            </w:pPr>
            <w:r w:rsidRPr="00216965">
              <w:rPr>
                <w:sz w:val="22"/>
              </w:rPr>
              <w:t>% of total concentration</w:t>
            </w:r>
          </w:p>
        </w:tc>
        <w:tc>
          <w:tcPr>
            <w:tcW w:w="1892" w:type="dxa"/>
            <w:tcBorders>
              <w:top w:val="single" w:sz="4" w:space="0" w:color="000000"/>
              <w:left w:val="nil"/>
              <w:bottom w:val="single" w:sz="4" w:space="0" w:color="000000"/>
              <w:right w:val="nil"/>
            </w:tcBorders>
            <w:shd w:val="clear" w:color="auto" w:fill="A8D08D" w:themeFill="accent6" w:themeFillTint="99"/>
            <w:hideMark/>
          </w:tcPr>
          <w:p w14:paraId="7C0428DA" w14:textId="77777777" w:rsidR="006B380D" w:rsidRPr="00216965" w:rsidRDefault="006B380D" w:rsidP="003A7BA9">
            <w:pPr>
              <w:spacing w:after="0" w:line="240" w:lineRule="auto"/>
              <w:ind w:firstLine="110"/>
            </w:pPr>
            <w:r w:rsidRPr="00216965">
              <w:rPr>
                <w:sz w:val="22"/>
              </w:rPr>
              <w:t>Species Name</w:t>
            </w:r>
          </w:p>
        </w:tc>
        <w:tc>
          <w:tcPr>
            <w:tcW w:w="2861" w:type="dxa"/>
            <w:tcBorders>
              <w:top w:val="single" w:sz="4" w:space="0" w:color="000000"/>
              <w:left w:val="nil"/>
              <w:bottom w:val="single" w:sz="4" w:space="0" w:color="000000"/>
              <w:right w:val="nil"/>
            </w:tcBorders>
            <w:shd w:val="clear" w:color="auto" w:fill="A8D08D" w:themeFill="accent6" w:themeFillTint="99"/>
            <w:hideMark/>
          </w:tcPr>
          <w:p w14:paraId="46A03CFD" w14:textId="77777777" w:rsidR="006B380D" w:rsidRPr="00216965" w:rsidRDefault="006B380D" w:rsidP="003A7BA9">
            <w:pPr>
              <w:spacing w:after="0" w:line="240" w:lineRule="auto"/>
              <w:ind w:firstLine="177"/>
            </w:pPr>
            <w:r w:rsidRPr="00216965">
              <w:rPr>
                <w:sz w:val="22"/>
              </w:rPr>
              <w:t>Precipitates predicted</w:t>
            </w:r>
          </w:p>
        </w:tc>
      </w:tr>
      <w:tr w:rsidR="006B380D" w:rsidRPr="00216965" w14:paraId="09FF43E3" w14:textId="77777777" w:rsidTr="008A33DA">
        <w:trPr>
          <w:trHeight w:val="233"/>
        </w:trPr>
        <w:tc>
          <w:tcPr>
            <w:tcW w:w="1353" w:type="dxa"/>
            <w:vMerge w:val="restart"/>
            <w:tcBorders>
              <w:top w:val="single" w:sz="4" w:space="0" w:color="000000"/>
              <w:left w:val="nil"/>
              <w:bottom w:val="nil"/>
              <w:right w:val="nil"/>
            </w:tcBorders>
            <w:hideMark/>
          </w:tcPr>
          <w:p w14:paraId="09E107D7" w14:textId="77777777" w:rsidR="006B380D" w:rsidRPr="00216965" w:rsidRDefault="006B380D" w:rsidP="003A7BA9">
            <w:pPr>
              <w:spacing w:after="0" w:line="240" w:lineRule="auto"/>
            </w:pPr>
            <w:r w:rsidRPr="00216965">
              <w:rPr>
                <w:sz w:val="22"/>
              </w:rPr>
              <w:t>Cd</w:t>
            </w:r>
          </w:p>
        </w:tc>
        <w:tc>
          <w:tcPr>
            <w:tcW w:w="1574" w:type="dxa"/>
            <w:tcBorders>
              <w:top w:val="single" w:sz="4" w:space="0" w:color="000000"/>
              <w:left w:val="nil"/>
              <w:bottom w:val="nil"/>
              <w:right w:val="nil"/>
            </w:tcBorders>
            <w:hideMark/>
          </w:tcPr>
          <w:p w14:paraId="18F67071" w14:textId="77777777" w:rsidR="006B380D" w:rsidRPr="00216965" w:rsidRDefault="006B380D" w:rsidP="003A7BA9">
            <w:pPr>
              <w:spacing w:after="0" w:line="240" w:lineRule="auto"/>
            </w:pPr>
            <w:r w:rsidRPr="00216965">
              <w:rPr>
                <w:sz w:val="22"/>
              </w:rPr>
              <w:t xml:space="preserve">54.6 </w:t>
            </w:r>
          </w:p>
        </w:tc>
        <w:tc>
          <w:tcPr>
            <w:tcW w:w="1892" w:type="dxa"/>
            <w:tcBorders>
              <w:top w:val="single" w:sz="4" w:space="0" w:color="000000"/>
              <w:left w:val="nil"/>
              <w:bottom w:val="nil"/>
              <w:right w:val="nil"/>
            </w:tcBorders>
            <w:hideMark/>
          </w:tcPr>
          <w:p w14:paraId="41444E68" w14:textId="77777777" w:rsidR="006B380D" w:rsidRPr="00216965" w:rsidRDefault="006B380D" w:rsidP="003A7BA9">
            <w:pPr>
              <w:spacing w:after="0" w:line="240" w:lineRule="auto"/>
            </w:pPr>
            <w:r w:rsidRPr="00216965">
              <w:rPr>
                <w:sz w:val="22"/>
              </w:rPr>
              <w:t>Cd</w:t>
            </w:r>
            <w:r w:rsidRPr="00216965">
              <w:rPr>
                <w:sz w:val="22"/>
                <w:vertAlign w:val="superscript"/>
              </w:rPr>
              <w:t>2+</w:t>
            </w:r>
          </w:p>
        </w:tc>
        <w:tc>
          <w:tcPr>
            <w:tcW w:w="2861" w:type="dxa"/>
            <w:tcBorders>
              <w:top w:val="single" w:sz="4" w:space="0" w:color="000000"/>
              <w:left w:val="nil"/>
              <w:bottom w:val="nil"/>
              <w:right w:val="nil"/>
            </w:tcBorders>
            <w:hideMark/>
          </w:tcPr>
          <w:p w14:paraId="7480BDD3" w14:textId="77777777" w:rsidR="006B380D" w:rsidRPr="00216965" w:rsidRDefault="006B380D" w:rsidP="003A7BA9">
            <w:pPr>
              <w:spacing w:after="0" w:line="240" w:lineRule="auto"/>
            </w:pPr>
            <w:r w:rsidRPr="00216965">
              <w:rPr>
                <w:sz w:val="22"/>
              </w:rPr>
              <w:t>NA</w:t>
            </w:r>
          </w:p>
        </w:tc>
      </w:tr>
      <w:tr w:rsidR="006B380D" w:rsidRPr="00216965" w14:paraId="19662373" w14:textId="77777777" w:rsidTr="008A33DA">
        <w:trPr>
          <w:trHeight w:val="233"/>
        </w:trPr>
        <w:tc>
          <w:tcPr>
            <w:tcW w:w="1353" w:type="dxa"/>
            <w:vMerge/>
            <w:tcBorders>
              <w:top w:val="single" w:sz="4" w:space="0" w:color="000000"/>
              <w:left w:val="nil"/>
              <w:bottom w:val="nil"/>
              <w:right w:val="nil"/>
            </w:tcBorders>
            <w:vAlign w:val="center"/>
            <w:hideMark/>
          </w:tcPr>
          <w:p w14:paraId="20DC153D"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36277A5C" w14:textId="77777777" w:rsidR="006B380D" w:rsidRPr="00216965" w:rsidRDefault="006B380D" w:rsidP="003A7BA9">
            <w:pPr>
              <w:spacing w:after="0" w:line="240" w:lineRule="auto"/>
            </w:pPr>
            <w:r w:rsidRPr="00216965">
              <w:rPr>
                <w:sz w:val="22"/>
              </w:rPr>
              <w:t>29.7</w:t>
            </w:r>
          </w:p>
        </w:tc>
        <w:tc>
          <w:tcPr>
            <w:tcW w:w="1892" w:type="dxa"/>
            <w:tcBorders>
              <w:top w:val="nil"/>
              <w:left w:val="nil"/>
              <w:bottom w:val="nil"/>
              <w:right w:val="nil"/>
            </w:tcBorders>
            <w:hideMark/>
          </w:tcPr>
          <w:p w14:paraId="238DF3EA" w14:textId="77777777" w:rsidR="006B380D" w:rsidRPr="00216965" w:rsidRDefault="006B380D" w:rsidP="003A7BA9">
            <w:pPr>
              <w:spacing w:after="0" w:line="240" w:lineRule="auto"/>
            </w:pPr>
            <w:r w:rsidRPr="00216965">
              <w:rPr>
                <w:sz w:val="22"/>
              </w:rPr>
              <w:t>CdS</w:t>
            </w:r>
            <w:r w:rsidRPr="00216965">
              <w:rPr>
                <w:sz w:val="22"/>
                <w:vertAlign w:val="subscript"/>
              </w:rPr>
              <w:t>2</w:t>
            </w:r>
            <w:r w:rsidRPr="00216965">
              <w:rPr>
                <w:sz w:val="22"/>
              </w:rPr>
              <w:t>O</w:t>
            </w:r>
            <w:r w:rsidRPr="00216965">
              <w:rPr>
                <w:sz w:val="22"/>
                <w:vertAlign w:val="subscript"/>
              </w:rPr>
              <w:t>3(aq)</w:t>
            </w:r>
          </w:p>
        </w:tc>
        <w:tc>
          <w:tcPr>
            <w:tcW w:w="2861" w:type="dxa"/>
            <w:tcBorders>
              <w:top w:val="nil"/>
              <w:left w:val="nil"/>
              <w:bottom w:val="nil"/>
              <w:right w:val="nil"/>
            </w:tcBorders>
          </w:tcPr>
          <w:p w14:paraId="17D31F58" w14:textId="77777777" w:rsidR="006B380D" w:rsidRPr="00216965" w:rsidRDefault="006B380D" w:rsidP="003A7BA9">
            <w:pPr>
              <w:spacing w:after="0" w:line="240" w:lineRule="auto"/>
            </w:pPr>
          </w:p>
        </w:tc>
      </w:tr>
      <w:tr w:rsidR="006B380D" w:rsidRPr="00216965" w14:paraId="16F13A2E" w14:textId="77777777" w:rsidTr="008A33DA">
        <w:trPr>
          <w:trHeight w:val="244"/>
        </w:trPr>
        <w:tc>
          <w:tcPr>
            <w:tcW w:w="1353" w:type="dxa"/>
            <w:vMerge/>
            <w:tcBorders>
              <w:top w:val="single" w:sz="4" w:space="0" w:color="000000"/>
              <w:left w:val="nil"/>
              <w:bottom w:val="nil"/>
              <w:right w:val="nil"/>
            </w:tcBorders>
            <w:vAlign w:val="center"/>
            <w:hideMark/>
          </w:tcPr>
          <w:p w14:paraId="7E6ABA41" w14:textId="77777777" w:rsidR="006B380D" w:rsidRPr="00216965" w:rsidRDefault="006B380D" w:rsidP="003A7BA9">
            <w:pPr>
              <w:spacing w:after="0" w:line="240" w:lineRule="auto"/>
            </w:pPr>
          </w:p>
        </w:tc>
        <w:tc>
          <w:tcPr>
            <w:tcW w:w="1574" w:type="dxa"/>
            <w:tcBorders>
              <w:top w:val="nil"/>
              <w:left w:val="nil"/>
              <w:bottom w:val="single" w:sz="4" w:space="0" w:color="000000"/>
              <w:right w:val="nil"/>
            </w:tcBorders>
            <w:hideMark/>
          </w:tcPr>
          <w:p w14:paraId="5F785AC1" w14:textId="77777777" w:rsidR="006B380D" w:rsidRPr="00216965" w:rsidRDefault="006B380D" w:rsidP="003A7BA9">
            <w:pPr>
              <w:spacing w:after="0" w:line="240" w:lineRule="auto"/>
            </w:pPr>
            <w:r w:rsidRPr="00216965">
              <w:rPr>
                <w:sz w:val="22"/>
              </w:rPr>
              <w:t>13.5</w:t>
            </w:r>
          </w:p>
        </w:tc>
        <w:tc>
          <w:tcPr>
            <w:tcW w:w="1892" w:type="dxa"/>
            <w:tcBorders>
              <w:top w:val="nil"/>
              <w:left w:val="nil"/>
              <w:bottom w:val="single" w:sz="4" w:space="0" w:color="000000"/>
              <w:right w:val="nil"/>
            </w:tcBorders>
            <w:hideMark/>
          </w:tcPr>
          <w:p w14:paraId="273E83CB" w14:textId="77777777" w:rsidR="006B380D" w:rsidRPr="00216965" w:rsidRDefault="006B380D" w:rsidP="003A7BA9">
            <w:pPr>
              <w:spacing w:after="0" w:line="240" w:lineRule="auto"/>
            </w:pPr>
            <w:r w:rsidRPr="00216965">
              <w:rPr>
                <w:sz w:val="22"/>
              </w:rPr>
              <w:t>CdHPO</w:t>
            </w:r>
            <w:r w:rsidRPr="00216965">
              <w:rPr>
                <w:sz w:val="22"/>
                <w:vertAlign w:val="subscript"/>
              </w:rPr>
              <w:t>4(aq)</w:t>
            </w:r>
          </w:p>
        </w:tc>
        <w:tc>
          <w:tcPr>
            <w:tcW w:w="2861" w:type="dxa"/>
            <w:tcBorders>
              <w:top w:val="nil"/>
              <w:left w:val="nil"/>
              <w:bottom w:val="single" w:sz="4" w:space="0" w:color="000000"/>
              <w:right w:val="nil"/>
            </w:tcBorders>
          </w:tcPr>
          <w:p w14:paraId="2452C8E2" w14:textId="77777777" w:rsidR="006B380D" w:rsidRPr="00216965" w:rsidRDefault="006B380D" w:rsidP="003A7BA9">
            <w:pPr>
              <w:spacing w:after="0" w:line="240" w:lineRule="auto"/>
            </w:pPr>
          </w:p>
        </w:tc>
      </w:tr>
      <w:tr w:rsidR="006B380D" w:rsidRPr="00216965" w14:paraId="3AC10A46" w14:textId="77777777" w:rsidTr="008A33DA">
        <w:trPr>
          <w:trHeight w:val="233"/>
        </w:trPr>
        <w:tc>
          <w:tcPr>
            <w:tcW w:w="1353" w:type="dxa"/>
            <w:vMerge w:val="restart"/>
            <w:tcBorders>
              <w:top w:val="nil"/>
              <w:left w:val="nil"/>
              <w:bottom w:val="nil"/>
              <w:right w:val="nil"/>
            </w:tcBorders>
            <w:hideMark/>
          </w:tcPr>
          <w:p w14:paraId="3F51B367" w14:textId="77777777" w:rsidR="006B380D" w:rsidRPr="00216965" w:rsidRDefault="006B380D" w:rsidP="003A7BA9">
            <w:pPr>
              <w:spacing w:after="0" w:line="240" w:lineRule="auto"/>
            </w:pPr>
            <w:r w:rsidRPr="00216965">
              <w:rPr>
                <w:sz w:val="22"/>
              </w:rPr>
              <w:t>Zn</w:t>
            </w:r>
          </w:p>
        </w:tc>
        <w:tc>
          <w:tcPr>
            <w:tcW w:w="1574" w:type="dxa"/>
            <w:tcBorders>
              <w:top w:val="single" w:sz="4" w:space="0" w:color="000000"/>
              <w:left w:val="nil"/>
              <w:bottom w:val="nil"/>
              <w:right w:val="nil"/>
            </w:tcBorders>
            <w:hideMark/>
          </w:tcPr>
          <w:p w14:paraId="3C5C5534" w14:textId="77777777" w:rsidR="006B380D" w:rsidRPr="00216965" w:rsidRDefault="006B380D" w:rsidP="003A7BA9">
            <w:pPr>
              <w:spacing w:after="0" w:line="240" w:lineRule="auto"/>
            </w:pPr>
            <w:r w:rsidRPr="00216965">
              <w:rPr>
                <w:sz w:val="22"/>
              </w:rPr>
              <w:t>71.83</w:t>
            </w:r>
          </w:p>
        </w:tc>
        <w:tc>
          <w:tcPr>
            <w:tcW w:w="1892" w:type="dxa"/>
            <w:tcBorders>
              <w:top w:val="single" w:sz="4" w:space="0" w:color="000000"/>
              <w:left w:val="nil"/>
              <w:bottom w:val="nil"/>
              <w:right w:val="nil"/>
            </w:tcBorders>
            <w:hideMark/>
          </w:tcPr>
          <w:p w14:paraId="3D3D7D1D" w14:textId="77777777" w:rsidR="006B380D" w:rsidRPr="00216965" w:rsidRDefault="006B380D" w:rsidP="003A7BA9">
            <w:pPr>
              <w:spacing w:after="0" w:line="240" w:lineRule="auto"/>
            </w:pPr>
            <w:r w:rsidRPr="00216965">
              <w:rPr>
                <w:sz w:val="22"/>
              </w:rPr>
              <w:t>Zn</w:t>
            </w:r>
            <w:r w:rsidRPr="00216965">
              <w:rPr>
                <w:sz w:val="22"/>
                <w:vertAlign w:val="superscript"/>
              </w:rPr>
              <w:t>2+</w:t>
            </w:r>
          </w:p>
        </w:tc>
        <w:tc>
          <w:tcPr>
            <w:tcW w:w="2861" w:type="dxa"/>
            <w:tcBorders>
              <w:top w:val="single" w:sz="4" w:space="0" w:color="000000"/>
              <w:left w:val="nil"/>
              <w:bottom w:val="nil"/>
              <w:right w:val="nil"/>
            </w:tcBorders>
            <w:hideMark/>
          </w:tcPr>
          <w:p w14:paraId="7AF5977A" w14:textId="77777777" w:rsidR="006B380D" w:rsidRPr="00216965" w:rsidRDefault="006B380D" w:rsidP="003A7BA9">
            <w:pPr>
              <w:spacing w:after="0" w:line="240" w:lineRule="auto"/>
            </w:pPr>
            <w:r w:rsidRPr="00216965">
              <w:rPr>
                <w:sz w:val="22"/>
              </w:rPr>
              <w:t>Zn</w:t>
            </w:r>
            <w:r w:rsidRPr="00216965">
              <w:rPr>
                <w:sz w:val="22"/>
                <w:vertAlign w:val="subscript"/>
              </w:rPr>
              <w:t>3</w:t>
            </w:r>
            <w:r w:rsidRPr="00216965">
              <w:rPr>
                <w:sz w:val="22"/>
              </w:rPr>
              <w:t>(PO</w:t>
            </w:r>
            <w:r w:rsidRPr="00216965">
              <w:rPr>
                <w:sz w:val="22"/>
                <w:vertAlign w:val="subscript"/>
              </w:rPr>
              <w:t>4</w:t>
            </w:r>
            <w:r w:rsidRPr="00216965">
              <w:rPr>
                <w:sz w:val="22"/>
              </w:rPr>
              <w:t>)</w:t>
            </w:r>
            <w:r w:rsidRPr="00216965">
              <w:rPr>
                <w:sz w:val="22"/>
                <w:vertAlign w:val="subscript"/>
              </w:rPr>
              <w:t>2</w:t>
            </w:r>
            <w:r w:rsidRPr="00216965">
              <w:rPr>
                <w:sz w:val="22"/>
              </w:rPr>
              <w:t>.4H</w:t>
            </w:r>
            <w:r w:rsidRPr="00216965">
              <w:rPr>
                <w:sz w:val="22"/>
                <w:vertAlign w:val="subscript"/>
              </w:rPr>
              <w:t>2</w:t>
            </w:r>
            <w:r w:rsidRPr="00216965">
              <w:rPr>
                <w:sz w:val="22"/>
              </w:rPr>
              <w:t>O</w:t>
            </w:r>
            <w:r w:rsidRPr="00216965">
              <w:rPr>
                <w:sz w:val="22"/>
                <w:vertAlign w:val="subscript"/>
              </w:rPr>
              <w:t>(s)</w:t>
            </w:r>
          </w:p>
        </w:tc>
      </w:tr>
      <w:tr w:rsidR="006B380D" w:rsidRPr="00216965" w14:paraId="01F7F269" w14:textId="77777777" w:rsidTr="008A33DA">
        <w:trPr>
          <w:trHeight w:val="233"/>
        </w:trPr>
        <w:tc>
          <w:tcPr>
            <w:tcW w:w="1353" w:type="dxa"/>
            <w:vMerge/>
            <w:tcBorders>
              <w:top w:val="nil"/>
              <w:left w:val="nil"/>
              <w:bottom w:val="nil"/>
              <w:right w:val="nil"/>
            </w:tcBorders>
            <w:vAlign w:val="center"/>
            <w:hideMark/>
          </w:tcPr>
          <w:p w14:paraId="1AB3E916"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0301B9AD" w14:textId="77777777" w:rsidR="006B380D" w:rsidRPr="00216965" w:rsidRDefault="006B380D" w:rsidP="003A7BA9">
            <w:pPr>
              <w:spacing w:after="0" w:line="240" w:lineRule="auto"/>
            </w:pPr>
            <w:r w:rsidRPr="00216965">
              <w:rPr>
                <w:sz w:val="22"/>
              </w:rPr>
              <w:t>7.83</w:t>
            </w:r>
          </w:p>
        </w:tc>
        <w:tc>
          <w:tcPr>
            <w:tcW w:w="1892" w:type="dxa"/>
            <w:tcBorders>
              <w:top w:val="nil"/>
              <w:left w:val="nil"/>
              <w:bottom w:val="nil"/>
              <w:right w:val="nil"/>
            </w:tcBorders>
            <w:hideMark/>
          </w:tcPr>
          <w:p w14:paraId="743CDCAA" w14:textId="77777777" w:rsidR="006B380D" w:rsidRPr="00216965" w:rsidRDefault="006B380D" w:rsidP="003A7BA9">
            <w:pPr>
              <w:spacing w:after="0" w:line="240" w:lineRule="auto"/>
            </w:pPr>
            <w:r w:rsidRPr="00216965">
              <w:rPr>
                <w:sz w:val="22"/>
              </w:rPr>
              <w:t>ZnOH</w:t>
            </w:r>
            <w:r w:rsidRPr="00216965">
              <w:rPr>
                <w:sz w:val="22"/>
                <w:vertAlign w:val="superscript"/>
              </w:rPr>
              <w:t>+</w:t>
            </w:r>
          </w:p>
        </w:tc>
        <w:tc>
          <w:tcPr>
            <w:tcW w:w="2861" w:type="dxa"/>
            <w:tcBorders>
              <w:top w:val="nil"/>
              <w:left w:val="nil"/>
              <w:bottom w:val="nil"/>
              <w:right w:val="nil"/>
            </w:tcBorders>
          </w:tcPr>
          <w:p w14:paraId="5DEA5627" w14:textId="77777777" w:rsidR="006B380D" w:rsidRPr="00216965" w:rsidRDefault="006B380D" w:rsidP="003A7BA9">
            <w:pPr>
              <w:spacing w:after="0" w:line="240" w:lineRule="auto"/>
            </w:pPr>
          </w:p>
        </w:tc>
      </w:tr>
      <w:tr w:rsidR="006B380D" w:rsidRPr="00216965" w14:paraId="32BBF84C" w14:textId="77777777" w:rsidTr="008A33DA">
        <w:trPr>
          <w:trHeight w:val="244"/>
        </w:trPr>
        <w:tc>
          <w:tcPr>
            <w:tcW w:w="1353" w:type="dxa"/>
            <w:vMerge/>
            <w:tcBorders>
              <w:top w:val="nil"/>
              <w:left w:val="nil"/>
              <w:bottom w:val="nil"/>
              <w:right w:val="nil"/>
            </w:tcBorders>
            <w:vAlign w:val="center"/>
            <w:hideMark/>
          </w:tcPr>
          <w:p w14:paraId="201B4A43"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51FCB4F2" w14:textId="77777777" w:rsidR="006B380D" w:rsidRPr="00216965" w:rsidRDefault="006B380D" w:rsidP="003A7BA9">
            <w:pPr>
              <w:spacing w:after="0" w:line="240" w:lineRule="auto"/>
            </w:pPr>
            <w:r w:rsidRPr="00216965">
              <w:rPr>
                <w:sz w:val="22"/>
              </w:rPr>
              <w:t>11.87</w:t>
            </w:r>
          </w:p>
        </w:tc>
        <w:tc>
          <w:tcPr>
            <w:tcW w:w="1892" w:type="dxa"/>
            <w:tcBorders>
              <w:top w:val="nil"/>
              <w:left w:val="nil"/>
              <w:bottom w:val="nil"/>
              <w:right w:val="nil"/>
            </w:tcBorders>
            <w:hideMark/>
          </w:tcPr>
          <w:p w14:paraId="66B69921" w14:textId="77777777" w:rsidR="006B380D" w:rsidRPr="00216965" w:rsidRDefault="006B380D" w:rsidP="003A7BA9">
            <w:pPr>
              <w:spacing w:after="0" w:line="240" w:lineRule="auto"/>
            </w:pPr>
            <w:r w:rsidRPr="00216965">
              <w:rPr>
                <w:sz w:val="22"/>
              </w:rPr>
              <w:t>Zn(OH)</w:t>
            </w:r>
            <w:r w:rsidRPr="00216965">
              <w:rPr>
                <w:sz w:val="22"/>
                <w:vertAlign w:val="subscript"/>
              </w:rPr>
              <w:t>2(aq)</w:t>
            </w:r>
          </w:p>
        </w:tc>
        <w:tc>
          <w:tcPr>
            <w:tcW w:w="2861" w:type="dxa"/>
            <w:tcBorders>
              <w:top w:val="nil"/>
              <w:left w:val="nil"/>
              <w:bottom w:val="nil"/>
              <w:right w:val="nil"/>
            </w:tcBorders>
          </w:tcPr>
          <w:p w14:paraId="061D7270" w14:textId="77777777" w:rsidR="006B380D" w:rsidRPr="00216965" w:rsidRDefault="006B380D" w:rsidP="003A7BA9">
            <w:pPr>
              <w:spacing w:after="0" w:line="240" w:lineRule="auto"/>
            </w:pPr>
          </w:p>
        </w:tc>
      </w:tr>
      <w:tr w:rsidR="006B380D" w:rsidRPr="00216965" w14:paraId="4BD48B23" w14:textId="77777777" w:rsidTr="008A33DA">
        <w:trPr>
          <w:trHeight w:val="233"/>
        </w:trPr>
        <w:tc>
          <w:tcPr>
            <w:tcW w:w="1353" w:type="dxa"/>
            <w:vMerge/>
            <w:tcBorders>
              <w:top w:val="nil"/>
              <w:left w:val="nil"/>
              <w:bottom w:val="nil"/>
              <w:right w:val="nil"/>
            </w:tcBorders>
            <w:vAlign w:val="center"/>
            <w:hideMark/>
          </w:tcPr>
          <w:p w14:paraId="70314BA1"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2E2F5F64" w14:textId="77777777" w:rsidR="006B380D" w:rsidRPr="00216965" w:rsidRDefault="006B380D" w:rsidP="003A7BA9">
            <w:pPr>
              <w:spacing w:after="0" w:line="240" w:lineRule="auto"/>
            </w:pPr>
            <w:r w:rsidRPr="00216965">
              <w:rPr>
                <w:sz w:val="22"/>
              </w:rPr>
              <w:t>7.2</w:t>
            </w:r>
          </w:p>
        </w:tc>
        <w:tc>
          <w:tcPr>
            <w:tcW w:w="1892" w:type="dxa"/>
            <w:tcBorders>
              <w:top w:val="nil"/>
              <w:left w:val="nil"/>
              <w:bottom w:val="nil"/>
              <w:right w:val="nil"/>
            </w:tcBorders>
            <w:hideMark/>
          </w:tcPr>
          <w:p w14:paraId="6A6B5B90" w14:textId="77777777" w:rsidR="006B380D" w:rsidRPr="00216965" w:rsidRDefault="006B380D" w:rsidP="003A7BA9">
            <w:pPr>
              <w:spacing w:after="0" w:line="240" w:lineRule="auto"/>
            </w:pPr>
            <w:r w:rsidRPr="00216965">
              <w:rPr>
                <w:sz w:val="22"/>
              </w:rPr>
              <w:t>ZnHPO</w:t>
            </w:r>
            <w:r w:rsidRPr="00216965">
              <w:rPr>
                <w:sz w:val="22"/>
                <w:vertAlign w:val="subscript"/>
              </w:rPr>
              <w:t>4</w:t>
            </w:r>
          </w:p>
        </w:tc>
        <w:tc>
          <w:tcPr>
            <w:tcW w:w="2861" w:type="dxa"/>
            <w:tcBorders>
              <w:top w:val="nil"/>
              <w:left w:val="nil"/>
              <w:bottom w:val="nil"/>
              <w:right w:val="nil"/>
            </w:tcBorders>
          </w:tcPr>
          <w:p w14:paraId="33A49428" w14:textId="77777777" w:rsidR="006B380D" w:rsidRPr="00216965" w:rsidRDefault="006B380D" w:rsidP="003A7BA9">
            <w:pPr>
              <w:spacing w:after="0" w:line="240" w:lineRule="auto"/>
            </w:pPr>
          </w:p>
        </w:tc>
      </w:tr>
      <w:tr w:rsidR="006B380D" w:rsidRPr="00216965" w14:paraId="0FB8607A" w14:textId="77777777" w:rsidTr="008A33DA">
        <w:trPr>
          <w:trHeight w:val="233"/>
        </w:trPr>
        <w:tc>
          <w:tcPr>
            <w:tcW w:w="1353" w:type="dxa"/>
            <w:vMerge/>
            <w:tcBorders>
              <w:top w:val="nil"/>
              <w:left w:val="nil"/>
              <w:bottom w:val="nil"/>
              <w:right w:val="nil"/>
            </w:tcBorders>
            <w:vAlign w:val="center"/>
            <w:hideMark/>
          </w:tcPr>
          <w:p w14:paraId="33EA97EE" w14:textId="77777777" w:rsidR="006B380D" w:rsidRPr="00216965" w:rsidRDefault="006B380D" w:rsidP="003A7BA9">
            <w:pPr>
              <w:spacing w:after="0" w:line="240" w:lineRule="auto"/>
            </w:pPr>
          </w:p>
        </w:tc>
        <w:tc>
          <w:tcPr>
            <w:tcW w:w="1574" w:type="dxa"/>
            <w:tcBorders>
              <w:top w:val="nil"/>
              <w:left w:val="nil"/>
              <w:bottom w:val="single" w:sz="4" w:space="0" w:color="000000"/>
              <w:right w:val="nil"/>
            </w:tcBorders>
            <w:hideMark/>
          </w:tcPr>
          <w:p w14:paraId="49D3539C" w14:textId="77777777" w:rsidR="006B380D" w:rsidRPr="00216965" w:rsidRDefault="006B380D" w:rsidP="003A7BA9">
            <w:pPr>
              <w:spacing w:after="0" w:line="240" w:lineRule="auto"/>
            </w:pPr>
            <w:r w:rsidRPr="00216965">
              <w:rPr>
                <w:sz w:val="22"/>
              </w:rPr>
              <w:t>1</w:t>
            </w:r>
          </w:p>
        </w:tc>
        <w:tc>
          <w:tcPr>
            <w:tcW w:w="1892" w:type="dxa"/>
            <w:tcBorders>
              <w:top w:val="nil"/>
              <w:left w:val="nil"/>
              <w:bottom w:val="single" w:sz="4" w:space="0" w:color="000000"/>
              <w:right w:val="nil"/>
            </w:tcBorders>
            <w:hideMark/>
          </w:tcPr>
          <w:p w14:paraId="4B3B72D2" w14:textId="77777777" w:rsidR="006B380D" w:rsidRPr="00216965" w:rsidRDefault="006B380D" w:rsidP="003A7BA9">
            <w:pPr>
              <w:spacing w:after="0" w:line="240" w:lineRule="auto"/>
            </w:pPr>
            <w:r w:rsidRPr="00216965">
              <w:rPr>
                <w:sz w:val="22"/>
              </w:rPr>
              <w:t>ZnS</w:t>
            </w:r>
            <w:r w:rsidRPr="00216965">
              <w:rPr>
                <w:sz w:val="22"/>
                <w:vertAlign w:val="subscript"/>
              </w:rPr>
              <w:t>2</w:t>
            </w:r>
            <w:r w:rsidRPr="00216965">
              <w:rPr>
                <w:sz w:val="22"/>
              </w:rPr>
              <w:t>O</w:t>
            </w:r>
            <w:r w:rsidRPr="00216965">
              <w:rPr>
                <w:sz w:val="22"/>
                <w:vertAlign w:val="subscript"/>
              </w:rPr>
              <w:t>3</w:t>
            </w:r>
          </w:p>
        </w:tc>
        <w:tc>
          <w:tcPr>
            <w:tcW w:w="2861" w:type="dxa"/>
            <w:tcBorders>
              <w:top w:val="nil"/>
              <w:left w:val="nil"/>
              <w:bottom w:val="single" w:sz="4" w:space="0" w:color="000000"/>
              <w:right w:val="nil"/>
            </w:tcBorders>
          </w:tcPr>
          <w:p w14:paraId="42B0B263" w14:textId="77777777" w:rsidR="006B380D" w:rsidRPr="00216965" w:rsidRDefault="006B380D" w:rsidP="003A7BA9">
            <w:pPr>
              <w:spacing w:after="0" w:line="240" w:lineRule="auto"/>
            </w:pPr>
          </w:p>
        </w:tc>
      </w:tr>
      <w:tr w:rsidR="006B380D" w:rsidRPr="00216965" w14:paraId="508BA363" w14:textId="77777777" w:rsidTr="008A33DA">
        <w:trPr>
          <w:trHeight w:val="244"/>
        </w:trPr>
        <w:tc>
          <w:tcPr>
            <w:tcW w:w="1353" w:type="dxa"/>
            <w:vMerge w:val="restart"/>
            <w:tcBorders>
              <w:top w:val="nil"/>
              <w:left w:val="nil"/>
              <w:bottom w:val="nil"/>
              <w:right w:val="nil"/>
            </w:tcBorders>
            <w:hideMark/>
          </w:tcPr>
          <w:p w14:paraId="2F59DA00" w14:textId="77777777" w:rsidR="006B380D" w:rsidRPr="00216965" w:rsidRDefault="006B380D" w:rsidP="003A7BA9">
            <w:pPr>
              <w:spacing w:after="0" w:line="240" w:lineRule="auto"/>
            </w:pPr>
            <w:r w:rsidRPr="00216965">
              <w:rPr>
                <w:sz w:val="22"/>
              </w:rPr>
              <w:t>Pb</w:t>
            </w:r>
          </w:p>
        </w:tc>
        <w:tc>
          <w:tcPr>
            <w:tcW w:w="1574" w:type="dxa"/>
            <w:tcBorders>
              <w:top w:val="single" w:sz="4" w:space="0" w:color="000000"/>
              <w:left w:val="nil"/>
              <w:bottom w:val="nil"/>
              <w:right w:val="nil"/>
            </w:tcBorders>
            <w:hideMark/>
          </w:tcPr>
          <w:p w14:paraId="250CF5E3" w14:textId="77777777" w:rsidR="006B380D" w:rsidRPr="00216965" w:rsidRDefault="006B380D" w:rsidP="003A7BA9">
            <w:pPr>
              <w:spacing w:after="0" w:line="240" w:lineRule="auto"/>
            </w:pPr>
            <w:r w:rsidRPr="00216965">
              <w:rPr>
                <w:sz w:val="22"/>
              </w:rPr>
              <w:t>69.87</w:t>
            </w:r>
          </w:p>
        </w:tc>
        <w:tc>
          <w:tcPr>
            <w:tcW w:w="1892" w:type="dxa"/>
            <w:tcBorders>
              <w:top w:val="single" w:sz="4" w:space="0" w:color="000000"/>
              <w:left w:val="nil"/>
              <w:bottom w:val="nil"/>
              <w:right w:val="nil"/>
            </w:tcBorders>
            <w:hideMark/>
          </w:tcPr>
          <w:p w14:paraId="7D41CEAB" w14:textId="77777777" w:rsidR="006B380D" w:rsidRPr="00216965" w:rsidRDefault="006B380D" w:rsidP="003A7BA9">
            <w:pPr>
              <w:spacing w:after="0" w:line="240" w:lineRule="auto"/>
            </w:pPr>
            <w:r w:rsidRPr="00216965">
              <w:rPr>
                <w:sz w:val="22"/>
              </w:rPr>
              <w:t>PbOH</w:t>
            </w:r>
            <w:r w:rsidRPr="00216965">
              <w:rPr>
                <w:sz w:val="22"/>
                <w:vertAlign w:val="superscript"/>
              </w:rPr>
              <w:t>+</w:t>
            </w:r>
          </w:p>
        </w:tc>
        <w:tc>
          <w:tcPr>
            <w:tcW w:w="2861" w:type="dxa"/>
            <w:tcBorders>
              <w:top w:val="single" w:sz="4" w:space="0" w:color="000000"/>
              <w:left w:val="nil"/>
              <w:bottom w:val="nil"/>
              <w:right w:val="nil"/>
            </w:tcBorders>
            <w:hideMark/>
          </w:tcPr>
          <w:p w14:paraId="60A261B7" w14:textId="77777777" w:rsidR="006B380D" w:rsidRPr="00216965" w:rsidRDefault="006B380D" w:rsidP="003A7BA9">
            <w:pPr>
              <w:spacing w:after="0" w:line="240" w:lineRule="auto"/>
            </w:pPr>
            <w:r w:rsidRPr="00216965">
              <w:rPr>
                <w:sz w:val="22"/>
              </w:rPr>
              <w:t>[Pb</w:t>
            </w:r>
            <w:r w:rsidRPr="00216965">
              <w:rPr>
                <w:sz w:val="22"/>
                <w:vertAlign w:val="subscript"/>
              </w:rPr>
              <w:t>5</w:t>
            </w:r>
            <w:r w:rsidRPr="00216965">
              <w:rPr>
                <w:sz w:val="22"/>
              </w:rPr>
              <w:t>(PO</w:t>
            </w:r>
            <w:r w:rsidRPr="00216965">
              <w:rPr>
                <w:sz w:val="22"/>
                <w:vertAlign w:val="subscript"/>
              </w:rPr>
              <w:t>4</w:t>
            </w:r>
            <w:r w:rsidRPr="00216965">
              <w:rPr>
                <w:sz w:val="22"/>
              </w:rPr>
              <w:t>)</w:t>
            </w:r>
            <w:r w:rsidRPr="00216965">
              <w:rPr>
                <w:sz w:val="22"/>
                <w:vertAlign w:val="subscript"/>
              </w:rPr>
              <w:t>3</w:t>
            </w:r>
            <w:r w:rsidRPr="00216965">
              <w:rPr>
                <w:sz w:val="22"/>
              </w:rPr>
              <w:t>Cl]</w:t>
            </w:r>
          </w:p>
        </w:tc>
      </w:tr>
      <w:tr w:rsidR="006B380D" w:rsidRPr="00216965" w14:paraId="01A89BF4" w14:textId="77777777" w:rsidTr="008A33DA">
        <w:trPr>
          <w:trHeight w:val="297"/>
        </w:trPr>
        <w:tc>
          <w:tcPr>
            <w:tcW w:w="1353" w:type="dxa"/>
            <w:vMerge/>
            <w:tcBorders>
              <w:top w:val="nil"/>
              <w:left w:val="nil"/>
              <w:bottom w:val="nil"/>
              <w:right w:val="nil"/>
            </w:tcBorders>
            <w:vAlign w:val="center"/>
            <w:hideMark/>
          </w:tcPr>
          <w:p w14:paraId="1807FB1D"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05393B77" w14:textId="77777777" w:rsidR="006B380D" w:rsidRPr="00216965" w:rsidRDefault="006B380D" w:rsidP="003A7BA9">
            <w:pPr>
              <w:spacing w:after="0" w:line="240" w:lineRule="auto"/>
            </w:pPr>
            <w:r w:rsidRPr="00216965">
              <w:rPr>
                <w:sz w:val="22"/>
              </w:rPr>
              <w:t>25.52</w:t>
            </w:r>
          </w:p>
        </w:tc>
        <w:tc>
          <w:tcPr>
            <w:tcW w:w="1892" w:type="dxa"/>
            <w:tcBorders>
              <w:top w:val="nil"/>
              <w:left w:val="nil"/>
              <w:bottom w:val="nil"/>
              <w:right w:val="nil"/>
            </w:tcBorders>
            <w:hideMark/>
          </w:tcPr>
          <w:p w14:paraId="7FAAF2FB" w14:textId="77777777" w:rsidR="006B380D" w:rsidRPr="00216965" w:rsidRDefault="006B380D" w:rsidP="003A7BA9">
            <w:pPr>
              <w:spacing w:after="0" w:line="240" w:lineRule="auto"/>
            </w:pPr>
            <w:r w:rsidRPr="00216965">
              <w:rPr>
                <w:sz w:val="22"/>
              </w:rPr>
              <w:t>Pb</w:t>
            </w:r>
            <w:r w:rsidRPr="00216965">
              <w:rPr>
                <w:sz w:val="22"/>
                <w:vertAlign w:val="superscript"/>
              </w:rPr>
              <w:t>2+</w:t>
            </w:r>
          </w:p>
        </w:tc>
        <w:tc>
          <w:tcPr>
            <w:tcW w:w="2861" w:type="dxa"/>
            <w:tcBorders>
              <w:top w:val="nil"/>
              <w:left w:val="nil"/>
              <w:bottom w:val="nil"/>
              <w:right w:val="nil"/>
            </w:tcBorders>
            <w:hideMark/>
          </w:tcPr>
          <w:p w14:paraId="5C389492" w14:textId="77777777" w:rsidR="006B380D" w:rsidRPr="00216965" w:rsidRDefault="006B380D" w:rsidP="003A7BA9">
            <w:pPr>
              <w:spacing w:after="0" w:line="240" w:lineRule="auto"/>
            </w:pPr>
            <w:r w:rsidRPr="00216965">
              <w:rPr>
                <w:sz w:val="22"/>
              </w:rPr>
              <w:t>Pb</w:t>
            </w:r>
            <w:r w:rsidRPr="00216965">
              <w:rPr>
                <w:sz w:val="22"/>
                <w:vertAlign w:val="subscript"/>
              </w:rPr>
              <w:t>5</w:t>
            </w:r>
            <w:r w:rsidRPr="00216965">
              <w:rPr>
                <w:sz w:val="22"/>
              </w:rPr>
              <w:t>(PO</w:t>
            </w:r>
            <w:r w:rsidRPr="00216965">
              <w:rPr>
                <w:sz w:val="22"/>
                <w:vertAlign w:val="subscript"/>
              </w:rPr>
              <w:t>4</w:t>
            </w:r>
            <w:r w:rsidRPr="00216965">
              <w:rPr>
                <w:sz w:val="22"/>
              </w:rPr>
              <w:t>)</w:t>
            </w:r>
            <w:r w:rsidRPr="00216965">
              <w:rPr>
                <w:sz w:val="22"/>
                <w:vertAlign w:val="subscript"/>
              </w:rPr>
              <w:t>3</w:t>
            </w:r>
            <w:r w:rsidRPr="00216965">
              <w:rPr>
                <w:sz w:val="22"/>
              </w:rPr>
              <w:t>(OH)</w:t>
            </w:r>
          </w:p>
        </w:tc>
      </w:tr>
      <w:tr w:rsidR="006B380D" w:rsidRPr="00216965" w14:paraId="24875847" w14:textId="77777777" w:rsidTr="008A33DA">
        <w:trPr>
          <w:trHeight w:val="233"/>
        </w:trPr>
        <w:tc>
          <w:tcPr>
            <w:tcW w:w="1353" w:type="dxa"/>
            <w:vMerge/>
            <w:tcBorders>
              <w:top w:val="nil"/>
              <w:left w:val="nil"/>
              <w:bottom w:val="nil"/>
              <w:right w:val="nil"/>
            </w:tcBorders>
            <w:vAlign w:val="center"/>
            <w:hideMark/>
          </w:tcPr>
          <w:p w14:paraId="3C739D3B"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3A63C61D" w14:textId="77777777" w:rsidR="006B380D" w:rsidRPr="00216965" w:rsidRDefault="006B380D" w:rsidP="003A7BA9">
            <w:pPr>
              <w:spacing w:after="0" w:line="240" w:lineRule="auto"/>
            </w:pPr>
            <w:r w:rsidRPr="00216965">
              <w:rPr>
                <w:sz w:val="22"/>
              </w:rPr>
              <w:t>2.66</w:t>
            </w:r>
          </w:p>
        </w:tc>
        <w:tc>
          <w:tcPr>
            <w:tcW w:w="1892" w:type="dxa"/>
            <w:tcBorders>
              <w:top w:val="nil"/>
              <w:left w:val="nil"/>
              <w:bottom w:val="nil"/>
              <w:right w:val="nil"/>
            </w:tcBorders>
            <w:hideMark/>
          </w:tcPr>
          <w:p w14:paraId="20B41822" w14:textId="77777777" w:rsidR="006B380D" w:rsidRPr="00216965" w:rsidRDefault="006B380D" w:rsidP="003A7BA9">
            <w:pPr>
              <w:spacing w:after="0" w:line="240" w:lineRule="auto"/>
            </w:pPr>
            <w:r w:rsidRPr="00216965">
              <w:rPr>
                <w:sz w:val="22"/>
              </w:rPr>
              <w:t>Pb(OH)</w:t>
            </w:r>
            <w:r w:rsidRPr="00216965">
              <w:rPr>
                <w:sz w:val="22"/>
                <w:vertAlign w:val="subscript"/>
              </w:rPr>
              <w:t>2 (aq)</w:t>
            </w:r>
          </w:p>
        </w:tc>
        <w:tc>
          <w:tcPr>
            <w:tcW w:w="2861" w:type="dxa"/>
            <w:tcBorders>
              <w:top w:val="nil"/>
              <w:left w:val="nil"/>
              <w:bottom w:val="nil"/>
              <w:right w:val="nil"/>
            </w:tcBorders>
            <w:hideMark/>
          </w:tcPr>
          <w:p w14:paraId="380EA2C6" w14:textId="77777777" w:rsidR="006B380D" w:rsidRPr="00216965" w:rsidRDefault="006B380D" w:rsidP="003A7BA9">
            <w:pPr>
              <w:spacing w:after="0" w:line="240" w:lineRule="auto"/>
            </w:pPr>
            <w:r w:rsidRPr="00216965">
              <w:rPr>
                <w:sz w:val="22"/>
              </w:rPr>
              <w:t>Pb(OH)</w:t>
            </w:r>
            <w:r w:rsidRPr="00216965">
              <w:rPr>
                <w:sz w:val="22"/>
                <w:vertAlign w:val="subscript"/>
              </w:rPr>
              <w:t>2 (s)</w:t>
            </w:r>
          </w:p>
        </w:tc>
      </w:tr>
      <w:tr w:rsidR="006B380D" w:rsidRPr="00216965" w14:paraId="5C3E91A1" w14:textId="77777777" w:rsidTr="008A33DA">
        <w:trPr>
          <w:trHeight w:val="233"/>
        </w:trPr>
        <w:tc>
          <w:tcPr>
            <w:tcW w:w="1353" w:type="dxa"/>
            <w:vMerge/>
            <w:tcBorders>
              <w:top w:val="nil"/>
              <w:left w:val="nil"/>
              <w:bottom w:val="nil"/>
              <w:right w:val="nil"/>
            </w:tcBorders>
            <w:vAlign w:val="center"/>
            <w:hideMark/>
          </w:tcPr>
          <w:p w14:paraId="7752672B" w14:textId="77777777" w:rsidR="006B380D" w:rsidRPr="00216965" w:rsidRDefault="006B380D" w:rsidP="003A7BA9">
            <w:pPr>
              <w:spacing w:after="0" w:line="240" w:lineRule="auto"/>
            </w:pPr>
          </w:p>
        </w:tc>
        <w:tc>
          <w:tcPr>
            <w:tcW w:w="1574" w:type="dxa"/>
            <w:tcBorders>
              <w:top w:val="nil"/>
              <w:left w:val="nil"/>
              <w:bottom w:val="single" w:sz="4" w:space="0" w:color="000000"/>
              <w:right w:val="nil"/>
            </w:tcBorders>
            <w:hideMark/>
          </w:tcPr>
          <w:p w14:paraId="2F4CD27C" w14:textId="77777777" w:rsidR="006B380D" w:rsidRPr="00216965" w:rsidRDefault="006B380D" w:rsidP="003A7BA9">
            <w:pPr>
              <w:spacing w:after="0" w:line="240" w:lineRule="auto"/>
            </w:pPr>
            <w:r w:rsidRPr="00216965">
              <w:rPr>
                <w:sz w:val="22"/>
              </w:rPr>
              <w:t>1.57</w:t>
            </w:r>
          </w:p>
        </w:tc>
        <w:tc>
          <w:tcPr>
            <w:tcW w:w="1892" w:type="dxa"/>
            <w:tcBorders>
              <w:top w:val="nil"/>
              <w:left w:val="nil"/>
              <w:bottom w:val="single" w:sz="4" w:space="0" w:color="000000"/>
              <w:right w:val="nil"/>
            </w:tcBorders>
            <w:hideMark/>
          </w:tcPr>
          <w:p w14:paraId="3133AE3F" w14:textId="77777777" w:rsidR="006B380D" w:rsidRPr="00216965" w:rsidRDefault="006B380D" w:rsidP="003A7BA9">
            <w:pPr>
              <w:spacing w:after="0" w:line="240" w:lineRule="auto"/>
            </w:pPr>
            <w:r w:rsidRPr="00216965">
              <w:rPr>
                <w:sz w:val="22"/>
              </w:rPr>
              <w:t>PbHPO</w:t>
            </w:r>
            <w:r w:rsidRPr="00216965">
              <w:rPr>
                <w:sz w:val="22"/>
                <w:vertAlign w:val="subscript"/>
              </w:rPr>
              <w:t>4(aq)</w:t>
            </w:r>
          </w:p>
        </w:tc>
        <w:tc>
          <w:tcPr>
            <w:tcW w:w="2861" w:type="dxa"/>
            <w:tcBorders>
              <w:top w:val="nil"/>
              <w:left w:val="nil"/>
              <w:bottom w:val="single" w:sz="4" w:space="0" w:color="000000"/>
              <w:right w:val="nil"/>
            </w:tcBorders>
            <w:hideMark/>
          </w:tcPr>
          <w:p w14:paraId="26B08081" w14:textId="77777777" w:rsidR="006B380D" w:rsidRPr="00216965" w:rsidRDefault="006B380D" w:rsidP="003A7BA9">
            <w:pPr>
              <w:spacing w:after="0" w:line="240" w:lineRule="auto"/>
            </w:pPr>
            <w:r w:rsidRPr="00216965">
              <w:rPr>
                <w:sz w:val="22"/>
              </w:rPr>
              <w:t>PbHPO</w:t>
            </w:r>
            <w:r w:rsidRPr="00216965">
              <w:rPr>
                <w:sz w:val="22"/>
                <w:vertAlign w:val="subscript"/>
              </w:rPr>
              <w:t>4(s)</w:t>
            </w:r>
          </w:p>
        </w:tc>
      </w:tr>
      <w:tr w:rsidR="006B380D" w:rsidRPr="00216965" w14:paraId="030A79F3" w14:textId="77777777" w:rsidTr="008A33DA">
        <w:trPr>
          <w:trHeight w:val="233"/>
        </w:trPr>
        <w:tc>
          <w:tcPr>
            <w:tcW w:w="1353" w:type="dxa"/>
            <w:tcBorders>
              <w:top w:val="nil"/>
              <w:left w:val="nil"/>
              <w:bottom w:val="nil"/>
              <w:right w:val="nil"/>
            </w:tcBorders>
            <w:hideMark/>
          </w:tcPr>
          <w:p w14:paraId="6765B33D" w14:textId="77777777" w:rsidR="006B380D" w:rsidRPr="00216965" w:rsidRDefault="006B380D" w:rsidP="003A7BA9">
            <w:pPr>
              <w:spacing w:after="0" w:line="240" w:lineRule="auto"/>
            </w:pPr>
            <w:r w:rsidRPr="00216965">
              <w:rPr>
                <w:sz w:val="22"/>
              </w:rPr>
              <w:t>Ca</w:t>
            </w:r>
          </w:p>
        </w:tc>
        <w:tc>
          <w:tcPr>
            <w:tcW w:w="1574" w:type="dxa"/>
            <w:tcBorders>
              <w:top w:val="single" w:sz="4" w:space="0" w:color="000000"/>
              <w:left w:val="nil"/>
              <w:bottom w:val="nil"/>
              <w:right w:val="nil"/>
            </w:tcBorders>
            <w:hideMark/>
          </w:tcPr>
          <w:p w14:paraId="439A1EA0" w14:textId="77777777" w:rsidR="006B380D" w:rsidRPr="00216965" w:rsidRDefault="006B380D" w:rsidP="003A7BA9">
            <w:pPr>
              <w:spacing w:after="0" w:line="240" w:lineRule="auto"/>
            </w:pPr>
            <w:r w:rsidRPr="00216965">
              <w:rPr>
                <w:sz w:val="22"/>
              </w:rPr>
              <w:t>95</w:t>
            </w:r>
          </w:p>
        </w:tc>
        <w:tc>
          <w:tcPr>
            <w:tcW w:w="1892" w:type="dxa"/>
            <w:tcBorders>
              <w:top w:val="single" w:sz="4" w:space="0" w:color="000000"/>
              <w:left w:val="nil"/>
              <w:bottom w:val="nil"/>
              <w:right w:val="nil"/>
            </w:tcBorders>
            <w:hideMark/>
          </w:tcPr>
          <w:p w14:paraId="0A95B672" w14:textId="77777777" w:rsidR="006B380D" w:rsidRPr="00216965" w:rsidRDefault="006B380D" w:rsidP="003A7BA9">
            <w:pPr>
              <w:spacing w:after="0" w:line="240" w:lineRule="auto"/>
            </w:pPr>
            <w:r w:rsidRPr="00216965">
              <w:rPr>
                <w:sz w:val="22"/>
              </w:rPr>
              <w:t>Ca</w:t>
            </w:r>
            <w:r w:rsidRPr="00216965">
              <w:rPr>
                <w:sz w:val="22"/>
                <w:vertAlign w:val="superscript"/>
              </w:rPr>
              <w:t>2+</w:t>
            </w:r>
          </w:p>
        </w:tc>
        <w:tc>
          <w:tcPr>
            <w:tcW w:w="2861" w:type="dxa"/>
            <w:tcBorders>
              <w:top w:val="single" w:sz="4" w:space="0" w:color="000000"/>
              <w:left w:val="nil"/>
              <w:bottom w:val="nil"/>
              <w:right w:val="nil"/>
            </w:tcBorders>
            <w:hideMark/>
          </w:tcPr>
          <w:p w14:paraId="2C84F07B" w14:textId="77777777" w:rsidR="006B380D" w:rsidRPr="00216965" w:rsidRDefault="006B380D" w:rsidP="003A7BA9">
            <w:pPr>
              <w:spacing w:after="0" w:line="240" w:lineRule="auto"/>
            </w:pPr>
            <w:r w:rsidRPr="00216965">
              <w:rPr>
                <w:sz w:val="22"/>
              </w:rPr>
              <w:t>Ca</w:t>
            </w:r>
            <w:r w:rsidRPr="00216965">
              <w:rPr>
                <w:sz w:val="22"/>
                <w:vertAlign w:val="subscript"/>
              </w:rPr>
              <w:t>3</w:t>
            </w:r>
            <w:r w:rsidRPr="00216965">
              <w:rPr>
                <w:sz w:val="22"/>
              </w:rPr>
              <w:t>(PO</w:t>
            </w:r>
            <w:r w:rsidRPr="00216965">
              <w:rPr>
                <w:sz w:val="22"/>
                <w:vertAlign w:val="subscript"/>
              </w:rPr>
              <w:t>4</w:t>
            </w:r>
            <w:r w:rsidRPr="00216965">
              <w:rPr>
                <w:sz w:val="22"/>
              </w:rPr>
              <w:t>)</w:t>
            </w:r>
            <w:r w:rsidRPr="00216965">
              <w:rPr>
                <w:sz w:val="22"/>
                <w:vertAlign w:val="subscript"/>
              </w:rPr>
              <w:t>2</w:t>
            </w:r>
          </w:p>
        </w:tc>
      </w:tr>
      <w:tr w:rsidR="006B380D" w:rsidRPr="00216965" w14:paraId="6DABE4CA" w14:textId="77777777" w:rsidTr="008A33DA">
        <w:trPr>
          <w:trHeight w:val="233"/>
        </w:trPr>
        <w:tc>
          <w:tcPr>
            <w:tcW w:w="1353" w:type="dxa"/>
            <w:tcBorders>
              <w:top w:val="nil"/>
              <w:left w:val="nil"/>
              <w:bottom w:val="nil"/>
              <w:right w:val="nil"/>
            </w:tcBorders>
          </w:tcPr>
          <w:p w14:paraId="43F51BE5" w14:textId="77777777" w:rsidR="006B380D" w:rsidRPr="00216965" w:rsidRDefault="006B380D" w:rsidP="003A7BA9">
            <w:pPr>
              <w:spacing w:after="0" w:line="240" w:lineRule="auto"/>
            </w:pPr>
          </w:p>
        </w:tc>
        <w:tc>
          <w:tcPr>
            <w:tcW w:w="1574" w:type="dxa"/>
            <w:tcBorders>
              <w:top w:val="nil"/>
              <w:left w:val="nil"/>
              <w:bottom w:val="nil"/>
              <w:right w:val="nil"/>
            </w:tcBorders>
            <w:hideMark/>
          </w:tcPr>
          <w:p w14:paraId="2D3BF803" w14:textId="77777777" w:rsidR="006B380D" w:rsidRPr="00216965" w:rsidRDefault="006B380D" w:rsidP="003A7BA9">
            <w:pPr>
              <w:spacing w:after="0" w:line="240" w:lineRule="auto"/>
            </w:pPr>
            <w:r w:rsidRPr="00216965">
              <w:rPr>
                <w:sz w:val="22"/>
              </w:rPr>
              <w:t xml:space="preserve">2.16 </w:t>
            </w:r>
          </w:p>
        </w:tc>
        <w:tc>
          <w:tcPr>
            <w:tcW w:w="1892" w:type="dxa"/>
            <w:tcBorders>
              <w:top w:val="nil"/>
              <w:left w:val="nil"/>
              <w:bottom w:val="nil"/>
              <w:right w:val="nil"/>
            </w:tcBorders>
            <w:hideMark/>
          </w:tcPr>
          <w:p w14:paraId="70A65112" w14:textId="77777777" w:rsidR="006B380D" w:rsidRPr="00216965" w:rsidRDefault="006B380D" w:rsidP="003A7BA9">
            <w:pPr>
              <w:spacing w:after="0" w:line="240" w:lineRule="auto"/>
            </w:pPr>
            <w:r w:rsidRPr="00216965">
              <w:rPr>
                <w:sz w:val="22"/>
              </w:rPr>
              <w:t>CaHPO</w:t>
            </w:r>
            <w:r w:rsidRPr="00216965">
              <w:rPr>
                <w:sz w:val="22"/>
                <w:vertAlign w:val="subscript"/>
              </w:rPr>
              <w:t>4</w:t>
            </w:r>
          </w:p>
        </w:tc>
        <w:tc>
          <w:tcPr>
            <w:tcW w:w="2861" w:type="dxa"/>
            <w:tcBorders>
              <w:top w:val="nil"/>
              <w:left w:val="nil"/>
              <w:bottom w:val="nil"/>
              <w:right w:val="nil"/>
            </w:tcBorders>
            <w:hideMark/>
          </w:tcPr>
          <w:p w14:paraId="37811268" w14:textId="77777777" w:rsidR="006B380D" w:rsidRPr="00216965" w:rsidRDefault="006B380D" w:rsidP="003A7BA9">
            <w:pPr>
              <w:spacing w:after="0" w:line="240" w:lineRule="auto"/>
            </w:pPr>
            <w:r w:rsidRPr="00216965">
              <w:rPr>
                <w:sz w:val="22"/>
              </w:rPr>
              <w:t>Ca</w:t>
            </w:r>
            <w:r w:rsidRPr="00216965">
              <w:rPr>
                <w:sz w:val="22"/>
                <w:vertAlign w:val="subscript"/>
              </w:rPr>
              <w:t>4</w:t>
            </w:r>
            <w:r w:rsidRPr="00216965">
              <w:rPr>
                <w:sz w:val="22"/>
              </w:rPr>
              <w:t>H(PO</w:t>
            </w:r>
            <w:r w:rsidRPr="00216965">
              <w:rPr>
                <w:sz w:val="22"/>
                <w:vertAlign w:val="subscript"/>
              </w:rPr>
              <w:t>4</w:t>
            </w:r>
            <w:r w:rsidRPr="00216965">
              <w:rPr>
                <w:sz w:val="22"/>
              </w:rPr>
              <w:t>)</w:t>
            </w:r>
            <w:r w:rsidRPr="00216965">
              <w:rPr>
                <w:sz w:val="22"/>
                <w:vertAlign w:val="subscript"/>
              </w:rPr>
              <w:t>3</w:t>
            </w:r>
            <w:r w:rsidRPr="00216965">
              <w:rPr>
                <w:sz w:val="22"/>
              </w:rPr>
              <w:t>.3H</w:t>
            </w:r>
            <w:r w:rsidRPr="00216965">
              <w:rPr>
                <w:sz w:val="22"/>
                <w:vertAlign w:val="subscript"/>
              </w:rPr>
              <w:t>2</w:t>
            </w:r>
            <w:r w:rsidRPr="00216965">
              <w:rPr>
                <w:sz w:val="22"/>
              </w:rPr>
              <w:t xml:space="preserve">O </w:t>
            </w:r>
            <w:r w:rsidRPr="00216965">
              <w:rPr>
                <w:sz w:val="22"/>
                <w:vertAlign w:val="subscript"/>
              </w:rPr>
              <w:t>(s)</w:t>
            </w:r>
          </w:p>
        </w:tc>
      </w:tr>
      <w:tr w:rsidR="006B380D" w:rsidRPr="00216965" w14:paraId="092E9EA6" w14:textId="77777777" w:rsidTr="008A33DA">
        <w:trPr>
          <w:trHeight w:val="233"/>
        </w:trPr>
        <w:tc>
          <w:tcPr>
            <w:tcW w:w="1353" w:type="dxa"/>
            <w:tcBorders>
              <w:top w:val="nil"/>
              <w:left w:val="nil"/>
              <w:bottom w:val="single" w:sz="4" w:space="0" w:color="000000"/>
              <w:right w:val="nil"/>
            </w:tcBorders>
          </w:tcPr>
          <w:p w14:paraId="7674FE62" w14:textId="77777777" w:rsidR="006B380D" w:rsidRPr="00216965" w:rsidRDefault="006B380D" w:rsidP="003A7BA9">
            <w:pPr>
              <w:spacing w:after="0" w:line="240" w:lineRule="auto"/>
            </w:pPr>
          </w:p>
        </w:tc>
        <w:tc>
          <w:tcPr>
            <w:tcW w:w="1574" w:type="dxa"/>
            <w:tcBorders>
              <w:top w:val="nil"/>
              <w:left w:val="nil"/>
              <w:bottom w:val="single" w:sz="4" w:space="0" w:color="000000"/>
              <w:right w:val="nil"/>
            </w:tcBorders>
            <w:hideMark/>
          </w:tcPr>
          <w:p w14:paraId="014FF01D" w14:textId="77777777" w:rsidR="006B380D" w:rsidRPr="00216965" w:rsidRDefault="006B380D" w:rsidP="003A7BA9">
            <w:pPr>
              <w:spacing w:after="0" w:line="240" w:lineRule="auto"/>
            </w:pPr>
            <w:r w:rsidRPr="00216965">
              <w:rPr>
                <w:sz w:val="22"/>
              </w:rPr>
              <w:t>1.92</w:t>
            </w:r>
          </w:p>
        </w:tc>
        <w:tc>
          <w:tcPr>
            <w:tcW w:w="1892" w:type="dxa"/>
            <w:tcBorders>
              <w:top w:val="nil"/>
              <w:left w:val="nil"/>
              <w:bottom w:val="single" w:sz="4" w:space="0" w:color="000000"/>
              <w:right w:val="nil"/>
            </w:tcBorders>
            <w:hideMark/>
          </w:tcPr>
          <w:p w14:paraId="72BB3B69" w14:textId="77777777" w:rsidR="006B380D" w:rsidRPr="00216965" w:rsidRDefault="006B380D" w:rsidP="003A7BA9">
            <w:pPr>
              <w:spacing w:after="0" w:line="240" w:lineRule="auto"/>
            </w:pPr>
            <w:r w:rsidRPr="00216965">
              <w:rPr>
                <w:sz w:val="22"/>
              </w:rPr>
              <w:t>CaPO</w:t>
            </w:r>
            <w:r w:rsidRPr="00216965">
              <w:rPr>
                <w:sz w:val="22"/>
                <w:vertAlign w:val="subscript"/>
              </w:rPr>
              <w:t>4</w:t>
            </w:r>
            <w:r w:rsidRPr="00216965">
              <w:rPr>
                <w:sz w:val="22"/>
                <w:vertAlign w:val="superscript"/>
              </w:rPr>
              <w:t>-</w:t>
            </w:r>
          </w:p>
        </w:tc>
        <w:tc>
          <w:tcPr>
            <w:tcW w:w="2861" w:type="dxa"/>
            <w:tcBorders>
              <w:top w:val="nil"/>
              <w:left w:val="nil"/>
              <w:bottom w:val="single" w:sz="4" w:space="0" w:color="000000"/>
              <w:right w:val="nil"/>
            </w:tcBorders>
          </w:tcPr>
          <w:p w14:paraId="13E311CD" w14:textId="77777777" w:rsidR="006B380D" w:rsidRPr="00216965" w:rsidRDefault="006B380D" w:rsidP="003A7BA9">
            <w:pPr>
              <w:spacing w:after="0" w:line="240" w:lineRule="auto"/>
            </w:pPr>
          </w:p>
        </w:tc>
      </w:tr>
    </w:tbl>
    <w:p w14:paraId="5C88EA1E" w14:textId="77777777" w:rsidR="006B380D" w:rsidRPr="00216965" w:rsidRDefault="006B380D" w:rsidP="008A33DA">
      <w:pPr>
        <w:spacing w:line="240" w:lineRule="auto"/>
        <w:ind w:left="709"/>
        <w:rPr>
          <w:szCs w:val="24"/>
        </w:rPr>
      </w:pPr>
      <w:r w:rsidRPr="00216965">
        <w:tab/>
        <w:t>NA= Not applicable as none of the predicted products exceeded the saturation index</w:t>
      </w:r>
    </w:p>
    <w:p w14:paraId="0B8A7A5C" w14:textId="77777777" w:rsidR="006B380D" w:rsidRPr="00216965" w:rsidRDefault="006B380D" w:rsidP="008A33DA">
      <w:pPr>
        <w:pStyle w:val="Heading4"/>
        <w:spacing w:before="480"/>
      </w:pPr>
      <w:r w:rsidRPr="00216965">
        <w:t>Cross-correlations</w:t>
      </w:r>
    </w:p>
    <w:p w14:paraId="5A84DFC1" w14:textId="1B6B9058" w:rsidR="006B380D" w:rsidRPr="00216965" w:rsidRDefault="006B380D" w:rsidP="008A33DA">
      <w:pPr>
        <w:spacing w:line="360" w:lineRule="auto"/>
        <w:jc w:val="both"/>
      </w:pPr>
      <w:r w:rsidRPr="00216965">
        <w:t xml:space="preserve">The cross-correlation matrix performed with the information available from all the spiked soils is presented in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12</w:t>
      </w:r>
      <w:r w:rsidRPr="00216965">
        <w:rPr>
          <w:b/>
          <w:bCs/>
        </w:rPr>
        <w:fldChar w:fldCharType="end"/>
      </w:r>
      <w:r w:rsidRPr="00216965">
        <w:t xml:space="preserve">. </w:t>
      </w:r>
    </w:p>
    <w:p w14:paraId="3688E221" w14:textId="33C563D2" w:rsidR="006B380D" w:rsidRPr="00216965" w:rsidRDefault="006B380D" w:rsidP="008A33DA">
      <w:pPr>
        <w:spacing w:line="240" w:lineRule="auto"/>
        <w:jc w:val="center"/>
        <w:rPr>
          <w:b/>
        </w:rPr>
      </w:pPr>
      <w:r w:rsidRPr="00216965">
        <w:rPr>
          <w:noProof/>
        </w:rPr>
        <w:lastRenderedPageBreak/>
        <w:drawing>
          <wp:inline distT="0" distB="0" distL="0" distR="0" wp14:anchorId="1B877228" wp14:editId="6A5AADAB">
            <wp:extent cx="5400040" cy="6082030"/>
            <wp:effectExtent l="0" t="0" r="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Diagram&#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6082030"/>
                    </a:xfrm>
                    <a:prstGeom prst="rect">
                      <a:avLst/>
                    </a:prstGeom>
                    <a:noFill/>
                    <a:ln>
                      <a:noFill/>
                    </a:ln>
                  </pic:spPr>
                </pic:pic>
              </a:graphicData>
            </a:graphic>
          </wp:inline>
        </w:drawing>
      </w:r>
    </w:p>
    <w:p w14:paraId="3C57DEDC" w14:textId="45A96022" w:rsidR="006B380D" w:rsidRPr="00216965" w:rsidRDefault="006B380D" w:rsidP="008A33DA">
      <w:pPr>
        <w:spacing w:after="200" w:line="240" w:lineRule="auto"/>
        <w:jc w:val="both"/>
        <w:rPr>
          <w:color w:val="000000"/>
        </w:rPr>
      </w:pPr>
      <w:bookmarkStart w:id="273" w:name="_heading=h.nmf14n"/>
      <w:bookmarkStart w:id="274" w:name="_Ref82648225"/>
      <w:bookmarkStart w:id="275" w:name="_Toc86439374"/>
      <w:bookmarkEnd w:id="273"/>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12</w:t>
      </w:r>
      <w:r w:rsidR="00BF3EBE" w:rsidRPr="00216965">
        <w:rPr>
          <w:b/>
          <w:bCs/>
        </w:rPr>
        <w:fldChar w:fldCharType="end"/>
      </w:r>
      <w:bookmarkEnd w:id="274"/>
      <w:r w:rsidRPr="00216965">
        <w:rPr>
          <w:b/>
          <w:bCs/>
        </w:rPr>
        <w:t xml:space="preserve">. </w:t>
      </w:r>
      <w:r w:rsidRPr="00216965">
        <w:rPr>
          <w:b/>
          <w:bCs/>
          <w:color w:val="000000"/>
        </w:rPr>
        <w:t>Plot showing correlation between different plant performance indicators and soil physico-chemical properties of soils amended with biochar</w:t>
      </w:r>
      <w:r w:rsidRPr="00216965">
        <w:rPr>
          <w:b/>
          <w:bCs/>
          <w:color w:val="000000"/>
          <w:sz w:val="22"/>
        </w:rPr>
        <w:t>.</w:t>
      </w:r>
      <w:r w:rsidRPr="00216965">
        <w:rPr>
          <w:color w:val="000000"/>
          <w:sz w:val="22"/>
        </w:rPr>
        <w:t xml:space="preserve"> A) Cross correlation matrix using the data available for all soil treatments, showing the R values for parameters which correlation had  p &lt; 0.05, non-significant correlations are shown blank. B) Correlations affecting plant performance parameters for each soil treatment. Data used for the correlation: Rate = biochar application rate (% </w:t>
      </w:r>
      <w:r w:rsidRPr="00216965">
        <w:rPr>
          <w:i/>
          <w:iCs/>
          <w:color w:val="000000"/>
          <w:sz w:val="22"/>
        </w:rPr>
        <w:t>w/w</w:t>
      </w:r>
      <w:r w:rsidRPr="00216965">
        <w:rPr>
          <w:color w:val="000000"/>
          <w:sz w:val="22"/>
        </w:rPr>
        <w:t>), pH, EC</w:t>
      </w:r>
      <w:r w:rsidR="006B7849" w:rsidRPr="00216965">
        <w:rPr>
          <w:color w:val="000000"/>
          <w:sz w:val="22"/>
        </w:rPr>
        <w:t xml:space="preserve">, </w:t>
      </w:r>
      <w:r w:rsidRPr="00216965">
        <w:rPr>
          <w:color w:val="000000"/>
          <w:sz w:val="22"/>
        </w:rPr>
        <w:t>bioavailable HMs (NH</w:t>
      </w:r>
      <w:r w:rsidRPr="00216965">
        <w:rPr>
          <w:color w:val="000000"/>
          <w:sz w:val="22"/>
          <w:vertAlign w:val="subscript"/>
        </w:rPr>
        <w:t>4</w:t>
      </w:r>
      <w:r w:rsidRPr="00216965">
        <w:rPr>
          <w:color w:val="000000"/>
          <w:sz w:val="22"/>
        </w:rPr>
        <w:t>-NO</w:t>
      </w:r>
      <w:r w:rsidRPr="00216965">
        <w:rPr>
          <w:color w:val="000000"/>
          <w:sz w:val="22"/>
          <w:vertAlign w:val="subscript"/>
        </w:rPr>
        <w:t>3</w:t>
      </w:r>
      <w:r w:rsidRPr="00216965">
        <w:rPr>
          <w:color w:val="000000"/>
          <w:sz w:val="22"/>
        </w:rPr>
        <w:t xml:space="preserve"> extract</w:t>
      </w:r>
      <w:r w:rsidR="006B7849" w:rsidRPr="00216965">
        <w:rPr>
          <w:color w:val="000000"/>
          <w:sz w:val="22"/>
        </w:rPr>
        <w:t>s</w:t>
      </w:r>
      <w:r w:rsidRPr="00216965">
        <w:rPr>
          <w:color w:val="000000"/>
          <w:sz w:val="22"/>
        </w:rPr>
        <w:t>), Fv/ Fm (at day 13), dry above-ground biomass (mg.pot</w:t>
      </w:r>
      <w:r w:rsidRPr="00216965">
        <w:rPr>
          <w:color w:val="000000"/>
          <w:sz w:val="22"/>
          <w:vertAlign w:val="superscript"/>
        </w:rPr>
        <w:t>-1</w:t>
      </w:r>
      <w:r w:rsidRPr="00216965">
        <w:rPr>
          <w:color w:val="000000"/>
          <w:sz w:val="22"/>
        </w:rPr>
        <w:t>), AGR (absolute growth rate at day 13).</w:t>
      </w:r>
      <w:bookmarkEnd w:id="275"/>
    </w:p>
    <w:p w14:paraId="444365A8" w14:textId="689FB159" w:rsidR="006B7849" w:rsidRPr="00216965" w:rsidRDefault="006B7849" w:rsidP="008A33DA">
      <w:pPr>
        <w:spacing w:after="200" w:line="360" w:lineRule="auto"/>
        <w:jc w:val="both"/>
        <w:rPr>
          <w:color w:val="000000"/>
        </w:rPr>
      </w:pPr>
      <w:r w:rsidRPr="00216965">
        <w:t xml:space="preserve">Biochar application rate negatively affected plant performance, as evidenced by negative correlations with dry above-ground biomass, absolute growth rates (AGRs) and Fv/Fm. Besides, biochar application rate directly influenced soil pH and EC. All indicators </w:t>
      </w:r>
      <w:r w:rsidRPr="00216965">
        <w:lastRenderedPageBreak/>
        <w:t>associated with plant performance (AGR, Fv/Fm and dry biomass) were positively correlated to each other, confirming the rigor of the methods used.</w:t>
      </w:r>
    </w:p>
    <w:p w14:paraId="120D73B8" w14:textId="2459FDB7" w:rsidR="006B380D" w:rsidRPr="00216965" w:rsidRDefault="006B380D" w:rsidP="008A33DA">
      <w:pPr>
        <w:spacing w:line="360" w:lineRule="auto"/>
        <w:jc w:val="both"/>
      </w:pPr>
      <w:bookmarkStart w:id="276" w:name="_heading=h.37m2jsg"/>
      <w:bookmarkEnd w:id="276"/>
      <w:r w:rsidRPr="00216965">
        <w:t>The chemical analysis performed for the Mix-soil enabled additional parameters to be integrated into the cross-correlation analysis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t>). This showed that biochar application rate negatively affected plant performance (based on dry biomass and AGR). Other negative relationships between some elements released by biochar, such as phosphate, Na</w:t>
      </w:r>
      <w:r w:rsidRPr="00216965">
        <w:rPr>
          <w:vertAlign w:val="superscript"/>
        </w:rPr>
        <w:t>+</w:t>
      </w:r>
      <w:r w:rsidRPr="00216965">
        <w:t xml:space="preserve"> and K</w:t>
      </w:r>
      <w:r w:rsidRPr="00216965">
        <w:rPr>
          <w:vertAlign w:val="superscript"/>
        </w:rPr>
        <w:t>+</w:t>
      </w:r>
      <w:r w:rsidRPr="00216965">
        <w:t>, and plant performance indicators were also apparent. In contrast, the cross-correlation of the Mix-soil showed no significant relationship between plant performance parameters and soil pH. However, a negative relationship was found between soil pH and water extractable Ca</w:t>
      </w:r>
      <w:r w:rsidRPr="00216965">
        <w:rPr>
          <w:vertAlign w:val="superscript"/>
        </w:rPr>
        <w:t>2+</w:t>
      </w:r>
      <w:r w:rsidRPr="00216965">
        <w:t>. Contrary to expectation, there was no direct correlation between bioavailable HMs and tissue concentrations for Pb and Cd, only for Zn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rPr>
          <w:b/>
        </w:rPr>
        <w:t>)</w:t>
      </w:r>
      <w:r w:rsidRPr="00216965">
        <w:t xml:space="preserve">. </w:t>
      </w:r>
    </w:p>
    <w:p w14:paraId="291D0C7F" w14:textId="77777777" w:rsidR="006B380D" w:rsidRPr="00216965" w:rsidRDefault="006B380D" w:rsidP="008A33DA">
      <w:pPr>
        <w:spacing w:line="360" w:lineRule="auto"/>
      </w:pPr>
    </w:p>
    <w:p w14:paraId="5A7535E2" w14:textId="77777777" w:rsidR="006B380D" w:rsidRPr="00216965" w:rsidRDefault="006B380D" w:rsidP="008A33DA">
      <w:pPr>
        <w:spacing w:line="360" w:lineRule="auto"/>
      </w:pPr>
    </w:p>
    <w:p w14:paraId="5DA0FF75" w14:textId="09FC4D7D" w:rsidR="006B380D" w:rsidRPr="00216965" w:rsidRDefault="006B380D" w:rsidP="008A33DA">
      <w:pPr>
        <w:spacing w:line="360" w:lineRule="auto"/>
        <w:jc w:val="center"/>
      </w:pPr>
      <w:r w:rsidRPr="00216965">
        <w:rPr>
          <w:noProof/>
        </w:rPr>
        <w:lastRenderedPageBreak/>
        <w:drawing>
          <wp:inline distT="0" distB="0" distL="0" distR="0" wp14:anchorId="36332320" wp14:editId="586F44DE">
            <wp:extent cx="4470539" cy="6553200"/>
            <wp:effectExtent l="0" t="0" r="6350" b="0"/>
            <wp:docPr id="45" name="Picture 4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A picture containing char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85974" cy="6575826"/>
                    </a:xfrm>
                    <a:prstGeom prst="rect">
                      <a:avLst/>
                    </a:prstGeom>
                    <a:noFill/>
                    <a:ln>
                      <a:noFill/>
                    </a:ln>
                  </pic:spPr>
                </pic:pic>
              </a:graphicData>
            </a:graphic>
          </wp:inline>
        </w:drawing>
      </w:r>
    </w:p>
    <w:p w14:paraId="04751BFA" w14:textId="18393E40" w:rsidR="006B380D" w:rsidRPr="00216965" w:rsidRDefault="006B380D" w:rsidP="008A33DA">
      <w:pPr>
        <w:spacing w:after="200" w:line="240" w:lineRule="auto"/>
        <w:jc w:val="both"/>
        <w:rPr>
          <w:color w:val="000000"/>
        </w:rPr>
      </w:pPr>
      <w:bookmarkStart w:id="277" w:name="_heading=h.1mrcu09"/>
      <w:bookmarkStart w:id="278" w:name="_Ref72331154"/>
      <w:bookmarkStart w:id="279" w:name="_Hlk76913772"/>
      <w:bookmarkStart w:id="280" w:name="_Toc86439375"/>
      <w:bookmarkEnd w:id="277"/>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13</w:t>
      </w:r>
      <w:r w:rsidR="00BF3EBE" w:rsidRPr="00216965">
        <w:rPr>
          <w:b/>
          <w:bCs/>
        </w:rPr>
        <w:fldChar w:fldCharType="end"/>
      </w:r>
      <w:bookmarkEnd w:id="278"/>
      <w:r w:rsidRPr="00216965">
        <w:rPr>
          <w:b/>
          <w:bCs/>
        </w:rPr>
        <w:t>.</w:t>
      </w:r>
      <w:bookmarkEnd w:id="279"/>
      <w:r w:rsidRPr="00216965">
        <w:rPr>
          <w:b/>
          <w:bCs/>
          <w:color w:val="000000"/>
        </w:rPr>
        <w:t xml:space="preserve"> Plot showing correlation between different plant performance indicators and soil physico-chemical properties in the Mix-soil treatment.</w:t>
      </w:r>
      <w:r w:rsidRPr="00216965">
        <w:rPr>
          <w:color w:val="000000"/>
        </w:rPr>
        <w:t xml:space="preserve"> A) Cross-correlation matrix indicating the R coefficient of parameters with p &lt; 0.05. B) Correlations between dry above-ground biomass and selected physico-chemical properties, and between soil pH and water extractable cations. Data used: phosphate (Olsen), nitrate (vanadium chloride method, mg.kg</w:t>
      </w:r>
      <w:r w:rsidRPr="00216965">
        <w:rPr>
          <w:color w:val="000000"/>
          <w:vertAlign w:val="superscript"/>
        </w:rPr>
        <w:t>-1</w:t>
      </w:r>
      <w:r w:rsidRPr="00216965">
        <w:rPr>
          <w:color w:val="000000"/>
        </w:rPr>
        <w:t xml:space="preserve">), Rate (biochar application rate % </w:t>
      </w:r>
      <w:r w:rsidRPr="00216965">
        <w:rPr>
          <w:i/>
          <w:iCs/>
          <w:color w:val="000000"/>
        </w:rPr>
        <w:t>w/w</w:t>
      </w:r>
      <w:r w:rsidRPr="00216965">
        <w:rPr>
          <w:color w:val="000000"/>
        </w:rPr>
        <w:t>), Na, K, Ca, Mg, Fe (water extractable, mg.kg</w:t>
      </w:r>
      <w:r w:rsidRPr="00216965">
        <w:rPr>
          <w:color w:val="000000"/>
          <w:vertAlign w:val="superscript"/>
        </w:rPr>
        <w:t>-1</w:t>
      </w:r>
      <w:r w:rsidRPr="00216965">
        <w:rPr>
          <w:color w:val="000000"/>
        </w:rPr>
        <w:t>), pH (soil pH), EC (soil electrical conductivity, μS</w:t>
      </w:r>
      <w:r w:rsidR="008563DC" w:rsidRPr="00216965">
        <w:rPr>
          <w:color w:val="000000"/>
        </w:rPr>
        <w:t>.cm</w:t>
      </w:r>
      <w:r w:rsidRPr="00216965">
        <w:rPr>
          <w:color w:val="000000"/>
          <w:vertAlign w:val="superscript"/>
        </w:rPr>
        <w:t>-1</w:t>
      </w:r>
      <w:r w:rsidRPr="00216965">
        <w:rPr>
          <w:color w:val="000000"/>
        </w:rPr>
        <w:t>), bioavailable HMs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extracts, mg.kg</w:t>
      </w:r>
      <w:r w:rsidRPr="00216965">
        <w:rPr>
          <w:color w:val="000000"/>
          <w:vertAlign w:val="superscript"/>
        </w:rPr>
        <w:t>-1</w:t>
      </w:r>
      <w:r w:rsidRPr="00216965">
        <w:rPr>
          <w:color w:val="000000"/>
        </w:rPr>
        <w:t>), Fv/ Fm (at day 13), dry above-ground biomass (mg.pot</w:t>
      </w:r>
      <w:r w:rsidRPr="00216965">
        <w:rPr>
          <w:color w:val="000000"/>
          <w:vertAlign w:val="superscript"/>
        </w:rPr>
        <w:t>-1</w:t>
      </w:r>
      <w:r w:rsidRPr="00216965">
        <w:rPr>
          <w:color w:val="000000"/>
        </w:rPr>
        <w:t>), HMs tissue concentration (acid digest, mg.g</w:t>
      </w:r>
      <w:r w:rsidRPr="00216965">
        <w:rPr>
          <w:color w:val="000000"/>
          <w:vertAlign w:val="superscript"/>
        </w:rPr>
        <w:t>-1</w:t>
      </w:r>
      <w:r w:rsidRPr="00216965">
        <w:rPr>
          <w:color w:val="000000"/>
        </w:rPr>
        <w:t>), AGR (absolute growth rate at day 13).</w:t>
      </w:r>
      <w:bookmarkEnd w:id="280"/>
    </w:p>
    <w:p w14:paraId="1BBEEB96" w14:textId="72130B1D" w:rsidR="006B380D" w:rsidRPr="00216965" w:rsidRDefault="006B380D" w:rsidP="008A33DA">
      <w:pPr>
        <w:pStyle w:val="Heading3"/>
        <w:rPr>
          <w:i/>
        </w:rPr>
      </w:pPr>
      <w:bookmarkStart w:id="281" w:name="_Toc86504675"/>
      <w:r w:rsidRPr="00216965">
        <w:lastRenderedPageBreak/>
        <w:t xml:space="preserve">Experiment B: controlled environment incubations with </w:t>
      </w:r>
      <w:r w:rsidR="00F24567" w:rsidRPr="00216965">
        <w:rPr>
          <w:i/>
          <w:iCs/>
        </w:rPr>
        <w:t>Sinapsis alba</w:t>
      </w:r>
      <w:r w:rsidR="00F24567" w:rsidRPr="00216965">
        <w:t xml:space="preserve"> </w:t>
      </w:r>
      <w:r w:rsidRPr="00216965">
        <w:t xml:space="preserve">and </w:t>
      </w:r>
      <w:r w:rsidRPr="00216965">
        <w:rPr>
          <w:i/>
        </w:rPr>
        <w:t>Lolium perenne</w:t>
      </w:r>
      <w:bookmarkEnd w:id="281"/>
    </w:p>
    <w:p w14:paraId="0660A1F4" w14:textId="77777777" w:rsidR="006B380D" w:rsidRPr="00216965" w:rsidRDefault="006B380D" w:rsidP="008A33DA">
      <w:pPr>
        <w:pStyle w:val="Heading4"/>
        <w:rPr>
          <w:i/>
        </w:rPr>
      </w:pPr>
      <w:bookmarkStart w:id="282" w:name="_heading=h.46r0co2"/>
      <w:bookmarkStart w:id="283" w:name="_Ref86405881"/>
      <w:bookmarkEnd w:id="282"/>
      <w:r w:rsidRPr="00216965">
        <w:t>Bioavailability of HMs</w:t>
      </w:r>
      <w:bookmarkEnd w:id="283"/>
    </w:p>
    <w:p w14:paraId="17C2EE44" w14:textId="77777777" w:rsidR="008574C0" w:rsidRPr="00216965" w:rsidRDefault="006B380D" w:rsidP="008A33DA">
      <w:pPr>
        <w:spacing w:line="360" w:lineRule="auto"/>
        <w:jc w:val="both"/>
      </w:pPr>
      <w:r w:rsidRPr="00216965">
        <w:t xml:space="preserve">The bioavailable concentrations of HMs in soil treatments amended with biochars WSP550 and MSP550 are presented in </w:t>
      </w:r>
      <w:r w:rsidRPr="00216965">
        <w:rPr>
          <w:rFonts w:eastAsiaTheme="majorEastAsia"/>
          <w:b/>
          <w:bCs/>
          <w:lang w:val="en-US"/>
        </w:rPr>
        <w:fldChar w:fldCharType="begin"/>
      </w:r>
      <w:r w:rsidRPr="00216965">
        <w:rPr>
          <w:rFonts w:eastAsiaTheme="majorEastAsia"/>
          <w:b/>
          <w:bCs/>
          <w:lang w:val="en-US"/>
        </w:rPr>
        <w:instrText xml:space="preserve"> REF _Ref85471809 \h  \* MERGEFORMAT </w:instrText>
      </w:r>
      <w:r w:rsidRPr="00216965">
        <w:rPr>
          <w:rFonts w:eastAsiaTheme="majorEastAsia"/>
          <w:b/>
          <w:bCs/>
          <w:lang w:val="en-US"/>
        </w:rPr>
      </w:r>
      <w:r w:rsidRPr="00216965">
        <w:rPr>
          <w:rFonts w:eastAsiaTheme="majorEastAsia"/>
          <w:b/>
          <w:bCs/>
          <w:lang w:val="en-US"/>
        </w:rPr>
        <w:fldChar w:fldCharType="separate"/>
      </w:r>
      <w:r w:rsidR="006E23EA" w:rsidRPr="00216965">
        <w:rPr>
          <w:b/>
          <w:bCs/>
        </w:rPr>
        <w:t xml:space="preserve">Fig. </w:t>
      </w:r>
      <w:r w:rsidR="006E23EA" w:rsidRPr="00216965">
        <w:rPr>
          <w:b/>
          <w:bCs/>
          <w:noProof/>
        </w:rPr>
        <w:t>4</w:t>
      </w:r>
      <w:r w:rsidR="006E23EA" w:rsidRPr="00216965">
        <w:rPr>
          <w:b/>
          <w:bCs/>
          <w:noProof/>
        </w:rPr>
        <w:noBreakHyphen/>
        <w:t>14</w:t>
      </w:r>
      <w:r w:rsidRPr="00216965">
        <w:rPr>
          <w:rFonts w:eastAsiaTheme="majorEastAsia"/>
          <w:b/>
          <w:bCs/>
          <w:lang w:val="en-US"/>
        </w:rPr>
        <w:fldChar w:fldCharType="end"/>
      </w:r>
      <w:r w:rsidRPr="00216965">
        <w:t xml:space="preserve">. As expected the Non-spiked soil had lower concentrations of bioavailable HMs than the spiked soils. Overall, the addition of biochar did not affect the concentrations of bioavailable HMs in the Non-spiked soil cultivated with </w:t>
      </w:r>
      <w:r w:rsidRPr="00216965">
        <w:rPr>
          <w:i/>
        </w:rPr>
        <w:t>Lolium perenne</w:t>
      </w:r>
      <w:r w:rsidRPr="00216965">
        <w:t xml:space="preserve">, except for bioavailable Zn, which was reduced relative to the control (0% biochar). </w:t>
      </w:r>
    </w:p>
    <w:p w14:paraId="4431B38E" w14:textId="797BA702" w:rsidR="006B380D" w:rsidRPr="00216965" w:rsidRDefault="006B380D" w:rsidP="008A33DA">
      <w:pPr>
        <w:spacing w:line="360" w:lineRule="auto"/>
        <w:jc w:val="both"/>
      </w:pPr>
      <w:r w:rsidRPr="00216965">
        <w:t xml:space="preserve">In the Non-spiked soil cultivated with </w:t>
      </w:r>
      <w:r w:rsidRPr="00216965">
        <w:rPr>
          <w:i/>
        </w:rPr>
        <w:t>Lolium perenne</w:t>
      </w:r>
      <w:r w:rsidRPr="00216965">
        <w:t>, the concentration of bioavailable HMs in the control treatment (0% biochar) at day 0 was not different from that at the end of the incubation (day 40). Conversely, in the Non-spiked soil cultivated with</w:t>
      </w:r>
      <w:r w:rsidR="005B17AE" w:rsidRPr="00216965">
        <w:t xml:space="preserve"> </w:t>
      </w:r>
      <w:r w:rsidR="005B17AE" w:rsidRPr="00216965">
        <w:rPr>
          <w:i/>
          <w:iCs/>
        </w:rPr>
        <w:t>Sinapsis alba</w:t>
      </w:r>
      <w:r w:rsidRPr="00216965">
        <w:t xml:space="preserve">, the concentration of bioavailable Pb and Cd in the control treatment (0% biochar) decreased significantly from day 0 to the end of the incubation (day 40) (p &lt; 0.05). Besides, the addition of biochar WSP550 tended to increase bioavailable Pb and Cd relative to the 0 % biochar soil at the end of the incubation. However, the increase was only significant for bioavailable Pb with the addition of 1 % WSP550 and bioavailable Cd with the addition of 1% and 3% WSP550 (p &lt; 0.05). The addition of MSP550 did not cause any significant effect on bioavailable HMs relative to the 0 % biochar soil (p &gt; 0.05). </w:t>
      </w:r>
    </w:p>
    <w:p w14:paraId="41C224FA" w14:textId="77777777" w:rsidR="006B380D" w:rsidRPr="00216965" w:rsidRDefault="006B380D" w:rsidP="008A33DA">
      <w:pPr>
        <w:spacing w:line="360" w:lineRule="auto"/>
        <w:jc w:val="both"/>
      </w:pPr>
      <w:r w:rsidRPr="00216965">
        <w:t xml:space="preserve">Overall the concentration of HMs in the Pb/Cd/Zn/Mix-spiked soils without biochar (0%) at the beginning of the experiment (day 0) were significantly higher than the concentration of HMs in treatments without biochar (0% biochar) at the end of the incubation (p &lt; 0.01). An  exception was the </w:t>
      </w:r>
      <w:r w:rsidRPr="00216965">
        <w:rPr>
          <w:i/>
        </w:rPr>
        <w:t>Lolium perenne</w:t>
      </w:r>
      <w:r w:rsidRPr="00216965">
        <w:t xml:space="preserve"> treatment (Zn-spiked soil, day 40), in which bioavailable Zn was not different than the concentration at the beginning of the experiment (day 0).</w:t>
      </w:r>
    </w:p>
    <w:p w14:paraId="50117538" w14:textId="3CE45209" w:rsidR="006B380D" w:rsidRPr="00216965" w:rsidRDefault="005D67B8" w:rsidP="008A33DA">
      <w:pPr>
        <w:spacing w:after="0" w:line="360" w:lineRule="auto"/>
        <w:jc w:val="center"/>
      </w:pPr>
      <w:r w:rsidRPr="00216965">
        <w:rPr>
          <w:noProof/>
        </w:rPr>
        <w:lastRenderedPageBreak/>
        <w:drawing>
          <wp:inline distT="0" distB="0" distL="0" distR="0" wp14:anchorId="63F391BD" wp14:editId="0F093F95">
            <wp:extent cx="4953000" cy="7000248"/>
            <wp:effectExtent l="0" t="0" r="0" b="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69808" cy="7024003"/>
                    </a:xfrm>
                    <a:prstGeom prst="rect">
                      <a:avLst/>
                    </a:prstGeom>
                    <a:noFill/>
                    <a:ln>
                      <a:noFill/>
                    </a:ln>
                  </pic:spPr>
                </pic:pic>
              </a:graphicData>
            </a:graphic>
          </wp:inline>
        </w:drawing>
      </w:r>
    </w:p>
    <w:p w14:paraId="48CABC7C" w14:textId="3DC8F9F5" w:rsidR="006B380D" w:rsidRPr="00216965" w:rsidRDefault="006B380D" w:rsidP="008A33DA">
      <w:pPr>
        <w:spacing w:after="200" w:line="240" w:lineRule="auto"/>
        <w:jc w:val="both"/>
        <w:rPr>
          <w:color w:val="000000"/>
        </w:rPr>
      </w:pPr>
      <w:bookmarkStart w:id="284" w:name="_heading=h.2lwamvv"/>
      <w:bookmarkStart w:id="285" w:name="_Ref85471809"/>
      <w:bookmarkStart w:id="286" w:name="_Toc86439376"/>
      <w:bookmarkEnd w:id="284"/>
      <w:r w:rsidRPr="00216965">
        <w:rPr>
          <w:b/>
          <w:bCs/>
          <w:sz w:val="28"/>
          <w:szCs w:val="28"/>
        </w:rPr>
        <w:t xml:space="preserve">Fig. </w:t>
      </w:r>
      <w:r w:rsidR="00BF3EBE" w:rsidRPr="00216965">
        <w:rPr>
          <w:b/>
          <w:bCs/>
          <w:sz w:val="28"/>
          <w:szCs w:val="28"/>
        </w:rPr>
        <w:fldChar w:fldCharType="begin"/>
      </w:r>
      <w:r w:rsidR="00BF3EBE" w:rsidRPr="00216965">
        <w:rPr>
          <w:b/>
          <w:bCs/>
          <w:sz w:val="28"/>
          <w:szCs w:val="28"/>
        </w:rPr>
        <w:instrText xml:space="preserve"> STYLEREF 1 \s </w:instrText>
      </w:r>
      <w:r w:rsidR="00BF3EBE" w:rsidRPr="00216965">
        <w:rPr>
          <w:b/>
          <w:bCs/>
          <w:sz w:val="28"/>
          <w:szCs w:val="28"/>
        </w:rPr>
        <w:fldChar w:fldCharType="separate"/>
      </w:r>
      <w:r w:rsidR="006E23EA" w:rsidRPr="00216965">
        <w:rPr>
          <w:b/>
          <w:bCs/>
          <w:noProof/>
          <w:sz w:val="28"/>
          <w:szCs w:val="28"/>
        </w:rPr>
        <w:t>4</w:t>
      </w:r>
      <w:r w:rsidR="00BF3EBE" w:rsidRPr="00216965">
        <w:rPr>
          <w:b/>
          <w:bCs/>
          <w:sz w:val="28"/>
          <w:szCs w:val="28"/>
        </w:rPr>
        <w:fldChar w:fldCharType="end"/>
      </w:r>
      <w:r w:rsidR="00BF3EBE" w:rsidRPr="00216965">
        <w:rPr>
          <w:b/>
          <w:bCs/>
          <w:sz w:val="28"/>
          <w:szCs w:val="28"/>
        </w:rPr>
        <w:noBreakHyphen/>
      </w:r>
      <w:r w:rsidR="00BF3EBE" w:rsidRPr="00216965">
        <w:rPr>
          <w:b/>
          <w:bCs/>
          <w:sz w:val="28"/>
          <w:szCs w:val="28"/>
        </w:rPr>
        <w:fldChar w:fldCharType="begin"/>
      </w:r>
      <w:r w:rsidR="00BF3EBE" w:rsidRPr="00216965">
        <w:rPr>
          <w:b/>
          <w:bCs/>
          <w:sz w:val="28"/>
          <w:szCs w:val="28"/>
        </w:rPr>
        <w:instrText xml:space="preserve"> SEQ Figure \* ARABIC \s 1 </w:instrText>
      </w:r>
      <w:r w:rsidR="00BF3EBE" w:rsidRPr="00216965">
        <w:rPr>
          <w:b/>
          <w:bCs/>
          <w:sz w:val="28"/>
          <w:szCs w:val="28"/>
        </w:rPr>
        <w:fldChar w:fldCharType="separate"/>
      </w:r>
      <w:r w:rsidR="006E23EA" w:rsidRPr="00216965">
        <w:rPr>
          <w:b/>
          <w:bCs/>
          <w:noProof/>
          <w:sz w:val="28"/>
          <w:szCs w:val="28"/>
        </w:rPr>
        <w:t>14</w:t>
      </w:r>
      <w:r w:rsidR="00BF3EBE" w:rsidRPr="00216965">
        <w:rPr>
          <w:b/>
          <w:bCs/>
          <w:sz w:val="28"/>
          <w:szCs w:val="28"/>
        </w:rPr>
        <w:fldChar w:fldCharType="end"/>
      </w:r>
      <w:bookmarkEnd w:id="285"/>
      <w:r w:rsidRPr="00216965">
        <w:rPr>
          <w:b/>
          <w:bCs/>
        </w:rPr>
        <w:t xml:space="preserve"> </w:t>
      </w:r>
      <w:r w:rsidRPr="00216965">
        <w:rPr>
          <w:b/>
          <w:bCs/>
          <w:color w:val="000000"/>
        </w:rPr>
        <w:t>Boxplot of bioavailable HMs (NH</w:t>
      </w:r>
      <w:r w:rsidRPr="00216965">
        <w:rPr>
          <w:b/>
          <w:bCs/>
          <w:color w:val="000000"/>
          <w:vertAlign w:val="subscript"/>
        </w:rPr>
        <w:t>4</w:t>
      </w:r>
      <w:r w:rsidRPr="00216965">
        <w:rPr>
          <w:b/>
          <w:bCs/>
          <w:color w:val="000000"/>
        </w:rPr>
        <w:t>-NO</w:t>
      </w:r>
      <w:r w:rsidRPr="00216965">
        <w:rPr>
          <w:b/>
          <w:bCs/>
          <w:color w:val="000000"/>
          <w:vertAlign w:val="subscript"/>
        </w:rPr>
        <w:t>3</w:t>
      </w:r>
      <w:r w:rsidRPr="00216965">
        <w:rPr>
          <w:b/>
          <w:bCs/>
          <w:color w:val="000000"/>
        </w:rPr>
        <w:t xml:space="preserve"> extracted) in soils artificially contaminated with Pb, Cd, Zn and a ternary mixture of these elements amended with biochars WSP550 and MSP550 at 0, 1 and 3% (</w:t>
      </w:r>
      <w:r w:rsidRPr="00216965">
        <w:rPr>
          <w:b/>
          <w:bCs/>
          <w:i/>
          <w:color w:val="000000"/>
        </w:rPr>
        <w:t>w/w</w:t>
      </w:r>
      <w:r w:rsidRPr="00216965">
        <w:rPr>
          <w:b/>
          <w:bCs/>
          <w:color w:val="000000"/>
        </w:rPr>
        <w:t>).</w:t>
      </w:r>
      <w:r w:rsidRPr="00216965">
        <w:rPr>
          <w:color w:val="000000"/>
        </w:rPr>
        <w:t xml:space="preserve"> </w:t>
      </w:r>
      <w:r w:rsidR="008D0EBD" w:rsidRPr="00216965">
        <w:rPr>
          <w:color w:val="000000"/>
        </w:rPr>
        <w:t>Values at day 0 correspond to the initial concentrations before the incubation experiment; values at day 40 indicate the NH</w:t>
      </w:r>
      <w:r w:rsidR="008D0EBD" w:rsidRPr="00216965">
        <w:rPr>
          <w:color w:val="000000"/>
          <w:vertAlign w:val="subscript"/>
        </w:rPr>
        <w:t>4</w:t>
      </w:r>
      <w:r w:rsidR="008D0EBD" w:rsidRPr="00216965">
        <w:rPr>
          <w:color w:val="000000"/>
        </w:rPr>
        <w:t>-NO</w:t>
      </w:r>
      <w:r w:rsidR="008D0EBD" w:rsidRPr="00216965">
        <w:rPr>
          <w:color w:val="000000"/>
          <w:vertAlign w:val="subscript"/>
        </w:rPr>
        <w:t>3</w:t>
      </w:r>
      <w:r w:rsidR="008D0EBD" w:rsidRPr="00216965">
        <w:rPr>
          <w:color w:val="000000"/>
        </w:rPr>
        <w:t xml:space="preserve"> extractable HMs at the end of the incubation. </w:t>
      </w:r>
      <w:r w:rsidRPr="00216965">
        <w:rPr>
          <w:color w:val="000000"/>
        </w:rPr>
        <w:t>Different letters indicate significant differences between treatments according to Tukey post hoc test (α</w:t>
      </w:r>
      <w:r w:rsidR="001C7822" w:rsidRPr="00216965">
        <w:rPr>
          <w:color w:val="000000"/>
        </w:rPr>
        <w:t xml:space="preserve"> </w:t>
      </w:r>
      <w:r w:rsidRPr="00216965">
        <w:rPr>
          <w:color w:val="000000"/>
        </w:rPr>
        <w:t>=</w:t>
      </w:r>
      <w:r w:rsidR="001C7822" w:rsidRPr="00216965">
        <w:rPr>
          <w:color w:val="000000"/>
        </w:rPr>
        <w:t xml:space="preserve"> </w:t>
      </w:r>
      <w:r w:rsidRPr="00216965">
        <w:rPr>
          <w:color w:val="000000"/>
        </w:rPr>
        <w:t xml:space="preserve">0.05), n=4, ns= no significant differences between treatments. (A) </w:t>
      </w:r>
      <w:r w:rsidRPr="00216965">
        <w:rPr>
          <w:i/>
          <w:iCs/>
          <w:color w:val="000000"/>
        </w:rPr>
        <w:t>Lolium perenne</w:t>
      </w:r>
      <w:r w:rsidRPr="00216965">
        <w:rPr>
          <w:color w:val="000000"/>
        </w:rPr>
        <w:t xml:space="preserve"> (B) </w:t>
      </w:r>
      <w:r w:rsidR="005B17AE" w:rsidRPr="00216965">
        <w:rPr>
          <w:i/>
          <w:iCs/>
          <w:color w:val="000000"/>
        </w:rPr>
        <w:t>Sinapsis alba</w:t>
      </w:r>
      <w:r w:rsidRPr="00216965">
        <w:t>.</w:t>
      </w:r>
      <w:bookmarkEnd w:id="286"/>
    </w:p>
    <w:p w14:paraId="24ADC467" w14:textId="56B91F95" w:rsidR="006B380D" w:rsidRPr="00216965" w:rsidRDefault="006B380D" w:rsidP="008A33DA">
      <w:pPr>
        <w:spacing w:line="360" w:lineRule="auto"/>
        <w:jc w:val="both"/>
      </w:pPr>
      <w:r w:rsidRPr="00216965">
        <w:lastRenderedPageBreak/>
        <w:t>In th</w:t>
      </w:r>
      <w:r w:rsidRPr="00216965">
        <w:rPr>
          <w:i/>
        </w:rPr>
        <w:t>e Lolium perenne</w:t>
      </w:r>
      <w:r w:rsidRPr="00216965">
        <w:t xml:space="preserve"> treatments the addition of biochars to the Pb/Cd/Zn/Mix-spiked soils significantly reduced the concentration of bioavailable HMs regardless of application rate relative to the control (0 % biochar) (p &lt; 0.01), except for bioavailable Cd in the Mix-spiked soil. Overall, both biochars reduced bioavailable HMs to a similar extent; in the Pb-spiked soil to 18-45 %, Cd-spiked soil to 33-43% and Zn-spiked soil to 63-69% of the control. In the Mix-spiked soil, bioavailable Pb was significantly reduced to 13-27% of the control (0% biochar) with biochar WSP550 at 1 % and MSP550 at 1% and 3%. Bioavailable Zn in the Mix-spiked soil was reduced to a similar extent with both biochars, regardless of application rate, to 63-67% respectively (p &lt; 0.01). Conversely, bioavailable Cd in the Mix-spiked soil was not significantly reduced with any biochar tested (p &gt; 0.05). </w:t>
      </w:r>
    </w:p>
    <w:p w14:paraId="395477B7" w14:textId="4C2ED1A0" w:rsidR="006B380D" w:rsidRPr="00216965" w:rsidRDefault="006B380D" w:rsidP="008A33DA">
      <w:pPr>
        <w:spacing w:line="360" w:lineRule="auto"/>
        <w:jc w:val="both"/>
      </w:pPr>
      <w:r w:rsidRPr="00216965">
        <w:t xml:space="preserve">In the </w:t>
      </w:r>
      <w:r w:rsidR="005B17AE" w:rsidRPr="00216965">
        <w:rPr>
          <w:i/>
          <w:iCs/>
        </w:rPr>
        <w:t>Sinapsis alba</w:t>
      </w:r>
      <w:r w:rsidR="005B17AE" w:rsidRPr="00216965">
        <w:t xml:space="preserve"> </w:t>
      </w:r>
      <w:r w:rsidRPr="00216965">
        <w:t>treatment, a decrease in the concentration of bioavailable HMs was observed only in the Cd-spiked soil with biochars WSP550 at 1% and 3%, and MSP550 at 1%. In the other treatments, the concentration of bioavailable HMs from biochar treatments was not significantly different from the control (0% biochar). None of the biochars enhanced the reduction of bioavailable HMs with increasing application rate.</w:t>
      </w:r>
    </w:p>
    <w:p w14:paraId="78816837" w14:textId="77777777" w:rsidR="006B380D" w:rsidRPr="00216965" w:rsidRDefault="006B380D" w:rsidP="008A33DA">
      <w:pPr>
        <w:pStyle w:val="Heading4"/>
      </w:pPr>
      <w:r w:rsidRPr="00216965">
        <w:t>Plant above-ground biomass</w:t>
      </w:r>
    </w:p>
    <w:p w14:paraId="178803CA" w14:textId="2DB716B5" w:rsidR="006B380D" w:rsidRPr="00216965" w:rsidRDefault="006B380D" w:rsidP="008A33DA">
      <w:pPr>
        <w:spacing w:line="360" w:lineRule="auto"/>
        <w:jc w:val="both"/>
      </w:pPr>
      <w:r w:rsidRPr="00216965">
        <w:t xml:space="preserve">The dry above-ground biomass data of </w:t>
      </w:r>
      <w:r w:rsidRPr="00216965">
        <w:rPr>
          <w:i/>
        </w:rPr>
        <w:t>Lolium perenne</w:t>
      </w:r>
      <w:r w:rsidRPr="00216965">
        <w:t xml:space="preserve"> and </w:t>
      </w:r>
      <w:r w:rsidR="005B17AE" w:rsidRPr="00216965">
        <w:rPr>
          <w:i/>
          <w:iCs/>
        </w:rPr>
        <w:t>Sinapsis alba</w:t>
      </w:r>
      <w:r w:rsidRPr="00216965">
        <w:t xml:space="preserve"> plants grown in the amended soils is presented in </w:t>
      </w:r>
      <w:r w:rsidRPr="00216965">
        <w:rPr>
          <w:b/>
          <w:bCs/>
          <w:lang w:val="en-US"/>
        </w:rPr>
        <w:fldChar w:fldCharType="begin"/>
      </w:r>
      <w:r w:rsidRPr="00216965">
        <w:rPr>
          <w:b/>
          <w:bCs/>
          <w:lang w:val="en-US"/>
        </w:rPr>
        <w:instrText xml:space="preserve"> REF _Ref85488109 \h  \* MERGEFORMAT </w:instrText>
      </w:r>
      <w:r w:rsidRPr="00216965">
        <w:rPr>
          <w:b/>
          <w:bCs/>
          <w:lang w:val="en-US"/>
        </w:rPr>
      </w:r>
      <w:r w:rsidRPr="00216965">
        <w:rPr>
          <w:b/>
          <w:bCs/>
          <w:lang w:val="en-US"/>
        </w:rPr>
        <w:fldChar w:fldCharType="separate"/>
      </w:r>
      <w:r w:rsidR="006E23EA" w:rsidRPr="00216965">
        <w:rPr>
          <w:b/>
          <w:bCs/>
        </w:rPr>
        <w:t xml:space="preserve">Fig. </w:t>
      </w:r>
      <w:r w:rsidR="006E23EA" w:rsidRPr="00216965">
        <w:rPr>
          <w:b/>
          <w:bCs/>
          <w:noProof/>
        </w:rPr>
        <w:t>4</w:t>
      </w:r>
      <w:r w:rsidR="006E23EA" w:rsidRPr="00216965">
        <w:rPr>
          <w:b/>
          <w:bCs/>
          <w:noProof/>
        </w:rPr>
        <w:noBreakHyphen/>
        <w:t>15</w:t>
      </w:r>
      <w:r w:rsidRPr="00216965">
        <w:rPr>
          <w:b/>
          <w:bCs/>
          <w:lang w:val="en-US"/>
        </w:rPr>
        <w:fldChar w:fldCharType="end"/>
      </w:r>
      <w:r w:rsidRPr="00216965">
        <w:rPr>
          <w:b/>
        </w:rPr>
        <w:t xml:space="preserve">. </w:t>
      </w:r>
      <w:r w:rsidRPr="00216965">
        <w:t>In the Non-spiked soil</w:t>
      </w:r>
      <w:r w:rsidRPr="00216965">
        <w:rPr>
          <w:b/>
        </w:rPr>
        <w:t xml:space="preserve"> </w:t>
      </w:r>
      <w:r w:rsidRPr="00216965">
        <w:rPr>
          <w:i/>
        </w:rPr>
        <w:t>Lolium perenne</w:t>
      </w:r>
      <w:r w:rsidRPr="00216965">
        <w:t xml:space="preserve"> biomass cultivated in the biochar-amended soils was not significantly different from the 0 % biochar treatment, regardless of biochar type or application rate. Conversely, </w:t>
      </w:r>
      <w:r w:rsidR="005B17AE" w:rsidRPr="00216965">
        <w:rPr>
          <w:i/>
          <w:iCs/>
        </w:rPr>
        <w:t>Sinapsis alba</w:t>
      </w:r>
      <w:r w:rsidR="005B17AE" w:rsidRPr="00216965">
        <w:t xml:space="preserve"> </w:t>
      </w:r>
      <w:r w:rsidRPr="00216965">
        <w:t>biomass was significantly decreased to a comparable extent with the addition of WSP550 at 1  % and 3% (p &lt; 0.01), relative to the control (0% biochar), whereas biomass from plants cultivated in MSP550-amended soil was not different from the control.</w:t>
      </w:r>
    </w:p>
    <w:p w14:paraId="58060EF5" w14:textId="643ADC9D" w:rsidR="006B380D" w:rsidRPr="00216965" w:rsidRDefault="004E3E6A" w:rsidP="008A33DA">
      <w:pPr>
        <w:spacing w:line="240" w:lineRule="auto"/>
      </w:pPr>
      <w:r w:rsidRPr="00216965">
        <w:rPr>
          <w:noProof/>
        </w:rPr>
        <w:lastRenderedPageBreak/>
        <w:drawing>
          <wp:inline distT="0" distB="0" distL="0" distR="0" wp14:anchorId="342838EC" wp14:editId="22E847C5">
            <wp:extent cx="5554980" cy="3954780"/>
            <wp:effectExtent l="0" t="0" r="7620" b="762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58959" cy="3957613"/>
                    </a:xfrm>
                    <a:prstGeom prst="rect">
                      <a:avLst/>
                    </a:prstGeom>
                    <a:noFill/>
                    <a:ln>
                      <a:noFill/>
                    </a:ln>
                  </pic:spPr>
                </pic:pic>
              </a:graphicData>
            </a:graphic>
          </wp:inline>
        </w:drawing>
      </w:r>
    </w:p>
    <w:p w14:paraId="7B78BE24" w14:textId="6229F428" w:rsidR="006B380D" w:rsidRPr="00216965" w:rsidRDefault="006B380D" w:rsidP="008A33DA">
      <w:pPr>
        <w:spacing w:after="200" w:line="240" w:lineRule="auto"/>
        <w:jc w:val="both"/>
        <w:rPr>
          <w:color w:val="000000"/>
        </w:rPr>
      </w:pPr>
      <w:bookmarkStart w:id="287" w:name="_heading=h.111kx3o"/>
      <w:bookmarkStart w:id="288" w:name="_Ref85488109"/>
      <w:bookmarkStart w:id="289" w:name="_Toc86439377"/>
      <w:bookmarkEnd w:id="287"/>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15</w:t>
      </w:r>
      <w:r w:rsidR="00BF3EBE" w:rsidRPr="00216965">
        <w:rPr>
          <w:b/>
          <w:bCs/>
        </w:rPr>
        <w:fldChar w:fldCharType="end"/>
      </w:r>
      <w:bookmarkEnd w:id="288"/>
      <w:r w:rsidRPr="00216965">
        <w:rPr>
          <w:b/>
          <w:bCs/>
        </w:rPr>
        <w:t xml:space="preserve"> </w:t>
      </w:r>
      <w:r w:rsidRPr="00216965">
        <w:rPr>
          <w:b/>
          <w:bCs/>
          <w:color w:val="000000"/>
        </w:rPr>
        <w:t xml:space="preserve">Boxplot of dry above-ground biomass of </w:t>
      </w:r>
      <w:r w:rsidRPr="00216965">
        <w:rPr>
          <w:b/>
          <w:bCs/>
          <w:i/>
          <w:color w:val="000000"/>
        </w:rPr>
        <w:t>Lolium perenne</w:t>
      </w:r>
      <w:r w:rsidRPr="00216965">
        <w:rPr>
          <w:b/>
          <w:bCs/>
          <w:color w:val="000000"/>
        </w:rPr>
        <w:t xml:space="preserve"> and </w:t>
      </w:r>
      <w:r w:rsidR="005B17AE" w:rsidRPr="00216965">
        <w:rPr>
          <w:b/>
          <w:bCs/>
          <w:i/>
          <w:iCs/>
          <w:color w:val="000000"/>
        </w:rPr>
        <w:t>Sinapsis alba</w:t>
      </w:r>
      <w:r w:rsidRPr="00216965">
        <w:rPr>
          <w:b/>
          <w:bCs/>
          <w:color w:val="000000"/>
        </w:rPr>
        <w:t xml:space="preserve"> amended with biochars WSP550 and MSP550 at 0, 1 and 3 % (</w:t>
      </w:r>
      <w:r w:rsidRPr="00216965">
        <w:rPr>
          <w:b/>
          <w:bCs/>
          <w:i/>
          <w:iCs/>
          <w:color w:val="000000"/>
        </w:rPr>
        <w:t>w/w</w:t>
      </w:r>
      <w:r w:rsidRPr="00216965">
        <w:rPr>
          <w:b/>
          <w:bCs/>
          <w:color w:val="000000"/>
        </w:rPr>
        <w:t>) in soils artificially contaminated with Pb, Cd, Zn and a ternary mixture of these elements</w:t>
      </w:r>
      <w:r w:rsidRPr="00216965">
        <w:rPr>
          <w:color w:val="000000"/>
        </w:rPr>
        <w:t>. Growth period 30 days. Different letters indicate significant differences between treatments according to Tukey post hoc test (α</w:t>
      </w:r>
      <w:r w:rsidR="001C7822" w:rsidRPr="00216965">
        <w:rPr>
          <w:color w:val="000000"/>
        </w:rPr>
        <w:t xml:space="preserve"> </w:t>
      </w:r>
      <w:r w:rsidRPr="00216965">
        <w:rPr>
          <w:color w:val="000000"/>
        </w:rPr>
        <w:t>= 0.05), n= 4, ns= no significant differences between treatments.</w:t>
      </w:r>
      <w:bookmarkEnd w:id="289"/>
    </w:p>
    <w:p w14:paraId="622375EB" w14:textId="1F25D347" w:rsidR="006B380D" w:rsidRPr="00216965" w:rsidRDefault="006B380D" w:rsidP="008A33DA">
      <w:pPr>
        <w:spacing w:line="360" w:lineRule="auto"/>
        <w:jc w:val="both"/>
      </w:pPr>
      <w:r w:rsidRPr="00216965">
        <w:t xml:space="preserve">In the Pb-spiked soil, the dry above-ground biomass of both plants cultivated in the biochar-amended soils was not significantly different from plants grown in 0% biochar treatment. In the Cd-spiked soil there were no significant differences in the biomass of </w:t>
      </w:r>
      <w:r w:rsidRPr="00216965">
        <w:rPr>
          <w:i/>
        </w:rPr>
        <w:t>Lolium perenne</w:t>
      </w:r>
      <w:r w:rsidRPr="00216965">
        <w:t xml:space="preserve"> (p &gt; 0.05); however </w:t>
      </w:r>
      <w:r w:rsidR="001A73A8" w:rsidRPr="00216965">
        <w:rPr>
          <w:i/>
          <w:iCs/>
        </w:rPr>
        <w:t>Sinapsis alba</w:t>
      </w:r>
      <w:r w:rsidRPr="00216965">
        <w:t xml:space="preserve"> biomass was significantly reduced by both biochars to the same extent, regardless of application rate (p &lt; 0.01). In the Zn-spiked soil, </w:t>
      </w:r>
      <w:r w:rsidRPr="00216965">
        <w:rPr>
          <w:i/>
        </w:rPr>
        <w:t>Lolium perenne</w:t>
      </w:r>
      <w:r w:rsidRPr="00216965">
        <w:t xml:space="preserve"> biomass was significantly increased with the addition of MSP550 at 1% and 3%, whereas </w:t>
      </w:r>
      <w:r w:rsidR="001A73A8" w:rsidRPr="00216965">
        <w:rPr>
          <w:i/>
          <w:iCs/>
        </w:rPr>
        <w:t>Sinapsis alba</w:t>
      </w:r>
      <w:r w:rsidRPr="00216965">
        <w:t xml:space="preserve"> biomass was significantly increased with the same biochar at 3%. Conversely, regardless of biochar or application rate, the dry biomass of plants grown in the Mix-spiked soil treated with biochars was not significantly different from the control (0% biochar) (p &gt; 0.05). </w:t>
      </w:r>
    </w:p>
    <w:p w14:paraId="056FA88B" w14:textId="77777777" w:rsidR="006B380D" w:rsidRPr="00216965" w:rsidRDefault="006B380D" w:rsidP="008A33DA">
      <w:pPr>
        <w:pStyle w:val="Heading4"/>
      </w:pPr>
      <w:r w:rsidRPr="00216965">
        <w:lastRenderedPageBreak/>
        <w:t>Toxicological bioavailability of HMs</w:t>
      </w:r>
    </w:p>
    <w:p w14:paraId="27A18CC0" w14:textId="642051B7" w:rsidR="006B380D" w:rsidRPr="00216965" w:rsidRDefault="006B380D" w:rsidP="008A33DA">
      <w:pPr>
        <w:spacing w:line="360" w:lineRule="auto"/>
        <w:jc w:val="both"/>
      </w:pPr>
      <w:r w:rsidRPr="00216965">
        <w:t xml:space="preserve">The concentration of HMs in plant above-ground tissue of </w:t>
      </w:r>
      <w:r w:rsidRPr="00216965">
        <w:rPr>
          <w:i/>
        </w:rPr>
        <w:t>Lolium perenne</w:t>
      </w:r>
      <w:r w:rsidRPr="00216965">
        <w:t xml:space="preserve"> and </w:t>
      </w:r>
      <w:r w:rsidR="001A73A8" w:rsidRPr="00216965">
        <w:rPr>
          <w:i/>
          <w:iCs/>
        </w:rPr>
        <w:t>Sinapsis alba</w:t>
      </w:r>
      <w:r w:rsidRPr="00216965">
        <w:t xml:space="preserve"> is presented in </w:t>
      </w:r>
      <w:r w:rsidRPr="00216965">
        <w:rPr>
          <w:b/>
          <w:bCs/>
          <w:lang w:val="en-US"/>
        </w:rPr>
        <w:fldChar w:fldCharType="begin"/>
      </w:r>
      <w:r w:rsidRPr="00216965">
        <w:rPr>
          <w:b/>
          <w:bCs/>
          <w:lang w:val="en-US"/>
        </w:rPr>
        <w:instrText xml:space="preserve"> REF _Ref85483468 \h  \* MERGEFORMAT </w:instrText>
      </w:r>
      <w:r w:rsidRPr="00216965">
        <w:rPr>
          <w:b/>
          <w:bCs/>
          <w:lang w:val="en-US"/>
        </w:rPr>
      </w:r>
      <w:r w:rsidRPr="00216965">
        <w:rPr>
          <w:b/>
          <w:bCs/>
          <w:lang w:val="en-US"/>
        </w:rPr>
        <w:fldChar w:fldCharType="separate"/>
      </w:r>
      <w:r w:rsidR="006E23EA" w:rsidRPr="00216965">
        <w:rPr>
          <w:b/>
          <w:bCs/>
        </w:rPr>
        <w:t xml:space="preserve">Fig. </w:t>
      </w:r>
      <w:r w:rsidR="006E23EA" w:rsidRPr="00216965">
        <w:rPr>
          <w:b/>
          <w:bCs/>
          <w:noProof/>
        </w:rPr>
        <w:t>4</w:t>
      </w:r>
      <w:r w:rsidR="006E23EA" w:rsidRPr="00216965">
        <w:rPr>
          <w:b/>
          <w:bCs/>
          <w:noProof/>
        </w:rPr>
        <w:noBreakHyphen/>
        <w:t>16</w:t>
      </w:r>
      <w:r w:rsidRPr="00216965">
        <w:rPr>
          <w:b/>
          <w:bCs/>
          <w:lang w:val="en-US"/>
        </w:rPr>
        <w:fldChar w:fldCharType="end"/>
      </w:r>
      <w:r w:rsidRPr="00216965">
        <w:rPr>
          <w:b/>
        </w:rPr>
        <w:t xml:space="preserve">. </w:t>
      </w:r>
      <w:r w:rsidRPr="00216965">
        <w:t xml:space="preserve">Overall, biochar addition to the Non-spiked soil did not cause significant differences in HM tissue concentrations relative to the 0% biochar plants, except for </w:t>
      </w:r>
      <w:r w:rsidR="001A73A8" w:rsidRPr="00216965">
        <w:rPr>
          <w:i/>
          <w:iCs/>
        </w:rPr>
        <w:t>Sinapsis alba</w:t>
      </w:r>
      <w:r w:rsidRPr="00216965">
        <w:t xml:space="preserve"> plants grown in WSP550-amended soil which demonstrated an increase in Cd concentration in plant tissue at 1% and 3% additions. This increase is consistent with the slight increase in bioavailable Cd observed in this treatment (</w:t>
      </w:r>
      <w:r w:rsidRPr="00216965">
        <w:rPr>
          <w:b/>
          <w:bCs/>
          <w:lang w:val="en-US"/>
        </w:rPr>
        <w:t xml:space="preserve">section </w:t>
      </w:r>
      <w:r w:rsidRPr="00216965">
        <w:rPr>
          <w:b/>
          <w:bCs/>
          <w:lang w:val="en-US"/>
        </w:rPr>
        <w:fldChar w:fldCharType="begin"/>
      </w:r>
      <w:r w:rsidRPr="00216965">
        <w:rPr>
          <w:b/>
          <w:bCs/>
          <w:lang w:val="en-US"/>
        </w:rPr>
        <w:instrText xml:space="preserve"> REF _Ref86405881 \r \h </w:instrText>
      </w:r>
      <w:r w:rsidRPr="00216965">
        <w:rPr>
          <w:b/>
          <w:bCs/>
          <w:lang w:val="en-US"/>
        </w:rPr>
      </w:r>
      <w:r w:rsidR="00216965" w:rsidRPr="00216965">
        <w:rPr>
          <w:b/>
          <w:bCs/>
          <w:lang w:val="en-US"/>
        </w:rPr>
        <w:instrText xml:space="preserve"> \* MERGEFORMAT </w:instrText>
      </w:r>
      <w:r w:rsidRPr="00216965">
        <w:rPr>
          <w:b/>
          <w:bCs/>
          <w:lang w:val="en-US"/>
        </w:rPr>
        <w:fldChar w:fldCharType="separate"/>
      </w:r>
      <w:r w:rsidR="006E23EA" w:rsidRPr="00216965">
        <w:rPr>
          <w:b/>
          <w:bCs/>
          <w:lang w:val="en-US"/>
        </w:rPr>
        <w:t>4.3.3.1</w:t>
      </w:r>
      <w:r w:rsidRPr="00216965">
        <w:rPr>
          <w:b/>
          <w:bCs/>
          <w:lang w:val="en-US"/>
        </w:rPr>
        <w:fldChar w:fldCharType="end"/>
      </w:r>
      <w:r w:rsidRPr="00216965">
        <w:t>).</w:t>
      </w:r>
    </w:p>
    <w:p w14:paraId="7BA17AB0" w14:textId="69E7F552" w:rsidR="006B380D" w:rsidRPr="00216965" w:rsidRDefault="006B380D" w:rsidP="008A33DA">
      <w:pPr>
        <w:spacing w:line="360" w:lineRule="auto"/>
        <w:jc w:val="both"/>
      </w:pPr>
      <w:r w:rsidRPr="00216965">
        <w:t xml:space="preserve">In the Pb-spiked soil, none of the biochars/rates significantly reduced tissue Pb concentrations relative to the control soil (0%), regardless of the plant species (p &gt; 0.05). In the Cd- and Zn-spiked soils cultivated with </w:t>
      </w:r>
      <w:r w:rsidRPr="00216965">
        <w:rPr>
          <w:i/>
        </w:rPr>
        <w:t>Lolium perenne</w:t>
      </w:r>
      <w:r w:rsidRPr="00216965">
        <w:t xml:space="preserve">, tissue HM concentrations tended to decrease with increasing application rates from 1% to 3 %. However, only MSP550 at 3% caused a significant reduction in Cd concentration to 37% of the control (0% biochar), whereas significant reductions in Zn concentrations of 20% and 19% of the control were observed, respectively, with WSP550 and MSP550 at 3% additions. No significant differences in Cd concentrations in </w:t>
      </w:r>
      <w:r w:rsidR="001A73A8" w:rsidRPr="00216965">
        <w:rPr>
          <w:i/>
          <w:iCs/>
        </w:rPr>
        <w:t>Sinapsis alba</w:t>
      </w:r>
      <w:r w:rsidRPr="00216965">
        <w:t xml:space="preserve"> were observed, whereas WSP550 added at 3% significantly decreased Zn concentrations in this plant by 72% of the control (0% biochar).</w:t>
      </w:r>
    </w:p>
    <w:p w14:paraId="7CECA313" w14:textId="77AD6903" w:rsidR="006B380D" w:rsidRPr="00216965" w:rsidRDefault="006B380D" w:rsidP="008A33DA">
      <w:pPr>
        <w:spacing w:line="360" w:lineRule="auto"/>
        <w:jc w:val="both"/>
      </w:pPr>
      <w:r w:rsidRPr="00216965">
        <w:t xml:space="preserve">In the Mix-spiked soil,  none of the biochars were able to reduce tissue HM concentrations in </w:t>
      </w:r>
      <w:r w:rsidRPr="00216965">
        <w:rPr>
          <w:i/>
        </w:rPr>
        <w:t>Lolium perenn</w:t>
      </w:r>
      <w:r w:rsidRPr="00216965">
        <w:t xml:space="preserve">e or </w:t>
      </w:r>
      <w:r w:rsidR="001A73A8" w:rsidRPr="00216965">
        <w:rPr>
          <w:i/>
          <w:iCs/>
        </w:rPr>
        <w:t>Sinapsis alba</w:t>
      </w:r>
      <w:r w:rsidRPr="00216965">
        <w:t xml:space="preserve"> (p &gt; 0.05). However, the WSP550 added at 1% significantly reduced the Cd concentration in </w:t>
      </w:r>
      <w:r w:rsidR="001A73A8" w:rsidRPr="00216965">
        <w:rPr>
          <w:i/>
          <w:iCs/>
        </w:rPr>
        <w:t>Sinapsis alba</w:t>
      </w:r>
      <w:r w:rsidRPr="00216965">
        <w:t xml:space="preserve"> plants by 52% of the control.</w:t>
      </w:r>
    </w:p>
    <w:p w14:paraId="1D391AE6" w14:textId="25CDB130" w:rsidR="006B380D" w:rsidRPr="00216965" w:rsidRDefault="004E3E6A" w:rsidP="008A33DA">
      <w:pPr>
        <w:spacing w:after="0" w:line="360" w:lineRule="auto"/>
        <w:jc w:val="center"/>
      </w:pPr>
      <w:r w:rsidRPr="00216965">
        <w:rPr>
          <w:noProof/>
        </w:rPr>
        <w:lastRenderedPageBreak/>
        <w:drawing>
          <wp:inline distT="0" distB="0" distL="0" distR="0" wp14:anchorId="3F956327" wp14:editId="055C4116">
            <wp:extent cx="5400040" cy="7383780"/>
            <wp:effectExtent l="0" t="0" r="0" b="762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7383780"/>
                    </a:xfrm>
                    <a:prstGeom prst="rect">
                      <a:avLst/>
                    </a:prstGeom>
                    <a:noFill/>
                    <a:ln>
                      <a:noFill/>
                    </a:ln>
                  </pic:spPr>
                </pic:pic>
              </a:graphicData>
            </a:graphic>
          </wp:inline>
        </w:drawing>
      </w:r>
    </w:p>
    <w:p w14:paraId="32C99AEF" w14:textId="19655D97" w:rsidR="006B380D" w:rsidRPr="00216965" w:rsidRDefault="006B380D" w:rsidP="008A33DA">
      <w:pPr>
        <w:spacing w:after="200" w:line="240" w:lineRule="auto"/>
        <w:jc w:val="both"/>
        <w:rPr>
          <w:color w:val="000000"/>
        </w:rPr>
      </w:pPr>
      <w:bookmarkStart w:id="290" w:name="_heading=h.3l18frh"/>
      <w:bookmarkStart w:id="291" w:name="_Ref85483468"/>
      <w:bookmarkStart w:id="292" w:name="_Toc86439378"/>
      <w:bookmarkEnd w:id="290"/>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16</w:t>
      </w:r>
      <w:r w:rsidR="00BF3EBE" w:rsidRPr="00216965">
        <w:rPr>
          <w:b/>
          <w:bCs/>
        </w:rPr>
        <w:fldChar w:fldCharType="end"/>
      </w:r>
      <w:bookmarkEnd w:id="291"/>
      <w:r w:rsidRPr="00216965">
        <w:rPr>
          <w:b/>
          <w:bCs/>
        </w:rPr>
        <w:t xml:space="preserve"> </w:t>
      </w:r>
      <w:r w:rsidRPr="00216965">
        <w:rPr>
          <w:b/>
          <w:bCs/>
          <w:color w:val="000000"/>
        </w:rPr>
        <w:t>Boxplot of concentration of HMs in above-ground tissue of plants grown in soils artificially contaminated with Pb, Cd, Zn and a ternary mixture of these elements amended with biochars WSP550 and MSP550 at 0, 1 and 3% (</w:t>
      </w:r>
      <w:r w:rsidRPr="00216965">
        <w:rPr>
          <w:b/>
          <w:bCs/>
          <w:i/>
          <w:iCs/>
          <w:color w:val="000000"/>
        </w:rPr>
        <w:t>w/w</w:t>
      </w:r>
      <w:r w:rsidRPr="00216965">
        <w:rPr>
          <w:b/>
          <w:bCs/>
          <w:color w:val="000000"/>
        </w:rPr>
        <w:t>).</w:t>
      </w:r>
      <w:r w:rsidRPr="00216965">
        <w:rPr>
          <w:color w:val="000000"/>
        </w:rPr>
        <w:t xml:space="preserve"> A) </w:t>
      </w:r>
      <w:r w:rsidRPr="00216965">
        <w:rPr>
          <w:i/>
          <w:color w:val="000000"/>
        </w:rPr>
        <w:t xml:space="preserve">Lolium perenne </w:t>
      </w:r>
      <w:r w:rsidRPr="00216965">
        <w:rPr>
          <w:color w:val="000000"/>
        </w:rPr>
        <w:t xml:space="preserve">and B) </w:t>
      </w:r>
      <w:r w:rsidR="001A73A8" w:rsidRPr="00216965">
        <w:rPr>
          <w:i/>
          <w:iCs/>
        </w:rPr>
        <w:t>Sinapsis alba</w:t>
      </w:r>
      <w:r w:rsidRPr="00216965">
        <w:rPr>
          <w:color w:val="000000"/>
        </w:rPr>
        <w:t>. Growth period 30 days. Different letters indicate significant differences between treatments according to Tukey post hoc test (α= 0.05), n= 4, ns= no significant differences between treatments.</w:t>
      </w:r>
      <w:bookmarkEnd w:id="292"/>
    </w:p>
    <w:p w14:paraId="7B499132" w14:textId="77777777" w:rsidR="006B380D" w:rsidRPr="00216965" w:rsidRDefault="006B380D" w:rsidP="008A33DA">
      <w:pPr>
        <w:pStyle w:val="Heading4"/>
      </w:pPr>
      <w:r w:rsidRPr="00216965">
        <w:lastRenderedPageBreak/>
        <w:t>Effect of biochar on soil pH and EC</w:t>
      </w:r>
    </w:p>
    <w:p w14:paraId="50542B37" w14:textId="46EBBA10" w:rsidR="006B380D" w:rsidRPr="00216965" w:rsidRDefault="006B380D" w:rsidP="008A33DA">
      <w:pPr>
        <w:spacing w:line="360" w:lineRule="auto"/>
        <w:jc w:val="both"/>
      </w:pPr>
      <w:r w:rsidRPr="00216965">
        <w:t xml:space="preserve">The results of soil pH and EC are presented in </w:t>
      </w:r>
      <w:r w:rsidRPr="00216965">
        <w:rPr>
          <w:b/>
          <w:bCs/>
        </w:rPr>
        <w:fldChar w:fldCharType="begin"/>
      </w:r>
      <w:r w:rsidRPr="00216965">
        <w:rPr>
          <w:b/>
          <w:bCs/>
        </w:rPr>
        <w:instrText xml:space="preserve"> REF _Ref85572402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17</w:t>
      </w:r>
      <w:r w:rsidRPr="00216965">
        <w:rPr>
          <w:b/>
          <w:bCs/>
        </w:rPr>
        <w:fldChar w:fldCharType="end"/>
      </w:r>
      <w:r w:rsidRPr="00216965">
        <w:t>. Overall, soil pH tended to increase with addition of biochars; in four of five soil treatments the addition of biochars at 3% significantly increased the pH relative to the control soil (0% biochar) by 0.3-0.7 pH units. Similarly, electric conductivity (EC) tended to increase with biochar additions, however this was not observed in the Non-spiked soil, Pb-spiked soil (</w:t>
      </w:r>
      <w:r w:rsidR="001A73A8" w:rsidRPr="00216965">
        <w:rPr>
          <w:i/>
          <w:iCs/>
        </w:rPr>
        <w:t>Sinapsis alba</w:t>
      </w:r>
      <w:r w:rsidRPr="00216965">
        <w:t>), and Zn-spiked soil (</w:t>
      </w:r>
      <w:r w:rsidRPr="00216965">
        <w:rPr>
          <w:i/>
        </w:rPr>
        <w:t>Lolium perenne</w:t>
      </w:r>
      <w:r w:rsidRPr="00216965">
        <w:t>), which were not different from the control. These results are consistent with the findings of Experiment A (</w:t>
      </w:r>
      <w:r w:rsidRPr="00216965">
        <w:rPr>
          <w:b/>
          <w:bCs/>
        </w:rPr>
        <w:fldChar w:fldCharType="begin"/>
      </w:r>
      <w:r w:rsidRPr="00216965">
        <w:rPr>
          <w:b/>
          <w:bCs/>
        </w:rPr>
        <w:instrText xml:space="preserve"> REF _Ref86060878 \h </w:instrText>
      </w:r>
      <w:r w:rsidRPr="00216965">
        <w:rPr>
          <w:b/>
          <w:bCs/>
        </w:rPr>
      </w:r>
      <w:r w:rsidR="00216965" w:rsidRPr="00216965">
        <w:rPr>
          <w:b/>
          <w:bCs/>
        </w:rPr>
        <w:instrText xml:space="preserve"> \* MERGEFORMAT </w:instrText>
      </w:r>
      <w:r w:rsidRPr="00216965">
        <w:rPr>
          <w:b/>
          <w:bCs/>
        </w:rPr>
        <w:fldChar w:fldCharType="separate"/>
      </w:r>
      <w:r w:rsidR="006E23EA" w:rsidRPr="00216965">
        <w:rPr>
          <w:b/>
          <w:bCs/>
        </w:rPr>
        <w:t xml:space="preserve">Fig. </w:t>
      </w:r>
      <w:r w:rsidR="006E23EA" w:rsidRPr="00216965">
        <w:rPr>
          <w:b/>
          <w:bCs/>
          <w:noProof/>
        </w:rPr>
        <w:t>4</w:t>
      </w:r>
      <w:r w:rsidR="006E23EA" w:rsidRPr="00216965">
        <w:rPr>
          <w:b/>
          <w:bCs/>
        </w:rPr>
        <w:noBreakHyphen/>
      </w:r>
      <w:r w:rsidR="006E23EA" w:rsidRPr="00216965">
        <w:rPr>
          <w:b/>
          <w:bCs/>
          <w:noProof/>
        </w:rPr>
        <w:t>11</w:t>
      </w:r>
      <w:r w:rsidRPr="00216965">
        <w:rPr>
          <w:b/>
          <w:bCs/>
        </w:rPr>
        <w:fldChar w:fldCharType="end"/>
      </w:r>
      <w:r w:rsidRPr="00216965">
        <w:t xml:space="preserve">).  </w:t>
      </w:r>
    </w:p>
    <w:p w14:paraId="480AC727" w14:textId="77777777" w:rsidR="006B380D" w:rsidRPr="00216965" w:rsidRDefault="006B380D" w:rsidP="008A33DA">
      <w:pPr>
        <w:pStyle w:val="Heading4"/>
      </w:pPr>
      <w:r w:rsidRPr="00216965">
        <w:t>Correlation between soil properties, HM bioavailability and plant growth</w:t>
      </w:r>
    </w:p>
    <w:p w14:paraId="60870BC4" w14:textId="76EA2A4B" w:rsidR="006B380D" w:rsidRPr="00216965" w:rsidRDefault="006B380D" w:rsidP="008A33DA">
      <w:pPr>
        <w:spacing w:line="360" w:lineRule="auto"/>
        <w:jc w:val="both"/>
      </w:pPr>
      <w:r w:rsidRPr="00216965">
        <w:t xml:space="preserve">The cross-correlation matrix performed with the information available for </w:t>
      </w:r>
      <w:r w:rsidRPr="00216965">
        <w:rPr>
          <w:i/>
        </w:rPr>
        <w:t>Lolium perenne</w:t>
      </w:r>
      <w:r w:rsidRPr="00216965">
        <w:t xml:space="preserve"> treatments is presented in </w:t>
      </w:r>
      <w:r w:rsidRPr="00216965">
        <w:rPr>
          <w:b/>
          <w:bCs/>
        </w:rPr>
        <w:fldChar w:fldCharType="begin"/>
      </w:r>
      <w:r w:rsidRPr="00216965">
        <w:rPr>
          <w:b/>
          <w:bCs/>
        </w:rPr>
        <w:instrText xml:space="preserve"> REF _Ref85572885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18</w:t>
      </w:r>
      <w:r w:rsidRPr="00216965">
        <w:rPr>
          <w:b/>
          <w:bCs/>
        </w:rPr>
        <w:fldChar w:fldCharType="end"/>
      </w:r>
      <w:r w:rsidRPr="00216965">
        <w:rPr>
          <w:b/>
          <w:bCs/>
        </w:rPr>
        <w:t xml:space="preserve"> </w:t>
      </w:r>
      <w:r w:rsidRPr="00216965">
        <w:t xml:space="preserve">and for the </w:t>
      </w:r>
      <w:r w:rsidR="001A73A8" w:rsidRPr="00216965">
        <w:rPr>
          <w:i/>
          <w:iCs/>
        </w:rPr>
        <w:t>Sinapsis alba</w:t>
      </w:r>
      <w:r w:rsidRPr="00216965">
        <w:t xml:space="preserve"> treatments in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w:t>
      </w:r>
      <w:r w:rsidRPr="00216965">
        <w:rPr>
          <w:b/>
        </w:rPr>
        <w:t xml:space="preserve"> </w:t>
      </w:r>
      <w:r w:rsidRPr="00216965">
        <w:t>Overall,</w:t>
      </w:r>
      <w:r w:rsidRPr="00216965">
        <w:rPr>
          <w:b/>
        </w:rPr>
        <w:t xml:space="preserve"> </w:t>
      </w:r>
      <w:r w:rsidRPr="00216965">
        <w:t xml:space="preserve">plant growth (on dry above-ground biomass basis) was negatively affected by bioavailable and tissue concentrations of Pb, Cd and Zn. Besides, </w:t>
      </w:r>
      <w:r w:rsidR="001A73A8" w:rsidRPr="00216965">
        <w:rPr>
          <w:i/>
          <w:iCs/>
        </w:rPr>
        <w:t>Sinapsis alba</w:t>
      </w:r>
      <w:r w:rsidRPr="00216965">
        <w:t xml:space="preserve"> biomass was negatively affected by biochar application rate, which was not the case for </w:t>
      </w:r>
      <w:r w:rsidRPr="00216965">
        <w:rPr>
          <w:i/>
        </w:rPr>
        <w:t>Lolium perenne</w:t>
      </w:r>
      <w:r w:rsidRPr="00216965">
        <w:t>.</w:t>
      </w:r>
      <w:r w:rsidRPr="00216965">
        <w:rPr>
          <w:b/>
        </w:rPr>
        <w:t xml:space="preserve"> </w:t>
      </w:r>
      <w:r w:rsidRPr="00216965">
        <w:t>Overall, biochar application rates were positively correlated to soil pH. At the same time</w:t>
      </w:r>
      <w:r w:rsidRPr="00216965">
        <w:rPr>
          <w:b/>
        </w:rPr>
        <w:t xml:space="preserve"> s</w:t>
      </w:r>
      <w:r w:rsidRPr="00216965">
        <w:t xml:space="preserve">oil pH affected the bioavailability of some elements that determine plant growth, for example, bioavailable Ca, Mn and Mg were negatively correlated with soil pH, whereas bioavailable K was positively correlated. In both </w:t>
      </w:r>
      <w:r w:rsidRPr="00216965">
        <w:rPr>
          <w:i/>
        </w:rPr>
        <w:t>Lolium perenn</w:t>
      </w:r>
      <w:r w:rsidRPr="00216965">
        <w:t xml:space="preserve">e and </w:t>
      </w:r>
      <w:r w:rsidR="001A73A8" w:rsidRPr="00216965">
        <w:rPr>
          <w:i/>
          <w:iCs/>
        </w:rPr>
        <w:t>Sinapsis alba</w:t>
      </w:r>
      <w:r w:rsidRPr="00216965">
        <w:t xml:space="preserve"> treatments the application rate of biochar was positively correlated with  pH and bioavailable K.</w:t>
      </w:r>
    </w:p>
    <w:p w14:paraId="37DB4DEC" w14:textId="606FFA10" w:rsidR="006B380D" w:rsidRPr="00216965" w:rsidRDefault="006B380D" w:rsidP="008A33DA">
      <w:pPr>
        <w:spacing w:line="360" w:lineRule="auto"/>
        <w:jc w:val="both"/>
      </w:pPr>
      <w:r w:rsidRPr="00216965">
        <w:t>Bioavailable Zn was negatively correlated with pH, EC, biochar application rate and bioavailable Na and K. Bioavailable Pb was negatively correlated with pH and EC, whereas bioavailable Cd was negatively correlated with EC and Na. In addition, bioavailable Pb and Cd were significantly positively correlated to Pb and Cd tissue concentrations, however, no significant correlation was found between bioavailable Zn and Zn tissue concentration. A plot of correlations between bioavailable soil elements and pH, and between dry above-ground biomass and pH is presented in</w:t>
      </w:r>
      <w:r w:rsidR="003A7BA9" w:rsidRPr="00216965">
        <w:t xml:space="preserve"> </w:t>
      </w:r>
      <w:r w:rsidR="003A7BA9" w:rsidRPr="00216965">
        <w:rPr>
          <w:b/>
          <w:bCs/>
        </w:rPr>
        <w:fldChar w:fldCharType="begin"/>
      </w:r>
      <w:r w:rsidR="003A7BA9" w:rsidRPr="00216965">
        <w:rPr>
          <w:b/>
          <w:bCs/>
        </w:rPr>
        <w:instrText xml:space="preserve"> REF _Ref86438536 \h  \* MERGEFORMAT </w:instrText>
      </w:r>
      <w:r w:rsidR="003A7BA9" w:rsidRPr="00216965">
        <w:rPr>
          <w:b/>
          <w:bCs/>
        </w:rPr>
      </w:r>
      <w:r w:rsidR="003A7BA9" w:rsidRPr="00216965">
        <w:rPr>
          <w:b/>
          <w:bCs/>
        </w:rPr>
        <w:fldChar w:fldCharType="separate"/>
      </w:r>
      <w:r w:rsidR="006E23EA" w:rsidRPr="00216965">
        <w:rPr>
          <w:b/>
          <w:bCs/>
        </w:rPr>
        <w:t>Appendix 3</w:t>
      </w:r>
      <w:r w:rsidR="003A7BA9" w:rsidRPr="00216965">
        <w:rPr>
          <w:b/>
          <w:bCs/>
        </w:rPr>
        <w:fldChar w:fldCharType="end"/>
      </w:r>
      <w:r w:rsidR="003A7BA9" w:rsidRPr="00216965">
        <w:t>.</w:t>
      </w:r>
    </w:p>
    <w:p w14:paraId="734929E7" w14:textId="141B498A" w:rsidR="006B380D" w:rsidRPr="00216965" w:rsidRDefault="00CE6CD2" w:rsidP="008A33DA">
      <w:pPr>
        <w:spacing w:after="0" w:line="360" w:lineRule="auto"/>
      </w:pPr>
      <w:r>
        <w:rPr>
          <w:noProof/>
        </w:rPr>
        <w:lastRenderedPageBreak/>
        <w:drawing>
          <wp:inline distT="0" distB="0" distL="0" distR="0" wp14:anchorId="2668E2BE" wp14:editId="44C5B284">
            <wp:extent cx="5661660" cy="5702937"/>
            <wp:effectExtent l="0" t="0" r="0" b="0"/>
            <wp:docPr id="19" name="Picture 1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phical user interfac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63632" cy="5704923"/>
                    </a:xfrm>
                    <a:prstGeom prst="rect">
                      <a:avLst/>
                    </a:prstGeom>
                    <a:noFill/>
                    <a:ln>
                      <a:noFill/>
                    </a:ln>
                  </pic:spPr>
                </pic:pic>
              </a:graphicData>
            </a:graphic>
          </wp:inline>
        </w:drawing>
      </w:r>
    </w:p>
    <w:p w14:paraId="58D97495" w14:textId="756679E5" w:rsidR="006B380D" w:rsidRPr="00216965" w:rsidRDefault="006B380D" w:rsidP="008A33DA">
      <w:pPr>
        <w:spacing w:after="200" w:line="240" w:lineRule="auto"/>
        <w:jc w:val="both"/>
        <w:rPr>
          <w:color w:val="000000"/>
        </w:rPr>
      </w:pPr>
      <w:bookmarkStart w:id="293" w:name="_heading=h.206ipza"/>
      <w:bookmarkStart w:id="294" w:name="_Ref85572402"/>
      <w:bookmarkStart w:id="295" w:name="_Toc86439379"/>
      <w:bookmarkEnd w:id="293"/>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17</w:t>
      </w:r>
      <w:r w:rsidR="00BF3EBE" w:rsidRPr="00216965">
        <w:rPr>
          <w:b/>
          <w:bCs/>
        </w:rPr>
        <w:fldChar w:fldCharType="end"/>
      </w:r>
      <w:bookmarkEnd w:id="294"/>
      <w:r w:rsidRPr="00216965">
        <w:rPr>
          <w:b/>
          <w:bCs/>
        </w:rPr>
        <w:t xml:space="preserve"> </w:t>
      </w:r>
      <w:r w:rsidRPr="00216965">
        <w:rPr>
          <w:b/>
          <w:bCs/>
          <w:color w:val="000000"/>
        </w:rPr>
        <w:t xml:space="preserve">Effect of biochar addition to soil properties. A) soil </w:t>
      </w:r>
      <w:r w:rsidR="008563DC" w:rsidRPr="00216965">
        <w:rPr>
          <w:b/>
          <w:bCs/>
          <w:color w:val="000000"/>
        </w:rPr>
        <w:t xml:space="preserve"> </w:t>
      </w:r>
      <w:r w:rsidRPr="00216965">
        <w:rPr>
          <w:b/>
          <w:bCs/>
          <w:color w:val="000000"/>
        </w:rPr>
        <w:t xml:space="preserve">pH, B) </w:t>
      </w:r>
      <w:r w:rsidR="008563DC" w:rsidRPr="00216965">
        <w:rPr>
          <w:b/>
          <w:bCs/>
          <w:color w:val="000000"/>
        </w:rPr>
        <w:t xml:space="preserve">  </w:t>
      </w:r>
      <w:r w:rsidRPr="00216965">
        <w:rPr>
          <w:b/>
          <w:bCs/>
          <w:color w:val="000000"/>
        </w:rPr>
        <w:t xml:space="preserve">soil </w:t>
      </w:r>
      <w:r w:rsidR="008563DC" w:rsidRPr="00216965">
        <w:rPr>
          <w:b/>
          <w:bCs/>
          <w:color w:val="000000"/>
        </w:rPr>
        <w:t xml:space="preserve"> </w:t>
      </w:r>
      <w:r w:rsidRPr="00216965">
        <w:rPr>
          <w:b/>
          <w:bCs/>
          <w:color w:val="000000"/>
        </w:rPr>
        <w:t xml:space="preserve">EC </w:t>
      </w:r>
      <w:r w:rsidR="008563DC" w:rsidRPr="00216965">
        <w:rPr>
          <w:b/>
          <w:bCs/>
          <w:color w:val="000000"/>
        </w:rPr>
        <w:t xml:space="preserve"> </w:t>
      </w:r>
      <w:r w:rsidRPr="00216965">
        <w:rPr>
          <w:b/>
          <w:bCs/>
          <w:color w:val="000000"/>
        </w:rPr>
        <w:t>[μS</w:t>
      </w:r>
      <w:r w:rsidR="008563DC" w:rsidRPr="00216965">
        <w:rPr>
          <w:b/>
          <w:bCs/>
          <w:color w:val="000000"/>
        </w:rPr>
        <w:t>.cm</w:t>
      </w:r>
      <w:r w:rsidRPr="00216965">
        <w:rPr>
          <w:b/>
          <w:bCs/>
          <w:color w:val="000000"/>
          <w:vertAlign w:val="superscript"/>
        </w:rPr>
        <w:t>-1</w:t>
      </w:r>
      <w:r w:rsidRPr="00216965">
        <w:rPr>
          <w:b/>
          <w:bCs/>
          <w:color w:val="000000"/>
        </w:rPr>
        <w:t>]. Biochars WSP550 and MSP550 addition at  0, 1 and 3 % (</w:t>
      </w:r>
      <w:r w:rsidRPr="00216965">
        <w:rPr>
          <w:b/>
          <w:bCs/>
          <w:i/>
          <w:color w:val="000000"/>
        </w:rPr>
        <w:t>w/w</w:t>
      </w:r>
      <w:r w:rsidRPr="00216965">
        <w:rPr>
          <w:b/>
          <w:bCs/>
          <w:color w:val="000000"/>
        </w:rPr>
        <w:t>).</w:t>
      </w:r>
      <w:r w:rsidRPr="00216965">
        <w:rPr>
          <w:color w:val="000000"/>
        </w:rPr>
        <w:t xml:space="preserve"> Incubation period 40 days. Different letters indicate significant differences between treatments according to Tukey post hoc test (α= 0.05), n= 4, ns= no significant differences between treatments.</w:t>
      </w:r>
      <w:bookmarkEnd w:id="295"/>
    </w:p>
    <w:p w14:paraId="295A6719" w14:textId="2DA4CBE3" w:rsidR="006B380D" w:rsidRPr="00216965" w:rsidRDefault="006B380D" w:rsidP="008A33DA">
      <w:pPr>
        <w:spacing w:line="360" w:lineRule="auto"/>
      </w:pPr>
      <w:r w:rsidRPr="00216965">
        <w:rPr>
          <w:noProof/>
        </w:rPr>
        <w:lastRenderedPageBreak/>
        <w:drawing>
          <wp:inline distT="0" distB="0" distL="0" distR="0" wp14:anchorId="7C900ED6" wp14:editId="6C5901BE">
            <wp:extent cx="4219575" cy="5457825"/>
            <wp:effectExtent l="0" t="0" r="9525" b="9525"/>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Char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9575" cy="5457825"/>
                    </a:xfrm>
                    <a:prstGeom prst="rect">
                      <a:avLst/>
                    </a:prstGeom>
                    <a:noFill/>
                    <a:ln>
                      <a:noFill/>
                    </a:ln>
                  </pic:spPr>
                </pic:pic>
              </a:graphicData>
            </a:graphic>
          </wp:inline>
        </w:drawing>
      </w:r>
    </w:p>
    <w:p w14:paraId="0C32044D" w14:textId="6B46D5E0" w:rsidR="006B380D" w:rsidRPr="00216965" w:rsidRDefault="006B380D" w:rsidP="008A33DA">
      <w:pPr>
        <w:spacing w:after="200" w:line="240" w:lineRule="auto"/>
        <w:jc w:val="both"/>
        <w:rPr>
          <w:color w:val="000000"/>
        </w:rPr>
      </w:pPr>
      <w:bookmarkStart w:id="296" w:name="_heading=h.4k668n3"/>
      <w:bookmarkStart w:id="297" w:name="_Ref85572885"/>
      <w:bookmarkStart w:id="298" w:name="_Toc86439380"/>
      <w:bookmarkEnd w:id="296"/>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18</w:t>
      </w:r>
      <w:r w:rsidR="00BF3EBE" w:rsidRPr="00216965">
        <w:rPr>
          <w:b/>
          <w:bCs/>
        </w:rPr>
        <w:fldChar w:fldCharType="end"/>
      </w:r>
      <w:bookmarkEnd w:id="297"/>
      <w:r w:rsidRPr="00216965">
        <w:rPr>
          <w:b/>
          <w:bCs/>
        </w:rPr>
        <w:t xml:space="preserve"> </w:t>
      </w:r>
      <w:r w:rsidRPr="00216965">
        <w:rPr>
          <w:b/>
          <w:bCs/>
          <w:color w:val="000000"/>
        </w:rPr>
        <w:t xml:space="preserve">Plot showing correlation between soil properties, bioavailable HMs and tissue </w:t>
      </w:r>
      <w:r w:rsidRPr="00216965">
        <w:rPr>
          <w:b/>
          <w:bCs/>
        </w:rPr>
        <w:t xml:space="preserve">HM </w:t>
      </w:r>
      <w:r w:rsidRPr="00216965">
        <w:rPr>
          <w:b/>
          <w:bCs/>
          <w:color w:val="000000"/>
        </w:rPr>
        <w:t xml:space="preserve">concentrations in the </w:t>
      </w:r>
      <w:r w:rsidRPr="00216965">
        <w:rPr>
          <w:b/>
          <w:bCs/>
          <w:i/>
          <w:color w:val="000000"/>
        </w:rPr>
        <w:t>Lolium perenne</w:t>
      </w:r>
      <w:r w:rsidRPr="00216965">
        <w:rPr>
          <w:b/>
          <w:bCs/>
          <w:color w:val="000000"/>
        </w:rPr>
        <w:t xml:space="preserve"> treatment.</w:t>
      </w:r>
      <w:r w:rsidRPr="00216965">
        <w:rPr>
          <w:color w:val="000000"/>
        </w:rPr>
        <w:t xml:space="preserve"> Data used: Cd, Pb, Zn, B, Cu, Na, K, Ca, Mg, Mn, Fe, Mo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extracts mg.kg</w:t>
      </w:r>
      <w:r w:rsidRPr="00216965">
        <w:rPr>
          <w:color w:val="000000"/>
          <w:vertAlign w:val="superscript"/>
        </w:rPr>
        <w:t>-1</w:t>
      </w:r>
      <w:r w:rsidRPr="00216965">
        <w:rPr>
          <w:color w:val="000000"/>
        </w:rPr>
        <w:t>), pH (soil pH), EC (soil electrical conductivity, μS</w:t>
      </w:r>
      <w:r w:rsidR="008563DC" w:rsidRPr="00216965">
        <w:rPr>
          <w:color w:val="000000"/>
        </w:rPr>
        <w:t>.cm</w:t>
      </w:r>
      <w:r w:rsidRPr="00216965">
        <w:rPr>
          <w:color w:val="000000"/>
          <w:vertAlign w:val="superscript"/>
        </w:rPr>
        <w:t>-1</w:t>
      </w:r>
      <w:r w:rsidRPr="00216965">
        <w:rPr>
          <w:color w:val="000000"/>
        </w:rPr>
        <w:t>), HM_tissue (HM tissue concentration of mg.g</w:t>
      </w:r>
      <w:r w:rsidRPr="00216965">
        <w:rPr>
          <w:color w:val="000000"/>
          <w:vertAlign w:val="superscript"/>
        </w:rPr>
        <w:t>-1</w:t>
      </w:r>
      <w:r w:rsidRPr="00216965">
        <w:rPr>
          <w:color w:val="000000"/>
        </w:rPr>
        <w:t>), dry above-ground biomass (mg.pot</w:t>
      </w:r>
      <w:r w:rsidRPr="00216965">
        <w:rPr>
          <w:color w:val="000000"/>
          <w:vertAlign w:val="superscript"/>
        </w:rPr>
        <w:t>-1</w:t>
      </w:r>
      <w:r w:rsidRPr="00216965">
        <w:rPr>
          <w:color w:val="000000"/>
        </w:rPr>
        <w:t xml:space="preserve">), Rate (biochar application % </w:t>
      </w:r>
      <w:r w:rsidRPr="00216965">
        <w:rPr>
          <w:i/>
          <w:color w:val="000000"/>
        </w:rPr>
        <w:t>w/w</w:t>
      </w:r>
      <w:r w:rsidRPr="00216965">
        <w:rPr>
          <w:color w:val="000000"/>
        </w:rPr>
        <w:t xml:space="preserve">). Values in the matrix are the correlation coefficient (R) for parameters which </w:t>
      </w:r>
      <w:r w:rsidRPr="00216965">
        <w:t xml:space="preserve">had a </w:t>
      </w:r>
      <w:r w:rsidRPr="00216965">
        <w:rPr>
          <w:color w:val="000000"/>
        </w:rPr>
        <w:t>correlation p &lt; 0.05, non-significant correlations are shown in blank, α=0.05.</w:t>
      </w:r>
      <w:bookmarkEnd w:id="298"/>
    </w:p>
    <w:p w14:paraId="75DBA5C2" w14:textId="1A48DF40" w:rsidR="006B380D" w:rsidRPr="00216965" w:rsidRDefault="006B380D" w:rsidP="008A33DA">
      <w:pPr>
        <w:spacing w:line="360" w:lineRule="auto"/>
      </w:pPr>
      <w:r w:rsidRPr="00216965">
        <w:rPr>
          <w:noProof/>
        </w:rPr>
        <w:lastRenderedPageBreak/>
        <w:drawing>
          <wp:inline distT="0" distB="0" distL="0" distR="0" wp14:anchorId="3D961D01" wp14:editId="3E3BE18E">
            <wp:extent cx="5229225" cy="4524375"/>
            <wp:effectExtent l="0" t="0" r="9525" b="9525"/>
            <wp:docPr id="39" name="Pictur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Char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9225" cy="4524375"/>
                    </a:xfrm>
                    <a:prstGeom prst="rect">
                      <a:avLst/>
                    </a:prstGeom>
                    <a:noFill/>
                    <a:ln>
                      <a:noFill/>
                    </a:ln>
                  </pic:spPr>
                </pic:pic>
              </a:graphicData>
            </a:graphic>
          </wp:inline>
        </w:drawing>
      </w:r>
    </w:p>
    <w:p w14:paraId="0672EEA1" w14:textId="39871A9D" w:rsidR="006B380D" w:rsidRPr="00216965" w:rsidRDefault="006B380D" w:rsidP="008A33DA">
      <w:pPr>
        <w:spacing w:after="200" w:line="240" w:lineRule="auto"/>
        <w:jc w:val="both"/>
        <w:rPr>
          <w:color w:val="000000"/>
        </w:rPr>
      </w:pPr>
      <w:bookmarkStart w:id="299" w:name="_heading=h.2zbgiuw"/>
      <w:bookmarkStart w:id="300" w:name="_Ref85541023"/>
      <w:bookmarkStart w:id="301" w:name="_Toc86439381"/>
      <w:bookmarkEnd w:id="299"/>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4</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19</w:t>
      </w:r>
      <w:r w:rsidR="00BF3EBE" w:rsidRPr="00216965">
        <w:rPr>
          <w:b/>
          <w:bCs/>
        </w:rPr>
        <w:fldChar w:fldCharType="end"/>
      </w:r>
      <w:bookmarkEnd w:id="300"/>
      <w:r w:rsidRPr="00216965">
        <w:rPr>
          <w:b/>
          <w:bCs/>
        </w:rPr>
        <w:t xml:space="preserve"> </w:t>
      </w:r>
      <w:r w:rsidRPr="00216965">
        <w:rPr>
          <w:b/>
          <w:bCs/>
          <w:color w:val="000000"/>
        </w:rPr>
        <w:t xml:space="preserve">Plot showing correlation between soil properties, bioavailable HMs and tissue </w:t>
      </w:r>
      <w:r w:rsidRPr="00216965">
        <w:rPr>
          <w:b/>
          <w:bCs/>
        </w:rPr>
        <w:t>HM</w:t>
      </w:r>
      <w:r w:rsidRPr="00216965">
        <w:rPr>
          <w:b/>
          <w:bCs/>
          <w:color w:val="000000"/>
        </w:rPr>
        <w:t xml:space="preserve"> concentrations in </w:t>
      </w:r>
      <w:r w:rsidR="001A73A8" w:rsidRPr="00216965">
        <w:rPr>
          <w:b/>
          <w:bCs/>
          <w:i/>
          <w:iCs/>
          <w:color w:val="000000"/>
        </w:rPr>
        <w:t>Sinapsis alba</w:t>
      </w:r>
      <w:r w:rsidRPr="00216965">
        <w:rPr>
          <w:b/>
          <w:bCs/>
          <w:color w:val="000000"/>
        </w:rPr>
        <w:t xml:space="preserve"> treatment.</w:t>
      </w:r>
      <w:r w:rsidRPr="00216965">
        <w:rPr>
          <w:color w:val="000000"/>
        </w:rPr>
        <w:t xml:space="preserve"> Data used: Cd, Pb, Zn, B, Cu, Na, K, Ca, Mg, Mn, Fe, Mo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extracts mg.kg</w:t>
      </w:r>
      <w:r w:rsidRPr="00216965">
        <w:rPr>
          <w:color w:val="000000"/>
          <w:vertAlign w:val="superscript"/>
        </w:rPr>
        <w:t>-1</w:t>
      </w:r>
      <w:r w:rsidRPr="00216965">
        <w:rPr>
          <w:color w:val="000000"/>
        </w:rPr>
        <w:t>), pH (soil pH), EC (soil electrical conductivity, μS</w:t>
      </w:r>
      <w:r w:rsidR="008563DC" w:rsidRPr="00216965">
        <w:rPr>
          <w:color w:val="000000"/>
        </w:rPr>
        <w:t>.cm</w:t>
      </w:r>
      <w:r w:rsidRPr="00216965">
        <w:rPr>
          <w:color w:val="000000"/>
          <w:vertAlign w:val="superscript"/>
        </w:rPr>
        <w:t>-1</w:t>
      </w:r>
      <w:r w:rsidRPr="00216965">
        <w:rPr>
          <w:color w:val="000000"/>
        </w:rPr>
        <w:t>), HM_tissue (HM tissue concentrations mg.g</w:t>
      </w:r>
      <w:r w:rsidRPr="00216965">
        <w:rPr>
          <w:color w:val="000000"/>
          <w:vertAlign w:val="superscript"/>
        </w:rPr>
        <w:t>-1</w:t>
      </w:r>
      <w:r w:rsidRPr="00216965">
        <w:rPr>
          <w:color w:val="000000"/>
        </w:rPr>
        <w:t>), dry above-ground biomass (mg.pot</w:t>
      </w:r>
      <w:r w:rsidRPr="00216965">
        <w:rPr>
          <w:color w:val="000000"/>
          <w:vertAlign w:val="superscript"/>
        </w:rPr>
        <w:t>-1</w:t>
      </w:r>
      <w:r w:rsidRPr="00216965">
        <w:rPr>
          <w:color w:val="000000"/>
        </w:rPr>
        <w:t xml:space="preserve">), Rate (biochar application % </w:t>
      </w:r>
      <w:r w:rsidRPr="00216965">
        <w:rPr>
          <w:i/>
          <w:color w:val="000000"/>
        </w:rPr>
        <w:t>w/w</w:t>
      </w:r>
      <w:r w:rsidRPr="00216965">
        <w:rPr>
          <w:color w:val="000000"/>
        </w:rPr>
        <w:t xml:space="preserve">). Values in the matrix are the correlation coefficient (R) for parameters which </w:t>
      </w:r>
      <w:r w:rsidRPr="00216965">
        <w:t xml:space="preserve">had a </w:t>
      </w:r>
      <w:r w:rsidRPr="00216965">
        <w:rPr>
          <w:color w:val="000000"/>
        </w:rPr>
        <w:t>correlation p &lt; 0.05, non-significant correlations are shown in blank, α=0.05.</w:t>
      </w:r>
      <w:bookmarkEnd w:id="301"/>
    </w:p>
    <w:p w14:paraId="02394061" w14:textId="77777777" w:rsidR="006B380D" w:rsidRPr="00216965" w:rsidRDefault="006B380D" w:rsidP="008A33DA">
      <w:pPr>
        <w:pStyle w:val="Heading2"/>
      </w:pPr>
      <w:bookmarkStart w:id="302" w:name="_Toc86504676"/>
      <w:r w:rsidRPr="00216965">
        <w:t>Discussion</w:t>
      </w:r>
      <w:bookmarkEnd w:id="302"/>
    </w:p>
    <w:p w14:paraId="69676AF4" w14:textId="77777777" w:rsidR="006B380D" w:rsidRPr="00216965" w:rsidRDefault="006B380D" w:rsidP="008A33DA">
      <w:pPr>
        <w:pStyle w:val="Heading3"/>
      </w:pPr>
      <w:bookmarkStart w:id="303" w:name="_Toc86504677"/>
      <w:r w:rsidRPr="00216965">
        <w:t>Immobilization of HMs and relationship with soil properties</w:t>
      </w:r>
      <w:bookmarkEnd w:id="303"/>
    </w:p>
    <w:p w14:paraId="3F7F08CE" w14:textId="630C2648" w:rsidR="006B380D" w:rsidRPr="00216965" w:rsidRDefault="006B380D" w:rsidP="008A33DA">
      <w:pPr>
        <w:spacing w:line="360" w:lineRule="auto"/>
        <w:jc w:val="both"/>
      </w:pPr>
      <w:r w:rsidRPr="00216965">
        <w:t>The lower bioavailable concentrations of Pb and Cd in the control groups (0% biochar) in the single Pb/Cd spiked soils and Mix-spiked soil at the end of the incubations relative to the initial bioavailable HMs (</w:t>
      </w:r>
      <w:r w:rsidRPr="00216965">
        <w:rPr>
          <w:b/>
          <w:bCs/>
        </w:rPr>
        <w:fldChar w:fldCharType="begin"/>
      </w:r>
      <w:r w:rsidRPr="00216965">
        <w:rPr>
          <w:b/>
          <w:bCs/>
        </w:rPr>
        <w:instrText xml:space="preserve"> REF _Ref82703474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1</w:t>
      </w:r>
      <w:r w:rsidRPr="00216965">
        <w:rPr>
          <w:b/>
          <w:bCs/>
        </w:rPr>
        <w:fldChar w:fldCharType="end"/>
      </w:r>
      <w:r w:rsidRPr="00216965">
        <w:t xml:space="preserve">) are attributed in part to metal uptake by plants and metal loss during watering events (leaching). The soils were artificially contaminated and allowed to equilibrate for 2 months. It is possible that excess Pb and Cd remained in the soil even after the stabilization period, contributing to the higher initial bioavailability </w:t>
      </w:r>
      <w:r w:rsidRPr="00216965">
        <w:lastRenderedPageBreak/>
        <w:t xml:space="preserve">at day 0. Similarly, </w:t>
      </w:r>
      <w:r w:rsidRPr="00216965">
        <w:fldChar w:fldCharType="begin" w:fldLock="1"/>
      </w:r>
      <w:r w:rsidR="006C06AA" w:rsidRPr="00216965">
        <w:instrText>ADDIN CSL_CITATION {"citationItems":[{"id":"ITEM-1","itemData":{"DOI":"10.1016/J.ECOENV.2019.109460","ISSN":"0147-6513","abstract":"Phytomanagement of polycontaminated soils is challenging, especially in areas simultaneously affected by salinity. The wetland halophyte plant species Kosteletzkya pentacarpos was cultivated in a column device allowing leachate harvest, on a polycontaminated spiked soil containing Cd (6.5 mg kg−1 DW), As (75 mg kg−1 DW), Zn (200 mg kg−1 DW) and Pb (300 mg kg−1 DW) and irrigated with salt water (final soil electrical conductivity 5.0 ms cm−1). Salinity increased Cd bioavailability in the soil and Cd accumulation in the shoots while it had an opposite effect on As. Salinity did not modify Pb and Zn bioavailability and accumulation. Cultivating plants on the polluted soil drastically reduced the volume of leachate. In all cases, salinity reduced the total amounts of heavy metals removed by the leachate and significantly increased the proportion of Cd and Zn removed by the plants. Heavy metal contamination induced a decrease in shoot dry weight and an increase in malondialdehyde (an indicator of oxidative stress); both symptoms were alleviated by the additional presence of NaCl but this positive impact was not related to increase in protecting phytochelatins synthesis. It is concluded i) that bioavailability estimated by the 0.01M CaCl2 extraction procedure is not fully relevant from the heavy metal mobility, ii) that salinity decreased heavy metal percolation, especially in soils cultivated with K. pentacarpos and iii) that salinity improves plant tolerance to heavy metals in K. pentacarpos and that this species is a promising plant material for phytoremediation of polycontaminated soils.","author":[{"dropping-particle":"","family":"Zhou","given":"Mingxi","non-dropping-particle":"","parse-names":false,"suffix":""},{"dropping-particle":"","family":"Engelmann","given":"Thibaut","non-dropping-particle":"","parse-names":false,"suffix":""},{"dropping-particle":"","family":"Lutts","given":"Stanley","non-dropping-particle":"","parse-names":false,"suffix":""}],"container-title":"Ecotoxicology and Environmental Safety","id":"ITEM-1","issued":{"date-parts":[["2019","10","30"]]},"page":"109460","publisher":"Academic Press","title":"Salinity modifies heavy metals and arsenic absorption by the halophyte plant species Kosteletzkya pentacarpos and pollutant leaching from a polycontaminated substrate.","type":"article-journal","volume":"182"},"uris":["http://www.mendeley.com/documents/?uuid=0b11d0ad-04aa-3a55-8abd-0d7b2bc485ac"]}],"mendeley":{"formattedCitation":"(Zhou et al., 2019)","manualFormatting":"Zhou et al. (2019)","plainTextFormattedCitation":"(Zhou et al., 2019)","previouslyFormattedCitation":"(Zhou et al., 2019)"},"properties":{"noteIndex":0},"schema":"https://github.com/citation-style-language/schema/raw/master/csl-citation.json"}</w:instrText>
      </w:r>
      <w:r w:rsidRPr="00216965">
        <w:fldChar w:fldCharType="separate"/>
      </w:r>
      <w:r w:rsidRPr="00216965">
        <w:rPr>
          <w:noProof/>
        </w:rPr>
        <w:t xml:space="preserve">Zhou </w:t>
      </w:r>
      <w:r w:rsidR="009B2252" w:rsidRPr="00216965">
        <w:rPr>
          <w:iCs/>
          <w:noProof/>
        </w:rPr>
        <w:t>et al</w:t>
      </w:r>
      <w:r w:rsidRPr="00216965">
        <w:rPr>
          <w:noProof/>
        </w:rPr>
        <w:t>. (2019)</w:t>
      </w:r>
      <w:r w:rsidRPr="00216965">
        <w:fldChar w:fldCharType="end"/>
      </w:r>
      <w:r w:rsidRPr="00216965">
        <w:t xml:space="preserve"> found high initial bioavailable concentrations of Pb, Cd, Zn and As in a soil contaminated artificially. They reported that between 5-91 % of bioavailable metals (CaCl</w:t>
      </w:r>
      <w:r w:rsidRPr="00216965">
        <w:rPr>
          <w:vertAlign w:val="subscript"/>
        </w:rPr>
        <w:t>2</w:t>
      </w:r>
      <w:r w:rsidRPr="00216965">
        <w:t xml:space="preserve"> extracts) were removed by leaching and 8-94 % (depending on the metal) were removed by plants during a 12 week incubation experiment. The authors concluded that stabilizing the soil for a limited period (1 month) produced HM concentrations in their study that did not fully reflect the behaviour of a soil contaminated for a long time. </w:t>
      </w:r>
    </w:p>
    <w:p w14:paraId="4CAD0DFB" w14:textId="77777777" w:rsidR="008574C0" w:rsidRPr="00216965" w:rsidRDefault="006B380D" w:rsidP="008A33DA">
      <w:pPr>
        <w:spacing w:line="360" w:lineRule="auto"/>
        <w:jc w:val="both"/>
      </w:pPr>
      <w:r w:rsidRPr="00216965">
        <w:t xml:space="preserve">The lower concentration of Pb and Cd in the Mix-spiked soil (0 % biochar) relative to the single element spiked soils observed in Experiment A and Experiment B could reflect the simultaneous presence of three HMs in the Mix-spiked soil. This could have promoted competition for sorption sites, affecting the individual retention of these metals by soil particles, despite the use of similar metal concentrations. Besides, it is possible that the alkaline pH of the soil enhanced the simultaneous co-precipitation of the metals in the presence of metal hydroxides or other soil elements such as Fe, thus decreasing Pb and Cd availability in the Mix-soil (0% biochar) relative to the Pb-spiked soil and Cd-spiked soil (0% biochar). </w:t>
      </w:r>
    </w:p>
    <w:p w14:paraId="0781A27A" w14:textId="70D8EA9A" w:rsidR="006B380D" w:rsidRPr="00216965" w:rsidRDefault="006B380D" w:rsidP="008A33DA">
      <w:pPr>
        <w:spacing w:line="360" w:lineRule="auto"/>
        <w:jc w:val="both"/>
      </w:pPr>
      <w:r w:rsidRPr="00216965">
        <w:t xml:space="preserve">Coprecipitates of Pb and Cd with Fe oxides may form in contaminated soil at pH &gt;5, limiting heavy metal mobility, solubility, toxicity, and bioavailability </w:t>
      </w:r>
      <w:r w:rsidRPr="00216965">
        <w:fldChar w:fldCharType="begin" w:fldLock="1"/>
      </w:r>
      <w:r w:rsidR="00F56BD7" w:rsidRPr="00216965">
        <w:instrText>ADDIN CSL_CITATION {"citationItems":[{"id":"ITEM-1","itemData":{"abstract":"Coprecipitates of heavy metals with Fe oxides may form in contaminated soil, water, and sediment systems, particularly when oxidation-reduction processes are occurring. Once formed, coprecipitates with ferrihydrite could limit heavy metal mobility, solubility, toxicity, and bioavailability in geochemical systems. In this study, Cd, Cu, Pb, and Zn were coprecipitated with Fe by titration to pHs 6 and 7. Metal solubility was monitored during the coprecipitation process to pH 7 and after aging of the product. In the coprecipitate formed at pH 6, metal solubility was determined after the system reached pH 6 and at subsequent time intervals. We also reacted the coprecipitates with citrate and evaluated potential metal availability at increased aging times. The pH of coprecipitate formation had little effect on the long-term solubility of Cu and Zn, whereas soluble Cd was greater in the coprecipitate formed at pH 6. Soluble percentages of metals were low at both pH 6 and 7 for Cu and Pb but averaged 1.5 to 3% for Zn and greater than 40% for Cd. Hysteresis was observed in the coprecipitation curves for Zn and Cd, revealing reduced solubility after adsorption or coprecipitation. Lead and Cu failed to show hysteresis, with strong retention in the solid phase at pH greater than 6. The citrate-extractable fraction was greatest for Cd and Zn, less for Cu, and least for Pb. Citrate-extractable metal was higher for the coprecipitate formed at pH 7 than at pH 6, suggesting increased potential availability from coprecipitates formed at higher pH.","author":[{"dropping-particle":"","family":"Martínez","given":"Carmen Enid","non-dropping-particle":"","parse-names":false,"suffix":""},{"dropping-particle":"","family":"Mcbride","given":"Murray B","non-dropping-particle":"","parse-names":false,"suffix":""}],"container-title":"Environmental Toxicology and Chemistry","id":"ITEM-1","issue":"1","issued":{"date-parts":[["2001"]]},"page":"122-126","title":"Environmental Chemistry Cd, Cu, Pb, and Zn Coprecipitates in Fe oxide formed at different pH: aging effects on metal solubility and extractability by citrate","type":"article-journal","volume":"20"},"uris":["http://www.mendeley.com/documents/?uuid=ab6804b0-ef59-392a-bd33-60bd6da36f01"]}],"mendeley":{"formattedCitation":"(Martínez and Mcbride, 2001)","plainTextFormattedCitation":"(Martínez and Mcbride, 2001)","previouslyFormattedCitation":"(Martínez and Mcbride, 2001)"},"properties":{"noteIndex":0},"schema":"https://github.com/citation-style-language/schema/raw/master/csl-citation.json"}</w:instrText>
      </w:r>
      <w:r w:rsidRPr="00216965">
        <w:fldChar w:fldCharType="separate"/>
      </w:r>
      <w:r w:rsidR="00330A4F" w:rsidRPr="00216965">
        <w:rPr>
          <w:noProof/>
        </w:rPr>
        <w:t>(Martínez and Mcbride, 2001)</w:t>
      </w:r>
      <w:r w:rsidRPr="00216965">
        <w:fldChar w:fldCharType="end"/>
      </w:r>
      <w:r w:rsidRPr="00216965">
        <w:t>. The formation of Fe-precipitates with Pb and Cd was not verified by XRD, but is consistent with the results of the cross-correlation analysis performed for the Mix-spiked soil in Experiment A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t>) and the cross-correlation analysis of Experiment B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 xml:space="preserve">), where negative correlations between bioavailable Cd and Fe and between bioavailable Pb and Fe were identified. In addition, it is possible that metal hydroxides of one of the HMs could have promoted the formation of Pb or Cd coprecipitates. Because most metals form sparingly soluble hydroxides, coprecipitation by hydrated metal oxides usually exhibits low selectivity, such that different metals can be coprecipitated simultaneously </w:t>
      </w:r>
      <w:r w:rsidRPr="00216965">
        <w:fldChar w:fldCharType="begin" w:fldLock="1"/>
      </w:r>
      <w:r w:rsidR="00F56BD7" w:rsidRPr="00216965">
        <w:instrText>ADDIN CSL_CITATION {"citationItems":[{"id":"ITEM-1","itemData":{"DOI":"10.1016/B0-12-226770-2/05761-6","ISBN":"9780122267703","author":[{"dropping-particle":"","family":"Terada","given":"K.","non-dropping-particle":"","parse-names":false,"suffix":""}],"container-title":"Encyclopedia of Separation Science","editor":[{"dropping-particle":"","family":"Wilson","given":"Ian D.","non-dropping-particle":"","parse-names":false,"suffix":""}],"id":"ITEM-1","issued":{"date-parts":[["2000","1","1"]]},"number-of-pages":"4394-4402","publisher":"Academic Press","title":"Trace elements by cooprecipitation: Extraction","type":"book"},"uris":["http://www.mendeley.com/documents/?uuid=cdf6ab0d-e0f7-3d8d-bbfd-cdd08f32d581"]}],"mendeley":{"formattedCitation":"(Terada, 2000)","plainTextFormattedCitation":"(Terada, 2000)","previouslyFormattedCitation":"(Terada, 2000)"},"properties":{"noteIndex":0},"schema":"https://github.com/citation-style-language/schema/raw/master/csl-citation.json"}</w:instrText>
      </w:r>
      <w:r w:rsidRPr="00216965">
        <w:fldChar w:fldCharType="separate"/>
      </w:r>
      <w:r w:rsidR="00330A4F" w:rsidRPr="00216965">
        <w:rPr>
          <w:noProof/>
        </w:rPr>
        <w:t>(Terada, 2000)</w:t>
      </w:r>
      <w:r w:rsidRPr="00216965">
        <w:fldChar w:fldCharType="end"/>
      </w:r>
      <w:r w:rsidRPr="00216965">
        <w:t>.</w:t>
      </w:r>
    </w:p>
    <w:p w14:paraId="1342DB6B" w14:textId="77777777" w:rsidR="006B380D" w:rsidRPr="00216965" w:rsidRDefault="006B380D" w:rsidP="008A33DA">
      <w:pPr>
        <w:spacing w:line="360" w:lineRule="auto"/>
        <w:jc w:val="both"/>
      </w:pPr>
      <w:r w:rsidRPr="00216965">
        <w:t>The reduction of bioavailable HMs (NH</w:t>
      </w:r>
      <w:r w:rsidRPr="00216965">
        <w:rPr>
          <w:vertAlign w:val="subscript"/>
        </w:rPr>
        <w:t>4</w:t>
      </w:r>
      <w:r w:rsidRPr="00216965">
        <w:t>-NO</w:t>
      </w:r>
      <w:r w:rsidRPr="00216965">
        <w:rPr>
          <w:vertAlign w:val="subscript"/>
        </w:rPr>
        <w:t>3</w:t>
      </w:r>
      <w:r w:rsidRPr="00216965">
        <w:t xml:space="preserve"> extracts) in the Pb/Zn/Mix-spiked soil treatments at 1 and 3 % biochar application rates is attributed to different sorption mechanisms supported by the biochar. The effect of different biochars and soil physico-chemical properties on the sorption of HMs is discussed in detail in the following sections.</w:t>
      </w:r>
    </w:p>
    <w:p w14:paraId="06E85B16" w14:textId="77777777" w:rsidR="006B380D" w:rsidRPr="00216965" w:rsidRDefault="006B380D" w:rsidP="008A33DA">
      <w:pPr>
        <w:pStyle w:val="Heading4"/>
      </w:pPr>
      <w:r w:rsidRPr="00216965">
        <w:lastRenderedPageBreak/>
        <w:t>Effect of soil pH and EC</w:t>
      </w:r>
    </w:p>
    <w:p w14:paraId="2379A85F" w14:textId="70D28ED4" w:rsidR="008574C0" w:rsidRPr="00216965" w:rsidRDefault="006B380D" w:rsidP="008A33DA">
      <w:pPr>
        <w:spacing w:line="360" w:lineRule="auto"/>
        <w:jc w:val="both"/>
      </w:pPr>
      <w:bookmarkStart w:id="304" w:name="_heading=h.1egqt2p"/>
      <w:bookmarkEnd w:id="304"/>
      <w:r w:rsidRPr="00216965">
        <w:t>The reduction in bioavailable concentrations of HMs was influenced by increases in the soil pH and EC (</w:t>
      </w:r>
      <w:r w:rsidRPr="00216965">
        <w:rPr>
          <w:b/>
          <w:bCs/>
        </w:rPr>
        <w:fldChar w:fldCharType="begin"/>
      </w:r>
      <w:r w:rsidRPr="00216965">
        <w:rPr>
          <w:b/>
          <w:bCs/>
        </w:rPr>
        <w:instrText xml:space="preserve"> REF _Ref86060878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11</w:t>
      </w:r>
      <w:r w:rsidRPr="00216965">
        <w:rPr>
          <w:b/>
          <w:bCs/>
        </w:rPr>
        <w:fldChar w:fldCharType="end"/>
      </w:r>
      <w:r w:rsidRPr="00216965">
        <w:t xml:space="preserve"> and </w:t>
      </w:r>
      <w:r w:rsidRPr="00216965">
        <w:rPr>
          <w:b/>
          <w:bCs/>
        </w:rPr>
        <w:fldChar w:fldCharType="begin"/>
      </w:r>
      <w:r w:rsidRPr="00216965">
        <w:rPr>
          <w:b/>
          <w:bCs/>
        </w:rPr>
        <w:instrText xml:space="preserve"> REF _Ref85572402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17</w:t>
      </w:r>
      <w:r w:rsidRPr="00216965">
        <w:rPr>
          <w:b/>
          <w:bCs/>
        </w:rPr>
        <w:fldChar w:fldCharType="end"/>
      </w:r>
      <w:r w:rsidRPr="00216965">
        <w:t xml:space="preserve">), corroborated in other studies  </w:t>
      </w:r>
      <w:r w:rsidRPr="00216965">
        <w:fldChar w:fldCharType="begin" w:fldLock="1"/>
      </w:r>
      <w:r w:rsidR="006C06AA" w:rsidRPr="00216965">
        <w:instrText>ADDIN CSL_CITATION {"citationItems":[{"id":"ITEM-1","itemData":{"DOI":"10.15376/biores.15.4.8008-8025","ISSN":"19302126","abstract":"The remediation effects of peanut shell biochar (HBC) and Mg-modified peanut shell biochar (MHBC) prepared under pyrolysis temperatures of 300 °C and 600 °C on Cd2+ polluted brown soil were investigated in a pot experiment. The results showed that the biochar treatment increased soil pH and decreased the bioavailable Cd2+ content in the soil. Compared with the control treatment (CK), the pH value increased by 0.32 to 2.5 upon treatment with 1% and 2% of HBC and MHBC. Bioavailable Cd2+ in the soil decreased by 5.64% to 21.33% with HBC. The MHBC presented better amendment effects than HBC; bioavailable Cd2+ in the soil decreased by 26.2% to 50.1% with the addition of MHBC. The addition of HBC and MHBC increased the shoot height and decreased the root length of the spinach. Moreover, they significantly decreased the accumulation of Cd2+ in the shoots and roots of the spinach. Compared to CK, the Cd2+ content in the shoots decreased by 7.0% to 46.8% upon treatment with 1% and 2% of HBC and MHBC, while the Cd2+ content in the roots decreased by 7.3% to 52.7%. The Cd2+ content in the shoots and roots was more greatly decreased with MHBC than with HBC.","author":[{"dropping-particle":"","family":"Shan","given":"Ruifeng","non-dropping-particle":"","parse-names":false,"suffix":""},{"dropping-particle":"","family":"Li","given":"Wanting","non-dropping-particle":"","parse-names":false,"suffix":""},{"dropping-particle":"","family":"Chen","given":"Ya","non-dropping-particle":"","parse-names":false,"suffix":""},{"dropping-particle":"","family":"Sun","given":"Xiaoyin","non-dropping-particle":"","parse-names":false,"suffix":""}],"container-title":"BioResources","id":"ITEM-1","issue":"4","issued":{"date-parts":[["2020"]]},"page":"8008-8025","title":"Effects of Mg-modified biochar on the bioavailability of cadmium in soil","type":"article-journal","volume":"15"},"uris":["http://www.mendeley.com/documents/?uuid=54fe049d-5735-4e78-8321-a540e9dac1c7"]},{"id":"ITEM-2","itemData":{"DOI":"10.1007/s11270-020-04885-4","ISSN":"15732932","abstract":"Organic sorbents alter physicochemical soil properties and mitigate heavy metal (HM) bioavailability. However, some sorbents are labile and, therefore, introduce the risk of HM release into soil after mineralisation. Before field application, new stable organic sorbents such as woodchip biochar (BIO) and brown coal waste (BCW) need to be tested and compared with standard organic amendments like farmyard manure (FYM). An incubated pot experiment was conducted to investigate the efficacy of FYM, BIO and BCW (added to soil in pots at 5 and 10% w/w) to alter soil physicochemical properties and mitigate bioavailability of Cd, Pb and Zn spiked in treatments at different doses (in mg kg−1); 0 (not spiked), 1 (1 Cd, 70 Pb, 100 Zn) and 2 (3 Cd, 500 Pb, 700 Zn), and incubated for 9 weeks. At the end of the experiment, the EDTA-extractable HM fractions, pH, cation exchange capacity (CEC) and specific surface area (SSA, to check trends) were determined in all treated soils. Results showed that FYM, BCW and BIO generally improved all soil properties (except reduced pH from BCW and apparent SSA reduction from FYM) and accounted for respective maximum abatements of Cd (50.2, 69.9 and 25.5%), Pb (34.2, 64.3 and 17.4%) and Zn (14.9, 17.7 and 11.8%) bioavailability in soil. FYM and BCW were more effective at 10% w/w especially in the low contaminated soil, whereas the highest efficacy for BIO was at 5% w/w and in the high contaminated soil. The efficacies of sorption by the organic sorbents varied for different HMs and were in the orders: BCW &gt; FYM &gt; BIO for Cd, FYM &gt; BCW &gt; BIO for Pb and BIO &gt; BCW &gt; FYM for Zn. Soil pH and CEC were strongly correlated with HM bioavailability in all treatments and implied that immobilisation of HMs occurred via complex formation, ion exchange and pH-dependent specific adsorption. All three sorbents were beneficial as soil amendments, and in terms of HM mitigation, BCW had the highest efficacy, followed by FYM and then BIO. Considering the documented high soil stability of BCW and BIO, these results are promising for further trialling at field scale.","author":[{"dropping-particle":"","family":"Amoah-Antwi","given":"C.","non-dropping-particle":"","parse-names":false,"suffix":""},{"dropping-particle":"","family":"Kwiatkowska-Malina","given":"J.","non-dropping-particle":"","parse-names":false,"suffix":""},{"dropping-particle":"","family":"Szara","given":"E.","non-dropping-particle":"","parse-names":false,"suffix":""},{"dropping-particle":"","family":"Thornton","given":"S.","non-dropping-particle":"","parse-names":false,"suffix":""},{"dropping-particle":"","family":"Fenton","given":"O.","non-dropping-particle":"","parse-names":false,"suffix":""},{"dropping-particle":"","family":"Malina","given":"G.","non-dropping-particle":"","parse-names":false,"suffix":""}],"container-title":"Water, Air, and Soil Pollution","id":"ITEM-2","issued":{"date-parts":[["2020","10","1"]]},"page":"515","publisher":"Springer Science and Business Media Deutschland GmbH","title":"Efficacy of woodchip biochar and brown coal waste as stable sorbents for abatement of bioavailable cadmium, lead and zinc in soil","type":"article-journal","volume":"231"},"uris":["http://www.mendeley.com/documents/?uuid=3443d71f-7da5-34e4-a645-6e69e4174239"]},{"id":"ITEM-3","itemData":{"DOI":"10.1016/j.envpol.2020.114133","ISSN":"18736424","PMID":"32078879","abstract":"Biochar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w:instrText>
      </w:r>
      <w:r w:rsidR="006C06AA" w:rsidRPr="00216965">
        <w:rPr>
          <w:lang w:val="fr-FR"/>
        </w:rPr>
        <w:instrText>":"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Pollution","id":"ITEM-3","issued":{"date-parts":[["2020","6","1"]]},"page":"114133","publisher":"Elsevier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soil","type":"article-journal","volume":"261"},"uris":["http://www.mendeley.com/documents/?uuid=6eee545a-7fee-346b-8aa7-47b79f2eb8fe"]}],"mendeley":{"formattedCitation":"(C. Amoah-Antwi et al., 2020; Shan et al., 2020; C. Xu et al., 2020)","plainTextFormattedCitation":"(C. Amoah-Antwi et al., 2020; Shan et al., 2020; C. Xu et al., 2020)","previouslyFormattedCitation":"(C. Amoah-Antwi et al., 2020; Shan et al., 2020; C. Xu et al., 2020)"},"properties":{"noteIndex":0},"schema":"https://github.com/citation-style-language/schema/raw/master/csl-citation.json"}</w:instrText>
      </w:r>
      <w:r w:rsidRPr="00216965">
        <w:fldChar w:fldCharType="separate"/>
      </w:r>
      <w:r w:rsidR="001974AA" w:rsidRPr="00216965">
        <w:rPr>
          <w:noProof/>
          <w:lang w:val="fr-FR"/>
        </w:rPr>
        <w:t>(C. Amoah-Antwi et al., 2020; Shan et al., 2020; C. Xu et al., 2020)</w:t>
      </w:r>
      <w:r w:rsidRPr="00216965">
        <w:fldChar w:fldCharType="end"/>
      </w:r>
      <w:r w:rsidRPr="00216965">
        <w:rPr>
          <w:lang w:val="fr-FR"/>
        </w:rPr>
        <w:t xml:space="preserve">. </w:t>
      </w:r>
      <w:r w:rsidRPr="00216965">
        <w:t xml:space="preserve">The increase in soil pH and EC after biochar addition is most likely due to the considerable amount of ash and base cations in biochar </w:t>
      </w:r>
      <w:r w:rsidRPr="00216965">
        <w:fldChar w:fldCharType="begin" w:fldLock="1"/>
      </w:r>
      <w:r w:rsidR="006C06AA" w:rsidRPr="00216965">
        <w:instrText>ADDIN CSL_CITATION {"citationItems":[{"id":"ITEM-1","itemData":{"DOI":"10.1007/s11368-019-02264-z","ISSN":"16147480","abstract":"Purpose: The majority of biochar studies use soils with only a narrow range of properties making generalizations about the effects of biochar on soils difficult. In this study, we aimed to identify soil properties that determine the performance of biochar produced at high temperature (700 °C) on soil pH, cation exchange capacity (CEC), and exchangeable base cation (Ca2+, K+, and Mg2+) content across a wide range of soil physicochemical properties. Materials and methods: Ten distinct soils with varying physicochemical properties were incubated for 12 weeks with four rates of biochar application (0.5, 2, 4, and 8% w/w). Soil pH, CEC, and exchangeable base cations (Ca2+, K+, and Mg2+) were determined on the 7th and 84th day of incubation. Results and discussion: Our results indicate that the highest biochar application rate (8%) was more effective at altering soil properties than lower biochar rates. Application of 8% biochar increased pH significantly in all incubated soils, with the increment ranging up to 1.17 pH unit. Biochar induced both an increment and a decline in soil CEC ranging up to 35.4 and 7.9%, respectively, at a biochar application rate of 8%. Similarly, biochar induced increments in exchangeable Ca2+ up to 38.6% and declines up to 11.4%, at an 8% biochar application rate. The increment in CEC and exchangeable Ca2+ content was found in soils with lower starting exchangeable Ca2+ contents than the biochar added, while decreases were observed in soils with higher exchangeable Ca2+ contents than the biochar. The original pH, CEC, exchangeable Ca2+, and texture of the soils represented the most crucial factors for determining the amount of change in soil pH, CEC, and exchangeable Ca2+ content. Conclusions: Our findings clearly demonstrate that application of a uniform biochar to a range of soils under equivalent environmental conditions induced two contradicting effects on soil properties including soil CEC and exchangeable Ca2+ content. Therefore, knowledge of both biochar and soil properties will substantially improve prediction of biochar application efficiency to improve soil properties. Among important soil properties, soil exchangeable Ca2+ content is the primary factor controlling the direction of biochar-induced change in soil CEC and exchangeable Ca2+ content. Generally, biochar can induce changes in soil pH, CEC, and exchangeable Ca2+, K+, and Mg2+ with the effectiveness and magnitude of change closely related to the soil’s original p…","author":[{"dropping-particle":"","family":"Hailegnaw","given":"Niguss Solomon","non-dropping-particle":"","parse-names":false,"suffix":""},{"dropping-particle":"","family":"Mercl","given":"Filip","non-dropping-particle":"","parse-names":false,"suffix":""},{"dropping-particle":"","family":"Pračke","given":"Kateřina","non-dropping-particle":"","parse-names":false,"suffix":""},{"dropping-particle":"","family":"Száková","given":"Jiřina","non-dropping-particle":"","parse-names":false,"suffix":""},{"dropping-particle":"","family":"Tlustoš","given":"Pavel","non-dropping-particle":"","parse-names":false,"suffix":""}],"container-title":"Journal of Soils and Sediments","id":"ITEM-1","issue":"5","issued":{"date-parts":[["2019","5","1"]]},"page":"2405-2416","publisher":"Springer Verlag","title":"Mutual relationships of biochar and soil pH, CEC, and exchangeable base cations in a model laboratory experiment","type":"article-journal","volume":"19"},"uris":["http://www.mendeley.com/documents/?uuid=0a0d900c-eeeb-3d5e-9ef3-40df84a2a67f"]},{"id":"ITEM-2","itemData":{"DOI":"10.1016/j.chemosphere.2017.01.148","ISSN":"18791298","PMID":"28193592","abstract":"In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Sik","non-dropping-particle":"","parse-names":false,"suffix":""}],"container-title":"Chemosphere","id":"ITEM-2","issued":{"date-parts":[["2017","5","1"]]},"page":"593-603","publisher":"Elsevier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soils","type":"article-journal","volume":"174"},"uris":["http://www.mendeley.com/documents/?uuid=912ea230-9583-333a-a4f5-f79899ad2594"]}],"mendeley":{"formattedCitation":"(Hailegnaw et al., 2019; Igalavithana et al., 2017)","plainTextFormattedCitation":"(Hailegnaw et al., 2019; Igalavithana et al., 2017)","previouslyFormattedCitation":"(Hailegnaw et al., 2019; Igalavithana et al., 2017)"},"properties":{"noteIndex":0},"schema":"https://github.com/citation-style-language/schema/raw/master/csl-citation.json"}</w:instrText>
      </w:r>
      <w:r w:rsidRPr="00216965">
        <w:fldChar w:fldCharType="separate"/>
      </w:r>
      <w:r w:rsidR="001974AA" w:rsidRPr="00216965">
        <w:rPr>
          <w:noProof/>
        </w:rPr>
        <w:t>(Hailegnaw et al., 2019; Igalavithana et al., 2017)</w:t>
      </w:r>
      <w:r w:rsidRPr="00216965">
        <w:fldChar w:fldCharType="end"/>
      </w:r>
      <w:r w:rsidRPr="00216965">
        <w:t>. This is consistent with the significant correlation between biochar application rate and soil pH and EC in the cross-correlation analysis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12</w:t>
      </w:r>
      <w:r w:rsidRPr="00216965">
        <w:rPr>
          <w:b/>
          <w:bCs/>
        </w:rPr>
        <w:fldChar w:fldCharType="end"/>
      </w:r>
      <w:r w:rsidRPr="00216965">
        <w:rPr>
          <w:b/>
          <w:bCs/>
        </w:rPr>
        <w:t xml:space="preserve">,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_Ref85572885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18</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 and the positive correlation between soil pH, EC and water extractable Na</w:t>
      </w:r>
      <w:r w:rsidRPr="00216965">
        <w:rPr>
          <w:vertAlign w:val="superscript"/>
        </w:rPr>
        <w:t>+</w:t>
      </w:r>
      <w:r w:rsidRPr="00216965">
        <w:t xml:space="preserve"> and K</w:t>
      </w:r>
      <w:r w:rsidRPr="00216965">
        <w:rPr>
          <w:vertAlign w:val="superscript"/>
        </w:rPr>
        <w:t>+</w:t>
      </w:r>
      <w:r w:rsidRPr="00216965">
        <w:t xml:space="preserve">. </w:t>
      </w:r>
    </w:p>
    <w:p w14:paraId="1AFB0BD9" w14:textId="5C4DD6D2" w:rsidR="006B380D" w:rsidRPr="00216965" w:rsidRDefault="006B380D" w:rsidP="008A33DA">
      <w:pPr>
        <w:spacing w:line="360" w:lineRule="auto"/>
        <w:jc w:val="both"/>
      </w:pPr>
      <w:r w:rsidRPr="00216965">
        <w:t>Besides, the low clay content (10%) of the soil used in this study (</w:t>
      </w:r>
      <w:r w:rsidRPr="00216965">
        <w:rPr>
          <w:b/>
          <w:bCs/>
        </w:rPr>
        <w:t xml:space="preserve">section </w:t>
      </w:r>
      <w:r w:rsidRPr="00216965">
        <w:rPr>
          <w:b/>
          <w:bCs/>
        </w:rPr>
        <w:fldChar w:fldCharType="begin"/>
      </w:r>
      <w:r w:rsidRPr="00216965">
        <w:rPr>
          <w:b/>
          <w:bCs/>
        </w:rPr>
        <w:instrText xml:space="preserve"> REF _Ref86406016 \r \h </w:instrText>
      </w:r>
      <w:r w:rsidRPr="00216965">
        <w:rPr>
          <w:b/>
          <w:bCs/>
        </w:rPr>
      </w:r>
      <w:r w:rsidR="00216965" w:rsidRPr="00216965">
        <w:rPr>
          <w:b/>
          <w:bCs/>
        </w:rPr>
        <w:instrText xml:space="preserve"> \* MERGEFORMAT </w:instrText>
      </w:r>
      <w:r w:rsidRPr="00216965">
        <w:rPr>
          <w:b/>
          <w:bCs/>
        </w:rPr>
        <w:fldChar w:fldCharType="separate"/>
      </w:r>
      <w:r w:rsidR="006E23EA" w:rsidRPr="00216965">
        <w:rPr>
          <w:b/>
          <w:bCs/>
        </w:rPr>
        <w:t>4.2.2</w:t>
      </w:r>
      <w:r w:rsidRPr="00216965">
        <w:rPr>
          <w:b/>
          <w:bCs/>
        </w:rPr>
        <w:fldChar w:fldCharType="end"/>
      </w:r>
      <w:r w:rsidRPr="00216965">
        <w:t xml:space="preserve">) suggests a weaker ion retention ability, thereby promoting larger increases in EC due to the increase of water-soluble ions released from biochar, as proposed by </w:t>
      </w:r>
      <w:r w:rsidRPr="00216965">
        <w:fldChar w:fldCharType="begin" w:fldLock="1"/>
      </w:r>
      <w:r w:rsidR="006C06AA" w:rsidRPr="00216965">
        <w:instrText>ADDIN CSL_CITATION {"citationItems":[{"id":"ITEM-1","itemData":{"DOI":"10.1016/j.chemosphere.2017.01.148","ISSN":"18791298","PMID":"28193592","abstract":"In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Sik","non-dropping-particle":"","parse-names":false,"suffix":""}],"container-title":"Chemosphere","id":"ITEM-1","issued":{"date-parts":[["2017","5","1"]]},"page":"593-603","publisher":"Elsevier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soils","type":"article-journal","volume":"174"},"uris":["http://www.mendeley.com/documents/?uuid=912ea230-9583-333a-a4f5-f79899ad2594"]}],"mendeley":{"formattedCitation":"(Igalavithana et al., 2017)","manualFormatting":"Igalavithana et al. (2017)","plainTextFormattedCitation":"(Igalavithana et al., 2017)","previouslyFormattedCitation":"(Igalavithana et al., 2017)"},"properties":{"noteIndex":0},"schema":"https://github.com/citation-style-language/schema/raw/master/csl-citation.json"}</w:instrText>
      </w:r>
      <w:r w:rsidRPr="00216965">
        <w:fldChar w:fldCharType="separate"/>
      </w:r>
      <w:r w:rsidRPr="00216965">
        <w:rPr>
          <w:noProof/>
        </w:rPr>
        <w:t xml:space="preserve">Igalavithana </w:t>
      </w:r>
      <w:r w:rsidR="009B2252" w:rsidRPr="00216965">
        <w:rPr>
          <w:iCs/>
          <w:noProof/>
        </w:rPr>
        <w:t>et al</w:t>
      </w:r>
      <w:r w:rsidRPr="00216965">
        <w:rPr>
          <w:noProof/>
        </w:rPr>
        <w:t>. (2017)</w:t>
      </w:r>
      <w:r w:rsidRPr="00216965">
        <w:fldChar w:fldCharType="end"/>
      </w:r>
      <w:r w:rsidRPr="00216965">
        <w:t>. As a result of the increased soil pH, the mobility of Cd</w:t>
      </w:r>
      <w:r w:rsidRPr="00216965">
        <w:rPr>
          <w:vertAlign w:val="superscript"/>
        </w:rPr>
        <w:t>2+</w:t>
      </w:r>
      <w:r w:rsidRPr="00216965">
        <w:t>, Pb</w:t>
      </w:r>
      <w:r w:rsidRPr="00216965">
        <w:rPr>
          <w:vertAlign w:val="superscript"/>
        </w:rPr>
        <w:t>2+</w:t>
      </w:r>
      <w:r w:rsidRPr="00216965">
        <w:t xml:space="preserve"> and Zn</w:t>
      </w:r>
      <w:r w:rsidRPr="00216965">
        <w:rPr>
          <w:vertAlign w:val="superscript"/>
        </w:rPr>
        <w:t>2+</w:t>
      </w:r>
      <w:r w:rsidRPr="00216965">
        <w:t xml:space="preserve"> decrease due to a reduced competition between H</w:t>
      </w:r>
      <w:r w:rsidRPr="00216965">
        <w:rPr>
          <w:vertAlign w:val="superscript"/>
        </w:rPr>
        <w:t>+</w:t>
      </w:r>
      <w:r w:rsidRPr="00216965">
        <w:t xml:space="preserve"> ions and metal ions for cation exchange sites, either directly on the biochar surface or as a general liming effect on the soil matrix </w:t>
      </w:r>
      <w:r w:rsidRPr="00216965">
        <w:fldChar w:fldCharType="begin" w:fldLock="1"/>
      </w:r>
      <w:r w:rsidR="006C06AA" w:rsidRPr="00216965">
        <w:instrText>ADDIN CSL_CITATION {"citationItems":[{"id":"ITEM-1","itemData":{"DOI":"10.1016/j.envpol.2011.07.023","ISBN":"0269-7491","ISSN":"02697491","PMID":"21855187","abstract":"Biochars are biological residues combusted under low oxygen conditions, resulting in a porous, low density carbon rich material. Their large surface areas and cation exchange capacities, determined to a large extent by source materials and pyrolysis temperatures, enables enhanced sorption of both organic and inorganic contaminants to their surfaces, reducing pollutant mobility when amending contaminated soils. Liming effects or release of carbon into soil solution may increase arsenic mobility, whilst low capital but enhanced retention of plant nutrients can restrict revegetation on degraded soils amended only with biochars; the combination of composts, manures and other amendments with biochars could be their most effective deployment to soils requiring stabilisation by revegetation. Specific mechanisms of contaminant-biochar retention and release over time and the environmental impact of biochar amendments on soil organisms remain somewhat unclear but must be investigated to ensure that the management of environmental pollution coincides with ecological sustainability. ?? 2011 Elsevier Ltd. All rights reserved.","author":[{"dropping-particle":"","family":"Beesley","given":"Luke","non-dropping-particle":"","parse-names":false,"suffix":""},{"dropping-particle":"","family":"Moreno","given":"Eduardo","non-dropping-particle":"","parse-names":false,"suffix":""},{"dropping-particle":"","family":"Gomez","given":"Jose","non-dropping-particle":"","parse-names":false,"suffix":""},{"dropping-particle":"","family":"Harris","given":"Eva","non-dropping-particle":"","parse-names":false,"suffix":""},{"dropping-particle":"","family":"Robinson","given":"Brett","non-dropping-particle":"","parse-names":false,"suffix":""},{"dropping-particle":"","family":"Sizmur","given":"Tom","non-dropping-particle":"","parse-names":false,"suffix":""}],"container-title":"Environmental Pollution","id":"ITEM-1","issue":"12","issued":{"date-parts":[["2011"]]},"page":"3269-3282","publisher":"Elsevier Ltd","title":"A review of biochars' potential role in the remediation, revegetation and restoration of contaminated soils","type":"article-journal","volume":"159"},"uris":["http://www.mendeley.com/documents/?uuid=3cf5d665-bd14-4c22-a4ff-9a77990dcd3d"]}],"mendeley":{"formattedCitation":"(Beesley et al., 2011)","plainTextFormattedCitation":"(Beesley et al., 2011)","previouslyFormattedCitation":"(Beesley et al., 2011)"},"properties":{"noteIndex":0},"schema":"https://github.com/citation-style-language/schema/raw/master/csl-citation.json"}</w:instrText>
      </w:r>
      <w:r w:rsidRPr="00216965">
        <w:fldChar w:fldCharType="separate"/>
      </w:r>
      <w:r w:rsidR="00C83E62" w:rsidRPr="00216965">
        <w:rPr>
          <w:noProof/>
        </w:rPr>
        <w:t>(Beesley et al., 2011)</w:t>
      </w:r>
      <w:r w:rsidRPr="00216965">
        <w:fldChar w:fldCharType="end"/>
      </w:r>
      <w:r w:rsidRPr="00216965">
        <w:t xml:space="preserve">. In addition, the high pH in the amended soils promote the formation of sorption sites on the negatively charged functional groups, or the formation of mineral precipitates, thus decreasing the bioavailability of HMs in the soil </w:t>
      </w:r>
      <w:r w:rsidRPr="00216965">
        <w:fldChar w:fldCharType="begin" w:fldLock="1"/>
      </w:r>
      <w:r w:rsidR="006C06AA" w:rsidRPr="00216965">
        <w:instrText>ADDIN CSL_CITATION {"citationItems":[{"id":"ITEM-1","itemData":{"DOI":"10.1016/j.jbiosc.2013.05.035","ISBN":"1347-4421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Bioengineering","id":"ITEM-1","issue":"6","issued":{"date-parts":[["2013"]]},"page":"653-659","publisher":"Elsevier Ltd","title":"Characteristics of biochar and its application in remediation of contaminated soil","type":"article-journal","volume":"116"},"uris":["http://www.mendeley.com/documents/?uuid=f1de9e6e-b7e1-4802-a8e9-d2fd999dd84c"]}],"mendeley":{"formattedCitation":"(Tang et al., 2013)","plainTextFormattedCitation":"(Tang et al., 2013)","previouslyFormattedCitation":"(Tang et al., 2013)"},"properties":{"noteIndex":0},"schema":"https://github.com/citation-style-language/schema/raw/master/csl-citation.json"}</w:instrText>
      </w:r>
      <w:r w:rsidRPr="00216965">
        <w:fldChar w:fldCharType="separate"/>
      </w:r>
      <w:r w:rsidR="00C83E62" w:rsidRPr="00216965">
        <w:rPr>
          <w:noProof/>
        </w:rPr>
        <w:t>(Tang et al., 2013)</w:t>
      </w:r>
      <w:r w:rsidRPr="00216965">
        <w:fldChar w:fldCharType="end"/>
      </w:r>
      <w:r w:rsidRPr="00216965">
        <w:t xml:space="preserve">. </w:t>
      </w:r>
    </w:p>
    <w:p w14:paraId="2C0247CB" w14:textId="77777777" w:rsidR="006B380D" w:rsidRPr="00216965" w:rsidRDefault="006B380D" w:rsidP="008A33DA">
      <w:pPr>
        <w:pStyle w:val="Heading4"/>
      </w:pPr>
      <w:r w:rsidRPr="00216965">
        <w:t>Soil CEC</w:t>
      </w:r>
    </w:p>
    <w:p w14:paraId="79699AE7" w14:textId="2BF7FBE4" w:rsidR="008574C0" w:rsidRPr="00216965" w:rsidRDefault="006B380D" w:rsidP="008A33DA">
      <w:pPr>
        <w:spacing w:line="360" w:lineRule="auto"/>
        <w:jc w:val="both"/>
      </w:pPr>
      <w:bookmarkStart w:id="305" w:name="_heading=h.3ygebqi"/>
      <w:bookmarkEnd w:id="305"/>
      <w:r w:rsidRPr="00216965">
        <w:t xml:space="preserve">With increasing soil pH the CEC of a soil generally increases due to the greater negative charge that develops on organic functional groups (e.g. from soil organic matter and biochar) and clay minerals due to deprotonation </w:t>
      </w:r>
      <w:r w:rsidRPr="00216965">
        <w:fldChar w:fldCharType="begin" w:fldLock="1"/>
      </w:r>
      <w:r w:rsidR="006C06AA" w:rsidRPr="00216965">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Chemistry","type":"book"},"uris":["http://www.mendeley.com/documents/?uuid=2e8cdb2d-9122-4c0b-8580-27a612fa364d"]},{"id":"ITEM-2","itemData":{"DOI":"10.1080/10643389.2021.1894064","abstract":"Environmental contamination by toxic trace elements is a global issue faced by soil-plant-human systems. Biochar has gained substantial attention as a soil amendment to reduce toxic trace element impacts on plant and human health due to biochar's capacity to influence trace element biogeochemistry. This review focuses on the key roles of bio-char with respect to trace element interactions, mobility and phytoavailability in soil-plant systems. In addition to direct interactions, various biochar types can impact soil physicochemical properties and subsequently trace element biogeochemical behavior. A critical literature review revealed increasing and/or decreasing trends with respect to biochar-induced variation in soil physicochemical characteristics and soil-plant trace element transfer. Data analysis revealed that biochar-mediated an overall decrease in the phyto-uptake of As, Cd, Cu, Ni, Pb, and Zn by 48%, 40%, 38%, 44%, 28%, and 22%, respectively. This article also discusses the possible biochar-mediated alleviations of human health hazards (41% less cancer risk) due to consuming trace elements-contaminated foods. Likewise, for the first time, the effect of soil biochar application on plant physiological and morphological attributes, as well as activation of tolerance mechanisms (enzymatic and non-enzymatic) is critically discussed. HIGHLIGHTS Literature review revealed biochar applications increased soil trace element sorption and decreased phyto-uptake. Plant uptake of trace element depends on soil and biochar properties as well as trace element and plant type. Biochar-mediated trace element phytoavailability reductions cause lower toxicity in plant-human systems. Biochar alters plant detoxification and tolerance mechanisms directly or indirectly.","author":[{"dropping-particle":"","family":"Natasha","given":"Natasha","non-dropping-particle":"","parse-names":false,"suffix":""},{"dropping-particle":"","family":"Shahid","given":"Muhammad","non-dropping-particle":"","parse-names":false,"suffix":""},{"dropping-particle":"","family":"Sana","given":"Khalid","non-dropping-particle":"","parse-names":false,"suffix":""},{"dropping-particle":"","family":"Irshad","given":"Bibi","non-dropping-particle":"","parse-names":false,"suffix":""},{"dropping-particle":"","family":"Asif Naeem","given":"Muhammad","non-dropping-particle":"","parse-names":false,"suffix":""},{"dropping-particle":"","family":"Khan Niazi","given":"Nabeel","non-dropping-particle":"","parse-names":false,"suffix":""},{"dropping-particle":"","family":"G Tack","given":"Filip M","non-dropping-particle":"","parse-names":false,"suffix":""},{"dropping-particle":"","family":"Ippolito","given":"James","non-dropping-particle":"","parse-names":false,"suffix":""},{"dropping-particle":"","family":"Rinklebe","given":"Jörg","non-dropping-particle":"","parse-names":false,"suffix":""}],"container-title":"Critical Reviews in Environmental Science and Technology","id":"ITEM-2","issued":{"date-parts":[["2021"]]},"title":"Influence of biochar on trace element uptake, toxicity and detoxification in plants and associated health risks: A critical review","type":"article-journal"},"uris":["http://www.mendeley.com/documents/?uuid=bcb663b1-e47c-3868-92b3-32af43f404ff"]}],"mendeley":{"formattedCitation":"(Natasha et al., 2021; Sparks, 2003)","plainTextFormattedCitation":"(Natasha et al., 2021; Sparks, 2003)","previouslyFormattedCitation":"(Natasha et al., 2021; Sparks, 2003)"},"properties":{"noteIndex":0},"schema":"https://github.com/citation-style-language/schema/raw/master/csl-citation.json"}</w:instrText>
      </w:r>
      <w:r w:rsidRPr="00216965">
        <w:fldChar w:fldCharType="separate"/>
      </w:r>
      <w:r w:rsidR="001974AA" w:rsidRPr="00216965">
        <w:rPr>
          <w:noProof/>
        </w:rPr>
        <w:t>(Natasha et al., 2021; Sparks, 2003)</w:t>
      </w:r>
      <w:r w:rsidRPr="00216965">
        <w:fldChar w:fldCharType="end"/>
      </w:r>
      <w:r w:rsidRPr="00216965">
        <w:t xml:space="preserve">. </w:t>
      </w:r>
      <w:r w:rsidR="00221094" w:rsidRPr="00216965">
        <w:t xml:space="preserve">C. </w:t>
      </w:r>
      <w:r w:rsidRPr="00216965">
        <w:fldChar w:fldCharType="begin" w:fldLock="1"/>
      </w:r>
      <w:r w:rsidR="006C06AA" w:rsidRPr="00216965">
        <w:instrText>ADDIN CSL_CITATION {"citationItems":[{"id":"ITEM-1","itemData":{"DOI":"10.1016/j.envpol.2020.114133","ISSN":"18736424","PMID":"32078879","abstract":"Biochar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Pollution","id":"ITEM-1","issued":{"date-parts":[["2020","6","1"]]},"page":"114133","publisher":"Elsevier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soil","type":"article-journal","volume":"261"},"uris":["http://www.mendeley.com/documents/?uuid=6eee545a-7fee-346b-8aa7-47b79f2eb8fe"]}],"mendeley":{"formattedCitation":"(C. Xu et al., 2020)","manualFormatting":"Xu et al. (2020)","plainTextFormattedCitation":"(C. Xu et al., 2020)","previouslyFormattedCitation":"(C. Xu et al., 2020)"},"properties":{"noteIndex":0},"schema":"https://github.com/citation-style-language/schema/raw/master/csl-citation.json"}</w:instrText>
      </w:r>
      <w:r w:rsidRPr="00216965">
        <w:fldChar w:fldCharType="separate"/>
      </w:r>
      <w:r w:rsidRPr="00216965">
        <w:rPr>
          <w:noProof/>
        </w:rPr>
        <w:t xml:space="preserve">Xu </w:t>
      </w:r>
      <w:r w:rsidR="009B2252" w:rsidRPr="00216965">
        <w:rPr>
          <w:iCs/>
          <w:noProof/>
        </w:rPr>
        <w:t>et al</w:t>
      </w:r>
      <w:r w:rsidRPr="00216965">
        <w:rPr>
          <w:noProof/>
        </w:rPr>
        <w:t>. (2020)</w:t>
      </w:r>
      <w:r w:rsidRPr="00216965">
        <w:fldChar w:fldCharType="end"/>
      </w:r>
      <w:r w:rsidRPr="00216965">
        <w:t xml:space="preserve"> reported a decrease in exchangeable Pb and Cd in soil but increase in exchangeable K</w:t>
      </w:r>
      <w:r w:rsidRPr="00216965">
        <w:rPr>
          <w:vertAlign w:val="superscript"/>
        </w:rPr>
        <w:t>+</w:t>
      </w:r>
      <w:r w:rsidRPr="00216965">
        <w:t>, Na</w:t>
      </w:r>
      <w:r w:rsidRPr="00216965">
        <w:rPr>
          <w:vertAlign w:val="superscript"/>
        </w:rPr>
        <w:t>+</w:t>
      </w:r>
      <w:r w:rsidRPr="00216965">
        <w:t>, Ca</w:t>
      </w:r>
      <w:r w:rsidRPr="00216965">
        <w:rPr>
          <w:vertAlign w:val="superscript"/>
        </w:rPr>
        <w:t>2+</w:t>
      </w:r>
      <w:r w:rsidRPr="00216965">
        <w:t xml:space="preserve"> and Mg</w:t>
      </w:r>
      <w:r w:rsidRPr="00216965">
        <w:rPr>
          <w:vertAlign w:val="superscript"/>
        </w:rPr>
        <w:t>2+</w:t>
      </w:r>
      <w:r w:rsidRPr="00216965">
        <w:t xml:space="preserve"> due to heavy metal immobilization by biochar, indicating that biochar can immobilize heavy metals through cation exchange mechanisms. In this study, the water extractable concentration (Experiment A) and bioavailable concentration (Experiment B) of K</w:t>
      </w:r>
      <w:r w:rsidRPr="00216965">
        <w:rPr>
          <w:vertAlign w:val="superscript"/>
        </w:rPr>
        <w:t>+</w:t>
      </w:r>
      <w:r w:rsidRPr="00216965">
        <w:t xml:space="preserve"> and Na</w:t>
      </w:r>
      <w:r w:rsidRPr="00216965">
        <w:rPr>
          <w:vertAlign w:val="superscript"/>
        </w:rPr>
        <w:t>+</w:t>
      </w:r>
      <w:r w:rsidRPr="00216965">
        <w:t xml:space="preserve"> increased with the addition of biochar (</w:t>
      </w:r>
      <w:r w:rsidRPr="00216965">
        <w:rPr>
          <w:b/>
          <w:bCs/>
        </w:rPr>
        <w:fldChar w:fldCharType="begin"/>
      </w:r>
      <w:r w:rsidRPr="00216965">
        <w:rPr>
          <w:b/>
          <w:bCs/>
        </w:rPr>
        <w:instrText xml:space="preserve"> REF _Ref86402244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2</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_Ref85572885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18</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 while water extractable/bioavailable Ca</w:t>
      </w:r>
      <w:r w:rsidRPr="00216965">
        <w:rPr>
          <w:vertAlign w:val="superscript"/>
        </w:rPr>
        <w:t>2+</w:t>
      </w:r>
      <w:r w:rsidRPr="00216965">
        <w:t>, Mn</w:t>
      </w:r>
      <w:r w:rsidRPr="00216965">
        <w:rPr>
          <w:vertAlign w:val="superscript"/>
        </w:rPr>
        <w:t>2+</w:t>
      </w:r>
      <w:r w:rsidRPr="00216965">
        <w:t xml:space="preserve"> and Mg</w:t>
      </w:r>
      <w:r w:rsidRPr="00216965">
        <w:rPr>
          <w:vertAlign w:val="superscript"/>
        </w:rPr>
        <w:t>2+</w:t>
      </w:r>
      <w:r w:rsidRPr="00216965">
        <w:t xml:space="preserve"> decreased. </w:t>
      </w:r>
    </w:p>
    <w:p w14:paraId="3D6DC702" w14:textId="2E47A302" w:rsidR="008574C0" w:rsidRPr="00216965" w:rsidRDefault="006B380D" w:rsidP="008A33DA">
      <w:pPr>
        <w:spacing w:line="360" w:lineRule="auto"/>
        <w:jc w:val="both"/>
      </w:pPr>
      <w:r w:rsidRPr="00216965">
        <w:t xml:space="preserve">The decrease in water extractable Ca is likely to be associated with the release of phosphate from biochars, which may have promoted the formation of precipitates, as </w:t>
      </w:r>
      <w:r w:rsidRPr="00216965">
        <w:lastRenderedPageBreak/>
        <w:t>predicted with the speciation analysis for the Mix-soil in Experiment A (</w:t>
      </w:r>
      <w:r w:rsidRPr="00216965">
        <w:rPr>
          <w:b/>
          <w:bCs/>
        </w:rPr>
        <w:fldChar w:fldCharType="begin"/>
      </w:r>
      <w:r w:rsidRPr="00216965">
        <w:rPr>
          <w:b/>
          <w:bCs/>
        </w:rPr>
        <w:instrText xml:space="preserve"> REF _Ref74906168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3</w:t>
      </w:r>
      <w:r w:rsidRPr="00216965">
        <w:rPr>
          <w:b/>
          <w:bCs/>
        </w:rPr>
        <w:fldChar w:fldCharType="end"/>
      </w:r>
      <w:r w:rsidRPr="00216965">
        <w:t>). The formation of CaHPO</w:t>
      </w:r>
      <w:r w:rsidRPr="00216965">
        <w:rPr>
          <w:vertAlign w:val="subscript"/>
        </w:rPr>
        <w:t>4</w:t>
      </w:r>
      <w:r w:rsidRPr="00216965">
        <w:t xml:space="preserve"> and CaPO</w:t>
      </w:r>
      <w:r w:rsidRPr="00216965">
        <w:rPr>
          <w:vertAlign w:val="subscript"/>
        </w:rPr>
        <w:t>4</w:t>
      </w:r>
      <w:r w:rsidRPr="00216965">
        <w:rPr>
          <w:vertAlign w:val="superscript"/>
        </w:rPr>
        <w:t xml:space="preserve">- </w:t>
      </w:r>
      <w:r w:rsidRPr="00216965">
        <w:t>precipitates</w:t>
      </w:r>
      <w:r w:rsidRPr="00216965">
        <w:rPr>
          <w:vertAlign w:val="superscript"/>
        </w:rPr>
        <w:t xml:space="preserve"> </w:t>
      </w:r>
      <w:r w:rsidRPr="00216965">
        <w:t xml:space="preserve">are reported to occur at pH &gt; 7 and pH 7.5, respectively </w:t>
      </w:r>
      <w:r w:rsidRPr="00216965">
        <w:fldChar w:fldCharType="begin" w:fldLock="1"/>
      </w:r>
      <w:r w:rsidR="006C06AA" w:rsidRPr="00216965">
        <w:instrText>ADDIN CSL_CITATION {"citationItems":[{"id":"ITEM-1","itemData":{"DOI":"10.1016/j.idairyj.2010.03.004","ISSN":"09586946","abstract":"Dairy ultrafiltration permeate is a fluid that is often discarded from the manufacturing process. However, downstream processes such as nanofiltration can be used to separate the valuable lactose and calcium from the monovalent salts, facilitating recovery of a valuable by-product. Previous work has shown that the nanofiltration membrane can suffer from significant fouling due to calcium precipitation. In this work, a model describing the speciation and fouling potential of calcium salts in skim milk ultrafiltration permeate is presented. Results are compared with experimentally determined calcium concentrations in both laboratory prepared solutions and permeate obtained directly from a dairy factory. The model is able to fit the experimental data well for solutions below the saturation concentration for calcium salts, but is less able to fit systems where precipitation of such salts is possible as the extent of the metastable salt region is not readily predicted. © 2010 Elsevier Ltd.","author":[{"dropping-particle":"","family":"Rice","given":"G.","non-dropping-particle":"","parse-names":false,"suffix":""},{"dropping-particle":"","family":"Barber","given":"A.","non-dropping-particle":"","parse-names":false,"suffix":""},{"dropping-particle":"","family":"O'Connor","given":"A.","non-dropping-particle":"","parse-names":false,"suffix":""},{"dropping-particle":"","family":"Stevens","given":"G.","non-dropping-particle":"","parse-names":false,"suffix":""},{"dropping-particle":"","family":"Kentish","given":"S.","non-dropping-particle":"","parse-names":false,"suffix":""}],"container-title":"International Dairy Journal","id":"ITEM-1","issue":"10","issued":{"date-parts":[["2010"]]},"page":"694-706","publisher":"Elsevier Ltd","title":"A theoretical and experimental analysis of calcium speciation and precipitation in dairy ultrafiltration permeate","type":"article-journal","volume":"20"},"uris":["http://www.mendeley.com/documents/?uuid=1278bdaf-fb48-496f-873e-237ef155117e"]}],"mendeley":{"formattedCitation":"(Rice et al., 2010)","plainTextFormattedCitation":"(Rice et al., 2010)","previouslyFormattedCitation":"(Rice et al., 2010)"},"properties":{"noteIndex":0},"schema":"https://github.com/citation-style-language/schema/raw/master/csl-citation.json"}</w:instrText>
      </w:r>
      <w:r w:rsidRPr="00216965">
        <w:fldChar w:fldCharType="separate"/>
      </w:r>
      <w:r w:rsidR="00C83E62" w:rsidRPr="00216965">
        <w:rPr>
          <w:noProof/>
        </w:rPr>
        <w:t>(Rice et al., 2010)</w:t>
      </w:r>
      <w:r w:rsidRPr="00216965">
        <w:fldChar w:fldCharType="end"/>
      </w:r>
      <w:r w:rsidRPr="00216965">
        <w:t xml:space="preserve">, which is consistent with the pH of the biochar-amended soils (pH &gt;7.5). </w:t>
      </w:r>
    </w:p>
    <w:p w14:paraId="6E8906EB" w14:textId="576310F1" w:rsidR="006B380D" w:rsidRPr="00216965" w:rsidRDefault="006B380D" w:rsidP="008A33DA">
      <w:pPr>
        <w:spacing w:line="360" w:lineRule="auto"/>
        <w:jc w:val="both"/>
      </w:pPr>
      <w:r w:rsidRPr="00216965">
        <w:t xml:space="preserve">The decrease of bioavailable Mg and Mn is possibly due to the increase in soil pH </w:t>
      </w:r>
      <w:r w:rsidR="0087795C" w:rsidRPr="00216965">
        <w:t>caused by</w:t>
      </w:r>
      <w:r w:rsidRPr="00216965">
        <w:t xml:space="preserve"> biochar a</w:t>
      </w:r>
      <w:r w:rsidR="0087795C" w:rsidRPr="00216965">
        <w:t>ddition</w:t>
      </w:r>
      <w:r w:rsidRPr="00216965">
        <w:t xml:space="preserve">. </w:t>
      </w:r>
      <w:r w:rsidRPr="00216965">
        <w:fldChar w:fldCharType="begin" w:fldLock="1"/>
      </w:r>
      <w:r w:rsidR="00F56BD7" w:rsidRPr="00216965">
        <w:instrText>ADDIN CSL_CITATION {"citationItems":[{"id":"ITEM-1","itemData":{"DOI":"10.2136/SSSAJ1986.03615995005000020023X","abstract":"Soil pH markedly altered the distribution of Mn and Zn but had little effect on Cu. Although soil type did have some influence, exchangeable Mn and Zn were generally the dominant species of the elements &lt; pH 5.2, while at higher pH values organically complexed and Fe-oxide bound forms were dominant. The majority of soil Cu was in the organic fraction. Plant uptake of Mn and Zn was primarily related to the exchangeable enhanced by the inclusion of soil pH.-from Author","author":[{"dropping-particle":"","family":"Sims","given":"J. T.","non-dropping-particle":"","parse-names":false,"suffix":""}],"container-title":"Soil Science Society of America Journal","id":"ITEM-1","issue":"2","issued":{"date-parts":[["1986"]]},"page":"367-373","title":"Soil pH effects on the distribution and plant availability of manganese, copper, and zinc.","type":"article-journal","volume":"50"},"uris":["http://www.mendeley.com/documents/?uuid=ab7ab3b4-b494-317b-91bf-ce9f5dbf27e3"]}],"mendeley":{"formattedCitation":"(Sims, 1986)","manualFormatting":"Sims (1986)","plainTextFormattedCitation":"(Sims, 1986)","previouslyFormattedCitation":"(Sims, 1986)"},"properties":{"noteIndex":0},"schema":"https://github.com/citation-style-language/schema/raw/master/csl-citation.json"}</w:instrText>
      </w:r>
      <w:r w:rsidRPr="00216965">
        <w:fldChar w:fldCharType="separate"/>
      </w:r>
      <w:r w:rsidRPr="00216965">
        <w:rPr>
          <w:noProof/>
        </w:rPr>
        <w:t>Sims (1986)</w:t>
      </w:r>
      <w:r w:rsidRPr="00216965">
        <w:fldChar w:fldCharType="end"/>
      </w:r>
      <w:r w:rsidRPr="00216965">
        <w:t xml:space="preserve"> stated that exchangeable Mn decreased as pH increased due to transformation into the less available oxide fractions. Similarly </w:t>
      </w:r>
      <w:r w:rsidRPr="00216965">
        <w:fldChar w:fldCharType="begin" w:fldLock="1"/>
      </w:r>
      <w:r w:rsidR="006C06AA" w:rsidRPr="00216965">
        <w:instrText>ADDIN CSL_CITATION {"citationItems":[{"id":"ITEM-1","itemData":{"DOI":"10.2136/SSSAJ1981.03615995004500030011X","ISSN":"1435-0661","author":[{"dropping-particle":"","family":"Grove","given":"J. H.","non-dropping-particle":"","parse-names":false,"suffix":""},{"dropping-particle":"","family":"Sumner","given":"M. E.","non-dropping-particle":"","parse-names":false,"suffix":""},{"dropping-particle":"","family":"Syers","given":"J. K.","non-dropping-particle":"","parse-names":false,"suffix":""}],"container-title":"Soil Science Society of America Journal","id":"ITEM-1","issue":"3","issued":{"date-parts":[["1981","5","1"]]},"page":"497-500","publisher":"John Wiley &amp; Sons, Ltd","title":"Effect of lime on exchangeable magnesium in variable surface charge soils","type":"article-journal","volume":"45"},"uris":["http://www.mendeley.com/documents/?uuid=2062b3a9-9a4d-3c7d-af61-a42e42203d6d"]}],"mendeley":{"formattedCitation":"(Grove et al., 1981)","manualFormatting":"Grove et al. (1981)","plainTextFormattedCitation":"(Grove et al., 1981)","previouslyFormattedCitation":"(Grove et al., 1981)"},"properties":{"noteIndex":0},"schema":"https://github.com/citation-style-language/schema/raw/master/csl-citation.json"}</w:instrText>
      </w:r>
      <w:r w:rsidRPr="00216965">
        <w:fldChar w:fldCharType="separate"/>
      </w:r>
      <w:r w:rsidRPr="00216965">
        <w:rPr>
          <w:noProof/>
        </w:rPr>
        <w:t xml:space="preserve">Grove </w:t>
      </w:r>
      <w:r w:rsidR="009B2252" w:rsidRPr="00216965">
        <w:rPr>
          <w:iCs/>
          <w:noProof/>
        </w:rPr>
        <w:t>et al</w:t>
      </w:r>
      <w:r w:rsidRPr="00216965">
        <w:rPr>
          <w:noProof/>
        </w:rPr>
        <w:t>. (1981)</w:t>
      </w:r>
      <w:r w:rsidRPr="00216965">
        <w:fldChar w:fldCharType="end"/>
      </w:r>
      <w:r w:rsidRPr="00216965">
        <w:t>, indicated that Mg availability decreased with increasing soil pH due to lime application, the Mg-fixation was associated with the formation of a surface-solid phase involving Al</w:t>
      </w:r>
      <w:r w:rsidRPr="00216965">
        <w:rPr>
          <w:rFonts w:ascii="Open Sans" w:eastAsia="Open Sans" w:hAnsi="Open Sans" w:cs="Open Sans"/>
          <w:color w:val="1C1D1E"/>
        </w:rPr>
        <w:t>. </w:t>
      </w:r>
      <w:r w:rsidRPr="00216965">
        <w:t>Conversely, the higher concentration of water extractable/bioavailable monovalent cations (e.g. K</w:t>
      </w:r>
      <w:r w:rsidRPr="00216965">
        <w:rPr>
          <w:vertAlign w:val="superscript"/>
        </w:rPr>
        <w:t>+</w:t>
      </w:r>
      <w:r w:rsidRPr="00216965">
        <w:t xml:space="preserve"> and Na</w:t>
      </w:r>
      <w:r w:rsidRPr="00216965">
        <w:rPr>
          <w:vertAlign w:val="superscript"/>
        </w:rPr>
        <w:t>+</w:t>
      </w:r>
      <w:r w:rsidRPr="00216965">
        <w:t xml:space="preserve">) is explained by their lower sorption potential </w:t>
      </w:r>
      <w:r w:rsidRPr="00216965">
        <w:fldChar w:fldCharType="begin" w:fldLock="1"/>
      </w:r>
      <w:r w:rsidR="00F56BD7" w:rsidRPr="00216965">
        <w:instrText>ADDIN CSL_CITATION {"citationItems":[{"id":"ITEM-1","itemData":{"ISBN":"0018-5345","ISSN":"00185345","abstract":"Variations in moss peat cation exchange capacity (CEC) and base saturation (BS) can result in inconsistent initial pH in moss peat-based substrates created using standard formulas for limestone additions and can lead to subsequent drift from the initial pH in those substrates. This study was conducted to determine the extent of such variation. CEC and BS were measured in three replications on 64 moss peat samples that were selected from three mires across Alberta, Canada, to represent maximum gradients in plant species composition within six degrees of decomposition acceptable for professional peat-based substrates. CEC ranged from 108 to 162 cmol·kg−1 (meq·100 g). Averaged overall samples, BS ranged from 15% to 71% of CEC and calcium accounted for 68%, magnesium for 25%, sodium for 5%, and potassium for 1.4% of BS. CEC was positively correlated to the amount of Sphagnum fuscum (Schimp.) Klingrr. in the sample (r = 0.22). BS was positively correlated to the amount of sedge (r = 0.28). Neither CEC nor BS was influenced by degree of decomposition (r = 0.002 and r = 0.08, respectively). Moss peats with high CEC have a greater buffering capacity than those with low CEC, resulting in less pH drift. Moss peats with high BS should have a low neutralization requirement to achieve a target pH. Understanding the species composition in peat-based substrates can alleviate problems of inconsistent initial pH and subsequent pH drift.","author":[{"dropping-particle":"","family":"Rippy","given":"Janet F M","non-dropping-particle":"","parse-names":false,"suffix":""},{"dropping-particle":"V.","family":"Nelson","given":"Paul","non-dropping-particle":"","parse-names":false,"suffix":""}],"container-title":"HortScience","id":"ITEM-1","issue":"2","issued":{"date-parts":[["2007"]]},"page":"349-352","title":"Cation exchange capacity and base saturation variation among Alberta, Canada, moss peats","type":"article-journal","volume":"42"},"uris":["http://www.mendeley.com/documents/?uuid=a2805416-e716-4a7d-b7e6-681fa4af954c"]}],"mendeley":{"formattedCitation":"(Rippy and Nelson, 2007)","plainTextFormattedCitation":"(Rippy and Nelson, 2007)","previouslyFormattedCitation":"(Rippy and Nelson, 2007)"},"properties":{"noteIndex":0},"schema":"https://github.com/citation-style-language/schema/raw/master/csl-citation.json"}</w:instrText>
      </w:r>
      <w:r w:rsidRPr="00216965">
        <w:fldChar w:fldCharType="separate"/>
      </w:r>
      <w:r w:rsidR="00330A4F" w:rsidRPr="00216965">
        <w:rPr>
          <w:noProof/>
        </w:rPr>
        <w:t>(Rippy and Nelson, 2007)</w:t>
      </w:r>
      <w:r w:rsidRPr="00216965">
        <w:fldChar w:fldCharType="end"/>
      </w:r>
      <w:r w:rsidRPr="00216965">
        <w:t>. Overall, the results suggest that cation exchange, initiated mainly by monovalent cations released from the biochars, contributed to the sorption of HMs in the soils studied.</w:t>
      </w:r>
    </w:p>
    <w:p w14:paraId="19DB4CDA" w14:textId="77777777" w:rsidR="006B380D" w:rsidRPr="00216965" w:rsidRDefault="006B380D" w:rsidP="008A33DA">
      <w:pPr>
        <w:pStyle w:val="Heading4"/>
      </w:pPr>
      <w:bookmarkStart w:id="306" w:name="_heading=h.2dlolyb"/>
      <w:bookmarkEnd w:id="306"/>
      <w:r w:rsidRPr="00216965">
        <w:t>Effect of biochar application rate</w:t>
      </w:r>
    </w:p>
    <w:p w14:paraId="32A38E2E" w14:textId="20AC6D3D" w:rsidR="008574C0" w:rsidRPr="00216965" w:rsidRDefault="006B380D" w:rsidP="008A33DA">
      <w:pPr>
        <w:spacing w:line="360" w:lineRule="auto"/>
        <w:jc w:val="both"/>
      </w:pPr>
      <w:r w:rsidRPr="00216965">
        <w:t xml:space="preserve">Contrary to expectations the high biochar application rates (3% and 5% </w:t>
      </w:r>
      <w:r w:rsidRPr="00216965">
        <w:rPr>
          <w:i/>
        </w:rPr>
        <w:t>w/w</w:t>
      </w:r>
      <w:r w:rsidRPr="00216965">
        <w:t>) did not necessarily lead to greater reductions in bioavailable HMs in the soil studied. In both experiments A and B, biochars applied at 1% led to the highest reduction in bioavailable HMs. No significant differences with higher application rates 3 and 5 % were observed, except for Pb-soil (Experiment A) where biochars applied at 5% caused an increase in bioavailable Pb relative to the 1% application (</w:t>
      </w:r>
      <w:r w:rsidRPr="00216965">
        <w:rPr>
          <w:b/>
          <w:bCs/>
        </w:rPr>
        <w:t xml:space="preserve">section </w:t>
      </w:r>
      <w:r w:rsidRPr="00216965">
        <w:rPr>
          <w:b/>
          <w:bCs/>
        </w:rPr>
        <w:fldChar w:fldCharType="begin"/>
      </w:r>
      <w:r w:rsidRPr="00216965">
        <w:rPr>
          <w:b/>
          <w:bCs/>
        </w:rPr>
        <w:instrText xml:space="preserve"> REF _Ref86406066 \r \h </w:instrText>
      </w:r>
      <w:r w:rsidRPr="00216965">
        <w:rPr>
          <w:b/>
          <w:bCs/>
        </w:rPr>
      </w:r>
      <w:r w:rsidR="00216965" w:rsidRPr="00216965">
        <w:rPr>
          <w:b/>
          <w:bCs/>
        </w:rPr>
        <w:instrText xml:space="preserve"> \* MERGEFORMAT </w:instrText>
      </w:r>
      <w:r w:rsidRPr="00216965">
        <w:rPr>
          <w:b/>
          <w:bCs/>
        </w:rPr>
        <w:fldChar w:fldCharType="separate"/>
      </w:r>
      <w:r w:rsidR="006E23EA" w:rsidRPr="00216965">
        <w:rPr>
          <w:b/>
          <w:bCs/>
        </w:rPr>
        <w:t>4.3.2.1</w:t>
      </w:r>
      <w:r w:rsidRPr="00216965">
        <w:rPr>
          <w:b/>
          <w:bCs/>
        </w:rPr>
        <w:fldChar w:fldCharType="end"/>
      </w:r>
      <w:r w:rsidRPr="00216965">
        <w:t>). These findings are consistent with that of</w:t>
      </w:r>
      <w:r w:rsidR="001C4D8E" w:rsidRPr="00216965">
        <w:t xml:space="preserve"> </w:t>
      </w:r>
      <w:r w:rsidR="001C4D8E" w:rsidRPr="00216965">
        <w:fldChar w:fldCharType="begin" w:fldLock="1"/>
      </w:r>
      <w:r w:rsidR="006164A9" w:rsidRPr="00216965">
        <w:instrText>ADDIN CSL_CITATION {"citationItems":[{"id":"ITEM-1","itemData":{"DOI":"10.1007/s11270-020-04885-4","ISSN":"15732932","abstract":"Organic sorbents alter physicochemical soil properties and mitigate heavy metal (HM) bioavailability. However, some sorbents are labile and, therefore, introduce the risk of HM release into soil after mineralisation. Before field application, new stable organic sorbents such as woodchip biochar (BIO) and brown coal waste (BCW) need to be tested and compared with standard organic amendments like farmyard manure (FYM). An incubated pot experiment was conducted to investigate the efficacy of FYM, BIO and BCW (added to soil in pots at 5 and 10% w/w) to alter soil physicochemical properties and mitigate bioavailability of Cd, Pb and Zn spiked in treatments at different doses (in mg kg−1); 0 (not spiked), 1 (1 Cd, 70 Pb, 100 Zn) and 2 (3 Cd, 500 Pb, 700 Zn), and incubated for 9 weeks. At the end of the experiment, the EDTA-extractable HM fractions, pH, cation exchange capacity (CEC) and specific surface area (SSA, to check trends) were determined in all treated soils. Results showed that FYM, BCW and BIO generally improved all soil properties (except reduced pH from BCW and apparent SSA reduction from FYM) and accounted for respective maximum abatements of Cd (50.2, 69.9 and 25.5%), Pb (34.2, 64.3 and 17.4%) and Zn (14.9, 17.7 and 11.8%) bioavailability in soil. FYM and BCW were more effective at 10% w/w especially in the low contaminated soil, whereas the highest efficacy for BIO was at 5% w/w and in the high contaminated soil. The efficacies of sorption by the organic sorbents varied for different HMs and were in the orders: BCW &gt; FYM &gt; BIO for Cd, FYM &gt; BCW &gt; BIO for Pb and BIO &gt; BCW &gt; FYM for Zn. Soil pH and CEC were strongly correlated with HM bioavailability in all treatments and implied that immobilisation of HMs occurred via complex formation, ion exchange and pH-dependent specific adsorption. All three sorbents were beneficial as soil amendments, and in terms of HM mitigation, BCW had the highest efficacy, followed by FYM and then BIO. Considering the documented high soil stability of BCW and BIO, these results are promising for further trialling at field scale.","author":[{"dropping-particle":"","family":"Amoah-Antwi","given":"C.","non-dropping-particle":"","parse-names":false,"suffix":""},{"dropping-particle":"","family":"Kwiatkowska-Malina","given":"J.","non-dropping-particle":"","parse-names":false,"suffix":""},{"dropping-particle":"","family":"Szara","given":"E.","non-dropping-particle":"","parse-names":false,"suffix":""},{"dropping-particle":"","family":"Thornton","given":"S.","non-dropping-particle":"","parse-names":false,"suffix":""},{"dropping-particle":"","family":"Fenton","given":"O.","non-dropping-particle":"","parse-names":false,"suffix":""},{"dropping-particle":"","family":"Malina","given":"G.","non-dropping-particle":"","parse-names":false,"suffix":""}],"container-title":"Water, Air, and Soil Pollution","id":"ITEM-1","issued":{"date-parts":[["2020","10","1"]]},"page":"515","publisher":"Springer Science and Business Media Deutschland GmbH","title":"Efficacy of woodchip biochar and brown coal waste as stable sorbents for abatement of bioavailable cadmium, lead and zinc in soil","type":"article-journal","volume":"231"},"uris":["http://www.mendeley.com/documents/?uuid=3443d71f-7da5-34e4-a645-6e69e4174239"]}],"mendeley":{"formattedCitation":"(C. Amoah-Antwi et al., 2020)","manualFormatting":"C. Amoah-Antwi et al. (2020)","plainTextFormattedCitation":"(C. Amoah-Antwi et al., 2020)","previouslyFormattedCitation":"(C. Amoah-Antwi et al., 2020)"},"properties":{"noteIndex":0},"schema":"https://github.com/citation-style-language/schema/raw/master/csl-citation.json"}</w:instrText>
      </w:r>
      <w:r w:rsidR="001C4D8E" w:rsidRPr="00216965">
        <w:fldChar w:fldCharType="separate"/>
      </w:r>
      <w:r w:rsidR="001C4D8E" w:rsidRPr="00216965">
        <w:rPr>
          <w:noProof/>
        </w:rPr>
        <w:t>C. Amoah-Antwi et al. (2020)</w:t>
      </w:r>
      <w:r w:rsidR="001C4D8E" w:rsidRPr="00216965">
        <w:fldChar w:fldCharType="end"/>
      </w:r>
      <w:r w:rsidRPr="00216965">
        <w:t>, who reported that a 5% (</w:t>
      </w:r>
      <w:r w:rsidRPr="00216965">
        <w:rPr>
          <w:i/>
        </w:rPr>
        <w:t>w/w</w:t>
      </w:r>
      <w:r w:rsidRPr="00216965">
        <w:t>) application of conifer wood chip biochar applied to a soil spiked with Pb, Cd and Zn was more effective reducing bioavailable Cd, Pb and Zn than a 10% (</w:t>
      </w:r>
      <w:r w:rsidRPr="00216965">
        <w:rPr>
          <w:i/>
        </w:rPr>
        <w:t>w/w</w:t>
      </w:r>
      <w:r w:rsidRPr="00216965">
        <w:t xml:space="preserve">) application rate. Similarly, </w:t>
      </w:r>
      <w:r w:rsidRPr="00216965">
        <w:fldChar w:fldCharType="begin" w:fldLock="1"/>
      </w:r>
      <w:r w:rsidR="006C06AA" w:rsidRPr="00216965">
        <w:instrText>ADDIN CSL_CITATION {"citationItems":[{"id":"ITEM-1","itemData":{"DOI":"10.1016/j.chemosphere.2016.01.044","ISSN":"00456535","author":[{"dropping-particle":"","family":"Yin","given":"Daixia","non-dropping-particle":"","parse-names":false,"suffix":""},{"dropping-particle":"","family":"Wang","given":"Xin","non-dropping-particle":"","parse-names":false,"suffix":""},{"dropping-particle":"","family":"Chen","given":"Can","non-dropping-particle":"","parse-names":false,"suffix":""},{"dropping-particle":"","family":"Peng","given":"Bo","non-dropping-particle":"","parse-names":false,"suffix":""},{"dropping-particle":"","family":"Tan","given":"Changyin","non-dropping-particle":"","parse-names":false,"suffix":""},{"dropping-particle":"","family":"Li","given":"Hailong","non-dropping-particle":"","parse-names":false,"suffix":""}],"container-title":"Chemosphere","id":"ITEM-1","issued":{"date-parts":[["2016","6"]]},"page":"196-206","title":"Varying effect of biochar on Cd, Pb and As mobility in a multi-metal contaminated paddy soil","type":"article-journal","volume":"152"},"uris":["http://www.mendeley.com/documents/?uuid=25a616c9-2f7f-38e3-afdf-467c5f002eec"]}],"mendeley":{"formattedCitation":"(Yin et al., 2016)","manualFormatting":"Yin et al. (2016)","plainTextFormattedCitation":"(Yin et al., 2016)","previouslyFormattedCitation":"(Yin et al., 2016)"},"properties":{"noteIndex":0},"schema":"https://github.com/citation-style-language/schema/raw/master/csl-citation.json"}</w:instrText>
      </w:r>
      <w:r w:rsidRPr="00216965">
        <w:fldChar w:fldCharType="separate"/>
      </w:r>
      <w:r w:rsidRPr="00216965">
        <w:rPr>
          <w:noProof/>
        </w:rPr>
        <w:t xml:space="preserve">Yin </w:t>
      </w:r>
      <w:r w:rsidR="009B2252" w:rsidRPr="00216965">
        <w:rPr>
          <w:iCs/>
          <w:noProof/>
        </w:rPr>
        <w:t>et al</w:t>
      </w:r>
      <w:r w:rsidRPr="00216965">
        <w:rPr>
          <w:noProof/>
        </w:rPr>
        <w:t>. (2016)</w:t>
      </w:r>
      <w:r w:rsidRPr="00216965">
        <w:fldChar w:fldCharType="end"/>
      </w:r>
      <w:r w:rsidRPr="00216965">
        <w:t xml:space="preserve"> reported that biochars derived from water hyacinth (BCW) and rice straw (BCR) applied at 2% (</w:t>
      </w:r>
      <w:r w:rsidRPr="00216965">
        <w:rPr>
          <w:i/>
        </w:rPr>
        <w:t>w/w</w:t>
      </w:r>
      <w:r w:rsidRPr="00216965">
        <w:t>) to a mult</w:t>
      </w:r>
      <w:r w:rsidR="00CE6CD2">
        <w:t xml:space="preserve">i element </w:t>
      </w:r>
      <w:r w:rsidRPr="00216965">
        <w:t>contaminated soil were equally effective in reducing bioavailable concentrations of As, Cd and Pb, at a 5% (</w:t>
      </w:r>
      <w:r w:rsidRPr="00216965">
        <w:rPr>
          <w:i/>
        </w:rPr>
        <w:t>w/w</w:t>
      </w:r>
      <w:r w:rsidRPr="00216965">
        <w:t xml:space="preserve">) application. </w:t>
      </w:r>
    </w:p>
    <w:p w14:paraId="0D1FF4D5" w14:textId="0A58B862" w:rsidR="006B380D" w:rsidRPr="00216965" w:rsidRDefault="006B380D" w:rsidP="008A33DA">
      <w:pPr>
        <w:spacing w:line="360" w:lineRule="auto"/>
        <w:jc w:val="both"/>
      </w:pPr>
      <w:r w:rsidRPr="00216965">
        <w:t xml:space="preserve">However, other studies have shown more pronounced reduction in bioavailable HMs with higher biochar application rates. For example, </w:t>
      </w:r>
      <w:r w:rsidRPr="00216965">
        <w:fldChar w:fldCharType="begin" w:fldLock="1"/>
      </w:r>
      <w:r w:rsidR="006C06AA" w:rsidRPr="00216965">
        <w:instrText>ADDIN CSL_CITATION {"citationItems":[{"id":"ITEM-1","itemData":{"DOI":"10.1007/s12517-020-05376-w","ISSN":"18667538","abstract":"Metal-contaminated soils are considered a global concern due to their adverse effects on ecosystem vitality. This study was conducted to assess the efficiency of garden waste biochar (GB), as a modern remediation tool of soils contaminated with heavy metals (HMs), compared with the other Paulownia biochar (PB) and bamboo biochar (BB), on the growth of Brassica juncea (L.). The experiments and analyses were carried out at the Institute of Agricultural Resources and Environment, Guangdong Academy of Agricultural Sciences (Guangzhou, China), during the year 2018. The studied contaminated soil sample was amended with 0, 2%, 4%, and 6% (w/w) of PB, BB, GB400, and GB600 biochar. The experiment was designed in a completely randomized block design with 3 replications for each treatment. Garden waste biochar significantly duplicated the soil organic matter and EC 1.43−2.21 and 1.33−1.51 times, respectively, enhanced soil pH, and improved plant growth. It was more efficient to improve soil properties than PB and BB. DTPA-extractable metals showed the highest reduction at 6% of GB400, which was 29.56, 46.04, and 59.98% for Pb, Cd, and Cu, respectively, while it was 48.29% for Zn at GB600 over the control. Moreover, GB treatments increased the nitrogen (N) and phosphorus (P) contents of the plant shoots. Besides, HM contents of soil and plant tissues were significantly reduced after biochar applications and the highest reduction was recorded using 6% of GB. The results obviously pointed out that the metal transfer coefficient (TC) of shoots was decreased compared with the control after biochar applications, and GB showed the optimum response in this regard. The huge amounts of garden waste, after transforming them to biochar (GB) which has been considered more effective in safe crop production, can be used to reduce the availability of toxic metals in the soil and keep them under safe limits, especially with large-scale vegetable crops in China. It will clean the environment and improve resource sustainability. Therefore, GB is recommended to be used in soil HM remediation on a large scale in polluted areas.","author":[{"dropping-particle":"","family":"Awad","given":"Mahrous","non-dropping-particle":"","parse-names":false,"suffix":""},{"dropping-particle":"","family":"Moustafa-Farag","given":"Mohamed","non-dropping-particle":"","parse-names":false,"suffix":""},{"dropping-particle":"","family":"Wei","given":"Lan","non-dropping-particle":"","parse-names":false,"suffix":""},{"dropping-particle":"","family":"Huang","given":"Qing","non-dropping-particle":"","parse-names":false,"suffix":""},{"dropping-particle":"","family":"Liu","given":"Zhongzhen","non-dropping-particle":"","parse-names":false,"suffix":""}],"container-title":"Arabian Journal of Geosciences","id":"ITEM-1","issue":"12","issued":{"date-parts":[["2020","6","1"]]},"page":"1-12","publisher":"Springer","title":"Effect of garden waste biochar on the bioavailability of heavy metals and growth of Brassica juncea (L.) in a multi-contaminated soil","type":"article-journal","volume":"13"},"uris":["http://www.mendeley.com/documents/?uuid=5557bcf8-d2c7-32cb-b69b-d99d85eb099a"]}],"mendeley":{"formattedCitation":"(Awad et al., 2020)","manualFormatting":"Awad et al. (2020)","plainTextFormattedCitation":"(Awad et al., 2020)","previouslyFormattedCitation":"(Awad et al., 2020)"},"properties":{"noteIndex":0},"schema":"https://github.com/citation-style-language/schema/raw/master/csl-citation.json"}</w:instrText>
      </w:r>
      <w:r w:rsidRPr="00216965">
        <w:fldChar w:fldCharType="separate"/>
      </w:r>
      <w:r w:rsidRPr="00216965">
        <w:rPr>
          <w:noProof/>
        </w:rPr>
        <w:t xml:space="preserve">Awad </w:t>
      </w:r>
      <w:r w:rsidR="009B2252" w:rsidRPr="00216965">
        <w:rPr>
          <w:iCs/>
          <w:noProof/>
        </w:rPr>
        <w:t>et al</w:t>
      </w:r>
      <w:r w:rsidRPr="00216965">
        <w:rPr>
          <w:noProof/>
        </w:rPr>
        <w:t>. (2020)</w:t>
      </w:r>
      <w:r w:rsidRPr="00216965">
        <w:fldChar w:fldCharType="end"/>
      </w:r>
      <w:r w:rsidRPr="00216965">
        <w:t xml:space="preserve"> reported that the most significant reduction in bioavailable Pb, Cd, Cu and Zn in heavy metal-contaminated soil occurred at a 6% (</w:t>
      </w:r>
      <w:r w:rsidRPr="00216965">
        <w:rPr>
          <w:i/>
        </w:rPr>
        <w:t>w/w</w:t>
      </w:r>
      <w:r w:rsidRPr="00216965">
        <w:t xml:space="preserve">) application rate of garden waste biochar, Paulownia biochar and </w:t>
      </w:r>
      <w:r w:rsidRPr="00216965">
        <w:lastRenderedPageBreak/>
        <w:t>bamboo biochar tested at 2%, 4% and 6% (</w:t>
      </w:r>
      <w:r w:rsidRPr="00216965">
        <w:rPr>
          <w:i/>
        </w:rPr>
        <w:t>w/w</w:t>
      </w:r>
      <w:r w:rsidRPr="00216965">
        <w:t xml:space="preserve">). Another study reported that the concentration of bioavailable Cd, Pb, Zn and Cu in a naturally contaminated soil decreased significantly (P&lt;0.05) with increasing addition of bamboo biochar and rice straw biochar from 1 to 5 % </w:t>
      </w:r>
      <w:r w:rsidRPr="00216965">
        <w:fldChar w:fldCharType="begin" w:fldLock="1"/>
      </w:r>
      <w:r w:rsidR="006C06AA" w:rsidRPr="00216965">
        <w:instrText>ADDIN CSL_CITATION {"citationItems":[{"id":"ITEM-1","itemData":{"DOI":"10.1016/j.jenvman.2016.05.068","ISSN":"10958630","PMID":"27264699","abstract":"Biochar has emerged as an efficient tool to affect bioavailability of heavy metals in contaminated soils. Although partially understood, a carefully designed incubation experiment was performed to examine the effect of biochar on mobility and redistribution of Cd, Cu, Pb and Zn in a sandy loam soil collected from the surroundings of a copper smelter. Bamboo and rice straw biochars with different mesh sizes (&lt;0.25 mm and &lt;1 mm), were applied at three rates (0, 1, and 5% w/w). Heavy metal concentrations in pore water were determined after extraction with 0.01 M CaCl2. Phytoavailable metals were extracted using DTPA/TEA (pH 7.3). The European Union Bureau of Reference (EUBCR) sequential extraction procedure was adopted to determine metal partitioning and redistribution of heavy metals. Results showed that CaCl2-and DTPA-extractable Cd, Cu, Pb and Zn concentrations were significantly (p &lt; 0.05) lower in the bamboo and rice straw biochar treated soils, especially at 5% application rate, than those in the unamended soil. Soil pH values were significantly correlated with CaCl2-extractable metal concentrations (p &lt; 0.01). The EUBCR sequential extraction procedure revealed that the acid extractable fractions of Cd, Cu, Pb and Zn decreased significantly (p &lt; 0.05) with biochar addition. Rice straw biochar was more effective than bamboo biochar in decreasing the acid extractable metal fractions, and the effect was more pronounced with increasing biochar application rate. The effect of biochar particle size on extractable metal concentrations was not consistent. The 5% rice straw biochar treatment reduced the DTPA-extractable metal concentrations in the order of Cd &lt; Cu &lt; Pb &lt; Zn, and reduced the acid extractable pool of Cd, Cu, Pb and Zn by 11, 17, 34 and 6%, respectively, compared to the control. In the same 5% rice straw biochar treatments, the organic bound fraction increased by 37, 58, 68 and 18% for Cd, Cu, Pb and Zn, respectively, compared to the control, indicating that the immobilized metals were mainly bound in the soil organic matter fraction. The results demonstrated that the rice straw biochar can effectively immobilize heavy metals, thereby reducing their mobility and bioavailability in contaminated soils.","author":[{"dropping-particle":"","family":"Lu","given":"Kouping","non-dropping-particle":"","parse-names":false,"suffix":""},{"dropping-particle":"","family":"Yang","given":"Xing","non-dropping-particle":"","parse-names":false,"suffix":""},{"dropping-particle":"","family":"Gielen","given":"Gerty","non-dropping-particle":"","parse-names":false,"suffix":""},{"dropping-particle":"","family":"Bolan","given":"Nanthi","non-dropping-particle":"","parse-names":false,"suffix":""},{"dropping-particle":"","family":"Ok","given":"Yong Sik","non-dropping-particle":"","parse-names":false,"suffix":""},{"dropping-particle":"","family":"Niazi","given":"Nabeel Khan","non-dropping-particle":"","parse-names":false,"suffix":""},{"dropping-particle":"","family":"Xu","given":"Song","non-dropping-particle":"","parse-names":false,"suffix":""},{"dropping-particle":"","family":"Yuan","given":"Guodong","non-dropping-particle":"","parse-names":false,"suffix":""},{"dropping-particle":"","family":"Chen","given":"Xin","non-dropping-particle":"","parse-names":false,"suffix":""},{"dropping-particle":"","family":"Zhang","given":"Xiaokai","non-dropping-particle":"","parse-names":false,"suffix":""},{"dropping-particle":"","family":"Liu","given":"Dan","non-dropping-particle":"","parse-names":false,"suffix":""},{"dropping-particle":"","family":"Song","given":"Zhaoliang","non-dropping-particle":"","parse-names":false,"suffix":""},{"dropping-particle":"","family":"Liu","given":"Xingyuan","non-dropping-particle":"","parse-names":false,"suffix":""},{"dropping-particle":"","family":"Wang","given":"Hailong","non-dropping-particle":"","parse-names":false,"suffix":""}],"container-title":"Journal of Environmental Management","id":"ITEM-1","issued":{"date-parts":[["2017"]]},"page":"285-292","publisher":"Elsevier Ltd","title":"Effect of bamboo and rice straw biochars on the mobility and redistribution of heavy metals (Cd, Cu, Pb and Zn) in contaminated soil","type":"article-journal","volume":"186"},"uris":["http://www.mendeley.com/documents/?uuid=42444baf-4bb9-4726-854b-79b724c0a71e"]}],"mendeley":{"formattedCitation":"(Lu et al., 2017)","plainTextFormattedCitation":"(Lu et al., 2017)","previouslyFormattedCitation":"(Lu et al., 2017)"},"properties":{"noteIndex":0},"schema":"https://github.com/citation-style-language/schema/raw/master/csl-citation.json"}</w:instrText>
      </w:r>
      <w:r w:rsidRPr="00216965">
        <w:fldChar w:fldCharType="separate"/>
      </w:r>
      <w:r w:rsidR="00C83E62" w:rsidRPr="00216965">
        <w:rPr>
          <w:noProof/>
        </w:rPr>
        <w:t>(Lu et al., 2017)</w:t>
      </w:r>
      <w:r w:rsidRPr="00216965">
        <w:fldChar w:fldCharType="end"/>
      </w:r>
      <w:r w:rsidRPr="00216965">
        <w:t>. The different outcomes can be explained by the unique biochar properties, sorption capacities for specific heavy metals and their concentration in the soil solution, as well as the soil properties.</w:t>
      </w:r>
    </w:p>
    <w:p w14:paraId="533E3CD8" w14:textId="63046994" w:rsidR="008574C0" w:rsidRPr="00216965" w:rsidRDefault="006B380D" w:rsidP="008A33DA">
      <w:pPr>
        <w:spacing w:line="360" w:lineRule="auto"/>
        <w:jc w:val="both"/>
      </w:pPr>
      <w:r w:rsidRPr="00216965">
        <w:t>Previously, in batch sorption experiments using synthetic soil pore water (</w:t>
      </w:r>
      <w:r w:rsidR="006B7849" w:rsidRPr="00216965">
        <w:rPr>
          <w:b/>
          <w:bCs/>
        </w:rPr>
        <w:fldChar w:fldCharType="begin"/>
      </w:r>
      <w:r w:rsidR="006B7849" w:rsidRPr="00216965">
        <w:rPr>
          <w:b/>
          <w:bCs/>
        </w:rPr>
        <w:instrText xml:space="preserve"> REF _Ref86412333 \r \h  \* MERGEFORMAT </w:instrText>
      </w:r>
      <w:r w:rsidR="006B7849" w:rsidRPr="00216965">
        <w:rPr>
          <w:b/>
          <w:bCs/>
        </w:rPr>
      </w:r>
      <w:r w:rsidR="006B7849" w:rsidRPr="00216965">
        <w:rPr>
          <w:b/>
          <w:bCs/>
        </w:rPr>
        <w:fldChar w:fldCharType="separate"/>
      </w:r>
      <w:r w:rsidR="006E23EA" w:rsidRPr="00216965">
        <w:rPr>
          <w:b/>
          <w:bCs/>
        </w:rPr>
        <w:t>Chapter 3</w:t>
      </w:r>
      <w:r w:rsidR="006B7849" w:rsidRPr="00216965">
        <w:rPr>
          <w:b/>
          <w:bCs/>
        </w:rPr>
        <w:fldChar w:fldCharType="end"/>
      </w:r>
      <w:r w:rsidRPr="00216965">
        <w:t>), the maximum sorption capacities (mg.g</w:t>
      </w:r>
      <w:r w:rsidRPr="00216965">
        <w:rPr>
          <w:vertAlign w:val="superscript"/>
        </w:rPr>
        <w:t>-1</w:t>
      </w:r>
      <w:r w:rsidRPr="00216965">
        <w:t xml:space="preserve">) of the biochars used in this experiment were reported to be 46-19-9 (OSR550), 0.5-10-0.6 (SWP550), 42-18-6 (WSP550) and 41-42-3 (MSP550) for Pb, Cd and Zn, respectively </w:t>
      </w:r>
      <w:r w:rsidRPr="00216965">
        <w:fldChar w:fldCharType="begin" w:fldLock="1"/>
      </w:r>
      <w:r w:rsidR="006C06AA" w:rsidRPr="00216965">
        <w:instrText>ADDIN CSL_CITATION {"citationItems":[{"id":"ITEM-1","itemData":{"DOI":"10.1016/j.heliyon.2020.e05388","ISSN":"24058440","abstract":"Environmental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F.","non-dropping-particle":"","parse-names":false,"suffix":""}],"container-title":"Heliyon","id":"ITEM-1","issued":{"date-parts":[["2020"]]},"page":"e05388","title":"The relationship between properties of plant-based biochars and sorption of Cd(II), Pb(II) and Zn(II) in soil model systems","type":"article-journal","volume":"6"},"uris":["http://www.mendeley.com/documents/?uuid=4cc1f56a-b6ca-4b2c-b02c-91ce5243ff75"]}],"mendeley":{"formattedCitation":"(Soria et al., 2020)","plainTextFormattedCitation":"(Soria et al., 2020)","previouslyFormattedCitation":"(Soria et al., 2020)"},"properties":{"noteIndex":0},"schema":"https://github.com/citation-style-language/schema/raw/master/csl-citation.json"}</w:instrText>
      </w:r>
      <w:r w:rsidRPr="00216965">
        <w:fldChar w:fldCharType="separate"/>
      </w:r>
      <w:r w:rsidR="00C83E62" w:rsidRPr="00216965">
        <w:rPr>
          <w:noProof/>
        </w:rPr>
        <w:t>(Soria et al., 2020)</w:t>
      </w:r>
      <w:r w:rsidRPr="00216965">
        <w:fldChar w:fldCharType="end"/>
      </w:r>
      <w:r w:rsidRPr="00216965">
        <w:t>. Considering these sorption capacities and the initial concentration of bioavailable HMs in the spiked soils (</w:t>
      </w:r>
      <w:r w:rsidRPr="00216965">
        <w:rPr>
          <w:b/>
          <w:bCs/>
        </w:rPr>
        <w:fldChar w:fldCharType="begin"/>
      </w:r>
      <w:r w:rsidRPr="00216965">
        <w:rPr>
          <w:b/>
          <w:bCs/>
        </w:rPr>
        <w:instrText xml:space="preserve"> REF _Ref82703474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1</w:t>
      </w:r>
      <w:r w:rsidRPr="00216965">
        <w:rPr>
          <w:b/>
          <w:bCs/>
        </w:rPr>
        <w:fldChar w:fldCharType="end"/>
      </w:r>
      <w:r w:rsidRPr="00216965">
        <w:rPr>
          <w:b/>
        </w:rPr>
        <w:t>)</w:t>
      </w:r>
      <w:r w:rsidRPr="00216965">
        <w:t xml:space="preserve">, the application of biochars at 1 % greatly exceed the dose theoretically required to immobilize the bioavailable fraction of HMs initially present in the Pb-soil, Zn-soil and Cd-soil treatments. This explains why higher application rates (3 and 5 %) did not enhance the further reduction of bioavailable HMs. </w:t>
      </w:r>
    </w:p>
    <w:p w14:paraId="1E00343F" w14:textId="4792511A" w:rsidR="006B380D" w:rsidRPr="00216965" w:rsidRDefault="006B380D" w:rsidP="008A33DA">
      <w:pPr>
        <w:spacing w:line="360" w:lineRule="auto"/>
        <w:jc w:val="both"/>
      </w:pPr>
      <w:r w:rsidRPr="00216965">
        <w:t xml:space="preserve">The presence of remaining bioavailable HMs in the soil, despite an excess of binding sites at high rates of biochar application, suggest that i) biochar cannot immobilize the total bioavailable HMs in soils, implying a limitation for sorption of low amounts of metals, or ii) immobilisation of HMs promoted by biochar may have displaced the soil equilibrium, enhancing the dissolution of more HMs into the soil solution. It is known that if the soil solution becomes undersaturated with respect to minerals in the soil, further dissolution of that mineral can occur until equilibrium is reached </w:t>
      </w:r>
      <w:r w:rsidRPr="00216965">
        <w:fldChar w:fldCharType="begin" w:fldLock="1"/>
      </w:r>
      <w:r w:rsidR="00F56BD7" w:rsidRPr="00216965">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Chemistry","type":"book"},"uris":["http://www.mendeley.com/documents/?uuid=2e8cdb2d-9122-4c0b-8580-27a612fa364d"]}],"mendeley":{"formattedCitation":"(Sparks, 2003)","plainTextFormattedCitation":"(Sparks, 2003)","previouslyFormattedCitation":"(Sparks, 2003)"},"properties":{"noteIndex":0},"schema":"https://github.com/citation-style-language/schema/raw/master/csl-citation.json"}</w:instrText>
      </w:r>
      <w:r w:rsidRPr="00216965">
        <w:fldChar w:fldCharType="separate"/>
      </w:r>
      <w:r w:rsidR="00330A4F" w:rsidRPr="00216965">
        <w:rPr>
          <w:noProof/>
        </w:rPr>
        <w:t>(Sparks, 2003)</w:t>
      </w:r>
      <w:r w:rsidRPr="00216965">
        <w:fldChar w:fldCharType="end"/>
      </w:r>
      <w:r w:rsidRPr="00216965">
        <w:t xml:space="preserve">. </w:t>
      </w:r>
    </w:p>
    <w:p w14:paraId="4297A107" w14:textId="6628C9A0" w:rsidR="008574C0" w:rsidRPr="00216965" w:rsidRDefault="006B380D" w:rsidP="008A33DA">
      <w:pPr>
        <w:spacing w:line="360" w:lineRule="auto"/>
        <w:jc w:val="both"/>
      </w:pPr>
      <w:r w:rsidRPr="00216965">
        <w:t>The increase in bioavailable Pb observed with increasing biochar dosage in the Pb-soil in Experiment A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rPr>
        <w:t>A</w:t>
      </w:r>
      <w:r w:rsidRPr="00216965">
        <w:t xml:space="preserve">) is consistent with previous findings. </w:t>
      </w:r>
      <w:r w:rsidRPr="00216965">
        <w:fldChar w:fldCharType="begin" w:fldLock="1"/>
      </w:r>
      <w:r w:rsidR="006C06AA" w:rsidRPr="00216965">
        <w:instrText>ADDIN CSL_CITATION {"citationItems":[{"id":"ITEM-1","itemData":{"DOI":"10.1016/j.chemosphere.2017.01.148","ISSN":"18791298","PMID":"28193592","abstract":"In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Sik","non-dropping-particle":"","parse-names":false,"suffix":""}],"container-title":"Chemosphere","id":"ITEM-1","issued":{"date-parts":[["2017","5","1"]]},"page":"593-603","publisher":"Elsevier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soils","type":"article-journal","volume":"174"},"uris":["http://www.mendeley.com/documents/?uuid=912ea230-9583-333a-a4f5-f79899ad2594"]}],"mendeley":{"formattedCitation":"(Igalavithana et al., 2017)","manualFormatting":"Igalavithana et al. (2017)","plainTextFormattedCitation":"(Igalavithana et al., 2017)","previouslyFormattedCitation":"(Igalavithana et al., 2017)"},"properties":{"noteIndex":0},"schema":"https://github.com/citation-style-language/schema/raw/master/csl-citation.json"}</w:instrText>
      </w:r>
      <w:r w:rsidRPr="00216965">
        <w:fldChar w:fldCharType="separate"/>
      </w:r>
      <w:r w:rsidRPr="00216965">
        <w:rPr>
          <w:noProof/>
        </w:rPr>
        <w:t xml:space="preserve">Igalavithana </w:t>
      </w:r>
      <w:r w:rsidR="009B2252" w:rsidRPr="00216965">
        <w:rPr>
          <w:iCs/>
          <w:noProof/>
        </w:rPr>
        <w:t>et al</w:t>
      </w:r>
      <w:r w:rsidRPr="00216965">
        <w:rPr>
          <w:noProof/>
        </w:rPr>
        <w:t>. (2017)</w:t>
      </w:r>
      <w:r w:rsidRPr="00216965">
        <w:fldChar w:fldCharType="end"/>
      </w:r>
      <w:r w:rsidRPr="00216965">
        <w:t xml:space="preserve"> showed that biochars derived from pine cone produced at 200°C and 500°C and applied at 5% (</w:t>
      </w:r>
      <w:r w:rsidRPr="00216965">
        <w:rPr>
          <w:i/>
        </w:rPr>
        <w:t>w/w</w:t>
      </w:r>
      <w:r w:rsidRPr="00216965">
        <w:t xml:space="preserve">) increased exchangeable Pb in a rice paddy soil. Similarly, </w:t>
      </w:r>
      <w:r w:rsidRPr="00216965">
        <w:fldChar w:fldCharType="begin" w:fldLock="1"/>
      </w:r>
      <w:r w:rsidR="006C06AA" w:rsidRPr="00216965">
        <w:instrText>ADDIN CSL_CITATION {"citationItems":[{"id":"ITEM-1","itemData":{"DOI":"10.1007/s00128-020-02886-x","abstract":"Biochar was for the first time produced from Suaeda glauca. The immobilization of Pb and Cd by this biochar and pig manure biochar was examined in two types of soils by diethylene triamine pentaacetic acid (DTPA) extraction. Addition of biochars decreased DTPA extractable Pb and Cd in Fluvo-aquic soil with reduction rates being 11.3%-48.4% and 0.74%-64.9% compared with the control treatment. The pig manure biochar favored the immobilization of Pb and S. glauca biochar favored the immobilization of Cd. Biochars can effectively immobilize heavy metals in Fluvo-aquic soil. However, the addition of biochars increased extractable Pb and Cd in red soil, with pig manure biochars showing greater rates. This is ascribed to that the competition effects of ions released from biochar enhanced the moving of heavy metals from iron and manganese oxides bound form to organic matter bound form, and hence enhanced the mobility and bioavailability of heavy metals.","author":[{"dropping-particle":"","family":"Liu","given":"Yarui","non-dropping-particle":"","parse-names":false,"suffix":""},{"dropping-particle":"","family":"Wang","given":"Fei","non-dropping-particle":"","parse-names":false,"suffix":""},{"dropping-particle":"","family":"Yin","given":"Zheyun","non-dropping-particle":"","parse-names":false,"suffix":""},{"dropping-particle":"","family":"Jia","given":"Weili","non-dropping-particle":"","parse-names":false,"suffix":""},{"dropping-particle":"","family":"Xiao","given":"Hongyang","non-dropping-particle":"","parse-names":false,"suffix":""},{"dropping-particle":"","family":"Lin","given":"Qimei","non-dropping-particle":"","parse-names":false,"suffix":""},{"dropping-particle":"","family":"Feng","given":"Yujie","non-dropping-particle":"","parse-names":false,"suffix":""}],"container-title":"Bulletin of Environmental Contamination and Toxicology","id":"ITEM-1","issued":{"date-parts":[["2020"]]},"page":"146-154","title":"Immobilization of lead and cadmium in soil using biochars derived from pig manure and Suaeda glauca","type":"article-journal","volume":"105"},"uris":["http://www.mendeley.com/documents/?uuid=17493131-7313-37e9-a3e3-85d3f875f1ba"]}],"mendeley":{"formattedCitation":"(Y. Liu et al., 2020)","manualFormatting":"Liu et al. (2020)","plainTextFormattedCitation":"(Y. Liu et al., 2020)","previouslyFormattedCitation":"(Y. Liu et al., 2020)"},"properties":{"noteIndex":0},"schema":"https://github.com/citation-style-language/schema/raw/master/csl-citation.json"}</w:instrText>
      </w:r>
      <w:r w:rsidRPr="00216965">
        <w:fldChar w:fldCharType="separate"/>
      </w:r>
      <w:r w:rsidRPr="00216965">
        <w:rPr>
          <w:noProof/>
        </w:rPr>
        <w:t xml:space="preserve">Liu </w:t>
      </w:r>
      <w:r w:rsidR="009B2252" w:rsidRPr="00216965">
        <w:rPr>
          <w:iCs/>
          <w:noProof/>
        </w:rPr>
        <w:t>et al</w:t>
      </w:r>
      <w:r w:rsidRPr="00216965">
        <w:rPr>
          <w:noProof/>
        </w:rPr>
        <w:t>. (2020)</w:t>
      </w:r>
      <w:r w:rsidRPr="00216965">
        <w:fldChar w:fldCharType="end"/>
      </w:r>
      <w:r w:rsidRPr="00216965">
        <w:t xml:space="preserve"> reported that the addition of biochars produced from pig manure and </w:t>
      </w:r>
      <w:r w:rsidRPr="00216965">
        <w:rPr>
          <w:i/>
        </w:rPr>
        <w:t>Suaeda glauca</w:t>
      </w:r>
      <w:r w:rsidRPr="00216965">
        <w:t xml:space="preserve"> at 2% and 4% (</w:t>
      </w:r>
      <w:r w:rsidRPr="00216965">
        <w:rPr>
          <w:i/>
        </w:rPr>
        <w:t>w/w</w:t>
      </w:r>
      <w:r w:rsidRPr="00216965">
        <w:t xml:space="preserve">) increased extractable Pb and Cd concentrations in red soil by up to 13.7 times and 6.83 times, respectively, compared with the control treatment. They explained the increased bioavailability of Pb and Cd by the dissolution of base cations from biochar that would compete with the ion exchange sites in the soil. This behaviour was described </w:t>
      </w:r>
      <w:r w:rsidRPr="00216965">
        <w:lastRenderedPageBreak/>
        <w:t xml:space="preserve">by </w:t>
      </w:r>
      <w:r w:rsidRPr="00216965">
        <w:fldChar w:fldCharType="begin" w:fldLock="1"/>
      </w:r>
      <w:r w:rsidR="00F56BD7" w:rsidRPr="00216965">
        <w:instrText>ADDIN CSL_CITATION {"citationItems":[{"id":"ITEM-1","itemData":{"DOI":"ttps://doi.org/10.1016/j.heliyon.2018.e00543","abstract":"The ability of biochar to immobilize metals relies on the amount of functional groups at its surface but the contribution of each functional groups (e.g. carboxylic, phenolic) to metal bonding is poorly known. Using a new approach based on previous works on rare earth element (REE) interactions with humic substances, we aim at elucidating the relative contribution of these binding sites to metal sorption under various conditions (i.e. pH and ionic strengths, IS). Using batch experiments, REE sorption onto biochar was analyzed from pH 3 to 9 and IS 10−1 mol/L to 10−3 mol/L. Rare earth element patterns show a Middle REE (MREE) downward concavity at acidic pH and low ionic strength. These patterns are in good agreement with existing datasets quantifying REE binding with humic substances. Indeed, the MREE downward concavity displayed by REE-biochar complexation pattern compares well with REE patterns with various organic compounds. This similarity in the REE complexation pattern shapes suggests that carboxylic groups are the main binding sites of REE in biochar. Overall, our results indicate that the strength of the metal bonding with biochar increases when pH and IS increase, suggesting that biochar is more efficient for long-term metal immobilization at near neutral pH and high ionic strength.","author":[{"dropping-particle":"","family":"Pourret","given":"Olivier","non-dropping-particle":"","parse-names":false,"suffix":""},{"dropping-particle":"","family":"Houben","given":"David","non-dropping-particle":"","parse-names":false,"suffix":""}],"container-title":"Heliyon","id":"ITEM-1","issued":{"date-parts":[["2018"]]},"page":"e00543","title":"Characterization of metal binding sites onto biochar using rare earth elements as a fingerprint","type":"article-journal","volume":"4"},"uris":["http://www.mendeley.com/documents/?uuid=b93bb12a-b7bb-3155-836f-a8cc9d734296"]}],"mendeley":{"formattedCitation":"(Pourret and Houben, 2018)","manualFormatting":"Pourret and Houben (2018)","plainTextFormattedCitation":"(Pourret and Houben, 2018)","previouslyFormattedCitation":"(Pourret and Houben, 2018)"},"properties":{"noteIndex":0},"schema":"https://github.com/citation-style-language/schema/raw/master/csl-citation.json"}</w:instrText>
      </w:r>
      <w:r w:rsidRPr="00216965">
        <w:fldChar w:fldCharType="separate"/>
      </w:r>
      <w:r w:rsidRPr="00216965">
        <w:rPr>
          <w:noProof/>
        </w:rPr>
        <w:t>Pourret and Houben (2018)</w:t>
      </w:r>
      <w:r w:rsidRPr="00216965">
        <w:fldChar w:fldCharType="end"/>
      </w:r>
      <w:r w:rsidRPr="00216965">
        <w:t xml:space="preserve"> as an ionic strength (IS) effect due to biochar addition. Classical IS effects arise from competition with surplus electrolytes (Ca</w:t>
      </w:r>
      <w:r w:rsidRPr="00216965">
        <w:rPr>
          <w:vertAlign w:val="superscript"/>
        </w:rPr>
        <w:t>2+</w:t>
      </w:r>
      <w:r w:rsidRPr="00216965">
        <w:t>,Na</w:t>
      </w:r>
      <w:r w:rsidRPr="00216965">
        <w:rPr>
          <w:vertAlign w:val="superscript"/>
        </w:rPr>
        <w:t>+</w:t>
      </w:r>
      <w:r w:rsidRPr="00216965">
        <w:t xml:space="preserve">) on biochar planar sites to form outer-sphere surface complexes </w:t>
      </w:r>
      <w:r w:rsidRPr="00216965">
        <w:fldChar w:fldCharType="begin" w:fldLock="1"/>
      </w:r>
      <w:r w:rsidR="00F56BD7" w:rsidRPr="00216965">
        <w:instrText>ADDIN CSL_CITATION {"citationItems":[{"id":"ITEM-1","itemData":{"DOI":"10.1021/sc5002269","abstract":"Pyrolysis temperature-dependent changes in pH, ionic strength, and metal ion-coordinating dissolved organic carbon (DOC) control the sorption of Cd II and other transition metals on biochar. Sorption of Cd II on 300−700 °C pecan shell biochars was strongly pH-and ionic strength-dependent. Equilibrium speciation calculation suggested that CdOH + and other hydrolysis products were the \"reactive\" Cd II species engaging in the surface interaction with biochar. Sorption of Cd II on 700 °C (lowest O:C) biochar progressively increased from pH 3 to 7 and was not affected by the citrate concentration. In contrast, low concentration of citrate ([Cd II ]: [citrate] molar ratios of 4−24) dramatically enhanced Cd II sorption on lower temperature (300−500 °C) biochars; higher citrate concentrations diminished Cd II sorption. Citrate-enhanced Cd II sorption was accompanied by (i) a several-fold increase in DOC and (ii) pH buffering near 7 at equilibrium. Carboxyl ligands form an unusually strong hydrogen bond with the surface functional group of biochar having a similar pK a. Sorbed ligand (citrate) could (i) provide new Cd II sorption sites on biochar, (ii) buffer pH near 7, and (iii) facilitate the release of higher molecular weight DOC from biochar.","author":[{"dropping-particle":"","family":"Uchimiya","given":"Minori","non-dropping-particle":"","parse-names":false,"suffix":""}],"container-title":"Sustainable Chemistry &amp; Engineering","id":"ITEM-1","issued":{"date-parts":[["2014"]]},"page":"2019-2027","title":"Influence of pH, ionic strength, and multidentate ligand on the interaction of Cd II with biochars","type":"article-journal","volume":"2"},"uris":["http://www.mendeley.com/documents/?uuid=9bad7f0b-22c3-3af3-83e1-234da763777f"]},{"id":"ITEM-2","itemData":{"abstract":"Adsorption mechanisms of Pb on montmorillonite were investigated by conducting equilibrium and X-ray absorption fine structure (XAFS) spectroscopy studies. Data from the batch equilibrium studies indicate that Pb could be adsorbing via two mechanisms, depending on ionic strength. At low ionic strength (I 0.006 M) Pb adsorption is pH-independent: 97% of the available Pb was removed from solution at pH 4.42 and 100% at pH 8.0. This behavior is consistent with an outer-sphere complex-ation mechanism. At high ionic strength (I 0.1 M) Pb adsorption is pH-dependent, suggesting inner-sphere complexation as the adsorption mechanism: 43% of the available Pb was removed from the solution at pH 4.11 and 98.9% at pH 7.83. X-ray absorption near edge structure (XANES) and extended X-ray absorption fine structure (EXAFS) spectroscopy results reveal that in the sample equilibrated at I 0.006 M, pH 4.48-6.40 the local atomic structure (LAS) surrounding the adsorbed Pb is similar to the LAS surrounding Pb 2 (aq), confirming that the adsorption mechanism is outer-sphere complexation. In the system equilibrated at I 0.1 M, pH 6.77 the XANES and EXAFS results show that the LAS surrounding the adsorbed Pb atom is similar to the LAS surrounding reference compounds in which Pb is forming covalent bonds (Pb 4 (OH) 4 4 (aq) and a sample of-Al 2 O 3 with Pb adsorbed via inner-sphere complexation). These similarities indicate that Pb is forming inner-sphere complexes on the montmorillonite at this ionic strength and pH. In samples equilibrated at I 0.006 M, pH 6.77 and I 0.1 M, pH 6.31 the XAFS results suggest that Pb is forming both inner-and outer-sphere adsorption complexes. This observation could not be distinguished by making macroscopic observations only. Thus, the results of this study reveal important information on Pb sorption behavior on clays and also provides insights into the use of XAFS to determine sorption mechanisms.","author":[{"dropping-particle":"","family":"Strawn","given":"Daniel G","non-dropping-particle":"","parse-names":false,"suffix":""},{"dropping-particle":"","family":"Sparks","given":"Donald L","non-dropping-particle":"","parse-names":false,"suffix":""}],"container-title":"Journal of Colloid and Interface Science","id":"ITEM-2","issued":{"date-parts":[["1999"]]},"page":"257-259","title":"The use of XAFS to distinguish between inner-and outer-sphere lead adsorption complexes on montmorillonite","type":"article-journal","volume":"216"},"uris":["http://www.mendeley.com/documents/?uuid=b2a106e9-3f76-306b-bd3e-3e7165df830d"]}],"mendeley":{"formattedCitation":"(Strawn and Sparks, 1999; Uchimiya, 2014)","plainTextFormattedCitation":"(Strawn and Sparks, 1999; Uchimiya, 2014)","previouslyFormattedCitation":"(Strawn and Sparks, 1999; Uchimiya, 2014)"},"properties":{"noteIndex":0},"schema":"https://github.com/citation-style-language/schema/raw/master/csl-citation.json"}</w:instrText>
      </w:r>
      <w:r w:rsidRPr="00216965">
        <w:fldChar w:fldCharType="separate"/>
      </w:r>
      <w:r w:rsidR="00330A4F" w:rsidRPr="00216965">
        <w:rPr>
          <w:noProof/>
        </w:rPr>
        <w:t>(Strawn and Sparks, 1999; Uchimiya, 2014)</w:t>
      </w:r>
      <w:r w:rsidRPr="00216965">
        <w:fldChar w:fldCharType="end"/>
      </w:r>
      <w:r w:rsidRPr="00216965">
        <w:t xml:space="preserve">. </w:t>
      </w:r>
      <w:r w:rsidRPr="00216965">
        <w:fldChar w:fldCharType="begin" w:fldLock="1"/>
      </w:r>
      <w:r w:rsidR="00F56BD7" w:rsidRPr="00216965">
        <w:instrText>ADDIN CSL_CITATION {"citationItems":[{"id":"ITEM-1","itemData":{"DOI":"ttps://doi.org/10.1016/j.heliyon.2018.e00543","abstract":"The ability of biochar to immobilize metals relies on the amount of functional groups at its surface but the contribution of each functional groups (e.g. carboxylic, phenolic) to metal bonding is poorly known. Using a new approach based on previous works on rare earth element (REE) interactions with humic substances, we aim at elucidating the relative contribution of these binding sites to metal sorption under various conditions (i.e. pH and ionic strengths, IS). Using batch experiments, REE sorption onto biochar was analyzed from pH 3 to 9 and IS 10−1 mol/L to 10−3 mol/L. Rare earth element patterns show a Middle REE (MREE) downward concavity at acidic pH and low ionic strength. These patterns are in good agreement with existing datasets quantifying REE binding with humic substances. Indeed, the MREE downward concavity displayed by REE-biochar complexation pattern compares well with REE patterns with various organic compounds. This similarity in the REE complexation pattern shapes suggests that carboxylic groups are the main binding sites of REE in biochar. Overall, our results indicate that the strength of the metal bonding with biochar increases when pH and IS increase, suggesting that biochar is more efficient for long-term metal immobilization at near neutral pH and high ionic strength.","author":[{"dropping-particle":"","family":"Pourret","given":"Olivier","non-dropping-particle":"","parse-names":false,"suffix":""},{"dropping-particle":"","family":"Houben","given":"David","non-dropping-particle":"","parse-names":false,"suffix":""}],"container-title":"Heliyon","id":"ITEM-1","issued":{"date-parts":[["2018"]]},"page":"e00543","title":"Characterization of metal binding sites onto biochar using rare earth elements as a fingerprint","type":"article-journal","volume":"4"},"uris":["http://www.mendeley.com/documents/?uuid=b93bb12a-b7bb-3155-836f-a8cc9d734296"]}],"mendeley":{"formattedCitation":"(Pourret and Houben, 2018)","manualFormatting":"Pourret and Houben (2018)","plainTextFormattedCitation":"(Pourret and Houben, 2018)","previouslyFormattedCitation":"(Pourret and Houben, 2018)"},"properties":{"noteIndex":0},"schema":"https://github.com/citation-style-language/schema/raw/master/csl-citation.json"}</w:instrText>
      </w:r>
      <w:r w:rsidRPr="00216965">
        <w:fldChar w:fldCharType="separate"/>
      </w:r>
      <w:r w:rsidRPr="00216965">
        <w:rPr>
          <w:noProof/>
        </w:rPr>
        <w:t>Pourret and Houben (2018)</w:t>
      </w:r>
      <w:r w:rsidRPr="00216965">
        <w:fldChar w:fldCharType="end"/>
      </w:r>
      <w:r w:rsidRPr="00216965">
        <w:t xml:space="preserve">. stated that the immobilization of rare earth elements by biochar was more efficient at high than low ionic strength at acidic pH, whereas at more alkaline pH the opposite behaviour was observed. </w:t>
      </w:r>
    </w:p>
    <w:p w14:paraId="08E11674" w14:textId="15B1019D" w:rsidR="006B380D" w:rsidRPr="00216965" w:rsidRDefault="006B380D" w:rsidP="008A33DA">
      <w:pPr>
        <w:spacing w:line="360" w:lineRule="auto"/>
        <w:jc w:val="both"/>
      </w:pPr>
      <w:r w:rsidRPr="00216965">
        <w:t>The electric conductivity data (indicative for IS) and (alkaline) soil pH (</w:t>
      </w:r>
      <w:r w:rsidRPr="00216965">
        <w:rPr>
          <w:b/>
          <w:bCs/>
        </w:rPr>
        <w:fldChar w:fldCharType="begin"/>
      </w:r>
      <w:r w:rsidRPr="00216965">
        <w:rPr>
          <w:b/>
          <w:bCs/>
        </w:rPr>
        <w:instrText xml:space="preserve"> REF _Ref86060878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11</w:t>
      </w:r>
      <w:r w:rsidRPr="00216965">
        <w:rPr>
          <w:b/>
          <w:bCs/>
        </w:rPr>
        <w:fldChar w:fldCharType="end"/>
      </w:r>
      <w:r w:rsidRPr="00216965">
        <w:t>) suggest that increasing the biochar application from 1% to 5 % (</w:t>
      </w:r>
      <w:r w:rsidRPr="00216965">
        <w:rPr>
          <w:i/>
        </w:rPr>
        <w:t>w/w</w:t>
      </w:r>
      <w:r w:rsidRPr="00216965">
        <w:t>) increased the soil IS, resulting in decreased Pb sorption.</w:t>
      </w:r>
      <w:r w:rsidRPr="00216965">
        <w:rPr>
          <w:i/>
        </w:rPr>
        <w:t xml:space="preserve"> </w:t>
      </w:r>
      <w:r w:rsidRPr="00216965">
        <w:t xml:space="preserve">Despite a decrease in the amount of metal sorbed onto biochar, increasing IS favours metal sorption on high affinity sites according to </w:t>
      </w:r>
      <w:r w:rsidRPr="00216965">
        <w:fldChar w:fldCharType="begin" w:fldLock="1"/>
      </w:r>
      <w:r w:rsidR="00F56BD7" w:rsidRPr="00216965">
        <w:instrText>ADDIN CSL_CITATION {"citationItems":[{"id":"ITEM-1","itemData":{"DOI":"ttps://doi.org/10.1016/j.heliyon.2018.e00543","abstract":"The ability of biochar to immobilize metals relies on the amount of functional groups at its surface but the contribution of each functional groups (e.g. carboxylic, phenolic) to metal bonding is poorly known. Using a new approach based on previous works on rare earth element (REE) interactions with humic substances, we aim at elucidating the relative contribution of these binding sites to metal sorption under various conditions (i.e. pH and ionic strengths, IS). Using batch experiments, REE sorption onto biochar was analyzed from pH 3 to 9 and IS 10−1 mol/L to 10−3 mol/L. Rare earth element patterns show a Middle REE (MREE) downward concavity at acidic pH and low ionic strength. These patterns are in good agreement with existing datasets quantifying REE binding with humic substances. Indeed, the MREE downward concavity displayed by REE-biochar complexation pattern compares well with REE patterns with various organic compounds. This similarity in the REE complexation pattern shapes suggests that carboxylic groups are the main binding sites of REE in biochar. Overall, our results indicate that the strength of the metal bonding with biochar increases when pH and IS increase, suggesting that biochar is more efficient for long-term metal immobilization at near neutral pH and high ionic strength.","author":[{"dropping-particle":"","family":"Pourret","given":"Olivier","non-dropping-particle":"","parse-names":false,"suffix":""},{"dropping-particle":"","family":"Houben","given":"David","non-dropping-particle":"","parse-names":false,"suffix":""}],"container-title":"Heliyon","id":"ITEM-1","issued":{"date-parts":[["2018"]]},"page":"e00543","title":"Characterization of metal binding sites onto biochar using rare earth elements as a fingerprint","type":"article-journal","volume":"4"},"uris":["http://www.mendeley.com/documents/?uuid=b93bb12a-b7bb-3155-836f-a8cc9d734296"]}],"mendeley":{"formattedCitation":"(Pourret and Houben, 2018)","manualFormatting":"Pourret and Houben (2018)","plainTextFormattedCitation":"(Pourret and Houben, 2018)","previouslyFormattedCitation":"(Pourret and Houben, 2018)"},"properties":{"noteIndex":0},"schema":"https://github.com/citation-style-language/schema/raw/master/csl-citation.json"}</w:instrText>
      </w:r>
      <w:r w:rsidRPr="00216965">
        <w:fldChar w:fldCharType="separate"/>
      </w:r>
      <w:r w:rsidRPr="00216965">
        <w:rPr>
          <w:noProof/>
        </w:rPr>
        <w:t>Pourret and Houben (2018)</w:t>
      </w:r>
      <w:r w:rsidRPr="00216965">
        <w:fldChar w:fldCharType="end"/>
      </w:r>
      <w:r w:rsidRPr="00216965">
        <w:t>. This suggests that although less Pb was immobilized with the biochars at 3% and 5%, the amount that was sorbed could potentially be bound to high affinity sites, implying the formation of a stable reservoir for Pb.</w:t>
      </w:r>
    </w:p>
    <w:p w14:paraId="3E271125" w14:textId="77777777" w:rsidR="006B380D" w:rsidRPr="00216965" w:rsidRDefault="006B380D" w:rsidP="008A33DA">
      <w:pPr>
        <w:pStyle w:val="Heading4"/>
      </w:pPr>
      <w:r w:rsidRPr="00216965">
        <w:t>Speciation of HMs</w:t>
      </w:r>
    </w:p>
    <w:p w14:paraId="5861C1D8" w14:textId="465337D8" w:rsidR="008574C0" w:rsidRPr="00216965" w:rsidRDefault="006B380D" w:rsidP="008A33DA">
      <w:pPr>
        <w:spacing w:line="360" w:lineRule="auto"/>
        <w:jc w:val="both"/>
      </w:pPr>
      <w:r w:rsidRPr="00216965">
        <w:t xml:space="preserve">The sorption of HMs by biochar can be affected by environmental factors such as pH, surface loading, ionic strength, type of sorbent and time, all of which determine the type of sorption complex or product formed </w:t>
      </w:r>
      <w:r w:rsidRPr="00216965">
        <w:fldChar w:fldCharType="begin" w:fldLock="1"/>
      </w:r>
      <w:r w:rsidR="00F56BD7" w:rsidRPr="00216965">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Chemistry","type":"book"},"uris":["http://www.mendeley.com/documents/?uuid=2e8cdb2d-9122-4c0b-8580-27a612fa364d"]}],"mendeley":{"formattedCitation":"(Sparks, 2003)","plainTextFormattedCitation":"(Sparks, 2003)","previouslyFormattedCitation":"(Sparks, 2003)"},"properties":{"noteIndex":0},"schema":"https://github.com/citation-style-language/schema/raw/master/csl-citation.json"}</w:instrText>
      </w:r>
      <w:r w:rsidRPr="00216965">
        <w:fldChar w:fldCharType="separate"/>
      </w:r>
      <w:r w:rsidR="00330A4F" w:rsidRPr="00216965">
        <w:rPr>
          <w:noProof/>
        </w:rPr>
        <w:t>(Sparks, 2003)</w:t>
      </w:r>
      <w:r w:rsidRPr="00216965">
        <w:fldChar w:fldCharType="end"/>
      </w:r>
      <w:r w:rsidRPr="00216965">
        <w:t xml:space="preserve">. It has been reported that ash within biochar may help with the formation of insoluble mineral precipitates </w:t>
      </w:r>
      <w:r w:rsidRPr="00216965">
        <w:fldChar w:fldCharType="begin" w:fldLock="1"/>
      </w:r>
      <w:r w:rsidR="006C06AA" w:rsidRPr="00216965">
        <w:instrText>ADDIN CSL_CITATION {"citationItems":[{"id":"ITEM-1","itemData":{"DOI":"10.1080/10643389.2021.1894064","abstract":"Environmental contamination by toxic trace elements is a global issue faced by soil-plant-human systems. Biochar has gained substantial attention as a soil amendment to reduce toxic trace element impacts on plant and human health due to biochar's capacity to influence trace element biogeochemistry. This review focuses on the key roles of bio-char with respect to trace element interactions, mobility and phytoavailability in soil-plant systems. In addition to direct interactions, various biochar types can impact soil physicochemical properties and subsequently trace element biogeochemical behavior. A critical literature review revealed increasing and/or decreasing trends with respect to biochar-induced variation in soil physicochemical characteristics and soil-plant trace element transfer. Data analysis revealed that biochar-mediated an overall decrease in the phyto-uptake of As, Cd, Cu, Ni, Pb, and Zn by 48%, 40%, 38%, 44%, 28%, and 22%, respectively. This article also discusses the possible biochar-mediated alleviations of human health hazards (41% less cancer risk) due to consuming trace elements-contaminated foods. Likewise, for the first time, the effect of soil biochar application on plant physiological and morphological attributes, as well as activation of tolerance mechanisms (enzymatic and non-enzymatic) is critically discussed. HIGHLIGHTS Literature review revealed biochar applications increased soil trace element sorption and decreased phyto-uptake. Plant uptake of trace element depends on soil and biochar properties as well as trace element and plant type. Biochar-mediated trace element phytoavailability reductions cause lower toxicity in plant-human systems. Biochar alters plant detoxification and tolerance mechanisms directly or indirectly.","author":[{"dropping-particle":"","family":"Natasha","given":"Natasha","non-dropping-particle":"","parse-names":false,"suffix":""},{"dropping-particle":"","family":"Shahid","given":"Muhammad","non-dropping-particle":"","parse-names":false,"suffix":""},{"dropping-particle":"","family":"Sana","given":"Khalid","non-dropping-particle":"","parse-names":false,"suffix":""},{"dropping-particle":"","family":"Irshad","given":"Bibi","non-dropping-particle":"","parse-names":false,"suffix":""},{"dropping-particle":"","family":"Asif Naeem","given":"Muhammad","non-dropping-particle":"","parse-names":false,"suffix":""},{"dropping-particle":"","family":"Khan Niazi","given":"Nabeel","non-dropping-particle":"","parse-names":false,"suffix":""},{"dropping-particle":"","family":"G Tack","given":"Filip M","non-dropping-particle":"","parse-names":false,"suffix":""},{"dropping-particle":"","family":"Ippolito","given":"James","non-dropping-particle":"","parse-names":false,"suffix":""},{"dropping-particle":"","family":"Rinklebe","given":"Jörg","non-dropping-particle":"","parse-names":false,"suffix":""}],"container-title":"Critical Reviews in Environmental Science and Technology","id":"ITEM-1","issued":{"date-parts":[["2021"]]},"title":"Influence of biochar on trace element uptake, toxicity and detoxification in plants and associated health risks: A critical review","type":"article-journal"},"uris":["http://www.mendeley.com/documents/?uuid=bcb663b1-e47c-3868-92b3-32af43f404ff"]}],"mendeley":{"formattedCitation":"(Natasha et al., 2021)","plainTextFormattedCitation":"(Natasha et al., 2021)","previouslyFormattedCitation":"(Natasha et al., 2021)"},"properties":{"noteIndex":0},"schema":"https://github.com/citation-style-language/schema/raw/master/csl-citation.json"}</w:instrText>
      </w:r>
      <w:r w:rsidRPr="00216965">
        <w:fldChar w:fldCharType="separate"/>
      </w:r>
      <w:r w:rsidR="00C83E62" w:rsidRPr="00216965">
        <w:rPr>
          <w:noProof/>
        </w:rPr>
        <w:t>(Natasha et al., 2021)</w:t>
      </w:r>
      <w:r w:rsidRPr="00216965">
        <w:fldChar w:fldCharType="end"/>
      </w:r>
      <w:r w:rsidRPr="00216965">
        <w:t>. This was implied by the speciation analysis performed for the Mix-soil in Experiment A (</w:t>
      </w:r>
      <w:r w:rsidRPr="00216965">
        <w:rPr>
          <w:b/>
          <w:bCs/>
        </w:rPr>
        <w:fldChar w:fldCharType="begin"/>
      </w:r>
      <w:r w:rsidRPr="00216965">
        <w:rPr>
          <w:b/>
          <w:bCs/>
        </w:rPr>
        <w:instrText xml:space="preserve"> REF _Ref74906168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3</w:t>
      </w:r>
      <w:r w:rsidRPr="00216965">
        <w:rPr>
          <w:b/>
          <w:bCs/>
        </w:rPr>
        <w:fldChar w:fldCharType="end"/>
      </w:r>
      <w:r w:rsidRPr="00216965">
        <w:t xml:space="preserve">), where phosphate precipitates with Pb and Zn were predicted. </w:t>
      </w:r>
    </w:p>
    <w:p w14:paraId="7BC98A56" w14:textId="3722C0AF" w:rsidR="006B380D" w:rsidRPr="00216965" w:rsidRDefault="006B380D" w:rsidP="008A33DA">
      <w:pPr>
        <w:spacing w:line="360" w:lineRule="auto"/>
        <w:jc w:val="both"/>
      </w:pPr>
      <w:r w:rsidRPr="00216965">
        <w:t>The results from the speciation analysis agree with the increased bioavailable phosphate concentrations measured after the addition of biochars (</w:t>
      </w:r>
      <w:r w:rsidRPr="00216965">
        <w:rPr>
          <w:b/>
          <w:bCs/>
        </w:rPr>
        <w:fldChar w:fldCharType="begin"/>
      </w:r>
      <w:r w:rsidRPr="00216965">
        <w:rPr>
          <w:b/>
          <w:bCs/>
        </w:rPr>
        <w:instrText xml:space="preserve"> REF _Ref86402244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4</w:t>
      </w:r>
      <w:r w:rsidR="006E23EA" w:rsidRPr="00216965">
        <w:rPr>
          <w:b/>
          <w:bCs/>
          <w:noProof/>
        </w:rPr>
        <w:noBreakHyphen/>
        <w:t>2</w:t>
      </w:r>
      <w:r w:rsidRPr="00216965">
        <w:rPr>
          <w:b/>
          <w:bCs/>
        </w:rPr>
        <w:fldChar w:fldCharType="end"/>
      </w:r>
      <w:r w:rsidRPr="00216965">
        <w:rPr>
          <w:b/>
          <w:bCs/>
        </w:rPr>
        <w:t>)</w:t>
      </w:r>
      <w:r w:rsidRPr="00216965">
        <w:t xml:space="preserve">. This is also consistent with previous reports that increasing available P induced by biochar can lead to a reduced extractability of HMs, potentially by precipitation and complexation with phosphate </w:t>
      </w:r>
      <w:r w:rsidRPr="00216965">
        <w:fldChar w:fldCharType="begin" w:fldLock="1"/>
      </w:r>
      <w:r w:rsidR="006C06AA" w:rsidRPr="00216965">
        <w:instrText>ADDIN CSL_CITATION {"citationItems":[{"id":"ITEM-1","itemData":{"DOI":"10.1007/s11356-015-4233-0","abstract":"Biochar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Research","id":"ITEM-1","issued":{"date-parts":[["2016"]]},"page":"974-984","title":"Effect of biochar on the extractability of heavy metals (Cd, Cu, Pb, and Zn) and enzyme activity in soil","type":"article-journal","volume":"23"},"uris":["http://www.mendeley.com/documents/?uuid=2cc320c9-b009-37a7-80a9-9edc49123e98"]}],"mendeley":{"formattedCitation":"(X. Yang et al., 2016)","plainTextFormattedCitation":"(X. Yang et al., 2016)","previouslyFormattedCitation":"(X. Yang et al., 2016)"},"properties":{"noteIndex":0},"schema":"https://github.com/citation-style-language/schema/raw/master/csl-citation.json"}</w:instrText>
      </w:r>
      <w:r w:rsidRPr="00216965">
        <w:fldChar w:fldCharType="separate"/>
      </w:r>
      <w:r w:rsidR="00C83E62" w:rsidRPr="00216965">
        <w:rPr>
          <w:noProof/>
        </w:rPr>
        <w:t>(X. Yang et al., 2016)</w:t>
      </w:r>
      <w:r w:rsidRPr="00216965">
        <w:fldChar w:fldCharType="end"/>
      </w:r>
      <w:r w:rsidRPr="00216965">
        <w:t xml:space="preserve">. The suggested mechanism proposed by Cao </w:t>
      </w:r>
      <w:r w:rsidR="009B2252" w:rsidRPr="00216965">
        <w:t>et al</w:t>
      </w:r>
      <w:r w:rsidRPr="00216965">
        <w:rPr>
          <w:i/>
        </w:rPr>
        <w:t>.</w:t>
      </w:r>
      <w:r w:rsidRPr="00216965">
        <w:t xml:space="preserve"> (2011) is that phosphorus originally contained in the biochar induced conversion of less stable PbCO</w:t>
      </w:r>
      <w:r w:rsidRPr="00216965">
        <w:rPr>
          <w:vertAlign w:val="subscript"/>
        </w:rPr>
        <w:t>3</w:t>
      </w:r>
      <w:r w:rsidRPr="00216965">
        <w:t xml:space="preserve"> to more stable Pb</w:t>
      </w:r>
      <w:r w:rsidRPr="00216965">
        <w:rPr>
          <w:vertAlign w:val="subscript"/>
        </w:rPr>
        <w:t>5</w:t>
      </w:r>
      <w:r w:rsidRPr="00216965">
        <w:t>(PO</w:t>
      </w:r>
      <w:r w:rsidRPr="00216965">
        <w:rPr>
          <w:vertAlign w:val="subscript"/>
        </w:rPr>
        <w:t>4</w:t>
      </w:r>
      <w:r w:rsidRPr="00216965">
        <w:t>)3OH, responsible for soil Pb immobilization. Some of the predicted Pb precipitates are pyromorphites, which are the most stable Pb phosphate minerals under normal environmental conditions. Chloropyromorphite [Pb</w:t>
      </w:r>
      <w:r w:rsidRPr="00216965">
        <w:rPr>
          <w:vertAlign w:val="subscript"/>
        </w:rPr>
        <w:t>5</w:t>
      </w:r>
      <w:r w:rsidRPr="00216965">
        <w:t>(PO</w:t>
      </w:r>
      <w:r w:rsidRPr="00216965">
        <w:rPr>
          <w:vertAlign w:val="subscript"/>
        </w:rPr>
        <w:t>4</w:t>
      </w:r>
      <w:r w:rsidRPr="00216965">
        <w:t>)</w:t>
      </w:r>
      <w:r w:rsidRPr="00216965">
        <w:rPr>
          <w:vertAlign w:val="subscript"/>
        </w:rPr>
        <w:t>3</w:t>
      </w:r>
      <w:r w:rsidRPr="00216965">
        <w:t xml:space="preserve">Cl] is several orders of magnitude less soluble than other pyromorphites </w:t>
      </w:r>
      <w:r w:rsidRPr="00216965">
        <w:rPr>
          <w:lang w:val="en-US"/>
        </w:rPr>
        <w:fldChar w:fldCharType="begin" w:fldLock="1"/>
      </w:r>
      <w:r w:rsidR="006C06AA" w:rsidRPr="00216965">
        <w:rPr>
          <w:lang w:val="en-US"/>
        </w:rPr>
        <w:instrText>ADDIN CSL_CITATION {"citationItems":[{"id":"ITEM-1","itemData":{"DOI":"10.1021/es010634l","author":[{"dropping-particle":"","family":"Ryan","given":"James A.","non-dropping-particle":"","parse-names":false,"suffix":""},{"dropping-particle":"","family":"Zhang","given":"Pengchu","non-dropping-particle":"","parse-names":false,"suffix":""},{"dropping-particle":"","family":"Hesterberg","given":"Dean","non-dropping-particle":"","parse-names":false,"suffix":""},{"dropping-particle":"","family":"Chou","given":"Jeff","non-dropping-particle":"","parse-names":false,"suffix":""},{"dropping-particle":"","family":"Sayers","given":"Dale E.","non-dropping-particle":"","parse-names":false,"suffix":""}],"container-title":"Environmental Science &amp; Technology","id":"ITEM-1","issued":{"date-parts":[["2001"]]},"page":"3798-3803","title":"Formation of chloropyromorphite in a lead-contaminated soil amended with hydroxyapatite","type":"article-journal","volume":"35"},"uris":["http://www.mendeley.com/documents/?uuid=64e48541-fd30-3a85-90cf-46eac7d45a7c"]}],"mendeley":{"formattedCitation":"(Ryan et al., 2001)","plainTextFormattedCitation":"(Ryan et al., 2001)","previouslyFormattedCitation":"(Ryan et al., 2001)"},"properties":{"noteIndex":0},"schema":"https://github.com/citation-style-language/schema/raw/master/csl-citation.json"}</w:instrText>
      </w:r>
      <w:r w:rsidRPr="00216965">
        <w:rPr>
          <w:lang w:val="en-US"/>
        </w:rPr>
        <w:fldChar w:fldCharType="separate"/>
      </w:r>
      <w:r w:rsidR="00C83E62" w:rsidRPr="00216965">
        <w:rPr>
          <w:noProof/>
          <w:lang w:val="en-US"/>
        </w:rPr>
        <w:t>(Ryan et al., 2001)</w:t>
      </w:r>
      <w:r w:rsidRPr="00216965">
        <w:rPr>
          <w:lang w:val="en-US"/>
        </w:rPr>
        <w:fldChar w:fldCharType="end"/>
      </w:r>
      <w:r w:rsidRPr="00216965">
        <w:rPr>
          <w:lang w:val="en-US"/>
        </w:rPr>
        <w:t>.</w:t>
      </w:r>
      <w:r w:rsidRPr="00216965">
        <w:t xml:space="preserve"> This suggests that Pb was immobilized as a stable form by the addition of biochar.</w:t>
      </w:r>
    </w:p>
    <w:p w14:paraId="7DCCF388" w14:textId="3562D233" w:rsidR="006B380D" w:rsidRPr="00216965" w:rsidRDefault="006B380D" w:rsidP="008A33DA">
      <w:pPr>
        <w:spacing w:line="360" w:lineRule="auto"/>
        <w:jc w:val="both"/>
      </w:pPr>
      <w:bookmarkStart w:id="307" w:name="_heading=h.sqyw64"/>
      <w:bookmarkEnd w:id="307"/>
      <w:r w:rsidRPr="00216965">
        <w:lastRenderedPageBreak/>
        <w:t>According to the speciation analysis and pH of the amended soils conducted in Experiment A, the dominant Pb species in the Mix-soil would be the hydrolyzed form PbOH</w:t>
      </w:r>
      <w:r w:rsidRPr="00216965">
        <w:rPr>
          <w:vertAlign w:val="superscript"/>
        </w:rPr>
        <w:t>+</w:t>
      </w:r>
      <w:r w:rsidRPr="00216965">
        <w:t xml:space="preserve"> (</w:t>
      </w:r>
      <w:r w:rsidRPr="00216965">
        <w:rPr>
          <w:b/>
          <w:bCs/>
          <w:lang w:val="en-US"/>
        </w:rPr>
        <w:fldChar w:fldCharType="begin"/>
      </w:r>
      <w:r w:rsidRPr="00216965">
        <w:rPr>
          <w:b/>
          <w:bCs/>
          <w:lang w:val="en-US"/>
        </w:rPr>
        <w:instrText xml:space="preserve"> REF _Ref74906168 \h  \* MERGEFORMAT </w:instrText>
      </w:r>
      <w:r w:rsidRPr="00216965">
        <w:rPr>
          <w:b/>
          <w:bCs/>
          <w:lang w:val="en-US"/>
        </w:rPr>
      </w:r>
      <w:r w:rsidRPr="00216965">
        <w:rPr>
          <w:b/>
          <w:bCs/>
          <w:lang w:val="en-US"/>
        </w:rPr>
        <w:fldChar w:fldCharType="separate"/>
      </w:r>
      <w:r w:rsidR="006E23EA" w:rsidRPr="00216965">
        <w:rPr>
          <w:b/>
          <w:bCs/>
        </w:rPr>
        <w:t xml:space="preserve">Table </w:t>
      </w:r>
      <w:r w:rsidR="006E23EA" w:rsidRPr="00216965">
        <w:rPr>
          <w:b/>
          <w:bCs/>
          <w:noProof/>
        </w:rPr>
        <w:t>4</w:t>
      </w:r>
      <w:r w:rsidR="006E23EA" w:rsidRPr="00216965">
        <w:rPr>
          <w:b/>
          <w:bCs/>
          <w:noProof/>
        </w:rPr>
        <w:noBreakHyphen/>
        <w:t>3</w:t>
      </w:r>
      <w:r w:rsidRPr="00216965">
        <w:rPr>
          <w:b/>
          <w:bCs/>
          <w:lang w:val="en-US"/>
        </w:rPr>
        <w:fldChar w:fldCharType="end"/>
      </w:r>
      <w:r w:rsidRPr="00216965">
        <w:t xml:space="preserve">), which suggests that Pb sorption by biochar is mainly driven by the formation of inner-sphere complexes. The first hydrolysis product of divalent ions is capable of forming inner-sphere complexes with clay lattice edges or, in this case with biochar, result in stronger element retention than the electrostatic attraction of hydrated ion elements in soil </w:t>
      </w:r>
      <w:r w:rsidRPr="00216965">
        <w:rPr>
          <w:lang w:val="en-US"/>
        </w:rPr>
        <w:fldChar w:fldCharType="begin" w:fldLock="1"/>
      </w:r>
      <w:r w:rsidR="006C06AA" w:rsidRPr="00216965">
        <w:rPr>
          <w:lang w:val="en-US"/>
        </w:rPr>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rPr>
          <w:lang w:val="en-US"/>
        </w:rPr>
        <w:fldChar w:fldCharType="separate"/>
      </w:r>
      <w:r w:rsidR="001974AA" w:rsidRPr="00216965">
        <w:rPr>
          <w:noProof/>
          <w:lang w:val="en-US"/>
        </w:rPr>
        <w:t>(Shaheen et al., 2013)</w:t>
      </w:r>
      <w:r w:rsidRPr="00216965">
        <w:rPr>
          <w:lang w:val="en-US"/>
        </w:rPr>
        <w:fldChar w:fldCharType="end"/>
      </w:r>
      <w:r w:rsidRPr="00216965">
        <w:t xml:space="preserve">. This result is in agreement with </w:t>
      </w:r>
      <w:r w:rsidRPr="00216965">
        <w:rPr>
          <w:b/>
          <w:bCs/>
          <w:lang w:val="en-US"/>
        </w:rPr>
        <w:t>section</w:t>
      </w:r>
      <w:r w:rsidRPr="00216965">
        <w:rPr>
          <w:lang w:val="en-US"/>
        </w:rPr>
        <w:t xml:space="preserve"> </w:t>
      </w:r>
      <w:r w:rsidRPr="00216965">
        <w:rPr>
          <w:b/>
          <w:bCs/>
          <w:lang w:val="en-US"/>
        </w:rPr>
        <w:fldChar w:fldCharType="begin"/>
      </w:r>
      <w:r w:rsidRPr="00216965">
        <w:rPr>
          <w:b/>
          <w:bCs/>
          <w:lang w:val="en-US"/>
        </w:rPr>
        <w:instrText xml:space="preserve"> REF _Ref86406066 \r \h  \* MERGEFORMAT </w:instrText>
      </w:r>
      <w:r w:rsidRPr="00216965">
        <w:rPr>
          <w:b/>
          <w:bCs/>
          <w:lang w:val="en-US"/>
        </w:rPr>
      </w:r>
      <w:r w:rsidRPr="00216965">
        <w:rPr>
          <w:b/>
          <w:bCs/>
          <w:lang w:val="en-US"/>
        </w:rPr>
        <w:fldChar w:fldCharType="separate"/>
      </w:r>
      <w:r w:rsidR="006E23EA" w:rsidRPr="00216965">
        <w:rPr>
          <w:b/>
          <w:bCs/>
          <w:lang w:val="en-US"/>
        </w:rPr>
        <w:t>4.3.2.1</w:t>
      </w:r>
      <w:r w:rsidRPr="00216965">
        <w:rPr>
          <w:b/>
          <w:bCs/>
          <w:lang w:val="en-US"/>
        </w:rPr>
        <w:fldChar w:fldCharType="end"/>
      </w:r>
      <w:r w:rsidRPr="00216965">
        <w:rPr>
          <w:b/>
          <w:bCs/>
          <w:lang w:val="en-US"/>
        </w:rPr>
        <w:t xml:space="preserve"> </w:t>
      </w:r>
      <w:r w:rsidRPr="00216965">
        <w:t xml:space="preserve">where the increase of bioavailable Pb with increasing biochar dosage, due to increased competition with base cations to form outer-sphere complexes, suggested that Pb binding was mainly by specific sorption (inner-sphere complexation). Hence in the context of Pb sorption these results imply that biochar will enhance the formation of stable Pb phosphate precipitates or inner-sphere complexes in the soil, which are often not reversible </w:t>
      </w:r>
      <w:r w:rsidRPr="00216965">
        <w:rPr>
          <w:lang w:val="en-US"/>
        </w:rPr>
        <w:fldChar w:fldCharType="begin" w:fldLock="1"/>
      </w:r>
      <w:r w:rsidR="00F56BD7" w:rsidRPr="00216965">
        <w:rPr>
          <w:lang w:val="en-US"/>
        </w:rPr>
        <w:instrText>ADDIN CSL_CITATION {"citationItems":[{"id":"ITEM-1","itemData":{"DOI":"10.1097/00010694-199703000-00009","ISBN":"0126564469","ISSN":"0038-075X","PMID":"4388","abstract":"Environmental Soil Chemistry illustrates fundamental principles of soil chemistry with respect to environmental reactions between soils and other natural materials and heavy metals, pesticides, industrial contaminants, acid rain, and salts. Timely and comprehensive discussions of applications to real-world environmental concerns are a central focus of this established text. Provides students with both sound contemporary training in the basics of soil chemistry and applications to real-world environmental concerns Timely and comprehensive discussion of important concepts including: sorption/desorption, oxidation-reduction of metals and organics, and effects of acidic deposition and salinity on contaminant reacions Boxed sections focus on sample problems and explanations of key terms and parameters Extensive tables on elemental composition of soils, rocks and sediments, pesticide classes, inorganic minerals, and methods of decontaminating soils Clearly written for all students and professionals in environmental science and environmental engineering as well as soil science","author":[{"dropping-particle":"","family":"Sparks","given":"Donald L.","non-dropping-particle":"","parse-names":false,"suffix":""}],"edition":"Second","editor":[{"dropping-particle":"","family":"Crumly","given":"Charles","non-dropping-particle":"","parse-names":false,"suffix":""}],"id":"ITEM-1","issued":{"date-parts":[["2003"]]},"number-of-pages":"229-231","publisher":"Academic Press","publisher-place":"San Diego, California","title":"Environmental Soil Chemistry","type":"book"},"uris":["http://www.mendeley.com/documents/?uuid=2e8cdb2d-9122-4c0b-8580-27a612fa364d"]}],"mendeley":{"formattedCitation":"(Sparks, 2003)","plainTextFormattedCitation":"(Sparks, 2003)","previouslyFormattedCitation":"(Sparks, 2003)"},"properties":{"noteIndex":0},"schema":"https://github.com/citation-style-language/schema/raw/master/csl-citation.json"}</w:instrText>
      </w:r>
      <w:r w:rsidRPr="00216965">
        <w:rPr>
          <w:lang w:val="en-US"/>
        </w:rPr>
        <w:fldChar w:fldCharType="separate"/>
      </w:r>
      <w:r w:rsidR="00330A4F" w:rsidRPr="00216965">
        <w:rPr>
          <w:noProof/>
          <w:lang w:val="en-US"/>
        </w:rPr>
        <w:t>(Sparks, 2003)</w:t>
      </w:r>
      <w:r w:rsidRPr="00216965">
        <w:rPr>
          <w:lang w:val="en-US"/>
        </w:rPr>
        <w:fldChar w:fldCharType="end"/>
      </w:r>
      <w:r w:rsidRPr="00216965">
        <w:t xml:space="preserve">. </w:t>
      </w:r>
    </w:p>
    <w:p w14:paraId="3AA7B6FF" w14:textId="284B2986" w:rsidR="006B380D" w:rsidRPr="00216965" w:rsidRDefault="006B380D" w:rsidP="008A33DA">
      <w:pPr>
        <w:spacing w:line="360" w:lineRule="auto"/>
        <w:jc w:val="both"/>
      </w:pPr>
      <w:r w:rsidRPr="00216965">
        <w:t>The speciation analysis (</w:t>
      </w:r>
      <w:r w:rsidRPr="00216965">
        <w:rPr>
          <w:b/>
          <w:bCs/>
          <w:lang w:val="en-US"/>
        </w:rPr>
        <w:fldChar w:fldCharType="begin"/>
      </w:r>
      <w:r w:rsidRPr="00216965">
        <w:rPr>
          <w:b/>
          <w:bCs/>
          <w:lang w:val="en-US"/>
        </w:rPr>
        <w:instrText xml:space="preserve"> REF _Ref74906168 \h  \* MERGEFORMAT </w:instrText>
      </w:r>
      <w:r w:rsidRPr="00216965">
        <w:rPr>
          <w:b/>
          <w:bCs/>
          <w:lang w:val="en-US"/>
        </w:rPr>
      </w:r>
      <w:r w:rsidRPr="00216965">
        <w:rPr>
          <w:b/>
          <w:bCs/>
          <w:lang w:val="en-US"/>
        </w:rPr>
        <w:fldChar w:fldCharType="separate"/>
      </w:r>
      <w:r w:rsidR="006E23EA" w:rsidRPr="00216965">
        <w:rPr>
          <w:b/>
          <w:bCs/>
        </w:rPr>
        <w:t xml:space="preserve">Table </w:t>
      </w:r>
      <w:r w:rsidR="006E23EA" w:rsidRPr="00216965">
        <w:rPr>
          <w:b/>
          <w:bCs/>
          <w:noProof/>
        </w:rPr>
        <w:t>4</w:t>
      </w:r>
      <w:r w:rsidR="006E23EA" w:rsidRPr="00216965">
        <w:rPr>
          <w:b/>
          <w:bCs/>
          <w:noProof/>
        </w:rPr>
        <w:noBreakHyphen/>
        <w:t>3</w:t>
      </w:r>
      <w:r w:rsidRPr="00216965">
        <w:rPr>
          <w:b/>
          <w:bCs/>
          <w:lang w:val="en-US"/>
        </w:rPr>
        <w:fldChar w:fldCharType="end"/>
      </w:r>
      <w:r w:rsidRPr="00216965">
        <w:rPr>
          <w:b/>
        </w:rPr>
        <w:t>)</w:t>
      </w:r>
      <w:r w:rsidRPr="00216965">
        <w:t xml:space="preserve"> indicates that at pH &lt; 8, Zn would be mainly present as Zn</w:t>
      </w:r>
      <w:r w:rsidRPr="00216965">
        <w:rPr>
          <w:vertAlign w:val="superscript"/>
        </w:rPr>
        <w:t>2+</w:t>
      </w:r>
      <w:r w:rsidRPr="00216965">
        <w:t>. This suggests that Zn sorption occurred mainly by electrostatic attraction. The speciation model also predicted the formation of Zn</w:t>
      </w:r>
      <w:r w:rsidRPr="00216965">
        <w:rPr>
          <w:vertAlign w:val="subscript"/>
        </w:rPr>
        <w:t>3</w:t>
      </w:r>
      <w:r w:rsidRPr="00216965">
        <w:t>(PO</w:t>
      </w:r>
      <w:r w:rsidRPr="00216965">
        <w:rPr>
          <w:vertAlign w:val="subscript"/>
        </w:rPr>
        <w:t>4</w:t>
      </w:r>
      <w:r w:rsidRPr="00216965">
        <w:t>)</w:t>
      </w:r>
      <w:r w:rsidRPr="00216965">
        <w:rPr>
          <w:vertAlign w:val="subscript"/>
        </w:rPr>
        <w:t>2</w:t>
      </w:r>
      <w:r w:rsidRPr="00216965">
        <w:t>.4H</w:t>
      </w:r>
      <w:r w:rsidRPr="00216965">
        <w:rPr>
          <w:vertAlign w:val="subscript"/>
        </w:rPr>
        <w:t>2</w:t>
      </w:r>
      <w:r w:rsidRPr="00216965">
        <w:t>O</w:t>
      </w:r>
      <w:r w:rsidRPr="00216965">
        <w:rPr>
          <w:vertAlign w:val="subscript"/>
        </w:rPr>
        <w:t>(s)</w:t>
      </w:r>
      <w:r w:rsidRPr="00216965">
        <w:t>,</w:t>
      </w:r>
      <w:r w:rsidRPr="00216965">
        <w:rPr>
          <w:vertAlign w:val="subscript"/>
        </w:rPr>
        <w:t xml:space="preserve"> </w:t>
      </w:r>
      <w:r w:rsidRPr="00216965">
        <w:t xml:space="preserve">which is consistent with the results of </w:t>
      </w:r>
      <w:r w:rsidRPr="00216965">
        <w:fldChar w:fldCharType="begin" w:fldLock="1"/>
      </w:r>
      <w:r w:rsidR="006C06AA" w:rsidRPr="00216965">
        <w:instrText>ADDIN CSL_CITATION {"citationItems":[{"id":"ITEM-1","itemData":{"DOI":"10.1007/s11368-015-1199-y","ISSN":"16147480","abstract":"Purpose: Biochars may enhance the retention capacity of metals in soils, especially in highly weathered tropical soil whose low cation exchange capacity renders heavy metals mobile, and thus be able to leach from soils. We evaluated the effect of sugarcane-straw-derived biochar on sorption and desorption of Cd(II) and Zn(II) in two tropical soils in particular to distinguish primary and secondary mechanisms of metal retention. Material and methods: To test the efficiency of biochar to retain heavy metals, sugarcane-straw-derived biochar was mixed with a clayey Oxisol and an Entisol both from the state of Sao Paulo, Brazil, in batch testing to obtain sorption-desorption isotherms of Cd(II) and Zn(II) and measure the release/displacement of cations (Ca2+ and Mg2+) or precipitation with phosphate during the sorption process. Results and discussion: Biochar increased the sorption (including adsorption and precipitation) of both metals in both soils but that most sorption reactions were reversible under buffer acidic conditions, due to dissolution of precipitates in low pH values (&lt;4.9). Exchange of Cd or Zn with Ca and Mg from the biochar was found to play a minor role on the retention mechanism, whereas surface precipitation (mainly in the Entisol) of the metals (e.g. with phosphate) was likely to be the main sorption mechanism. Conclusions: Application of sugarcane-straw-derived biochar to heavy-metal-contaminated tropical soils seems justified because of its sorptive capacity for Cd and Zn. However, binding reactions on surfaces were reversible, mainly for Cd(II), resulting in the likelihood that repeat applications of biochar would be required to maintain reduced soil solution concentrations of Cd and Zn over time, thus avoiding phytotoxicity and associated environmental risks.","author":[{"dropping-particle":"","family":"Melo","given":"Leônidas C.A.","non-dropping-particle":"","parse-names":false,"suffix":""},{"dropping-particle":"","family":"Puga","given":"Aline P.","non-dropping-particle":"","parse-names":false,"suffix":""},{"dropping-particle":"","family":"Coscione","given":"Aline R.","non-dropping-particle":"","parse-names":false,"suffix":""},{"dropping-particle":"","family":"Beesley","given":"Luke","non-dropping-particle":"","parse-names":false,"suffix":""},{"dropping-particle":"","family":"Abreu","given":"Cleide A.","non-dropping-particle":"","parse-names":false,"suffix":""},{"dropping-particle":"","family":"Camargo","given":"Otávio A.","non-dropping-particle":"","parse-names":false,"suffix":""}],"container-title":"Journal of Soils and Sediments","id":"ITEM-1","issue":"1","issued":{"date-parts":[["2016","1","1"]]},"page":"226-234","publisher":"Springer Verlag","title":"Sorption and desorption of cadmium and zinc in two tropical soils amended with sugarcane-straw-derived biochar","type":"article-journal","volume":"16"},"uris":["http://www.mendeley.com/documents/?uuid=d9260dee-b482-3cbd-85fc-1f74e2aa77af"]}],"mendeley":{"formattedCitation":"(Melo et al., 2016)","manualFormatting":"Melo et al. (2016)","plainTextFormattedCitation":"(Melo et al., 2016)","previouslyFormattedCitation":"(Melo et al., 2016)"},"properties":{"noteIndex":0},"schema":"https://github.com/citation-style-language/schema/raw/master/csl-citation.json"}</w:instrText>
      </w:r>
      <w:r w:rsidRPr="00216965">
        <w:fldChar w:fldCharType="separate"/>
      </w:r>
      <w:r w:rsidRPr="00216965">
        <w:rPr>
          <w:noProof/>
        </w:rPr>
        <w:t xml:space="preserve">Melo </w:t>
      </w:r>
      <w:r w:rsidR="009B2252" w:rsidRPr="00216965">
        <w:rPr>
          <w:iCs/>
          <w:noProof/>
        </w:rPr>
        <w:t>et al</w:t>
      </w:r>
      <w:r w:rsidRPr="00216965">
        <w:rPr>
          <w:noProof/>
        </w:rPr>
        <w:t>. (2016)</w:t>
      </w:r>
      <w:r w:rsidRPr="00216965">
        <w:fldChar w:fldCharType="end"/>
      </w:r>
      <w:r w:rsidRPr="00216965">
        <w:t xml:space="preserve">, who reported the formation of Zn-phosphates precipitates enhanced by sugar cane biochar in a tropical Entisol. Overall, the data suggest that Zn sorption was mainly driven by electrostatic attractions (outer-sphere complexes) and to a lesser extent the formation of phosphate precipitates and inner-sphere complexes. </w:t>
      </w:r>
    </w:p>
    <w:p w14:paraId="4F242196" w14:textId="06DEFB85" w:rsidR="006B380D" w:rsidRPr="00216965" w:rsidRDefault="006B380D" w:rsidP="008A33DA">
      <w:pPr>
        <w:spacing w:line="360" w:lineRule="auto"/>
        <w:jc w:val="both"/>
      </w:pPr>
      <w:r w:rsidRPr="00216965">
        <w:t>In aqueous solutions at pH &lt; 8 Cd is present in a dissociated form as free ions Cd</w:t>
      </w:r>
      <w:r w:rsidRPr="00216965">
        <w:rPr>
          <w:vertAlign w:val="superscript"/>
        </w:rPr>
        <w:t>2+</w:t>
      </w:r>
      <w:r w:rsidRPr="00216965">
        <w:t xml:space="preserve"> or aqua ions [Cd(H</w:t>
      </w:r>
      <w:r w:rsidRPr="00216965">
        <w:rPr>
          <w:vertAlign w:val="subscript"/>
        </w:rPr>
        <w:t>2</w:t>
      </w:r>
      <w:r w:rsidRPr="00216965">
        <w:t>O)</w:t>
      </w:r>
      <w:r w:rsidRPr="00216965">
        <w:rPr>
          <w:vertAlign w:val="subscript"/>
        </w:rPr>
        <w:t>6</w:t>
      </w:r>
      <w:r w:rsidRPr="00216965">
        <w:t xml:space="preserve"> ]</w:t>
      </w:r>
      <w:r w:rsidRPr="00216965">
        <w:rPr>
          <w:vertAlign w:val="superscript"/>
        </w:rPr>
        <w:t>2+</w:t>
      </w:r>
      <w:r w:rsidRPr="00216965">
        <w:rPr>
          <w:vertAlign w:val="subscript"/>
        </w:rPr>
        <w:t xml:space="preserve">(aq) </w:t>
      </w:r>
      <w:r w:rsidRPr="00216965">
        <w:fldChar w:fldCharType="begin" w:fldLock="1"/>
      </w:r>
      <w:r w:rsidR="006C06AA" w:rsidRPr="00216965">
        <w:instrText>ADDIN CSL_CITATION {"citationItems":[{"id":"ITEM-1","itemData":{"ISSN":"12301485","abstract":"Our work shows that active masses modified with manganese that are used to remove Mn(II) and Fe(II) can also remove the heavy metals Pb and Cd. The study was conducted for solutions with a concentration of cation 100 mg/L and demonstrated the high correlation between hydroxo-complexs and their potential, and the process of removing investigated metals (Pb and Cd).","author":[{"dropping-particle":"","family":"Anielak","given":"Anna M.","non-dropping-particle":"","parse-names":false,"suffix":""},{"dropping-particle":"","family":"Schmidt","given":"Rafał","non-dropping-particle":"","parse-names":false,"suffix":""}],"container-title":"Polish Journal of Environmental Studies","id":"ITEM-1","issue":"1","issued":{"date-parts":[["2011"]]},"page":"15-19","title":"Sorption of lead and cadmium cations on natural and manganese-modified zeolite","type":"article-journal","volume":"20"},"uris":["http://www.mendeley.com/documents/?uuid=49779f14-a9d0-4324-91f5-236a5b2631fe"]},{"id":"ITEM-2","itemData":{"DOI":"10.1007/s11368-015-1199-y","ISSN":"16147480","abstract":"Purpose: Biochars may enhance the retention capacity of metals in soils, especially in highly weathered tropical soil whose low cation exchange capacity renders heavy metals mobile, and thus be able to leach from soils. We evaluated the effect of sugarcane-straw-derived biochar on sorption and desorption of Cd(II) and Zn(II) in two tropical soils in particular to distinguish primary and secondary mechanisms of metal retention. Material and methods: To test the efficiency of biochar to retain heavy metals, sugarcane-straw-derived biochar was mixed with a clayey Oxisol and an Entisol both from the state of Sao Paulo, Brazil, in batch testing to obtain sorption-desorption isotherms of Cd(II) and Zn(II) and measure the release/displacement of cations (Ca2+ and Mg2+) or precipitation with phosphate during the sorption process. Results and discussion: Biochar increased the sorption (including adsorption and precipitation) of both metals in both soils but that most sorption reactions were reversible under buffer acidic conditions, due to dissolution of precipitates in low pH values (&lt;4.9). Exchange of Cd or Zn with Ca and Mg from the biochar was found to play a minor role on the retention mechanism, whereas surface precipitation (mainly in the Entisol) of the metals (e.g. with phosphate) was likely to be the main sorption mechanism. Conclusions: Application of sugarcane-straw-derived biochar to heavy-metal-contaminated tropical soils seems justified because of its sorptive capacity for Cd and Zn. However, binding reactions on surfaces were reversible, mainly for Cd(II), resulting in the likelihood that repeat applications of biochar would be required to maintain reduced soil solution concentrations of Cd and Zn over time, thus avoiding phytotoxicity and associated environmental risks.","author":[{"dropping-particle":"","family":"Melo","given":"Leônidas C.A.","non-dropping-particle":"","parse-names":false,"suffix":""},{"dropping-particle":"","family":"Puga","given":"Aline P.","non-dropping-particle":"","parse-names":false,"suffix":""},{"dropping-particle":"","family":"Coscione","given":"Aline R.","non-dropping-particle":"","parse-names":false,"suffix":""},{"dropping-particle":"","family":"Beesley","given":"Luke","non-dropping-particle":"","parse-names":false,"suffix":""},{"dropping-particle":"","family":"Abreu","given":"Cleide A.","non-dropping-particle":"","parse-names":false,"suffix":""},{"dropping-particle":"","family":"Camargo","given":"Otávio A.","non-dropping-particle":"","parse-names":false,"suffix":""}],"container-title":"Journal of Soils and Sediments","id":"ITEM-2","issue":"1","issued":{"date-parts":[["2016","1","1"]]},"page":"226-234","publisher":"Springer Verlag","title":"Sorption and desorption of cadmium and zinc in two tropical soils amended with sugarcane-straw-derived biochar","type":"article-journal","volume":"16"},"uris":["http://www.mendeley.com/documents/?uuid=d9260dee-b482-3cbd-85fc-1f74e2aa77af"]},{"id":"ITEM-3","itemData":{"DOI":"10.1016/j.heliyon.2020.e05388","ISSN":"24058440","abstract":"Environmental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F.","non-dropping-particle":"","parse-names":false,"suffix":""}],"container-title":"Heliyon","id":"ITEM-3","issued":{"date-parts":[["2020"]]},"page":"e05388","title":"The relationship between properties of plant-based biochars and sorption of Cd(II), Pb(II) and Zn(II) in soil model systems","type":"article-journal","volume":"6"},"uris":["http://www.mendeley.com/documents/?uuid=4cc1f56a-b6ca-4b2c-b02c-91ce5243ff75"]}],"mendeley":{"formattedCitation":"(Anielak and Schmidt, 2011; Melo et al., 2016; Soria et al., 2020)","plainTextFormattedCitation":"(Anielak and Schmidt, 2011; Melo et al., 2016; Soria et al., 2020)","previouslyFormattedCitation":"(Anielak and Schmidt, 2011; Melo et al., 2016; Soria et al., 2020)"},"properties":{"noteIndex":0},"schema":"https://github.com/citation-style-language/schema/raw/master/csl-citation.json"}</w:instrText>
      </w:r>
      <w:r w:rsidRPr="00216965">
        <w:fldChar w:fldCharType="separate"/>
      </w:r>
      <w:r w:rsidR="00C83E62" w:rsidRPr="00216965">
        <w:rPr>
          <w:noProof/>
        </w:rPr>
        <w:t>(Anielak and Schmidt, 2011; Melo et al., 2016; Soria et al., 2020)</w:t>
      </w:r>
      <w:r w:rsidRPr="00216965">
        <w:fldChar w:fldCharType="end"/>
      </w:r>
      <w:r w:rsidRPr="00216965">
        <w:t>. Therefore, considering the pH of the amended soils (</w:t>
      </w:r>
      <w:r w:rsidRPr="00216965">
        <w:rPr>
          <w:b/>
          <w:bCs/>
        </w:rPr>
        <w:fldChar w:fldCharType="begin"/>
      </w:r>
      <w:r w:rsidRPr="00216965">
        <w:rPr>
          <w:b/>
          <w:bCs/>
        </w:rPr>
        <w:instrText xml:space="preserve"> REF _Ref86060878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11</w:t>
      </w:r>
      <w:r w:rsidRPr="00216965">
        <w:rPr>
          <w:b/>
          <w:bCs/>
        </w:rPr>
        <w:fldChar w:fldCharType="end"/>
      </w:r>
      <w:r w:rsidRPr="00216965">
        <w:t xml:space="preserve">) and abundance of the predicted species in </w:t>
      </w:r>
      <w:r w:rsidRPr="00216965">
        <w:rPr>
          <w:b/>
          <w:bCs/>
          <w:lang w:val="en-US"/>
        </w:rPr>
        <w:fldChar w:fldCharType="begin"/>
      </w:r>
      <w:r w:rsidRPr="00216965">
        <w:rPr>
          <w:b/>
          <w:bCs/>
          <w:lang w:val="en-US"/>
        </w:rPr>
        <w:instrText xml:space="preserve"> REF _Ref74906168 \h  \* MERGEFORMAT </w:instrText>
      </w:r>
      <w:r w:rsidRPr="00216965">
        <w:rPr>
          <w:b/>
          <w:bCs/>
          <w:lang w:val="en-US"/>
        </w:rPr>
      </w:r>
      <w:r w:rsidRPr="00216965">
        <w:rPr>
          <w:b/>
          <w:bCs/>
          <w:lang w:val="en-US"/>
        </w:rPr>
        <w:fldChar w:fldCharType="separate"/>
      </w:r>
      <w:r w:rsidR="006E23EA" w:rsidRPr="00216965">
        <w:rPr>
          <w:b/>
          <w:bCs/>
        </w:rPr>
        <w:t xml:space="preserve">Table </w:t>
      </w:r>
      <w:r w:rsidR="006E23EA" w:rsidRPr="00216965">
        <w:rPr>
          <w:b/>
          <w:bCs/>
          <w:noProof/>
        </w:rPr>
        <w:t>4</w:t>
      </w:r>
      <w:r w:rsidR="006E23EA" w:rsidRPr="00216965">
        <w:rPr>
          <w:b/>
          <w:bCs/>
          <w:noProof/>
        </w:rPr>
        <w:noBreakHyphen/>
        <w:t>3</w:t>
      </w:r>
      <w:r w:rsidRPr="00216965">
        <w:rPr>
          <w:b/>
          <w:bCs/>
          <w:lang w:val="en-US"/>
        </w:rPr>
        <w:fldChar w:fldCharType="end"/>
      </w:r>
      <w:r w:rsidRPr="00216965">
        <w:t>, it is inferred that Cd sorption occurred when the positively charged species (Cd</w:t>
      </w:r>
      <w:r w:rsidRPr="00216965">
        <w:rPr>
          <w:vertAlign w:val="superscript"/>
        </w:rPr>
        <w:t>2+</w:t>
      </w:r>
      <w:r w:rsidRPr="00216965">
        <w:t xml:space="preserve"> or aqua ions) dominated. Hence, it is concluded that Cd sorption at pH &lt; 8, was associated with electrostatic attractions rather than precipitation. Metal sorption can be either non-specific (formation of outer-sphere complexes) or specific (formation of inner-sphere complexes). Outer sphere complexes are mainly electrostatic and not as strong as inner-sphere complexes. Thus, they are the main mechanisms responsible for the easily reversible ion exchange reactions in soil </w:t>
      </w:r>
      <w:r w:rsidRPr="00216965">
        <w:fldChar w:fldCharType="begin" w:fldLock="1"/>
      </w:r>
      <w:r w:rsidR="00F56BD7" w:rsidRPr="00216965">
        <w:instrText>ADDIN CSL_CITATION {"citationItems":[{"id":"ITEM-1","itemData":{"DOI":"10.1016/j.apgeochem.2007.06.001","ISSN":"08832927","abstract":"The sorption behaviour of Cd, Ni, and Zn was studied in monometal, as well as in multimetal competitive systems (binary and ternary). Metal sorption was described using the SRS equation, a multicomponent Freundlich-type isotherm curve fit model. It was found that Zn was more strongly bound than Cd and Ni, with the order of reduced sorption being Zn &gt; Ni &gt; Cd. Specific sorption onto clay lattice edges, as determined by the first hydrolysis product of the metals, seems to have been the mechanism that explained metal retention. It was also found that competition suppressed the sorption of all three metals. However, Zn was affected much less than Cd and Ni, probably because it was the most strongly retained metal of the three. The SRS equation successfully predicted the competitive sorption of the metals, as the observed experimental data were correlated satisfactorily with the predicted data (R2 = 0.95). © 2007 Elsevier Ltd. All rights reserved.","author":[{"dropping-particle":"","family":"Antoniadis","given":"V.","non-dropping-particle":"","parse-names":false,"suffix":""},{"dropping-particle":"","family":"Tsadilas","given":"C. D.","non-dropping-particle":"","parse-names":false,"suffix":""}],"container-title":"Applied Geochemistry","id":"ITEM-1","issue":"11","issued":{"date-parts":[["2007","11","1"]]},"page":"2375-2380","publisher":"Pergamon","title":"Sorption of cadmium, nickel, and zinc in mono- and multimetal systems","type":"article-journal","volume":"22"},"uris":["http://www.mendeley.com/documents/?uuid=8698a8eb-57b5-3320-9938-02131f4a9372"]}],"mendeley":{"formattedCitation":"(Antoniadis and Tsadilas, 2007)","plainTextFormattedCitation":"(Antoniadis and Tsadilas, 2007)","previouslyFormattedCitation":"(Antoniadis and Tsadilas, 2007)"},"properties":{"noteIndex":0},"schema":"https://github.com/citation-style-language/schema/raw/master/csl-citation.json"}</w:instrText>
      </w:r>
      <w:r w:rsidRPr="00216965">
        <w:fldChar w:fldCharType="separate"/>
      </w:r>
      <w:r w:rsidR="00330A4F" w:rsidRPr="00216965">
        <w:rPr>
          <w:noProof/>
        </w:rPr>
        <w:t>(Antoniadis and Tsadilas, 2007)</w:t>
      </w:r>
      <w:r w:rsidRPr="00216965">
        <w:fldChar w:fldCharType="end"/>
      </w:r>
      <w:r w:rsidRPr="00216965">
        <w:t>. This behaviour can be explained by the first hydrolysis constant (pK) of Cd</w:t>
      </w:r>
      <w:r w:rsidRPr="00216965">
        <w:rPr>
          <w:vertAlign w:val="superscript"/>
        </w:rPr>
        <w:t>2+</w:t>
      </w:r>
      <w:r w:rsidRPr="00216965">
        <w:t xml:space="preserve"> (10.1), which is higher than that of Pb</w:t>
      </w:r>
      <w:r w:rsidRPr="00216965">
        <w:rPr>
          <w:vertAlign w:val="superscript"/>
        </w:rPr>
        <w:t>2+</w:t>
      </w:r>
      <w:r w:rsidRPr="00216965">
        <w:t xml:space="preserve"> (7.71) and Zn</w:t>
      </w:r>
      <w:r w:rsidRPr="00216965">
        <w:rPr>
          <w:vertAlign w:val="superscript"/>
        </w:rPr>
        <w:t>2+</w:t>
      </w:r>
      <w:r w:rsidRPr="00216965">
        <w:t xml:space="preserve"> (9.0) </w:t>
      </w:r>
      <w:r w:rsidRPr="00216965">
        <w:fldChar w:fldCharType="begin" w:fldLock="1"/>
      </w:r>
      <w:r w:rsidR="006C06AA" w:rsidRPr="00216965">
        <w:instrText>ADDIN CSL_CITATION {"citationItems":[{"id":"ITEM-1","itemData":{"DOI":"10.1016/j.chemosphere.2015.05.093","ISSN":"00456535","author":[{"dropping-particle":"","family":"Park","given":"Jong-Hwan","non-dropping-particle":"","parse-names":false,"suffix":""},{"dropping-particle":"","family":"Ok","given":"Yong Sik","non-dropping-particle":"","parse-names":false,"suffix":""},{"dropping-particle":"","family":"Kim","given":"Seong-Heon","non-dropping-particle":"","parse-names":false,"suffix":""},{"dropping-particle":"","family":"Cho","given":"Ju-Sik","non-dropping-particle":"","parse-names":false,"suffix":""},{"dropping-particle":"","family":"Heo","given":"Jong-Soo","non-dropping-particle":"","parse-names":false,"suffix":""},{"dropping-particle":"","family":"Delaune","given":"Ronald D.","non-dropping-particle":"","parse-names":false,"suffix":""},{"dropping-particle":"","family":"Seo","given":"Dong-Cheol","non-dropping-particle":"","parse-names":false,"suffix":""}],"container-title":"Chemosphere","id":"ITEM-1","issued":{"date-parts":[["2016","1"]]},"page":"77-83","title":"Competitive adsorption of heavy metals onto sesame straw biochar in aqueous solutions","type":"article-journal","volume":"142"},"uris":["http://www.mendeley.com/documents/?uuid=1cae7d89-3ac3-3524-b831-95328bd4d82f"]}],"mendeley":{"formattedCitation":"(Park et al., 2016)","plainTextFormattedCitation":"(Park et al., 2016)","previouslyFormattedCitation":"(Park et al., 2016)"},"properties":{"noteIndex":0},"schema":"https://github.com/citation-style-language/schema/raw/master/csl-citation.json"}</w:instrText>
      </w:r>
      <w:r w:rsidRPr="00216965">
        <w:fldChar w:fldCharType="separate"/>
      </w:r>
      <w:r w:rsidR="00C83E62" w:rsidRPr="00216965">
        <w:rPr>
          <w:noProof/>
        </w:rPr>
        <w:t xml:space="preserve">(Park </w:t>
      </w:r>
      <w:r w:rsidR="00C83E62" w:rsidRPr="00216965">
        <w:rPr>
          <w:noProof/>
        </w:rPr>
        <w:lastRenderedPageBreak/>
        <w:t>et al., 2016)</w:t>
      </w:r>
      <w:r w:rsidRPr="00216965">
        <w:fldChar w:fldCharType="end"/>
      </w:r>
      <w:r w:rsidRPr="00216965">
        <w:t xml:space="preserve">. The higher the hydrolysis constant of the element, the weaker the element specific sorption </w:t>
      </w:r>
      <w:r w:rsidRPr="00216965">
        <w:fldChar w:fldCharType="begin" w:fldLock="1"/>
      </w:r>
      <w:r w:rsidR="006C06AA" w:rsidRPr="00216965">
        <w:instrText>ADDIN CSL_CITATION {"citationItems":[{"id":"ITEM-1","itemData":{"DOI":"10.1016/j.cis.2013.10.005","ISSN":"00018686","PMID":"24168932","abstract":"Knowledge about the behavior and reactions of separate soil components with trace elements (TEs) and their distribution coefficients (Kds) in soils is a key issue in assessing the mobility and retention of TEs. Thus, the fate of TEs and the toxic risk they pose depend crucially on their Kd in soil. This article reviews the Kd of TEs in soils as affected by the sorption system, element characteristics, and soil colloidal properties. The sorption mechanism, determining factors, favorable conditions, and competitive ions on the sorption and Kd of TEs are also discussed here. This review demonstrates that the Kd value of TEs does not only depend on inorganic and organic soil constituents, but also on the nature and characteristics of the elements involved as well as on their competition for sorption sites. The Kd value of TEs is mainly affected by individual or competitive sorption systems. Generally, the sorption in competitive systems is lower than in mono-metal sorption systems. More strongly sorbed elements, such as Pb and Cu, are less affected by competition than mobile elements, such as Cd, Ni, and Zn. The sorption preference exhibited by soils for elements over others may be due to: (i) the hydrolysis constant, (ii) the atomic weight, (iii) the ionic radius, and subsequently the hydrated radius, and (iv) its Misono softness value. Moreover, element concentrations in the test solution mainly affect the Kd values. Mostly, values of Kd decrease as the concentration of the included cation increases in the test solution. Additionally, the Kd of TEs is controlled by the sorption characteristics of soils, such as pH, clay minerals, soil organic matter, Fe and Mn oxides, and calcium carbonate. However, more research is required to verify the practical utilization of studying Kd of TEs in soils as a reliable indicator for assessing the remediation process of toxic metals in soils and waters. © 2013 Elsevier B.V.","author":[{"dropping-particle":"","family":"Shaheen","given":"Sabry M.","non-dropping-particle":"","parse-names":false,"suffix":""},{"dropping-particle":"","family":"Tsadilas","given":"Christos D.","non-dropping-particle":"","parse-names":false,"suffix":""},{"dropping-particle":"","family":"Rinklebe","given":"Jörg","non-dropping-particle":"","parse-names":false,"suffix":""}],"container-title":"Advances in Colloid and Interface Science","id":"ITEM-1","issued":{"date-parts":[["2013"]]},"page":"43-56","publisher":"Elsevier B.V.","title":"A review of the distribution coefficients of trace elements in soils: Influence of sorption system, element characteristics, and soil colloidal properties","type":"article-journal","volume":"201-202"},"uris":["http://www.mendeley.com/documents/?uuid=184558af-830d-3e86-b90e-4588b68b3e0d"]}],"mendeley":{"formattedCitation":"(Shaheen et al., 2013)","plainTextFormattedCitation":"(Shaheen et al., 2013)","previouslyFormattedCitation":"(Shaheen et al., 2013)"},"properties":{"noteIndex":0},"schema":"https://github.com/citation-style-language/schema/raw/master/csl-citation.json"}</w:instrText>
      </w:r>
      <w:r w:rsidRPr="00216965">
        <w:fldChar w:fldCharType="separate"/>
      </w:r>
      <w:r w:rsidR="001974AA" w:rsidRPr="00216965">
        <w:rPr>
          <w:noProof/>
        </w:rPr>
        <w:t>(Shaheen et al., 2013)</w:t>
      </w:r>
      <w:r w:rsidRPr="00216965">
        <w:fldChar w:fldCharType="end"/>
      </w:r>
      <w:r w:rsidRPr="00216965">
        <w:t xml:space="preserve">. </w:t>
      </w:r>
    </w:p>
    <w:p w14:paraId="3829663D" w14:textId="77777777" w:rsidR="006B380D" w:rsidRPr="00216965" w:rsidRDefault="006B380D" w:rsidP="008A33DA">
      <w:pPr>
        <w:pStyle w:val="Heading3"/>
      </w:pPr>
      <w:bookmarkStart w:id="308" w:name="_Toc86504678"/>
      <w:r w:rsidRPr="00216965">
        <w:t>HMs in plant uptake</w:t>
      </w:r>
      <w:bookmarkEnd w:id="308"/>
    </w:p>
    <w:p w14:paraId="3FB78D83" w14:textId="77777777" w:rsidR="008574C0" w:rsidRPr="00216965" w:rsidRDefault="006B380D" w:rsidP="008A33DA">
      <w:pPr>
        <w:spacing w:line="360" w:lineRule="auto"/>
        <w:jc w:val="both"/>
      </w:pPr>
      <w:r w:rsidRPr="00216965">
        <w:t>The results demonstrate that a decrease in the bioavailable concentration of HMs (NH</w:t>
      </w:r>
      <w:r w:rsidRPr="00216965">
        <w:rPr>
          <w:vertAlign w:val="subscript"/>
        </w:rPr>
        <w:t>4</w:t>
      </w:r>
      <w:r w:rsidRPr="00216965">
        <w:t>-NO</w:t>
      </w:r>
      <w:r w:rsidRPr="00216965">
        <w:rPr>
          <w:vertAlign w:val="subscript"/>
        </w:rPr>
        <w:t>3</w:t>
      </w:r>
      <w:r w:rsidRPr="00216965">
        <w:t xml:space="preserve"> extracts) enhanced by biochar addition does not necessarily lead to a reduced plant uptake. For example a decrease in the concentration of HMs in </w:t>
      </w:r>
      <w:r w:rsidRPr="00216965">
        <w:rPr>
          <w:i/>
        </w:rPr>
        <w:t>Arabidopsis thaliana</w:t>
      </w:r>
      <w:r w:rsidRPr="00216965">
        <w:t xml:space="preserve"> and </w:t>
      </w:r>
      <w:r w:rsidRPr="00216965">
        <w:rPr>
          <w:i/>
        </w:rPr>
        <w:t>Lolium perenne</w:t>
      </w:r>
      <w:r w:rsidRPr="00216965">
        <w:t xml:space="preserve"> above-ground tissue was expected in </w:t>
      </w:r>
      <w:r w:rsidR="00F27C1C" w:rsidRPr="00216965">
        <w:t xml:space="preserve">some </w:t>
      </w:r>
      <w:r w:rsidRPr="00216965">
        <w:t>plants grown in soils amended with 1% and 3% biochar since reductions in bioavailable HMs (</w:t>
      </w:r>
      <w:r w:rsidRPr="00216965">
        <w:rPr>
          <w:b/>
          <w:bCs/>
        </w:rPr>
        <w:fldChar w:fldCharType="begin"/>
      </w:r>
      <w:r w:rsidRPr="00216965">
        <w:rPr>
          <w:b/>
          <w:bCs/>
        </w:rPr>
        <w:instrText xml:space="preserve"> REF _Ref75009525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_Ref85471809 \h  \* MERGEFORMAT </w:instrText>
      </w:r>
      <w:r w:rsidRPr="00216965">
        <w:rPr>
          <w:b/>
          <w:bCs/>
        </w:rPr>
      </w:r>
      <w:r w:rsidRPr="00216965">
        <w:rPr>
          <w:b/>
          <w:bCs/>
        </w:rPr>
        <w:fldChar w:fldCharType="separate"/>
      </w:r>
      <w:r w:rsidR="006E23EA" w:rsidRPr="00216965">
        <w:rPr>
          <w:b/>
          <w:bCs/>
          <w:sz w:val="22"/>
        </w:rPr>
        <w:t xml:space="preserve">Fig. </w:t>
      </w:r>
      <w:r w:rsidR="006E23EA" w:rsidRPr="00216965">
        <w:rPr>
          <w:b/>
          <w:bCs/>
          <w:noProof/>
          <w:sz w:val="22"/>
        </w:rPr>
        <w:t>4</w:t>
      </w:r>
      <w:r w:rsidR="006E23EA" w:rsidRPr="00216965">
        <w:rPr>
          <w:b/>
          <w:bCs/>
          <w:noProof/>
          <w:sz w:val="22"/>
        </w:rPr>
        <w:noBreakHyphen/>
        <w:t>14</w:t>
      </w:r>
      <w:r w:rsidRPr="00216965">
        <w:rPr>
          <w:b/>
          <w:bCs/>
        </w:rPr>
        <w:fldChar w:fldCharType="end"/>
      </w:r>
      <w:r w:rsidRPr="00216965">
        <w:t xml:space="preserve">) were identified at this dosage. However, this only occurred in the Mix-soil for </w:t>
      </w:r>
      <w:r w:rsidRPr="00216965">
        <w:rPr>
          <w:i/>
        </w:rPr>
        <w:t>Arabidopsis thaliana</w:t>
      </w:r>
      <w:r w:rsidRPr="00216965">
        <w:t xml:space="preserve"> and in the Zn-spiked soil (WSP550 3%) for </w:t>
      </w:r>
      <w:r w:rsidRPr="00216965">
        <w:rPr>
          <w:i/>
        </w:rPr>
        <w:t>Lolium perenne</w:t>
      </w:r>
      <w:r w:rsidRPr="00216965">
        <w:t xml:space="preserve">. </w:t>
      </w:r>
    </w:p>
    <w:p w14:paraId="2743F778" w14:textId="12754EE9" w:rsidR="006B380D" w:rsidRPr="00216965" w:rsidRDefault="006B380D" w:rsidP="008A33DA">
      <w:pPr>
        <w:spacing w:line="360" w:lineRule="auto"/>
        <w:jc w:val="both"/>
        <w:rPr>
          <w:color w:val="000000"/>
        </w:rPr>
      </w:pPr>
      <w:r w:rsidRPr="00216965">
        <w:rPr>
          <w:color w:val="000000"/>
        </w:rPr>
        <w:t xml:space="preserve">The findings are consistent with that of </w:t>
      </w:r>
      <w:r w:rsidRPr="00216965">
        <w:rPr>
          <w:color w:val="000000" w:themeColor="text1"/>
          <w:shd w:val="clear" w:color="auto" w:fill="FFFFFF"/>
        </w:rPr>
        <w:fldChar w:fldCharType="begin" w:fldLock="1"/>
      </w:r>
      <w:r w:rsidR="006C06AA" w:rsidRPr="00216965">
        <w:rPr>
          <w:color w:val="000000" w:themeColor="text1"/>
          <w:shd w:val="clear" w:color="auto" w:fill="FFFFFF"/>
        </w:rPr>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2011)","manualFormatting":"Karami et al. (2011)","plainTextFormattedCitation":"(Karami et al., 2011)","previouslyFormattedCitation":"(Karami et al., 2011)"},"properties":{"noteIndex":0},"schema":"https://github.com/citation-style-language/schema/raw/master/csl-citation.json"}</w:instrText>
      </w:r>
      <w:r w:rsidRPr="00216965">
        <w:rPr>
          <w:color w:val="000000" w:themeColor="text1"/>
          <w:shd w:val="clear" w:color="auto" w:fill="FFFFFF"/>
        </w:rPr>
        <w:fldChar w:fldCharType="separate"/>
      </w:r>
      <w:r w:rsidRPr="00216965">
        <w:rPr>
          <w:noProof/>
          <w:color w:val="000000" w:themeColor="text1"/>
          <w:shd w:val="clear" w:color="auto" w:fill="FFFFFF"/>
        </w:rPr>
        <w:t xml:space="preserve">Karami </w:t>
      </w:r>
      <w:r w:rsidR="009B2252" w:rsidRPr="00216965">
        <w:rPr>
          <w:iCs/>
          <w:noProof/>
          <w:color w:val="000000" w:themeColor="text1"/>
          <w:shd w:val="clear" w:color="auto" w:fill="FFFFFF"/>
        </w:rPr>
        <w:t>et al</w:t>
      </w:r>
      <w:r w:rsidRPr="00216965">
        <w:rPr>
          <w:noProof/>
          <w:color w:val="000000" w:themeColor="text1"/>
          <w:shd w:val="clear" w:color="auto" w:fill="FFFFFF"/>
        </w:rPr>
        <w:t>. (2011)</w:t>
      </w:r>
      <w:r w:rsidRPr="00216965">
        <w:rPr>
          <w:color w:val="000000" w:themeColor="text1"/>
          <w:shd w:val="clear" w:color="auto" w:fill="FFFFFF"/>
        </w:rPr>
        <w:fldChar w:fldCharType="end"/>
      </w:r>
      <w:r w:rsidRPr="00216965">
        <w:rPr>
          <w:color w:val="000000"/>
        </w:rPr>
        <w:t xml:space="preserve">, who reported that in spite of a reduction of &gt; 67% Pb in pore water from a mining soil dosed with British oak biochar, the concentration of Pb in ryegrass shoots grown in the amended soils were not significantly different from the control (no biochar). </w:t>
      </w:r>
      <w:r w:rsidRPr="00216965">
        <w:rPr>
          <w:color w:val="000000" w:themeColor="text1"/>
          <w:shd w:val="clear" w:color="auto" w:fill="FFFFFF"/>
        </w:rPr>
        <w:fldChar w:fldCharType="begin" w:fldLock="1"/>
      </w:r>
      <w:r w:rsidR="006C06AA" w:rsidRPr="00216965">
        <w:rPr>
          <w:color w:val="000000" w:themeColor="text1"/>
          <w:shd w:val="clear" w:color="auto" w:fill="FFFFFF"/>
        </w:rPr>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rPr>
          <w:color w:val="000000" w:themeColor="text1"/>
          <w:shd w:val="clear" w:color="auto" w:fill="FFFFFF"/>
        </w:rPr>
        <w:fldChar w:fldCharType="separate"/>
      </w:r>
      <w:r w:rsidRPr="00216965">
        <w:rPr>
          <w:noProof/>
          <w:color w:val="000000" w:themeColor="text1"/>
          <w:shd w:val="clear" w:color="auto" w:fill="FFFFFF"/>
        </w:rPr>
        <w:t xml:space="preserve">Puga </w:t>
      </w:r>
      <w:r w:rsidR="009B2252" w:rsidRPr="00216965">
        <w:rPr>
          <w:iCs/>
          <w:noProof/>
          <w:color w:val="000000" w:themeColor="text1"/>
          <w:shd w:val="clear" w:color="auto" w:fill="FFFFFF"/>
        </w:rPr>
        <w:t>et al</w:t>
      </w:r>
      <w:r w:rsidRPr="00216965">
        <w:rPr>
          <w:noProof/>
          <w:color w:val="000000" w:themeColor="text1"/>
          <w:shd w:val="clear" w:color="auto" w:fill="FFFFFF"/>
        </w:rPr>
        <w:t>. (2015)</w:t>
      </w:r>
      <w:r w:rsidRPr="00216965">
        <w:rPr>
          <w:color w:val="000000" w:themeColor="text1"/>
          <w:shd w:val="clear" w:color="auto" w:fill="FFFFFF"/>
        </w:rPr>
        <w:fldChar w:fldCharType="end"/>
      </w:r>
      <w:r w:rsidRPr="00216965">
        <w:rPr>
          <w:color w:val="000000" w:themeColor="text1"/>
          <w:shd w:val="clear" w:color="auto" w:fill="FFFFFF"/>
        </w:rPr>
        <w:t xml:space="preserve"> </w:t>
      </w:r>
      <w:r w:rsidRPr="00216965">
        <w:rPr>
          <w:color w:val="000000"/>
        </w:rPr>
        <w:t xml:space="preserve">also reported that sugar cane biochar (700°C) applied to a metal-contaminated soil significantly reduced available (diethylenetriaminepentaacetic acid, DTPA) concentrations of Pb, Cd and Zn. However, the translocation index (root-shoot) of these HMs for Jack bean plants grown in the amended soils increased compared with plants grown in the control group (no biochar). </w:t>
      </w:r>
    </w:p>
    <w:p w14:paraId="7579911B" w14:textId="7AC89400" w:rsidR="006B380D" w:rsidRPr="00216965" w:rsidRDefault="006B380D" w:rsidP="008A33DA">
      <w:pPr>
        <w:spacing w:line="360" w:lineRule="auto"/>
        <w:jc w:val="both"/>
        <w:rPr>
          <w:color w:val="000000"/>
        </w:rPr>
      </w:pPr>
      <w:r w:rsidRPr="00216965">
        <w:rPr>
          <w:color w:val="000000"/>
        </w:rPr>
        <w:t xml:space="preserve">Biochar addition did not prevent HM uptake in </w:t>
      </w:r>
      <w:r w:rsidR="001A73A8" w:rsidRPr="00216965">
        <w:rPr>
          <w:i/>
          <w:iCs/>
        </w:rPr>
        <w:t>Sinapsis alba</w:t>
      </w:r>
      <w:r w:rsidRPr="00216965">
        <w:rPr>
          <w:color w:val="000000"/>
        </w:rPr>
        <w:t xml:space="preserve"> plants which, on the contrary, seemed to accumulate Cd and Zn. The concentrations of these HMs in </w:t>
      </w:r>
      <w:r w:rsidR="001A73A8" w:rsidRPr="00216965">
        <w:rPr>
          <w:i/>
          <w:iCs/>
        </w:rPr>
        <w:t>Sinapsis alba</w:t>
      </w:r>
      <w:r w:rsidRPr="00216965">
        <w:rPr>
          <w:color w:val="000000"/>
        </w:rPr>
        <w:t xml:space="preserve"> tissue were at least 5 times higher than those of </w:t>
      </w:r>
      <w:r w:rsidRPr="00216965">
        <w:rPr>
          <w:i/>
          <w:color w:val="000000"/>
        </w:rPr>
        <w:t>Lolium perenne</w:t>
      </w:r>
      <w:r w:rsidRPr="00216965">
        <w:rPr>
          <w:color w:val="000000"/>
        </w:rPr>
        <w:t xml:space="preserve"> plants in the same treatments (even in the control treatments without biochar). Besides, bioavailable HMs in </w:t>
      </w:r>
      <w:r w:rsidR="00335953" w:rsidRPr="00216965">
        <w:rPr>
          <w:i/>
          <w:iCs/>
        </w:rPr>
        <w:t>Sinapsis alba</w:t>
      </w:r>
      <w:r w:rsidRPr="00216965">
        <w:rPr>
          <w:color w:val="000000"/>
        </w:rPr>
        <w:t xml:space="preserve"> soil tended to be lower than in </w:t>
      </w:r>
      <w:r w:rsidRPr="00216965">
        <w:rPr>
          <w:i/>
          <w:color w:val="000000"/>
        </w:rPr>
        <w:t>Lolium perenne</w:t>
      </w:r>
      <w:r w:rsidRPr="00216965">
        <w:rPr>
          <w:color w:val="000000"/>
        </w:rPr>
        <w:t xml:space="preserve"> soil, suggesting plant uptake. </w:t>
      </w:r>
      <w:r w:rsidRPr="00216965">
        <w:rPr>
          <w:color w:val="000000" w:themeColor="text1"/>
          <w:shd w:val="clear" w:color="auto" w:fill="FFFFFF"/>
        </w:rPr>
        <w:fldChar w:fldCharType="begin" w:fldLock="1"/>
      </w:r>
      <w:r w:rsidR="006C06AA" w:rsidRPr="00216965">
        <w:rPr>
          <w:color w:val="000000" w:themeColor="text1"/>
          <w:shd w:val="clear" w:color="auto" w:fill="FFFFFF"/>
        </w:rPr>
        <w:instrText>ADDIN CSL_CITATION {"citationItems":[{"id":"ITEM-1","itemData":{"DOI":"https://doi.org/10.37358/RC.17.1.5384","abstract":"The chromium bioaccumulation potential in Sinapis alba L. was studied in experimental hydroponic conditions. Mustard seedlings were grown in nutrient solution containing 50, 100, 250 and 500 ppm Cr. After 10 days, seedlings were analyzed for shoot length, biomass, leaf pigment (chlorophylls and carotenoids) and tissular Cr concentration. The Biological Accumulation Coefficients (BAC) were also determined. Cr content in S. alba dry mass reached 415-2,064 ppm, depending on ambient Cr concentration. BAC ranged between 8.30 to 4.13, with a peak at 100 ppm and lowest values at higher concentrations. Shoot length, biomass and pigment concentration values showed an average decrease at high Cr concentrations (mostly, at 500 ppm), without a definite statistical significance. Results indicate that S. alba is tolerant to high Cr levels and has hyperaccumulative abilities. Soil pollution involving heavy metals causes an increasing concern worldwide. Heavy metal pollution is a consequence of industrial activities and can lead to significant drops in agricultural productivity and health hazards. Another important issue regarding heavy metals in soil is the possible exploitation of subeconomic ores. For both problems, phytoaccumulation, with its two main applications-phytoremediation and phytomining-is a possible solution [1, 2]. While heavy metals are toxic to all plants (especially at root level), some species have developed mechanisms for limiting their effect. Such strategies range from exclusion of metal ions from the root system, or sequestration at root level and exclusion from aboveground organs, to accumulation and even hyperaccumulation in both aboveground and underground organs. Not many species are metal accumulators and even fewer are hyperaccumulators (around 0.2% of known species). This is the reason why screening local native vegetation for such species and searching for strategies to enhance their potential is of great importance. Many members of the Brassicaceae family have such abilities (Thalaspi sp., Alyssum sp., Arabidopsis halleri, Streptanthus polygaloides, Brassica juncaea etc.) [1]. Sinapis alba L.","author":[{"dropping-particle":"","family":"Popoviciu","given":"Dan Razvan","non-dropping-particle":"","parse-names":false,"suffix":""},{"dropping-particle":"","family":"Negreanu Pirjol","given":"Ticuta","non-dropping-particle":"","parse-names":false,"suffix":""},{"dropping-particle":"","family":"Miclaus","given":"Lucian Stefan","non-dropping-particle":"","parse-names":false,"suffix":""}],"container-title":"Revista de Chimie","id":"ITEM-1","issue":"1","issued":{"date-parts":[["2017"]]},"page":"40-42","title":"Phytotoxic effect and bioaccumulation of chromium in white mustard (Sinapis alba L.) seedlings","type":"article-journal","volume":"68"},"uris":["http://www.mendeley.com/documents/?uuid=f91972dd-a942-3937-8027-ebd52fb48233"]}],"mendeley":{"formattedCitation":"(Popoviciu et al., 2017)","manualFormatting":"Popoviciu et al. (2017)","plainTextFormattedCitation":"(Popoviciu et al., 2017)","previouslyFormattedCitation":"(Popoviciu et al., 2017)"},"properties":{"noteIndex":0},"schema":"https://github.com/citation-style-language/schema/raw/master/csl-citation.json"}</w:instrText>
      </w:r>
      <w:r w:rsidRPr="00216965">
        <w:rPr>
          <w:color w:val="000000" w:themeColor="text1"/>
          <w:shd w:val="clear" w:color="auto" w:fill="FFFFFF"/>
        </w:rPr>
        <w:fldChar w:fldCharType="separate"/>
      </w:r>
      <w:r w:rsidRPr="00216965">
        <w:rPr>
          <w:noProof/>
          <w:color w:val="000000" w:themeColor="text1"/>
          <w:shd w:val="clear" w:color="auto" w:fill="FFFFFF"/>
        </w:rPr>
        <w:t xml:space="preserve">Popoviciu </w:t>
      </w:r>
      <w:r w:rsidR="009B2252" w:rsidRPr="00216965">
        <w:rPr>
          <w:iCs/>
          <w:noProof/>
          <w:color w:val="000000" w:themeColor="text1"/>
          <w:shd w:val="clear" w:color="auto" w:fill="FFFFFF"/>
        </w:rPr>
        <w:t>et al</w:t>
      </w:r>
      <w:r w:rsidRPr="00216965">
        <w:rPr>
          <w:noProof/>
          <w:color w:val="000000" w:themeColor="text1"/>
          <w:shd w:val="clear" w:color="auto" w:fill="FFFFFF"/>
        </w:rPr>
        <w:t>. (2017)</w:t>
      </w:r>
      <w:r w:rsidRPr="00216965">
        <w:rPr>
          <w:color w:val="000000" w:themeColor="text1"/>
          <w:shd w:val="clear" w:color="auto" w:fill="FFFFFF"/>
        </w:rPr>
        <w:fldChar w:fldCharType="end"/>
      </w:r>
      <w:r w:rsidRPr="00216965">
        <w:rPr>
          <w:color w:val="000000"/>
        </w:rPr>
        <w:t xml:space="preserve"> reported </w:t>
      </w:r>
      <w:r w:rsidRPr="00216965">
        <w:t xml:space="preserve">that </w:t>
      </w:r>
      <w:r w:rsidR="001A73A8" w:rsidRPr="00216965">
        <w:rPr>
          <w:i/>
          <w:iCs/>
        </w:rPr>
        <w:t>Sinapsis alba</w:t>
      </w:r>
      <w:r w:rsidRPr="00216965">
        <w:t xml:space="preserve"> grown in a media with excess Cr showed a significant potential for chromium phytoextraction. Similarly, </w:t>
      </w:r>
      <w:r w:rsidRPr="00216965">
        <w:fldChar w:fldCharType="begin" w:fldLock="1"/>
      </w:r>
      <w:r w:rsidR="00F56BD7" w:rsidRPr="00216965">
        <w:instrText>ADDIN CSL_CITATION {"citationItems":[{"id":"ITEM-1","itemData":{"DOI":"10.4067/S0718-58392014000400016","ISSN":"0718-5839","abstract":"Phytoextraction relies on plants with a high capacity to absorb heavy metals and remove them from the soil. The objective of this study was to analyze the potential of sunflower (Helianthus annuus L.) and white mustard (Sinapis alba L.) for phytoextraction of Zn-contaminated soil. Research was based on a strict pot experiment conducted in a greenhouse. Seven treatments were established with increasing Zn concentrations: 0, 25, 50, 100, 200, 400, and 600 mg Zn kg-1air-dry soil. The first tested plant was fodder sunflower. In the following year, white mustard was sown in the same pots. Plants were harvested at the end of the flowering stage. The toxic effect of Zn on sunflower yields occurred at the contamination level of 200 mg Zn kg-1soil. In the second year of the experiment, a significant decrease in mustard biomass took place in response to 400 mg Zn kg-1soil. The contamination level of 600 mg Zn kg-1soil resulted in complete plant death. Plant growth was not inhibited even at high tissue Zn concentrations of 515 mg Zn kg-1sunflower DM and 422 mg Zn kg-1mustard DM. The 2-yr cropping system did not contribute to a significant decrease in soil Zn content. Despite high concentrations of Zn in sunflower and mustard plants, total Zn uptake accounted for only 1% to 8% of the Zn rate introduced into the soil. However, in the long run, the growing of crops could reduce Zn contamination levels in the soil. The relatively high tolerance of sunflower and white mustard for Zn contamination and rapid growth of these species are possible alternatives for phytoextraction and phytostabilization of Zn-contaminated soil.","author":[{"dropping-particle":"","family":"Zalewska","given":"Marta","non-dropping-particle":"","parse-names":false,"suffix":""},{"dropping-particle":"","family":"Nogalska","given":"Anna","non-dropping-particle":"","parse-names":false,"suffix":""}],"container-title":"Chilean journal of agricultural research","id":"ITEM-1","issue":"4","issued":{"date-parts":[["2014","12","1"]]},"page":"485-489","publisher":"Instituto de Investigaciones Agropecuarias, INIA","title":"Phytoextraction potential of sunflower and white mustard plants in zinc-contaminated soil","type":"article-journal","volume":"74"},"uris":["http://www.mendeley.com/documents/?uuid=314cad94-0219-3175-9c44-ba3566776136"]}],"mendeley":{"formattedCitation":"(Zalewska and Nogalska, 2014)","manualFormatting":"Zalewska and Nogalska (2014)","plainTextFormattedCitation":"(Zalewska and Nogalska, 2014)","previouslyFormattedCitation":"(Zalewska and Nogalska, 2014)"},"properties":{"noteIndex":0},"schema":"https://github.com/citation-style-language/schema/raw/master/csl-citation.json"}</w:instrText>
      </w:r>
      <w:r w:rsidRPr="00216965">
        <w:fldChar w:fldCharType="separate"/>
      </w:r>
      <w:r w:rsidRPr="00216965">
        <w:rPr>
          <w:noProof/>
        </w:rPr>
        <w:t>Zalewska and Nogalska (2014)</w:t>
      </w:r>
      <w:r w:rsidRPr="00216965">
        <w:fldChar w:fldCharType="end"/>
      </w:r>
      <w:r w:rsidRPr="00216965">
        <w:t xml:space="preserve"> proposed </w:t>
      </w:r>
      <w:r w:rsidR="00335953" w:rsidRPr="00216965">
        <w:rPr>
          <w:i/>
          <w:iCs/>
        </w:rPr>
        <w:t>Sinapsis alba</w:t>
      </w:r>
      <w:r w:rsidRPr="00216965">
        <w:t xml:space="preserve"> as a possible alternative for phytoextraction and phytostabilization of Zn-contaminated soil.</w:t>
      </w:r>
    </w:p>
    <w:p w14:paraId="53C0A2D5" w14:textId="35AB2FFD" w:rsidR="006B380D" w:rsidRPr="00216965" w:rsidRDefault="006B380D" w:rsidP="008A33DA">
      <w:pPr>
        <w:spacing w:line="360" w:lineRule="auto"/>
        <w:jc w:val="both"/>
        <w:rPr>
          <w:color w:val="2E2E2E"/>
        </w:rPr>
      </w:pPr>
      <w:r w:rsidRPr="00216965">
        <w:rPr>
          <w:color w:val="000000"/>
        </w:rPr>
        <w:t xml:space="preserve">Results from </w:t>
      </w:r>
      <w:r w:rsidRPr="00216965">
        <w:rPr>
          <w:i/>
          <w:color w:val="000000"/>
        </w:rPr>
        <w:t>Arabidopsis thaliana</w:t>
      </w:r>
      <w:r w:rsidRPr="00216965">
        <w:rPr>
          <w:color w:val="000000"/>
        </w:rPr>
        <w:t xml:space="preserve"> and </w:t>
      </w:r>
      <w:r w:rsidRPr="00216965">
        <w:rPr>
          <w:i/>
          <w:color w:val="000000"/>
        </w:rPr>
        <w:t>Lolium perenne</w:t>
      </w:r>
      <w:r w:rsidRPr="00216965">
        <w:rPr>
          <w:color w:val="000000"/>
        </w:rPr>
        <w:t xml:space="preserve"> indicate that the use of chemical extractants, such as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do not accurately represent the phytoavailable HMs in </w:t>
      </w:r>
      <w:r w:rsidRPr="00216965">
        <w:rPr>
          <w:color w:val="000000"/>
        </w:rPr>
        <w:lastRenderedPageBreak/>
        <w:t xml:space="preserve">contaminated soils. In this context, </w:t>
      </w:r>
      <w:r w:rsidRPr="00216965">
        <w:rPr>
          <w:color w:val="000000" w:themeColor="text1"/>
        </w:rPr>
        <w:fldChar w:fldCharType="begin" w:fldLock="1"/>
      </w:r>
      <w:r w:rsidR="006C06AA" w:rsidRPr="00216965">
        <w:rPr>
          <w:color w:val="000000" w:themeColor="text1"/>
        </w:rPr>
        <w:instrText>ADDIN CSL_CITATION {"citationItems":[{"id":"ITEM-1","itemData":{"DOI":"10.1016/J.ENVPOL.2016.07.031","ISSN":"0269-7491","abstract":"A pot experiment was conducted to investigate the effects of biochars on the availability of heavy metals (Cd, Cu, Mn, Ni, Pb, and Zn) to ryegrass in an alkaline contaminated soil. Biochars only slightly decreased or even increased the availability of heavy metals assesses by chemical extractant (a mixture of 0.05 mol L−1 ethylenediaminetetraacetic acid disodium, 0.01 mol L−1 CaCl2, and 0.1 mol L−1 triethanolamine). The significantly positive correlation between most chemical-extractable heavy metals and the ash content in biochars indicated the positive role of ash in this extraction. Biochars significantly reduced the plant uptake of heavy metals, excluding Mn. The absence of a positive correlation between the chemical-extractable heavy metals and the plant uptake counterparts (except for Mn) indicates that chemical extractability is probably not a reliable indicator to predict the phytoavailability of most heavy metals in alkaline soils treated with biochars. The obviously negative correlation between the plant uptake of heavy metals (except for Mn) and the (O + N)/C and H/C indicates that biochars with more polar groups, which were produced at lower temperatures, had higher efficiency for reducing the phytoavailability of heavy metals. The significantly negative correlations between the plant uptake of Mn and ryegrass biomass indicated the “dilution effect” caused by the improvement of biomass. These observations will be helpful for designing biochars as soil amendments to reduce the availability of heavy metals to plants in soils, especially in alkaline soils.","author":[{"dropping-particle":"","family":"Zhang","given":"Guixiang","non-dropping-particle":"","parse-names":false,"suffix":""},{"dropping-particle":"","family":"Guo","given":"Xiaofang","non-dropping-particle":"","parse-names":false,"suffix":""},{"dropping-particle":"","family":"Zhao","given":"Zhihua","non-dropping-particle":"","parse-names":false,"suffix":""},{"dropping-particle":"","family":"He","given":"Qiusheng","non-dropping-particle":"","parse-names":false,"suffix":""},{"dropping-particle":"","family":"Wang","given":"Shuifeng","non-dropping-particle":"","parse-names":false,"suffix":""},{"dropping-particle":"","family":"Zhu","given":"Yuen","non-dropping-particle":"","parse-names":false,"suffix":""},{"dropping-particle":"","family":"Yan","given":"Yulong","non-dropping-particle":"","parse-names":false,"suffix":""},{"dropping-particle":"","family":"Liu","given":"Xitao","non-dropping-particle":"","parse-names":false,"suffix":""},{"dropping-particle":"","family":"Sun","given":"Ke","non-dropping-particle":"","parse-names":false,"suffix":""},{"dropping-particle":"","family":"Zhao","given":"Ye","non-dropping-particle":"","parse-names":false,"suffix":""},{"dropping-particle":"","family":"Qian","given":"Tianwei","non-dropping-particle":"","parse-names":false,"suffix":""}],"container-title":"Environmental Pollution","id":"ITEM-1","issued":{"date-parts":[["2016","11","1"]]},"page":"513-522","publisher":"Elsevier","title":"Effects of biochars on the availability of heavy metals to ryegrass in an alkaline contaminated soil","type":"article-journal","volume":"218"},"uris":["http://www.mendeley.com/documents/?uuid=e59ff0e2-f13d-3905-ab9d-6bfd77df68e0"]}],"mendeley":{"formattedCitation":"(Zhang et al., 2016)","manualFormatting":"Zhang et al. (2016)","plainTextFormattedCitation":"(Zhang et al., 2016)","previouslyFormattedCitation":"(Zhang et al., 2016)"},"properties":{"noteIndex":0},"schema":"https://github.com/citation-style-language/schema/raw/master/csl-citation.json"}</w:instrText>
      </w:r>
      <w:r w:rsidRPr="00216965">
        <w:rPr>
          <w:color w:val="000000" w:themeColor="text1"/>
        </w:rPr>
        <w:fldChar w:fldCharType="separate"/>
      </w:r>
      <w:r w:rsidRPr="00216965">
        <w:rPr>
          <w:noProof/>
          <w:color w:val="000000" w:themeColor="text1"/>
        </w:rPr>
        <w:t xml:space="preserve">Zhang </w:t>
      </w:r>
      <w:r w:rsidR="009B2252" w:rsidRPr="00216965">
        <w:rPr>
          <w:iCs/>
          <w:noProof/>
          <w:color w:val="000000" w:themeColor="text1"/>
        </w:rPr>
        <w:t>et al</w:t>
      </w:r>
      <w:r w:rsidRPr="00216965">
        <w:rPr>
          <w:noProof/>
          <w:color w:val="000000" w:themeColor="text1"/>
        </w:rPr>
        <w:t>. (2016)</w:t>
      </w:r>
      <w:r w:rsidRPr="00216965">
        <w:rPr>
          <w:color w:val="000000" w:themeColor="text1"/>
        </w:rPr>
        <w:fldChar w:fldCharType="end"/>
      </w:r>
      <w:r w:rsidRPr="00216965">
        <w:rPr>
          <w:color w:val="000000" w:themeColor="text1"/>
        </w:rPr>
        <w:t xml:space="preserve"> </w:t>
      </w:r>
      <w:r w:rsidRPr="00216965">
        <w:rPr>
          <w:color w:val="000000"/>
        </w:rPr>
        <w:t>concluded that common extraction techniques (i.e. water, CaCl</w:t>
      </w:r>
      <w:r w:rsidRPr="00216965">
        <w:rPr>
          <w:color w:val="000000"/>
          <w:vertAlign w:val="subscript"/>
        </w:rPr>
        <w:t>2</w:t>
      </w:r>
      <w:r w:rsidRPr="00216965">
        <w:rPr>
          <w:color w:val="000000"/>
        </w:rPr>
        <w:t>, NH</w:t>
      </w:r>
      <w:r w:rsidRPr="00216965">
        <w:rPr>
          <w:color w:val="000000"/>
          <w:vertAlign w:val="subscript"/>
        </w:rPr>
        <w:t>4</w:t>
      </w:r>
      <w:r w:rsidRPr="00216965">
        <w:rPr>
          <w:color w:val="000000"/>
        </w:rPr>
        <w:t>NO</w:t>
      </w:r>
      <w:r w:rsidRPr="00216965">
        <w:rPr>
          <w:color w:val="000000"/>
          <w:vertAlign w:val="subscript"/>
        </w:rPr>
        <w:t>3</w:t>
      </w:r>
      <w:r w:rsidRPr="00216965">
        <w:rPr>
          <w:color w:val="000000"/>
        </w:rPr>
        <w:t xml:space="preserve">, HOAc, and EDTA) used to assess the bioavailability of metals in soil are unreliable in predicting the phytoavailability of most heavy metals in biochar-treated soils. This is because, besides bioavailability, two other processes determine metal exposure levels and metal accumulation in plants: uptake activity and efficiency of translocation, which depend on plant species </w:t>
      </w:r>
      <w:r w:rsidRPr="00216965">
        <w:rPr>
          <w:color w:val="000000" w:themeColor="text1"/>
        </w:rPr>
        <w:fldChar w:fldCharType="begin" w:fldLock="1"/>
      </w:r>
      <w:r w:rsidR="006C06AA" w:rsidRPr="00216965">
        <w:rPr>
          <w:color w:val="000000" w:themeColor="text1"/>
        </w:rPr>
        <w:instrText>ADDIN CSL_CITATION {"citationItems":[{"id":"ITEM-1","itemData":{"DOI":"10.1016/j.biochi.2006.07.003","ISSN":"03009084","PMID":"16914250","abstract":"Over the past 200 years emissions of toxic heavy metals have risen tremendously and significantly exceed those from natural sources for practically all metals. Uptake and accumulation by crop plants represents the main entry pathway for potentially health-threatening toxic metals into human and animal food. Of major concern are the metalloids arsenic (As) and selenium (Se), and the metals cadmium (Cd), mercury (Hg), and lead (Pb). This review discusses the molecular mechanisms of toxic metal accumulation in plants and algae, the responses to metal exposure, as well as our understanding of metal tolerance and its evolution. The main emphasis will be on cadmium, which is by far the most widely studied of the non-essential toxic metals/metalloids. Entry via Zn2+, Fe2+, and Ca2+ transporters is the molecular basis of Cd2+ uptake into plant cells. Much less is known about the partitioning of non-essential metals and about the genes underlying the enormous diversity among plants with respect to Cd accumulation in different tissues. Numerous studies have described symptoms and responses of plants upon toxic metal exposure. Mysterious are primary targets of toxicity, the degree of specificity of responses, the sensing and the signaling events that lead to transcriptional activation. All plants apparently possess a basal tolerance of toxic non-essential metals. For Cd and As, this is largely dependent on the phytochelatin pathway. Not understood is the molecular biology of Cd hypertolerance in certain plant species such as the metallophytes Arabidopsis halleri or Thlaspi caerulescens. © 2006 Elsevier Masson SAS. All rights reserved.","author":[{"dropping-particle":"","family":"Clemens","given":"S.","non-dropping-particle":"","parse-names":false,"suffix":""}],"container-title":"Biochimie","id":"ITEM-1","issued":{"date-parts":[["2006","11","1"]]},"page":"1707-1719","publisher":"Elsevier","title":"Toxic metal accumulation, responses to exposure and mechanisms of tolerance in plants","type":"article-journal","volume":"88"},"uris":["http://www.mendeley.com/documents/?uuid=03db4e03-90d3-338b-9d10-4cbeea65d06e"]},{"id":"ITEM-2","itemData":{"DOI":"10.1007/s11356-015-4977-6","ISBN":"0944-1344","ISSN":"16147499","PMID":"26146374","abstract":"Accumulation of heavy metals in unconsolidated soils can prove toxic to proximal environments, if measures are not taken to stabilize soils. One way to minimize the toxicity of metals in soils is the use of materials capable of immobilizing these contaminants by sorption. Biochar (BC) can retain large amts. of heavy metals due to, among other characteristics, its large surface area. In the current expt., sugarcane-straw-derived biochar, produced at 700 °C, was applied to a heavy-metal-contaminated mine soil at 1.5, 3.0, and 5.0 % (wt./wt.). Jack bean and Mucuna aterrima were grown in pots contg. a mine contaminated soil and soil mixed with BC. Pore water was sampled to assess the effects of biochar on zinc soly., while soils were analyzed by DTPA extn. to confirm available metal concns. The application of BC decreased the available concns. of Cd, Pb, and Zn in the mine contaminated soil leading to a consistent redn. in the concn. of Zn in the pore water. Amendment with BC reduced plant uptake of Cd, Pb, and Zn with the jack bean uptaking higher amts. of Cd and Pb than M. aterrima. This study indicates that biochar application during mine soil remediation could reduce plant concns. of heavy metals. Coupled with this, symptoms of heavy metal toxicity were absent only in plants growing in pots amended with biochar. The redn. in metal bioavailability and other modifications to the substrate induced by the application of biochar may be beneficial to the establishment of a green cover on top of mine soil to aid remediation and reduce risks. [on SciFinder(R)]","author":[{"dropping-particle":"","family":"Puga","given":"A. P.","non-dropping-particle":"","parse-names":false,"suffix":""},{"dropping-particle":"","family":"Abreu","given":"C. A.","non-dropping-particle":"","parse-names":false,"suffix":""},{"dropping-particle":"","family":"Melo","given":"L. C A","non-dropping-particle":"","parse-names":false,"suffix":""},{"dropping-particle":"","family":"Paz","given":"J.","non-dropping-particle":"","parse-names":false,"suffix":""},{"dropping-particle":"","family":"Beesley","given":"L.","non-dropping-particle":"","parse-names":false,"suffix":""}],"container-title":"Environmental Science and Pollution Research","id":"ITEM-2","issue":"22","issued":{"date-parts":[["2015"]]},"page":"17606-17614","title":"Cadmium, lead, and zinc mobility and plant uptake in a mine soil amended with sugarcane straw biochar","type":"article-journal","volume":"22"},"uris":["http://www.mendeley.com/documents/?uuid=0f1bab2d-fdd5-4530-815a-a23e1b3657eb"]}],"mendeley":{"formattedCitation":"(Clemens, 2006; Puga et al., 2015b)","manualFormatting":"(Clemens, 2006; Puga et al., 2015b)","plainTextFormattedCitation":"(Clemens, 2006; Puga et al., 2015b)","previouslyFormattedCitation":"(Clemens, 2006; Puga et al., 2015b)"},"properties":{"noteIndex":0},"schema":"https://github.com/citation-style-language/schema/raw/master/csl-citation.json"}</w:instrText>
      </w:r>
      <w:r w:rsidRPr="00216965">
        <w:rPr>
          <w:color w:val="000000" w:themeColor="text1"/>
        </w:rPr>
        <w:fldChar w:fldCharType="separate"/>
      </w:r>
      <w:r w:rsidRPr="00216965">
        <w:rPr>
          <w:noProof/>
          <w:color w:val="000000" w:themeColor="text1"/>
        </w:rPr>
        <w:t xml:space="preserve">(Clemens, 2006; Puga </w:t>
      </w:r>
      <w:r w:rsidR="009B2252" w:rsidRPr="00216965">
        <w:rPr>
          <w:iCs/>
          <w:noProof/>
          <w:color w:val="000000" w:themeColor="text1"/>
        </w:rPr>
        <w:t>et al</w:t>
      </w:r>
      <w:r w:rsidRPr="00216965">
        <w:rPr>
          <w:noProof/>
          <w:color w:val="000000" w:themeColor="text1"/>
        </w:rPr>
        <w:t>., 2015b)</w:t>
      </w:r>
      <w:r w:rsidRPr="00216965">
        <w:rPr>
          <w:color w:val="000000" w:themeColor="text1"/>
        </w:rPr>
        <w:fldChar w:fldCharType="end"/>
      </w:r>
      <w:r w:rsidRPr="00216965">
        <w:rPr>
          <w:color w:val="000000"/>
        </w:rPr>
        <w:t xml:space="preserve">. </w:t>
      </w:r>
    </w:p>
    <w:p w14:paraId="021597A9" w14:textId="3401D36B" w:rsidR="008574C0" w:rsidRPr="00216965" w:rsidRDefault="006B380D" w:rsidP="008A33DA">
      <w:pPr>
        <w:spacing w:line="360" w:lineRule="auto"/>
        <w:jc w:val="both"/>
      </w:pPr>
      <w:r w:rsidRPr="00216965">
        <w:rPr>
          <w:color w:val="000000"/>
        </w:rPr>
        <w:t xml:space="preserve">Conversely, the concentrations of HMs in </w:t>
      </w:r>
      <w:r w:rsidRPr="00216965">
        <w:rPr>
          <w:i/>
          <w:color w:val="000000"/>
        </w:rPr>
        <w:t>Arabidopsis thaliana</w:t>
      </w:r>
      <w:r w:rsidRPr="00216965">
        <w:rPr>
          <w:color w:val="000000"/>
        </w:rPr>
        <w:t xml:space="preserve"> tissue were consistent with the results of the plant physiological response expressed by Fv/Fm presented in Experiment A (</w:t>
      </w:r>
      <w:r w:rsidRPr="00216965">
        <w:rPr>
          <w:rStyle w:val="Emphasis"/>
          <w:rFonts w:eastAsia="Georgia"/>
          <w:i w:val="0"/>
          <w:iCs w:val="0"/>
          <w:color w:val="000000" w:themeColor="text1"/>
          <w:szCs w:val="24"/>
        </w:rPr>
        <w:fldChar w:fldCharType="begin"/>
      </w:r>
      <w:r w:rsidRPr="00216965">
        <w:rPr>
          <w:rStyle w:val="Emphasis"/>
          <w:rFonts w:eastAsia="Georgia"/>
          <w:i w:val="0"/>
          <w:color w:val="000000" w:themeColor="text1"/>
          <w:szCs w:val="24"/>
        </w:rPr>
        <w:instrText xml:space="preserve"> REF _Ref72785360 \h  \* MERGEFORMAT </w:instrText>
      </w:r>
      <w:r w:rsidRPr="00216965">
        <w:rPr>
          <w:rStyle w:val="Emphasis"/>
          <w:rFonts w:eastAsia="Georgia"/>
          <w:i w:val="0"/>
          <w:iCs w:val="0"/>
          <w:color w:val="000000" w:themeColor="text1"/>
          <w:szCs w:val="24"/>
        </w:rPr>
      </w:r>
      <w:r w:rsidRPr="00216965">
        <w:rPr>
          <w:rStyle w:val="Emphasis"/>
          <w:rFonts w:eastAsia="Georgia"/>
          <w:i w:val="0"/>
          <w:iCs w:val="0"/>
          <w:color w:val="000000" w:themeColor="text1"/>
          <w:szCs w:val="24"/>
        </w:rPr>
        <w:fldChar w:fldCharType="separate"/>
      </w:r>
      <w:r w:rsidR="006E23EA" w:rsidRPr="00216965">
        <w:rPr>
          <w:rStyle w:val="Heading1Char"/>
          <w:color w:val="000000" w:themeColor="text1"/>
          <w:sz w:val="24"/>
          <w:szCs w:val="24"/>
        </w:rPr>
        <w:t xml:space="preserve">Fig. </w:t>
      </w:r>
      <w:r w:rsidR="006E23EA" w:rsidRPr="00216965">
        <w:rPr>
          <w:rStyle w:val="Heading1Char"/>
          <w:noProof/>
          <w:color w:val="000000" w:themeColor="text1"/>
          <w:sz w:val="24"/>
          <w:szCs w:val="24"/>
        </w:rPr>
        <w:t>4</w:t>
      </w:r>
      <w:r w:rsidR="006E23EA" w:rsidRPr="00216965">
        <w:rPr>
          <w:rStyle w:val="Heading1Char"/>
          <w:noProof/>
          <w:color w:val="000000" w:themeColor="text1"/>
          <w:sz w:val="24"/>
          <w:szCs w:val="24"/>
        </w:rPr>
        <w:noBreakHyphen/>
        <w:t>9</w:t>
      </w:r>
      <w:r w:rsidRPr="00216965">
        <w:rPr>
          <w:rStyle w:val="Emphasis"/>
          <w:rFonts w:eastAsia="Georgia"/>
          <w:i w:val="0"/>
          <w:iCs w:val="0"/>
          <w:color w:val="000000" w:themeColor="text1"/>
          <w:szCs w:val="24"/>
        </w:rPr>
        <w:fldChar w:fldCharType="end"/>
      </w:r>
      <w:r w:rsidRPr="00216965">
        <w:rPr>
          <w:color w:val="000000"/>
        </w:rPr>
        <w:t>).</w:t>
      </w:r>
      <w:r w:rsidRPr="00216965">
        <w:rPr>
          <w:color w:val="2E2E2E"/>
        </w:rPr>
        <w:t xml:space="preserve"> </w:t>
      </w:r>
      <w:r w:rsidRPr="00216965">
        <w:t xml:space="preserve">Fv/Fm values represent the maximum efficiency of photosystem II (PSII) after dark adaptation and have been widely used as an indicator of stress in plants </w:t>
      </w:r>
      <w:r w:rsidRPr="00216965">
        <w:fldChar w:fldCharType="begin" w:fldLock="1"/>
      </w:r>
      <w:r w:rsidR="006C06AA" w:rsidRPr="00216965">
        <w:instrText>ADDIN CSL_CITATION {"citationItems":[{"id":"ITEM-1","itemData":{"DOI":"10.1016/j.flora.2011.02.004","ISBN":"0367-2530","ISSN":"03672530","abstract":"Chlorophyll a fluorescence has been adopted as a fast, non-invasive, and cheap method to detect stress effects in plants. The majority of these chl-fluorescence measurements have been carried out with 'clamping' fluorometers recording punctual chlorophyll a fluorescence at isolated parts of the leaf. However, this method is inherently limited in providing information on the homogeneity of responses to stresses at the leaf or whole plant level. Therefore the purpose of this study was to measure imaging chlorophyll a fluorescence and to compare the temporal and spatial distribution of this emission under allelochemical (2-3. H-benzoxazolinone and 3,4-dihydroxybenzaldehyde), thermal and salt, and heavy metal (cadmium, copper and zinc) treatment in the model plant Arabidopsis thaliana (L.) Heynh. The results suggested different spatial distributions for each condition: the two allelochemicals showed inhibition spots at the edges of the oldest leaves and both did not affect the photosynthetic activity of young leaves; treatment with the three heavy metals revealed highly homogenous effects over the whole plant with a quite uniform decrease of maximum PSII efficiency (also in youngest leaves). On the contrary, temperature (heat and cold) and salt stress showed an initial decrease of fluorescence in the tissues around the vascular bundles that lasted between 2 and 3. h depending on the treatment. These irregularities in chlorophyll fluorescence make it difficult to correlate punctual measures (typical for clamping fluorometers) with the effect on the whole plant, ignoring effects that are evident when imaging is used. Therefore these results show that monitoring chlorophyll a fluorescence by imaging improves the measurement of stress effects on treated plants, suggesting that punctual fluorescence measurements do not always reveal the heterogeneity of the stress-related effects in treated plants. © 2011 Elsevier GmbH.","author":[{"dropping-particle":"","family":"Martínez-Peñalver","given":"Ana","non-dropping-particle":"","parse-names":false,"suffix":""},{"dropping-particle":"","family":"Reigosa","given":"Manuel J.","non-dropping-particle":"","parse-names":false,"suffix":""},{"dropping-particle":"","family":"Sánchez-Moreiras","given":"Adela M.","non-dropping-particle":"","parse-names":false,"suffix":""}],"container-title":"Flora: Morphology, Distribution, Functional Ecology of Plants","id":"ITEM-1","issue":"9","issued":{"date-parts":[["2011"]]},"page":"836-844","title":"Imaging chlorophyll a fluorescence reveals specific spatial distributions under different stress conditions","type":"article-journal","volume":"206"},"uris":["http://www.mendeley.com/documents/?uuid=7bd9a7ec-dc65-46b1-b840-77ef975cb6e2"]}],"mendeley":{"formattedCitation":"(Martínez-Peñalver et al., 2011)","plainTextFormattedCitation":"(Martínez-Peñalver et al., 2011)","previouslyFormattedCitation":"(Martínez-Peñalver et al., 2011)"},"properties":{"noteIndex":0},"schema":"https://github.com/citation-style-language/schema/raw/master/csl-citation.json"}</w:instrText>
      </w:r>
      <w:r w:rsidRPr="00216965">
        <w:fldChar w:fldCharType="separate"/>
      </w:r>
      <w:r w:rsidR="001974AA" w:rsidRPr="00216965">
        <w:rPr>
          <w:noProof/>
        </w:rPr>
        <w:t>(Martínez-Peñalver et al., 2011)</w:t>
      </w:r>
      <w:r w:rsidRPr="00216965">
        <w:fldChar w:fldCharType="end"/>
      </w:r>
      <w:r w:rsidRPr="00216965">
        <w:t>. Under normal conditions, healthy plants may have Fv/Fm values of 0.8 to 0.83</w:t>
      </w:r>
      <w:r w:rsidR="004F0F92" w:rsidRPr="00216965">
        <w:t xml:space="preserve"> </w:t>
      </w:r>
      <w:r w:rsidR="004F0F92" w:rsidRPr="00216965">
        <w:fldChar w:fldCharType="begin" w:fldLock="1"/>
      </w:r>
      <w:r w:rsidR="004F0F92" w:rsidRPr="00216965">
        <w:instrText>ADDIN CSL_CITATION {"citationItems":[{"id":"ITEM-1","itemData":{"DOI":"10.1080/15226514.2013.828020","ISSN":"1549-7879","abstract":"A hydroponic experiment was conducted to investigate the effects of cadmium (Cd) on chlorophyll fluorescence and photosynthetic parameters on a Cd accumulating plant of Elsholtzia argyi. Four weeks-seedlings of E. argyi were treated with 0 (CK) 5, 10, 15, 20, 25, 30, 40, 50 and 100 μmol L −1 Cd for 21days. Fv/Fo, Fv/Fm, qP, PSП, ETR and Fv /Fm were significantly increased under low Cd (5–15 μmol L −1 for Fv/Fo, Fv/Fm and qP, 5–10 μmol L −1 for PSП, ETR and Fv /Fm) stress, and these parameters were similar to control under Cd ≤ 50μmol L −1 . All above parameters were significantly decreased at 100 μmol L −1 Cd. Compared with control, Pn was significantly (P &lt; 0.05) increased under 5–30 μmol L −1 Cd. However, 50 and 100 μmol L −1 Cd significantly (P &lt; 0.05) reduced it. Gs and Tr were substantially decreased at 50–100 and 40–100 μmol L −1 Cd, respectively. Ci was significantly increased at 50 and 100 μmol L −1 Cd. High Cd-induced decrease of Pn is not only connected to stomatal limitation but also to the inhibition of Fv/Fo, Fv/Fm, PSП, qP, ETR and increase of NPQ. Maintain chlorophyll fluorescence and photosynthesis parameters under its Cd tolerance threshold were one of tolerance mechanisms in E. argyi.","author":[{"dropping-particle":"","family":"Li","given":"Siliang","non-dropping-particle":"","parse-names":false,"suffix":""},{"dropping-particle":"","family":"Yang","given":"Wenhao","non-dropping-particle":"","parse-names":false,"suffix":""},{"dropping-particle":"","family":"Yang","given":"Tingting","non-dropping-particle":"","parse-names":false,"suffix":""},{"dropping-particle":"","family":"Chen","given":"Yan","non-dropping-particle":"","parse-names":false,"suffix":""},{"dropping-particle":"","family":"Ni","given":"Wuzhong","non-dropping-particle":"","parse-names":false,"suffix":""}],"container-title":"International Journal of Phytoremediation","id":"ITEM-1","issue":"1","issued":{"date-parts":[["2015"]]},"page":"85-92","title":"Effects of cadmium stress on leaf chlorophyll fluorescence and photosynthesis of Elsholtzia argyi—a cadmium accumulating plant","type":"article-journal","volume":"17"},"uris":["http://www.mendeley.com/documents/?uuid=fee1b38b-1e40-385e-bd6d-b3e00cb57ed1"]},{"id":"ITEM-2","itemData":{"DOI":"10.3389/FPLS.2020.00904","ISSN":"1664-462X","abstract":"Nitrogen (N) is one of the most required mineral elements for plant growth, and potassium (K) plays a vital role in nitrogen metabolism, both elements are most widely used for fertilizer in agricultural production. However, the exact relationship between K and nitrogen use efficiency (NUE) remain unclear. Apple dwarf rootstock seedlings (M9T337) were used to study the impacts of different potassium levels on plant growth, nitrogen metabolism, and carbon assimilation in water culture experiments for two years. The results showed that both deficiency and excess in K inhibited the growth and root development of M9T337 seedlings. When the potassium supply concentration was 0 mM and 12 mM, the biomass of each organ, the root-shoot ratio, the root activity and NO3− ion flow rate decreased significantly, net photosynthetic rate (Pn) and photochemical efficiency (Fv/Fm) were lower. Meanwhile, seedlings treated with 6 mM K+ had higher nitrogen and carbon metabolizing enzyme activities and higher nitrate transporter gene expression levels (NRT1.1; NRT2.1). 13C and 15N labeling results showed that deficiency and excess K could not only reduce the 15N absorption and 13C assimilation accumulation of M9T337 seedlings but also reduce the 15N distribution ratio in leaves and the 13C distribution ratio in roots. These results suggest that appropriate K supply level (6 mM) was optimal as it enhanced photosynthetic products transport from the leaves to the roots and increased NUE by mediating photosynthesis, carbon and nitrogen metabolizing enzyme activities, nitrate assimilation gene activities, and nitrate transport.","author":[{"dropping-particle":"","family":"Xu","given":"Xinxiang","non-dropping-particle":"","parse-names":false,"suffix":""},{"dropping-particle":"","family":"Du","given":"Xin","non-dropping-particle":"","parse-names":false,"suffix":""},{"dropping-particle":"","family":"Wang","given":"Fen","non-dropping-particle":"","parse-names":false,"suffix":""},{"dropping-particle":"","family":"Sha","given":"Jianchuan","non-dropping-particle":"","parse-names":false,"suffix":""},{"dropping-particle":"","family":"Chen","given":"Qian","non-dropping-particle":"","parse-names":false,"suffix":""},{"dropping-particle":"","family":"Tian","given":"Ge","non-dropping-particle":"","parse-names":false,"suffix":""},{"dropping-particle":"","family":"Zhu","given":"Zhanling","non-dropping-particle":"","parse-names":false,"suffix":""},{"dropping-particle":"","family":"Ge","given":"Shunfeng","non-dropping-particle":"","parse-names":false,"suffix":""},{"dropping-particle":"","family":"Jiang","given":"Yuanmao","non-dropping-particle":"","parse-names":false,"suffix":""}],"container-title":"Frontiers in Plant Science","id":"ITEM-2","issued":{"date-parts":[["2020","6","23"]]},"page":"904","publisher":"Frontiers","title":"Effects of potassium levels on plant growth, accumulation and distribution of carbon, and nitrate metabolism in apple dwarf rootstock seedlings","type":"article-journal","volume":"11"},"uris":["http://www.mendeley.com/documents/?uuid=4a1d6acc-64c4-38e6-8802-3b83d93afbc1"]}],"mendeley":{"formattedCitation":"(Li et al., 2015; X. Xu et al., 2020)","plainTextFormattedCitation":"(Li et al., 2015; X. Xu et al., 2020)"},"properties":{"noteIndex":0},"schema":"https://github.com/citation-style-language/schema/raw/master/csl-citation.json"}</w:instrText>
      </w:r>
      <w:r w:rsidR="004F0F92" w:rsidRPr="00216965">
        <w:fldChar w:fldCharType="separate"/>
      </w:r>
      <w:r w:rsidR="004F0F92" w:rsidRPr="00216965">
        <w:rPr>
          <w:noProof/>
        </w:rPr>
        <w:t xml:space="preserve">(Li et al., 2015; </w:t>
      </w:r>
      <w:bookmarkStart w:id="309" w:name="_Hlk99663926"/>
      <w:r w:rsidR="004F0F92" w:rsidRPr="00216965">
        <w:rPr>
          <w:noProof/>
        </w:rPr>
        <w:t>X. Xu et al., 2020</w:t>
      </w:r>
      <w:bookmarkEnd w:id="309"/>
      <w:r w:rsidR="004F0F92" w:rsidRPr="00216965">
        <w:rPr>
          <w:noProof/>
        </w:rPr>
        <w:t>)</w:t>
      </w:r>
      <w:r w:rsidR="004F0F92" w:rsidRPr="00216965">
        <w:fldChar w:fldCharType="end"/>
      </w:r>
      <w:r w:rsidRPr="00216965">
        <w:t xml:space="preserve">, while lower values indicate plant stress or damage. The </w:t>
      </w:r>
      <w:r w:rsidRPr="00216965">
        <w:rPr>
          <w:color w:val="000000"/>
        </w:rPr>
        <w:t xml:space="preserve">Fv/Fm results showed that the addition of biochars at 1% and 3% to the Mix-soil, characterized by Fv/Fm values &lt; 0.8, had promoted a protective effect against the toxicity of HMs. No direct correlation was found between Fv/Fm </w:t>
      </w:r>
      <w:r w:rsidRPr="00216965">
        <w:t>and HMs-tissue concentration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12</w:t>
      </w:r>
      <w:r w:rsidRPr="00216965">
        <w:rPr>
          <w:b/>
          <w:bCs/>
        </w:rPr>
        <w:fldChar w:fldCharType="end"/>
      </w:r>
      <w:r w:rsidRPr="00216965">
        <w:t>), although a significant relationship was found between available Pb/Cd and Fv/Fm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t xml:space="preserve">). In part this could be because the concentration of HMs in the roots was not analysed. </w:t>
      </w:r>
    </w:p>
    <w:p w14:paraId="2033A01F" w14:textId="321A8E89" w:rsidR="006B380D" w:rsidRPr="00216965" w:rsidRDefault="006B380D" w:rsidP="008A33DA">
      <w:pPr>
        <w:spacing w:line="360" w:lineRule="auto"/>
        <w:jc w:val="both"/>
      </w:pPr>
      <w:r w:rsidRPr="00216965">
        <w:t xml:space="preserve">This lack of correlation also reflects the complexity of HMs plant uptake. Several factors can affect the uptake mechanism of HMs by plants: root zone, the plant species, bioavailability of the metal, environmental conditions, chemical properties of the contaminant, chelating agent added and properties of the medium </w:t>
      </w:r>
      <w:r w:rsidRPr="00216965">
        <w:fldChar w:fldCharType="begin" w:fldLock="1"/>
      </w:r>
      <w:r w:rsidR="006C06AA" w:rsidRPr="00216965">
        <w:instrText>ADDIN CSL_CITATION {"citationItems":[{"id":"ITEM-1","itemData":{"DOI":"10.1016/j.jtemb.2017.05.007","ISSN":"18783252","abstract":"The interaction between lead, copper, cadmium and zinc in their binary combinations was investigated in Indian mustard seedlings (Brassica juncea L. var. Malopolska). Fourteen-days-old seedlings were treated with Pb(NO3)2, CuSO4, CdCl2, ZnSO4 at 50 μmol of metal ion concentration and at 25 μmol of each metal ion in combinations. Metal combinations were generally more inhibiting in terms of biomass production. This inhibiting effect followed an order: Cu + Cd &gt; Cu + Zn, Cd + Pb &gt; Cu + Pb &gt; Zn + Pb, Cu &gt; Cd &gt; Zn &gt; Zn + Cd &gt; Pb. We observed synergistic and antagonistic effects of metal uptake in binary metal treatments, suggesting metal crosstalk at the plant uptake site. Metal content in plant tissues varied among different combinations. The metal concentrations followed an order of Pb &gt; Cu &gt; Zn &gt; Cd in roots, Zn &gt; Cu &gt; Pb &gt; Cd in the stem and Zn &gt; Cu &gt; Cd &gt; Pb in leaves. Presence of metals altered the distribution of micronutrients (Cu, Zn) in plants: Cu concentration was lowered in roots and leaves and increased in stems; Zn content was increased in plants, with stems having up to 4 or 5 times more Zn than in control plants.","author":[{"dropping-particle":"","family":"Kutrowska","given":"Agnieszka","non-dropping-particle":"","parse-names":false,"suffix":""},{"dropping-particle":"","family":"Małecka","given":"Arleta","non-dropping-particle":"","parse-names":false,"suffix":""},{"dropping-particle":"","family":"Piechalak","given":"Aneta","non-dropping-particle":"","parse-names":false,"suffix":""},{"dropping-particle":"","family":"Masiakowski","given":"Waclaw","non-dropping-particle":"","parse-names":false,"suffix":""},{"dropping-particle":"","family":"Hanć","given":"Anetta","non-dropping-particle":"","parse-names":false,"suffix":""},{"dropping-particle":"","family":"Barałkiewicz","given":"Danuta","non-dropping-particle":"","parse-names":false,"suffix":""},{"dropping-particle":"","family":"Andrzejewska","given":"Barbara","non-dropping-particle":"","parse-names":false,"suffix":""},{"dropping-particle":"","family":"Zbierska","given":"Janina","non-dropping-particle":"","parse-names":false,"suffix":""},{"dropping-particle":"","family":"Tomaszewska","given":"Barbara","non-dropping-particle":"","parse-names":false,"suffix":""}],"container-title":"Journal of Trace Elements in Medicine and Biology","id":"ITEM-1","issued":{"date-parts":[["2017","1","1"]]},"page":"32-39","publisher":"Elsevier GmbH","title":"Effects of binary metal combinations on zinc, copper, cadmium and lead uptake and distribution in Brassica juncea","type":"article-journal","volume":"44"},"uris":["http://www.mendeley.com/documents/?uuid=4dc07f8b-bbeb-3d90-808d-da2123dfc1e4"]}],"mendeley":{"formattedCitation":"(Kutrowska et al., 2017)","plainTextFormattedCitation":"(Kutrowska et al., 2017)","previouslyFormattedCitation":"(Kutrowska et al., 2017)"},"properties":{"noteIndex":0},"schema":"https://github.com/citation-style-language/schema/raw/master/csl-citation.json"}</w:instrText>
      </w:r>
      <w:r w:rsidRPr="00216965">
        <w:fldChar w:fldCharType="separate"/>
      </w:r>
      <w:r w:rsidR="00C83E62" w:rsidRPr="00216965">
        <w:rPr>
          <w:noProof/>
        </w:rPr>
        <w:t>(Kutrowska et al., 2017)</w:t>
      </w:r>
      <w:r w:rsidRPr="00216965">
        <w:fldChar w:fldCharType="end"/>
      </w:r>
      <w:r w:rsidRPr="00216965">
        <w:t>. Overall, the results suggest that fluorescence imaging Fv/Fm is sensitive to changes of HMs concentration in plants and correlates well with other plant performance indicators (absolute growth rates (AGRs) and above-ground biomass)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12</w:t>
      </w:r>
      <w:r w:rsidRPr="00216965">
        <w:rPr>
          <w:b/>
          <w:bCs/>
        </w:rPr>
        <w:fldChar w:fldCharType="end"/>
      </w:r>
      <w:r w:rsidRPr="00216965">
        <w:rPr>
          <w:b/>
          <w:bCs/>
        </w:rPr>
        <w:t xml:space="preserve">, </w:t>
      </w:r>
      <w:r w:rsidRPr="00216965">
        <w:rPr>
          <w:b/>
          <w:bCs/>
        </w:rPr>
        <w:fldChar w:fldCharType="begin"/>
      </w:r>
      <w:r w:rsidRPr="00216965">
        <w:rPr>
          <w:b/>
          <w:bCs/>
        </w:rPr>
        <w:instrText xml:space="preserve"> REF _Ref72331154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rPr>
          <w:b/>
          <w:bCs/>
        </w:rPr>
        <w:fldChar w:fldCharType="end"/>
      </w:r>
      <w:r w:rsidRPr="00216965">
        <w:t xml:space="preserve">). This demonstrates that Fv/Fm can be used as an alternative method for the indirect determination of HM toxicity in plants, rather than the traditional acid digestion which is often dangerous and time consuming. Fv/Fm measurements can provide useful information for monitoring plant response to biochar amendments on HMs-contaminated soils. This method is non-invasive, highly sensitive, rapid, reliable and, in parallel with the detection of HMs in soils, represents a good screening tool </w:t>
      </w:r>
      <w:r w:rsidRPr="00216965">
        <w:fldChar w:fldCharType="begin" w:fldLock="1"/>
      </w:r>
      <w:r w:rsidR="006C06AA" w:rsidRPr="00216965">
        <w:instrText>ADDIN CSL_CITATION {"citationItems":[{"id":"ITEM-1","itemData":{"DOI":"10.1371/journal.pone.0091475","ISSN":"1932-6203","PMID":"24633293","abstract":"Chlorophyll a fluorescence gives information about the plant physiological status due to its coupling to the photosynthetic electron transfer chain and to the further biochemical processes. Environmental stresses, which acts synergistically, disturbs the photosynthesis. The OJIP test, elaborated by Strasser and co-workers, enables comparison of the physiological status of plants grown on polluted vs. control areas. The paper shows that the Chl a measurements are very useful tool in evaluating of heavy metal ions influence on perennial grasses, tested as potential phytoremediators. Among 5 cultivars tested, the highest concentration of Cd and Zn ions, not associated with the yield reduction, was detected in the biomass of tall fescue cv. Rahela. Chl a fluorescence interpreted as double normalized curves pointed out Rahela as the outstanding cultivar under the HM ions stress.","author":[{"dropping-particle":"","family":"Żurek","given":"Grzegorz","non-dropping-particle":"","parse-names":false,"suffix":""},{"dropping-particle":"","family":"Rybka","given":"Krystyna","non-dropping-particle":"","parse-names":false,"suffix":""},{"dropping-particle":"","family":"Pogrzeba","given":"Marta","non-dropping-particle":"","parse-names":false,"suffix":""},{"dropping-particle":"","family":"Krzyżak","given":"Jacek","non-dropping-particle":"","parse-names":false,"suffix":""},{"dropping-particle":"","family":"Prokopiuk","given":"Kamil","non-dropping-particle":"","parse-names":false,"suffix":""}],"container-title":"PloS one","id":"ITEM-1","issue":"3","issued":{"date-parts":[["2014"]]},"page":"e91475","publisher":"Public Library of Science","title":"Chlorophyll a fluorescence in evaluation of the effect of heavy metal soil contamination on perennial grasses.","type":"article-journal","volume":"9"},"uris":["http://www.mendeley.com/documents/?uuid=461562ed-f0b6-3fb6-beff-59b18d0556a1"]}],"mendeley":{"formattedCitation":"(Żurek et al., 2014)","plainTextFormattedCitation":"(Żurek et al., 2014)","previouslyFormattedCitation":"(Żurek et al., 2014)"},"properties":{"noteIndex":0},"schema":"https://github.com/citation-style-language/schema/raw/master/csl-citation.json"}</w:instrText>
      </w:r>
      <w:r w:rsidRPr="00216965">
        <w:fldChar w:fldCharType="separate"/>
      </w:r>
      <w:r w:rsidR="00C83E62" w:rsidRPr="00216965">
        <w:rPr>
          <w:noProof/>
        </w:rPr>
        <w:t>(Żurek et al., 2014)</w:t>
      </w:r>
      <w:r w:rsidRPr="00216965">
        <w:fldChar w:fldCharType="end"/>
      </w:r>
      <w:r w:rsidRPr="00216965">
        <w:t xml:space="preserve">. </w:t>
      </w:r>
    </w:p>
    <w:p w14:paraId="56D89623" w14:textId="13D26A86" w:rsidR="008574C0" w:rsidRPr="00216965" w:rsidRDefault="006B380D" w:rsidP="008A33DA">
      <w:pPr>
        <w:spacing w:line="360" w:lineRule="auto"/>
        <w:jc w:val="both"/>
      </w:pPr>
      <w:r w:rsidRPr="00216965">
        <w:lastRenderedPageBreak/>
        <w:t xml:space="preserve">The increased concentration of base cations released from biochar could explain why Cd concentration in </w:t>
      </w:r>
      <w:r w:rsidRPr="00216965">
        <w:rPr>
          <w:i/>
        </w:rPr>
        <w:t>Arabidopsis thaliana</w:t>
      </w:r>
      <w:r w:rsidRPr="00216965">
        <w:t xml:space="preserve"> grown in soils amended with biochars tended to increase. Previous reports suggest that the presence of some base cations in soils can enhance Cd uptake by plants. </w:t>
      </w:r>
      <w:r w:rsidRPr="00216965">
        <w:fldChar w:fldCharType="begin" w:fldLock="1"/>
      </w:r>
      <w:r w:rsidR="006C06AA" w:rsidRPr="00216965">
        <w:instrText>ADDIN CSL_CITATION {"citationItems":[{"id":"ITEM-1","itemData":{"DOI":"10.1016/S0160-4120(03)00081-3","ISSN":"0160-4120","abstract":"A greenhouse pot experiment was conducted to study the influence of potassium fertilizers in different forms and rates on cadmium (Cd) uptake by two cultivars of spring wheat (Triticum aestivum, L. ): Brookton and Krichauff. Potassium fertilizers were added to soil at four levels: 0, 55, 110 and 166 mg K kg-1 soil as KNO3 (N), KCl (C) or K2SO4 (S). CdCl2 was added to all the treatments at a uniform rate equivalent to 15 mg Cd kg-1 soil. Plant shoot and root dry weights (DW) of both cultivars were reduced significantly by the addition of K-fertilizer in C and S treatments but there were only marginal changes in the N treatments. The Cd concentrations in shoots and whole plants increased significantly ( P &lt;.001) with increasing K addition, from 37.5 to 81.4 mg kg-1 and from 42.9 to 86.8 mg kg-1 for Brookton and Krichauff, respectively. However, no obvious effect was observed in the N treatments, except for the highest K level (K3) where there was a sharp increase in Cd concentration compared to the lower additions. Forms of K-fertilizers significantly influenced the Cd concentrations in plant shoots and roots (P&lt;.001), but there was no significant difference between C and S treatments. This experiment showed that anions Cl- and SO42- increase Cd uptake by plants, which can be interpreted as Cl- and SO42- complexing readily with Cd2+ and thereby increasing the bioavailability of Cd2+ in soils. The effect of potassium itself on plant uptake of Cd was also observed. We suggest that when applying potassium fertilizer to Cd-contaminated soils, the forms and rates should be considered. © 2003 Elsevier Science Ltd. All rights reserved.","author":[{"dropping-particle":"","family":"Zhao","given":"Zhong Qiu","non-dropping-particle":"","parse-names":false,"suffix":""},{"dropping-particle":"","family":"Zhu","given":"Yong Guan","non-dropping-particle":"","parse-names":false,"suffix":""},{"dropping-particle":"","family":"Li","given":"Hui Ying","non-dropping-particle":"","parse-names":false,"suffix":""},{"dropping-particle":"","family":"Smith","given":"Sally E.","non-dropping-particle":"","parse-names":false,"suffix":""},{"dropping-particle":"","family":"Smith","given":"F. Andrew","non-dropping-particle":"","parse-names":false,"suffix":""}],"container-title":"Environment International","id":"ITEM-1","issue":"7","issued":{"date-parts":[["2004","1","1"]]},"page":"973-978","publisher":"Pergamon","title":"Effects of forms and rates of potassium fertilizers on cadmium uptake by two cultivars of spring wheat (Triticum aestivum, L.)","type":"article-journal","volume":"29"},"uris":["http://www.mendeley.com/documents/?uuid=b257bcc2-1cd4-3ef0-b75e-6bbdaa8b3f7f"]}],"mendeley":{"formattedCitation":"(Zhao et al., 2004)","manualFormatting":"Zhao et al. (2004)","plainTextFormattedCitation":"(Zhao et al., 2004)","previouslyFormattedCitation":"(Zhao et al., 2004)"},"properties":{"noteIndex":0},"schema":"https://github.com/citation-style-language/schema/raw/master/csl-citation.json"}</w:instrText>
      </w:r>
      <w:r w:rsidRPr="00216965">
        <w:fldChar w:fldCharType="separate"/>
      </w:r>
      <w:r w:rsidRPr="00216965">
        <w:rPr>
          <w:noProof/>
        </w:rPr>
        <w:t xml:space="preserve">Zhao </w:t>
      </w:r>
      <w:r w:rsidR="009B2252" w:rsidRPr="00216965">
        <w:rPr>
          <w:iCs/>
          <w:noProof/>
        </w:rPr>
        <w:t>et al</w:t>
      </w:r>
      <w:r w:rsidRPr="00216965">
        <w:rPr>
          <w:i/>
          <w:iCs/>
          <w:noProof/>
        </w:rPr>
        <w:t>.</w:t>
      </w:r>
      <w:r w:rsidRPr="00216965">
        <w:rPr>
          <w:noProof/>
        </w:rPr>
        <w:t xml:space="preserve"> (2004)</w:t>
      </w:r>
      <w:r w:rsidRPr="00216965">
        <w:fldChar w:fldCharType="end"/>
      </w:r>
      <w:r w:rsidRPr="00216965">
        <w:t xml:space="preserve"> reported that when</w:t>
      </w:r>
      <w:r w:rsidRPr="00216965">
        <w:rPr>
          <w:rFonts w:ascii="Georgia" w:eastAsia="Georgia" w:hAnsi="Georgia" w:cs="Georgia"/>
        </w:rPr>
        <w:t xml:space="preserve"> </w:t>
      </w:r>
      <w:r w:rsidRPr="00216965">
        <w:t>K</w:t>
      </w:r>
      <w:r w:rsidRPr="00216965">
        <w:rPr>
          <w:vertAlign w:val="superscript"/>
        </w:rPr>
        <w:t>+</w:t>
      </w:r>
      <w:r w:rsidRPr="00216965">
        <w:t xml:space="preserve"> increased from 0 to 55 mg kg</w:t>
      </w:r>
      <w:sdt>
        <w:sdtPr>
          <w:tag w:val="goog_rdk_1"/>
          <w:id w:val="-1993005463"/>
        </w:sdtPr>
        <w:sdtEndPr/>
        <w:sdtContent>
          <w:r w:rsidRPr="00216965">
            <w:rPr>
              <w:rFonts w:ascii="Gungsuh" w:eastAsia="Gungsuh" w:hAnsi="Gungsuh" w:cs="Gungsuh" w:hint="eastAsia"/>
              <w:vertAlign w:val="superscript"/>
            </w:rPr>
            <w:t>−1</w:t>
          </w:r>
        </w:sdtContent>
      </w:sdt>
      <w:r w:rsidRPr="00216965">
        <w:t>, the concentration of Cd in shoots increased by 60–90% respectively, which suggested that K</w:t>
      </w:r>
      <w:r w:rsidRPr="00216965">
        <w:rPr>
          <w:vertAlign w:val="superscript"/>
        </w:rPr>
        <w:t>+</w:t>
      </w:r>
      <w:r w:rsidRPr="00216965">
        <w:t xml:space="preserve"> itself may increase Cd plant uptake. Similarly, </w:t>
      </w:r>
      <w:r w:rsidRPr="00216965">
        <w:fldChar w:fldCharType="begin" w:fldLock="1"/>
      </w:r>
      <w:r w:rsidR="006C06AA" w:rsidRPr="00216965">
        <w:instrText>ADDIN CSL_CITATION {"citationItems":[{"id":"ITEM-1","itemData":{"DOI":"10.2136/SSSAJ2002.2680","ISSN":"1435-0661","abstract":"The accumulation of Cd in edible crops is undesirable because of potential risks to human health. Agronomic efforts to lower Cd in foods will be more effective if we understand the extent and causes of spatial variability of Cd in crops in the field. The primary objective of this study was to characterize the spatial variability of grain Cd and eight soil characteristics in a field of durum wheat Triticum turgidum L. subsp. durum (Desf.) Husn. in northeastern North Dakota. A rectangular area of about 0.5 ha was selected to provide a range in several soil characteristics that are reported to influence Cd uptake by plants. These included chelate-extractable Cd, total soil Cd (Cd,), pH, cation-exchange capacity (CEC), organic C (OC), and soluble Cl, S, and Na. Location data and paired samples of soil and durum grain were collected at 124 sites. Semivariograms showed that the variations of grain Cd and most soil properties were strongly spatially dependent, with range distances that varied from about 30 to 55 m. A spherical model was fitted successfully to variograms for all characteristics. Maps of grain Cd and soil characteristics were generated by interpolating among measured values by block kriging. Visual and statistical comparisons of maps showed that grain Cd was distributed similarly to measures of soil salinity, especially to the logarithm of soil Cl. Locations with somewhat poorly drained soils,,which contained elevated Cl, produced grain with much higher Cd. Our results suggest that knowledge of the spatial distribution of soil characteristics, especially salinity, should be helpful in developing or applying agronomic practices to reduce Cd in durum grain.","author":[{"dropping-particle":"","family":"Wu","given":"J.","non-dropping-particle":"","parse-names":false,"suffix":""},{"dropping-particle":"","family":"Norvell","given":"W. A.","non-dropping-particle":"","parse-names":false,"suffix":""},{"dropping-particle":"","family":"Hopkins","given":"D. G.","non-dropping-particle":"","parse-names":false,"suffix":""},{"dropping-particle":"","family":"Welch","given":"R. M.","non-dropping-particle":"","parse-names":false,"suffix":""}],"container-title":"Soil Science Society of America Journal","id":"ITEM-1","issue":"1","issued":{"date-parts":[["2002","1","1"]]},"page":"268-275","publisher":"John Wiley &amp; Sons, Ltd","title":"Spatial variability of grain cadmium and soil characteristics in a durum wheat field","type":"article-journal","volume":"66"},"uris":["http://www.mendeley.com/documents/?uuid=82aeaac1-3bf0-356a-80a3-cf90510eed80"]}],"mendeley":{"formattedCitation":"(Wu et al., 2002)","manualFormatting":"Wu et al. (2002)","plainTextFormattedCitation":"(Wu et al., 2002)","previouslyFormattedCitation":"(Wu et al., 2002)"},"properties":{"noteIndex":0},"schema":"https://github.com/citation-style-language/schema/raw/master/csl-citation.json"}</w:instrText>
      </w:r>
      <w:r w:rsidRPr="00216965">
        <w:fldChar w:fldCharType="separate"/>
      </w:r>
      <w:r w:rsidRPr="00216965">
        <w:rPr>
          <w:noProof/>
        </w:rPr>
        <w:t xml:space="preserve">Wu </w:t>
      </w:r>
      <w:r w:rsidR="009B2252" w:rsidRPr="00216965">
        <w:rPr>
          <w:iCs/>
          <w:noProof/>
        </w:rPr>
        <w:t>et al</w:t>
      </w:r>
      <w:r w:rsidRPr="00216965">
        <w:rPr>
          <w:noProof/>
        </w:rPr>
        <w:t>. (2002)</w:t>
      </w:r>
      <w:r w:rsidRPr="00216965">
        <w:fldChar w:fldCharType="end"/>
      </w:r>
      <w:r w:rsidRPr="00216965">
        <w:t xml:space="preserve"> demonstrated that Cd concentrations in wheat grains were positively correlated to soil salinity, especially to Na</w:t>
      </w:r>
      <w:r w:rsidRPr="00216965">
        <w:rPr>
          <w:vertAlign w:val="superscript"/>
        </w:rPr>
        <w:t>+</w:t>
      </w:r>
      <w:r w:rsidRPr="00216965">
        <w:t xml:space="preserve"> and Cl</w:t>
      </w:r>
      <w:r w:rsidRPr="00216965">
        <w:rPr>
          <w:vertAlign w:val="superscript"/>
        </w:rPr>
        <w:t>-</w:t>
      </w:r>
      <w:r w:rsidRPr="00216965">
        <w:t xml:space="preserve"> ions. Thus, increased concentrations of K</w:t>
      </w:r>
      <w:r w:rsidRPr="00216965">
        <w:rPr>
          <w:vertAlign w:val="superscript"/>
        </w:rPr>
        <w:t>+</w:t>
      </w:r>
      <w:r w:rsidRPr="00216965">
        <w:t xml:space="preserve"> and Na</w:t>
      </w:r>
      <w:r w:rsidRPr="00216965">
        <w:rPr>
          <w:vertAlign w:val="superscript"/>
        </w:rPr>
        <w:t>+</w:t>
      </w:r>
      <w:r w:rsidRPr="00216965">
        <w:t xml:space="preserve"> released from biochar at high application rates could have enhanced the uptake of Cd by </w:t>
      </w:r>
      <w:r w:rsidRPr="00216965">
        <w:rPr>
          <w:i/>
        </w:rPr>
        <w:t xml:space="preserve">A. thaliana </w:t>
      </w:r>
      <w:r w:rsidRPr="00216965">
        <w:t xml:space="preserve">in the Cd-soil. </w:t>
      </w:r>
    </w:p>
    <w:p w14:paraId="1FB862C7" w14:textId="2A49FE74" w:rsidR="001A73A8" w:rsidRPr="00216965" w:rsidRDefault="006B380D" w:rsidP="008A33DA">
      <w:pPr>
        <w:spacing w:line="360" w:lineRule="auto"/>
        <w:jc w:val="both"/>
      </w:pPr>
      <w:r w:rsidRPr="00216965">
        <w:t>This is consistent with the chlorosis observed in plants grown in Cd-soil (</w:t>
      </w:r>
      <w:r w:rsidRPr="00216965">
        <w:fldChar w:fldCharType="begin"/>
      </w:r>
      <w:r w:rsidRPr="00216965">
        <w:instrText xml:space="preserve"> REF _Ref82644489 \h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noProof/>
        </w:rPr>
        <w:noBreakHyphen/>
        <w:t>2</w:t>
      </w:r>
      <w:r w:rsidRPr="00216965">
        <w:fldChar w:fldCharType="end"/>
      </w:r>
      <w:r w:rsidRPr="00216965">
        <w:t xml:space="preserve">, </w:t>
      </w:r>
      <w:r w:rsidRPr="00216965">
        <w:rPr>
          <w:b/>
          <w:bCs/>
        </w:rPr>
        <w:fldChar w:fldCharType="begin"/>
      </w:r>
      <w:r w:rsidRPr="00216965">
        <w:rPr>
          <w:b/>
          <w:bCs/>
        </w:rPr>
        <w:instrText xml:space="preserve"> REF _Ref82644491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3</w:t>
      </w:r>
      <w:r w:rsidRPr="00216965">
        <w:rPr>
          <w:b/>
          <w:bCs/>
        </w:rPr>
        <w:fldChar w:fldCharType="end"/>
      </w:r>
      <w:r w:rsidRPr="00216965">
        <w:t>) after addition of biochars OSR550, WSP550 at 3% and 5%, which have higher K content (</w:t>
      </w:r>
      <w:r w:rsidR="006B7849" w:rsidRPr="00216965">
        <w:rPr>
          <w:b/>
          <w:bCs/>
        </w:rPr>
        <w:fldChar w:fldCharType="begin"/>
      </w:r>
      <w:r w:rsidR="006B7849" w:rsidRPr="00216965">
        <w:rPr>
          <w:b/>
          <w:bCs/>
        </w:rPr>
        <w:instrText xml:space="preserve"> REF _Ref86412333 \r \h  \* MERGEFORMAT </w:instrText>
      </w:r>
      <w:r w:rsidR="006B7849" w:rsidRPr="00216965">
        <w:rPr>
          <w:b/>
          <w:bCs/>
        </w:rPr>
      </w:r>
      <w:r w:rsidR="006B7849" w:rsidRPr="00216965">
        <w:rPr>
          <w:b/>
          <w:bCs/>
        </w:rPr>
        <w:fldChar w:fldCharType="separate"/>
      </w:r>
      <w:r w:rsidR="006E23EA" w:rsidRPr="00216965">
        <w:rPr>
          <w:b/>
          <w:bCs/>
        </w:rPr>
        <w:t>Chapter 3</w:t>
      </w:r>
      <w:r w:rsidR="006B7849" w:rsidRPr="00216965">
        <w:rPr>
          <w:b/>
          <w:bCs/>
        </w:rPr>
        <w:fldChar w:fldCharType="end"/>
      </w:r>
      <w:r w:rsidR="006B7849" w:rsidRPr="00216965">
        <w:t>,</w:t>
      </w:r>
      <w:r w:rsidR="0087795C" w:rsidRPr="00216965">
        <w:t xml:space="preserve"> </w:t>
      </w:r>
      <w:r w:rsidR="00D3487B" w:rsidRPr="00216965">
        <w:fldChar w:fldCharType="begin"/>
      </w:r>
      <w:r w:rsidR="00D3487B" w:rsidRPr="00216965">
        <w:instrText xml:space="preserve"> REF _Ref86492902 \h </w:instrText>
      </w:r>
      <w:r w:rsidR="00216965" w:rsidRPr="00216965">
        <w:instrText xml:space="preserve"> \* MERGEFORMAT </w:instrText>
      </w:r>
      <w:r w:rsidR="00D3487B" w:rsidRPr="00216965">
        <w:fldChar w:fldCharType="separate"/>
      </w:r>
      <w:r w:rsidR="006E23EA" w:rsidRPr="00216965">
        <w:rPr>
          <w:b/>
        </w:rPr>
        <w:t xml:space="preserve">Table </w:t>
      </w:r>
      <w:r w:rsidR="006E23EA" w:rsidRPr="00216965">
        <w:rPr>
          <w:b/>
          <w:bCs/>
          <w:noProof/>
        </w:rPr>
        <w:t>3</w:t>
      </w:r>
      <w:r w:rsidR="006E23EA" w:rsidRPr="00216965">
        <w:rPr>
          <w:b/>
        </w:rPr>
        <w:noBreakHyphen/>
      </w:r>
      <w:r w:rsidR="006E23EA" w:rsidRPr="00216965">
        <w:rPr>
          <w:b/>
          <w:bCs/>
          <w:noProof/>
        </w:rPr>
        <w:t>1</w:t>
      </w:r>
      <w:r w:rsidR="00D3487B" w:rsidRPr="00216965">
        <w:fldChar w:fldCharType="end"/>
      </w:r>
      <w:r w:rsidRPr="00216965">
        <w:t xml:space="preserve">). It is reported that plants grown in soil containing high levels of Cd show visible symptoms of injury, reflected in terms of chlorosis, growth inhibition, browning of root tips and finally death </w:t>
      </w:r>
      <w:r w:rsidRPr="00216965">
        <w:fldChar w:fldCharType="begin" w:fldLock="1"/>
      </w:r>
      <w:r w:rsidR="006C06AA" w:rsidRPr="00216965">
        <w:instrText>ADDIN CSL_CITATION {"citationItems":[{"id":"ITEM-1","itemData":{"DOI":"10.1007/s10311-010-0297-8","ISBN":"1610-3653","ISSN":"16103653","abstract":"Metal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Letters","id":"ITEM-1","issue":"3","issued":{"date-parts":[["2010"]]},"page":"199-216","title":"Heavy metals, occurrence and toxicity for plants: A review","type":"article-journal","volume":"8"},"uris":["http://www.mendeley.com/documents/?uuid=c3cf0d3a-0f37-4d68-898c-8d5404c4a140"]}],"mendeley":{"formattedCitation":"(Nagajyoti et al., 2010)","plainTextFormattedCitation":"(Nagajyoti et al., 2010)","previouslyFormattedCitation":"(Nagajyoti et al., 2010)"},"properties":{"noteIndex":0},"schema":"https://github.com/citation-style-language/schema/raw/master/csl-citation.json"}</w:instrText>
      </w:r>
      <w:r w:rsidRPr="00216965">
        <w:fldChar w:fldCharType="separate"/>
      </w:r>
      <w:r w:rsidR="001974AA" w:rsidRPr="00216965">
        <w:rPr>
          <w:noProof/>
        </w:rPr>
        <w:t>(Nagajyoti et al., 2010)</w:t>
      </w:r>
      <w:r w:rsidRPr="00216965">
        <w:fldChar w:fldCharType="end"/>
      </w:r>
      <w:r w:rsidRPr="00216965">
        <w:t xml:space="preserve">. This is consistent with the symptoms observed in </w:t>
      </w:r>
      <w:r w:rsidRPr="00216965">
        <w:rPr>
          <w:i/>
        </w:rPr>
        <w:t>Arabidopsis thaliana</w:t>
      </w:r>
      <w:r w:rsidRPr="00216965">
        <w:t xml:space="preserve"> after addition of these biochars to the Cd-soil. </w:t>
      </w:r>
    </w:p>
    <w:p w14:paraId="225568A5" w14:textId="777BF004" w:rsidR="008574C0" w:rsidRPr="00216965" w:rsidRDefault="006B380D" w:rsidP="008A33DA">
      <w:pPr>
        <w:spacing w:line="360" w:lineRule="auto"/>
        <w:jc w:val="both"/>
        <w:rPr>
          <w:color w:val="000000"/>
        </w:rPr>
      </w:pPr>
      <w:r w:rsidRPr="00216965">
        <w:rPr>
          <w:color w:val="000000"/>
        </w:rPr>
        <w:t xml:space="preserve">Also the dry above-ground biomass of </w:t>
      </w:r>
      <w:r w:rsidR="001A73A8" w:rsidRPr="00216965">
        <w:rPr>
          <w:i/>
          <w:iCs/>
        </w:rPr>
        <w:t>Sinapsis alba</w:t>
      </w:r>
      <w:r w:rsidRPr="00216965">
        <w:rPr>
          <w:color w:val="000000"/>
        </w:rPr>
        <w:t xml:space="preserve"> was the lowest in the Cd-spiked soil amended with biochar, which was not observed in the control (no biochar) nor in the Non-spiked soil. Although</w:t>
      </w:r>
      <w:r w:rsidRPr="00216965">
        <w:t xml:space="preserve"> the</w:t>
      </w:r>
      <w:r w:rsidRPr="00216965">
        <w:rPr>
          <w:color w:val="000000"/>
        </w:rPr>
        <w:t xml:space="preserve"> Cd concentration in </w:t>
      </w:r>
      <w:r w:rsidR="001A73A8" w:rsidRPr="00216965">
        <w:rPr>
          <w:i/>
          <w:iCs/>
        </w:rPr>
        <w:t>Sinapsis alba</w:t>
      </w:r>
      <w:r w:rsidR="001A73A8" w:rsidRPr="00216965">
        <w:rPr>
          <w:color w:val="000000"/>
        </w:rPr>
        <w:t xml:space="preserve">  </w:t>
      </w:r>
      <w:r w:rsidRPr="00216965">
        <w:rPr>
          <w:color w:val="000000"/>
        </w:rPr>
        <w:t xml:space="preserve">above-ground tissue was not different </w:t>
      </w:r>
      <w:r w:rsidRPr="00216965">
        <w:t>from</w:t>
      </w:r>
      <w:r w:rsidRPr="00216965">
        <w:rPr>
          <w:color w:val="000000"/>
        </w:rPr>
        <w:t xml:space="preserve"> the control (</w:t>
      </w:r>
      <w:r w:rsidRPr="00216965">
        <w:t>0</w:t>
      </w:r>
      <w:r w:rsidRPr="00216965">
        <w:rPr>
          <w:color w:val="000000"/>
        </w:rPr>
        <w:t xml:space="preserve">% biochar), it is possible that </w:t>
      </w:r>
      <w:r w:rsidRPr="00216965">
        <w:t>metal</w:t>
      </w:r>
      <w:r w:rsidRPr="00216965">
        <w:rPr>
          <w:color w:val="000000"/>
        </w:rPr>
        <w:t xml:space="preserve"> was being concentrated in roots which were not analysed. </w:t>
      </w:r>
      <w:r w:rsidRPr="00216965">
        <w:rPr>
          <w:color w:val="000000"/>
        </w:rPr>
        <w:fldChar w:fldCharType="begin" w:fldLock="1"/>
      </w:r>
      <w:r w:rsidR="00915E9C" w:rsidRPr="00216965">
        <w:rPr>
          <w:color w:val="000000"/>
        </w:rPr>
        <w:instrText>ADDIN CSL_CITATION {"citationItems":[{"id":"ITEM-1","itemData":{"DOI":"10.4067/S0718-58392014000400016","ISSN":"0718-5839","abstract":"Phytoextraction relies on plants with a high capacity to absorb heavy metals and remove them from the soil. The objective of this study was to analyze the potential of sunflower (Helianthus annuus L.) and white mustard (Sinapis alba L.) for phytoextraction of Zn-contaminated soil. Research was based on a strict pot experiment conducted in a greenhouse. Seven treatments were established with increasing Zn concentrations: 0, 25, 50, 100, 200, 400, and 600 mg Zn kg-1air-dry soil. The first tested plant was fodder sunflower. In the following year, white mustard was sown in the same pots. Plants were harvested at the end of the flowering stage. The toxic effect of Zn on sunflower yields occurred at the contamination level of 200 mg Zn kg-1soil. In the second year of the experiment, a significant decrease in mustard biomass took place in response to 400 mg Zn kg-1soil. The contamination level of 600 mg Zn kg-1soil resulted in complete plant death. Plant growth was not inhibited even at high tissue Zn concentrations of 515 mg Zn kg-1sunflower DM and 422 mg Zn kg-1mustard DM. The 2-yr cropping system did not contribute to a significant decrease in soil Zn content. Despite high concentrations of Zn in sunflower and mustard plants, total Zn uptake accounted for only 1% to 8% of the Zn rate introduced into the soil. However, in the long run, the growing of crops could reduce Zn contamination levels in the soil. The relatively high tolerance of sunflower and white mustard for Zn contamination and rapid growth of these species are possible alternatives for phytoextraction and phytostabilization of Zn-contaminated soil.","author":[{"dropping-particle":"","family":"Zalewska","given":"Marta","non-dropping-particle":"","parse-names":false,"suffix":""},{"dropping-particle":"","family":"Nogalska","given":"Anna","non-dropping-particle":"","parse-names":false,"suffix":""}],"container-title":"Chilean journal of agricultural research","id":"ITEM-1","issue":"4","issued":{"date-parts":[["2014","12","1"]]},"page":"485-489","publisher":"Instituto de Investigaciones Agropecuarias, INIA","title":"Phytoextraction potential of sunflower and white mustard plants in zinc-contaminated soil","type":"article-journal","volume":"74"},"uris":["http://www.mendeley.com/documents/?uuid=314cad94-0219-3175-9c44-ba3566776136"]}],"mendeley":{"formattedCitation":"(Zalewska and Nogalska, 2014)","manualFormatting":"Zalewska and Nogalska (2014)","plainTextFormattedCitation":"(Zalewska and Nogalska, 2014)","previouslyFormattedCitation":"(Zalewska and Nogalska, 2014)"},"properties":{"noteIndex":0},"schema":"https://github.com/citation-style-language/schema/raw/master/csl-citation.json"}</w:instrText>
      </w:r>
      <w:r w:rsidRPr="00216965">
        <w:rPr>
          <w:color w:val="000000"/>
        </w:rPr>
        <w:fldChar w:fldCharType="separate"/>
      </w:r>
      <w:r w:rsidRPr="00216965">
        <w:rPr>
          <w:noProof/>
          <w:color w:val="000000"/>
        </w:rPr>
        <w:t>Zalewska and Nogalska (2014)</w:t>
      </w:r>
      <w:r w:rsidRPr="00216965">
        <w:rPr>
          <w:color w:val="000000"/>
        </w:rPr>
        <w:fldChar w:fldCharType="end"/>
      </w:r>
      <w:r w:rsidRPr="00216965">
        <w:rPr>
          <w:color w:val="000000"/>
        </w:rPr>
        <w:t xml:space="preserve"> reported that root fragments of </w:t>
      </w:r>
      <w:r w:rsidR="001A73A8" w:rsidRPr="00216965">
        <w:rPr>
          <w:i/>
          <w:iCs/>
        </w:rPr>
        <w:t>Sinapsis alba</w:t>
      </w:r>
      <w:r w:rsidRPr="00216965">
        <w:rPr>
          <w:color w:val="000000"/>
        </w:rPr>
        <w:t xml:space="preserve"> accumulated higher concentrations of heavy metals than above-ground plant </w:t>
      </w:r>
      <w:r w:rsidRPr="00216965">
        <w:t>tissue</w:t>
      </w:r>
      <w:r w:rsidRPr="00216965">
        <w:rPr>
          <w:color w:val="000000"/>
        </w:rPr>
        <w:t>.</w:t>
      </w:r>
    </w:p>
    <w:p w14:paraId="77927776" w14:textId="68B3B98B" w:rsidR="006B380D" w:rsidRPr="00216965" w:rsidRDefault="006B380D" w:rsidP="008A33DA">
      <w:pPr>
        <w:spacing w:line="360" w:lineRule="auto"/>
        <w:jc w:val="both"/>
        <w:rPr>
          <w:color w:val="000000"/>
        </w:rPr>
      </w:pPr>
      <w:r w:rsidRPr="00216965">
        <w:t>The r</w:t>
      </w:r>
      <w:r w:rsidRPr="00216965">
        <w:rPr>
          <w:color w:val="000000"/>
        </w:rPr>
        <w:t xml:space="preserve">esults from the </w:t>
      </w:r>
      <w:r w:rsidRPr="00216965">
        <w:rPr>
          <w:i/>
          <w:color w:val="000000"/>
        </w:rPr>
        <w:t>Arabidopsis thaliana</w:t>
      </w:r>
      <w:r w:rsidRPr="00216965">
        <w:rPr>
          <w:color w:val="000000"/>
        </w:rPr>
        <w:t xml:space="preserve"> and </w:t>
      </w:r>
      <w:r w:rsidR="001A73A8" w:rsidRPr="00216965">
        <w:rPr>
          <w:i/>
          <w:iCs/>
        </w:rPr>
        <w:t>Sinapsis alba</w:t>
      </w:r>
      <w:r w:rsidRPr="00216965">
        <w:rPr>
          <w:color w:val="000000"/>
        </w:rPr>
        <w:t xml:space="preserve"> incubations suggest that </w:t>
      </w:r>
      <w:r w:rsidR="00F27C1C" w:rsidRPr="00216965">
        <w:rPr>
          <w:color w:val="000000"/>
        </w:rPr>
        <w:t xml:space="preserve">some </w:t>
      </w:r>
      <w:r w:rsidRPr="00216965">
        <w:rPr>
          <w:color w:val="000000"/>
        </w:rPr>
        <w:t>plants from the Brassicaceae family are negatively affected by biochar in Cd-contaminated soil. Although the specific mechanism is not clear, it is possible that excess of K</w:t>
      </w:r>
      <w:r w:rsidRPr="00216965">
        <w:rPr>
          <w:color w:val="000000"/>
          <w:vertAlign w:val="superscript"/>
        </w:rPr>
        <w:t>+</w:t>
      </w:r>
      <w:r w:rsidRPr="00216965">
        <w:rPr>
          <w:color w:val="000000"/>
        </w:rPr>
        <w:t xml:space="preserve"> interferes with transmembrane carriers involved in the uptake of nutritional ions. Many reports suggest that Cd, Pb and Ni enter plant cells via activated Ca</w:t>
      </w:r>
      <w:r w:rsidRPr="00216965">
        <w:rPr>
          <w:color w:val="000000"/>
          <w:vertAlign w:val="superscript"/>
        </w:rPr>
        <w:t>2+</w:t>
      </w:r>
      <w:r w:rsidRPr="00216965">
        <w:rPr>
          <w:color w:val="000000"/>
        </w:rPr>
        <w:t xml:space="preserve"> and/or K</w:t>
      </w:r>
      <w:r w:rsidRPr="00216965">
        <w:rPr>
          <w:color w:val="000000"/>
          <w:vertAlign w:val="superscript"/>
        </w:rPr>
        <w:t>+</w:t>
      </w:r>
      <w:r w:rsidRPr="00216965">
        <w:rPr>
          <w:color w:val="000000"/>
        </w:rPr>
        <w:t xml:space="preserve"> channels </w:t>
      </w:r>
      <w:r w:rsidRPr="00216965">
        <w:rPr>
          <w:rStyle w:val="Emphasis"/>
          <w:rFonts w:eastAsia="Georgia"/>
          <w:i w:val="0"/>
          <w:iCs w:val="0"/>
          <w:color w:val="000000" w:themeColor="text1"/>
        </w:rPr>
        <w:fldChar w:fldCharType="begin" w:fldLock="1"/>
      </w:r>
      <w:r w:rsidR="006C06AA" w:rsidRPr="00216965">
        <w:rPr>
          <w:rStyle w:val="Emphasis"/>
          <w:rFonts w:eastAsia="Georgia"/>
          <w:i w:val="0"/>
          <w:iCs w:val="0"/>
          <w:color w:val="000000" w:themeColor="text1"/>
        </w:rPr>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extraction","type":"article-journal","volume":"111"},"uris":["http://www.mendeley.com/documents/?uuid=3f3115f6-bc94-48bc-bf3f-c1f3b198493d"]},{"id":"ITEM-2","itemData":{"DOI":"10.1016/j.biotechadv.2016.07.003","ISSN":"07349750","abstract":"Heavy metal (HM)-accumulating herbaceous and woody plants are employed for phytoremediation. To develop improved strategies for enhancing phytoremediation efficiency, knowledge of the microstructural, physiological and molecular responses underlying HM-accumulation is required. Here we review the progress in understanding the structural, physiological and molecular mechanisms underlying HM uptake, transport, sequestration and detoxification, as well as the regulation of these processes by signal transduction in response to HM exposure. The significance of genetic engineering for enhancing phytoremediation efficiency is also discussed. In herbaceous plants, HMs are taken up by roots and transported into the root cells via transmembrane carriers for nutritional ions. The HMs absorbed by root cells can be further translocated to the xylem vessels and unloaded into the xylem sap, thereby reaching the aerial parts of plants. HMs can be sequestered in the cell walls, vacuoles and the Golgi apparatuses. Plant roots initially perceive HM stress and trigger the signal transduction, thereby mediating changes at the molecular, physiological, and microstructural level. Signaling molecules such as phytohormones, reactive oxygen species (ROS) and nitric oxide (NO), modulate plant responses to HMs via differentially expressed genes, activation of the antioxidative system and coordinated cross talk among different signaling molecules. A number of genes participated in HM uptake, transport, sequestration and detoxification have been functionally characterized and transformed to target plants for enhancing phytoremediation efficiency. Fast growing woody plants hold an advantage over herbaceous plants for phytoremediation in terms of accumulation of high HM-amounts in their large biomass. Presumably, woody plants accumulate HMs using similar mechanisms as herbaceous counterparts, but the processes of HM accumulation and signal transduction can be more complex in woody plants.","author":[{"dropping-particle":"Bin","family":"Luo","given":"Zhi","non-dropping-particle":"","parse-names":false,"suffix":""},{"dropping-particle":"","family":"He","given":"Jiali","non-dropping-particle":"","parse-names":false,"suffix":""},{"dropping-particle":"","family":"Polle","given":"Andrea","non-dropping-particle":"","parse-names":false,"suffix":""},{"dropping-particle":"","family":"Rennenberg","given":"Heinz","non-dropping-particle":"","parse-names":false,"suffix":""}],"container-title":"Biotechnology Advances","id":"ITEM-2","issue":"6","issued":{"date-parts":[["2016","11","1"]]},"page":"1131-1148","publisher":"Elsevier Inc.","title":"Heavy metal accumulation and signal transduction in herbaceous and woody plants: Paving the way for enhancing phytoremediation efficiency","type":"article-journal","volume":"34"},"uris":["http://www.mendeley.com/documents/?uuid=c23a62b3-128a-3e84-a581-795f46d6d994"]}],"mendeley":{"formattedCitation":"(Amari et al., 2017; Luo et al., 2016)","plainTextFormattedCitation":"(Amari et al., 2017; Luo et al., 2016)","previouslyFormattedCitation":"(Amari et al., 2017; Luo et al., 2016)"},"properties":{"noteIndex":0},"schema":"https://github.com/citation-style-language/schema/raw/master/csl-citation.json"}</w:instrText>
      </w:r>
      <w:r w:rsidRPr="00216965">
        <w:rPr>
          <w:rStyle w:val="Emphasis"/>
          <w:rFonts w:eastAsia="Georgia"/>
          <w:i w:val="0"/>
          <w:iCs w:val="0"/>
          <w:color w:val="000000" w:themeColor="text1"/>
        </w:rPr>
        <w:fldChar w:fldCharType="separate"/>
      </w:r>
      <w:r w:rsidR="001974AA" w:rsidRPr="00216965">
        <w:rPr>
          <w:rStyle w:val="Emphasis"/>
          <w:rFonts w:eastAsia="Georgia"/>
          <w:i w:val="0"/>
          <w:noProof/>
          <w:color w:val="000000" w:themeColor="text1"/>
        </w:rPr>
        <w:t>(Amari et al., 2017; Luo et al., 2016)</w:t>
      </w:r>
      <w:r w:rsidRPr="00216965">
        <w:rPr>
          <w:rStyle w:val="Emphasis"/>
          <w:rFonts w:eastAsia="Georgia"/>
          <w:i w:val="0"/>
          <w:iCs w:val="0"/>
          <w:color w:val="000000" w:themeColor="text1"/>
        </w:rPr>
        <w:fldChar w:fldCharType="end"/>
      </w:r>
      <w:r w:rsidRPr="00216965">
        <w:rPr>
          <w:color w:val="000000"/>
        </w:rPr>
        <w:t>. This could result in the uptake of potentially toxic elements instead of essential nutrients</w:t>
      </w:r>
      <w:r w:rsidRPr="00216965">
        <w:t>, causing</w:t>
      </w:r>
      <w:r w:rsidRPr="00216965">
        <w:rPr>
          <w:color w:val="000000"/>
        </w:rPr>
        <w:t xml:space="preserve"> plant mortality </w:t>
      </w:r>
      <w:r w:rsidRPr="00216965">
        <w:rPr>
          <w:color w:val="000000" w:themeColor="text1"/>
        </w:rPr>
        <w:fldChar w:fldCharType="begin" w:fldLock="1"/>
      </w:r>
      <w:r w:rsidR="006C06AA" w:rsidRPr="00216965">
        <w:rPr>
          <w:color w:val="000000" w:themeColor="text1"/>
        </w:rPr>
        <w:instrText>ADDIN CSL_CITATION {"citationItems":[{"id":"ITEM-1","itemData":{"DOI":"10.1007/s11368-015-1199-y","ISSN":"16147480","abstract":"Purpose: Biochars may enhance the retention capacity of metals in soils, especially in highly weathered tropical soil whose low cation exchange capacity renders heavy metals mobile, and thus be able to leach from soils. We evaluated the effect of sugarcane-straw-derived biochar on sorption and desorption of Cd(II) and Zn(II) in two tropical soils in particular to distinguish primary and secondary mechanisms of metal retention. Material and methods: To test the efficiency of biochar to retain heavy metals, sugarcane-straw-derived biochar was mixed with a clayey Oxisol and an Entisol both from the state of Sao Paulo, Brazil, in batch testing to obtain sorption-desorption isotherms of Cd(II) and Zn(II) and measure the release/displacement of cations (Ca2+ and Mg2+) or precipitation with phosphate during the sorption process. Results and discussion: Biochar increased the sorption (including adsorption and precipitation) of both metals in both soils but that most sorption reactions were reversible under buffer acidic conditions, due to dissolution of precipitates in low pH values (&lt;4.9). Exchange of Cd or Zn with Ca and Mg from the biochar was found to play a minor role on the retention mechanism, whereas surface precipitation (mainly in the Entisol) of the metals (e.g. with phosphate) was likely to be the main sorption mechanism. Conclusions: Application of sugarcane-straw-derived biochar to heavy-metal-contaminated tropical soils seems justified because of its sorptive capacity for Cd and Zn. However, binding reactions on surfaces were reversible, mainly for Cd(II), resulting in the likelihood that repeat applications of biochar would be required to maintain reduced soil solution concentrations of Cd and Zn over time, thus avoiding phytotoxicity and associated environmental risks.","author":[{"dropping-particle":"","family":"Melo","given":"Leônidas C.A.","non-dropping-particle":"","parse-names":false,"suffix":""},{"dropping-particle":"","family":"Puga","given":"Aline P.","non-dropping-particle":"","parse-names":false,"suffix":""},{"dropping-particle":"","family":"Coscione","given":"Aline R.","non-dropping-particle":"","parse-names":false,"suffix":""},{"dropping-particle":"","family":"Beesley","given":"Luke","non-dropping-particle":"","parse-names":false,"suffix":""},{"dropping-particle":"","family":"Abreu","given":"Cleide A.","non-dropping-particle":"","parse-names":false,"suffix":""},{"dropping-particle":"","family":"Camargo","given":"Otávio A.","non-dropping-particle":"","parse-names":false,"suffix":""}],"container-title":"Journal of Soils and Sediments","id":"ITEM-1","issue":"1","issued":{"date-parts":[["2016","1","1"]]},"page":"226-234","publisher":"Springer Verlag","title":"Sorption and desorption of cadmium and zinc in two tropical soils amended with sugarcane-straw-derived biochar","type":"article-journal","volume":"16"},"uris":["http://www.mendeley.com/documents/?uuid=d9260dee-b482-3cbd-85fc-1f74e2aa77af"]}],"mendeley":{"formattedCitation":"(Melo et al., 2016)","plainTextFormattedCitation":"(Melo et al., 2016)","previouslyFormattedCitation":"(Melo et al., 2016)"},"properties":{"noteIndex":0},"schema":"https://github.com/citation-style-language/schema/raw/master/csl-citation.json"}</w:instrText>
      </w:r>
      <w:r w:rsidRPr="00216965">
        <w:rPr>
          <w:color w:val="000000" w:themeColor="text1"/>
        </w:rPr>
        <w:fldChar w:fldCharType="separate"/>
      </w:r>
      <w:r w:rsidR="00C83E62" w:rsidRPr="00216965">
        <w:rPr>
          <w:noProof/>
          <w:color w:val="000000" w:themeColor="text1"/>
        </w:rPr>
        <w:t xml:space="preserve">(Melo et </w:t>
      </w:r>
      <w:r w:rsidR="00C83E62" w:rsidRPr="00216965">
        <w:rPr>
          <w:noProof/>
          <w:color w:val="000000" w:themeColor="text1"/>
        </w:rPr>
        <w:lastRenderedPageBreak/>
        <w:t>al., 2016)</w:t>
      </w:r>
      <w:r w:rsidRPr="00216965">
        <w:rPr>
          <w:color w:val="000000" w:themeColor="text1"/>
        </w:rPr>
        <w:fldChar w:fldCharType="end"/>
      </w:r>
      <w:r w:rsidRPr="00216965">
        <w:rPr>
          <w:color w:val="000000"/>
        </w:rPr>
        <w:t xml:space="preserve">. It is important to highlight that </w:t>
      </w:r>
      <w:r w:rsidRPr="00216965">
        <w:rPr>
          <w:i/>
          <w:color w:val="000000"/>
        </w:rPr>
        <w:t>Arabidopsis thaliana</w:t>
      </w:r>
      <w:r w:rsidRPr="00216965">
        <w:rPr>
          <w:color w:val="000000"/>
        </w:rPr>
        <w:t xml:space="preserve"> (Col) does not originate from a metal-rich soil </w:t>
      </w:r>
      <w:r w:rsidRPr="00216965">
        <w:rPr>
          <w:rStyle w:val="Emphasis"/>
          <w:rFonts w:eastAsia="Georgia"/>
          <w:i w:val="0"/>
          <w:iCs w:val="0"/>
          <w:color w:val="000000" w:themeColor="text1"/>
        </w:rPr>
        <w:fldChar w:fldCharType="begin" w:fldLock="1"/>
      </w:r>
      <w:r w:rsidR="006C06AA" w:rsidRPr="00216965">
        <w:rPr>
          <w:rStyle w:val="Emphasis"/>
          <w:rFonts w:eastAsia="Georgia"/>
          <w:i w:val="0"/>
          <w:iCs w:val="0"/>
          <w:color w:val="000000" w:themeColor="text1"/>
        </w:rPr>
        <w:instrText>ADDIN CSL_CITATION {"citationItems":[{"id":"ITEM-1","itemData":{"DOI":"10.1111/j.1365-313X.2006.02746.x","ISSN":"09607412","abstract":"Zinc ions are required to maintain the biological activity of numerous proteins. However, when mislocalized or accumulated in excess, Zn2+ ions are toxic because of adventitious binding to proteins and displacement of other metal ions, among them Fe2+, from their binding sites. Heterologous expression of a previously uncharacterized Arabidopsis thaliana metal tolerance protein, MTP3, in the zrc1 cot1 mutant of budding yeast restores tolerance to, and cellular accumulation of, zinc and cobalt. An MTP3-GFP fusion protein localizes to the vacuolar membrane when expressed in Arabidopsis. Ectopic over-expression of MTP3 increases Zn accumulation in both roots and rosette leaves of A. thaliana, and enhances Zn tolerance. Exposure of wild-type plants to high but non-toxic concentrations of Zn or Co, or Fe deficiency, strongly induce MTP3 expression specifically in epidermal and cortex cells of the root hair zone. Silencing of MTP3 by RNA interference causes Zn hypersensitivity and enhances Zn accumulation in above-ground organs of soil-grown plants and of seedlings exposed to excess Zn or to Fe deficiency. Our data indicate that, in wild-type A. thaliana, the AtMTP3 protein contributes to basic cellular Zn tolerance and controls Zn partitioning, particularly under conditions of high rates of Zn influx into the root symplasm. © 2006 Blackwell Publishing Ltd.","author":[{"dropping-particle":"","family":"Arrivault","given":"Stéphanie","non-dropping-particle":"","parse-names":false,"suffix":""},{"dropping-particle":"","family":"Senger","given":"Toralf","non-dropping-particle":"","parse-names":false,"suffix":""},{"dropping-particle":"","family":"Krämer","given":"Ute","non-dropping-particle":"","parse-names":false,"suffix":""}],"container-title":"The Plant Journal","id":"ITEM-1","issue":"5","issued":{"date-parts":[["2006","6"]]},"page":"861-879","title":"The Arabidopsis metal tolerance protein AtMTP3 maintains metal homeostasis by mediating Zn exclusion from the shoot under Fe deficiency and Zn oversupply","type":"article-journal","volume":"46"},"uris":["http://www.mendeley.com/documents/?uuid=c5f521a2-5022-3c4d-b0ee-921d811b9c62"]}],"mendeley":{"formattedCitation":"(Arrivault et al., 2006)","plainTextFormattedCitation":"(Arrivault et al., 2006)","previouslyFormattedCitation":"(Arrivault et al., 2006)"},"properties":{"noteIndex":0},"schema":"https://github.com/citation-style-language/schema/raw/master/csl-citation.json"}</w:instrText>
      </w:r>
      <w:r w:rsidRPr="00216965">
        <w:rPr>
          <w:rStyle w:val="Emphasis"/>
          <w:rFonts w:eastAsia="Georgia"/>
          <w:i w:val="0"/>
          <w:iCs w:val="0"/>
          <w:color w:val="000000" w:themeColor="text1"/>
        </w:rPr>
        <w:fldChar w:fldCharType="separate"/>
      </w:r>
      <w:r w:rsidR="001974AA" w:rsidRPr="00216965">
        <w:rPr>
          <w:rStyle w:val="Emphasis"/>
          <w:rFonts w:eastAsia="Georgia"/>
          <w:i w:val="0"/>
          <w:noProof/>
          <w:color w:val="000000" w:themeColor="text1"/>
        </w:rPr>
        <w:t>(Arrivault et al., 2006)</w:t>
      </w:r>
      <w:r w:rsidRPr="00216965">
        <w:rPr>
          <w:rStyle w:val="Emphasis"/>
          <w:rFonts w:eastAsia="Georgia"/>
          <w:i w:val="0"/>
          <w:iCs w:val="0"/>
          <w:color w:val="000000" w:themeColor="text1"/>
        </w:rPr>
        <w:fldChar w:fldCharType="end"/>
      </w:r>
      <w:r w:rsidRPr="00216965">
        <w:rPr>
          <w:color w:val="000000"/>
        </w:rPr>
        <w:t xml:space="preserve"> and has been reported to be a non-accumulator </w:t>
      </w:r>
      <w:r w:rsidRPr="00216965">
        <w:rPr>
          <w:rStyle w:val="Emphasis"/>
          <w:rFonts w:eastAsia="Georgia"/>
          <w:i w:val="0"/>
          <w:iCs w:val="0"/>
          <w:color w:val="000000" w:themeColor="text1"/>
        </w:rPr>
        <w:fldChar w:fldCharType="begin" w:fldLock="1"/>
      </w:r>
      <w:r w:rsidR="006C06AA" w:rsidRPr="00216965">
        <w:rPr>
          <w:rStyle w:val="Emphasis"/>
          <w:rFonts w:eastAsia="Georgia"/>
          <w:i w:val="0"/>
          <w:iCs w:val="0"/>
          <w:color w:val="000000" w:themeColor="text1"/>
        </w:rPr>
        <w:instrText>ADDIN CSL_CITATION {"citationItems":[{"id":"ITEM-1","itemData":{"DOI":"10.1016/j.biotechadv.2016.07.003","ISSN":"07349750","abstract":"Heavy metal (HM)-accumulating herbaceous and woody plants are employed for phytoremediation. To develop improved strategies for enhancing phytoremediation efficiency, knowledge of the microstructural, physiological and molecular responses underlying HM-accumulation is required. Here we review the progress in understanding the structural, physiological and molecular mechanisms underlying HM uptake, transport, sequestration and detoxification, as well as the regulation of these processes by signal transduction in response to HM exposure. The significance of genetic engineering for enhancing phytoremediation efficiency is also discussed. In herbaceous plants, HMs are taken up by roots and transported into the root cells via transmembrane carriers for nutritional ions. The HMs absorbed by root cells can be further translocated to the xylem vessels and unloaded into the xylem sap, thereby reaching the aerial parts of plants. HMs can be sequestered in the cell walls, vacuoles and the Golgi apparatuses. Plant roots initially perceive HM stress and trigger the signal transduction, thereby mediating changes at the molecular, physiological, and microstructural level. Signaling molecules such as phytohormones, reactive oxygen species (ROS) and nitric oxide (NO), modulate plant responses to HMs via differentially expressed genes, activation of the antioxidative system and coordinated cross talk among different signaling molecules. A number of genes participated in HM uptake, transport, sequestration and detoxification have been functionally characterized and transformed to target plants for enhancing phytoremediation efficiency. Fast growing woody plants hold an advantage over herbaceous plants for phytoremediation in terms of accumulation of high HM-amounts in their large biomass. Presumably, woody plants accumulate HMs using similar mechanisms as herbaceous counterparts, but the processes of HM accumulation and signal transduction can be more complex in woody plants.","author":[{"dropping-particle":"Bin","family":"Luo","given":"Zhi","non-dropping-particle":"","parse-names":false,"suffix":""},{"dropping-particle":"","family":"He","given":"Jiali","non-dropping-particle":"","parse-names":false,"suffix":""},{"dropping-particle":"","family":"Polle","given":"Andrea","non-dropping-particle":"","parse-names":false,"suffix":""},{"dropping-particle":"","family":"Rennenberg","given":"Heinz","non-dropping-particle":"","parse-names":false,"suffix":""}],"container-title":"Biotechnology Advances","id":"ITEM-1","issue":"6","issued":{"date-parts":[["2016","11","1"]]},"page":"1131-1148","publisher":"Elsevier Inc.","title":"Heavy metal accumulation and signal transduction in herbaceous and woody plants: Paving the way for enhancing phytoremediation efficiency","type":"article-journal","volume":"34"},"uris":["http://www.mendeley.com/documents/?uuid=c23a62b3-128a-3e84-a581-795f46d6d994"]}],"mendeley":{"formattedCitation":"(Luo et al., 2016)","plainTextFormattedCitation":"(Luo et al., 2016)","previouslyFormattedCitation":"(Luo et al., 2016)"},"properties":{"noteIndex":0},"schema":"https://github.com/citation-style-language/schema/raw/master/csl-citation.json"}</w:instrText>
      </w:r>
      <w:r w:rsidRPr="00216965">
        <w:rPr>
          <w:rStyle w:val="Emphasis"/>
          <w:rFonts w:eastAsia="Georgia"/>
          <w:i w:val="0"/>
          <w:iCs w:val="0"/>
          <w:color w:val="000000" w:themeColor="text1"/>
        </w:rPr>
        <w:fldChar w:fldCharType="separate"/>
      </w:r>
      <w:r w:rsidR="00C83E62" w:rsidRPr="00216965">
        <w:rPr>
          <w:rStyle w:val="Emphasis"/>
          <w:rFonts w:eastAsia="Georgia"/>
          <w:i w:val="0"/>
          <w:noProof/>
          <w:color w:val="000000" w:themeColor="text1"/>
        </w:rPr>
        <w:t>(Luo et al., 2016)</w:t>
      </w:r>
      <w:r w:rsidRPr="00216965">
        <w:rPr>
          <w:rStyle w:val="Emphasis"/>
          <w:rFonts w:eastAsia="Georgia"/>
          <w:i w:val="0"/>
          <w:iCs w:val="0"/>
          <w:color w:val="000000" w:themeColor="text1"/>
        </w:rPr>
        <w:fldChar w:fldCharType="end"/>
      </w:r>
      <w:r w:rsidRPr="00216965">
        <w:rPr>
          <w:color w:val="000000"/>
        </w:rPr>
        <w:t>.</w:t>
      </w:r>
      <w:r w:rsidRPr="00216965">
        <w:rPr>
          <w:i/>
          <w:color w:val="000000"/>
        </w:rPr>
        <w:t xml:space="preserve"> </w:t>
      </w:r>
    </w:p>
    <w:p w14:paraId="48FDDE88" w14:textId="77777777" w:rsidR="006B380D" w:rsidRPr="00216965" w:rsidRDefault="006B380D" w:rsidP="008A33DA">
      <w:pPr>
        <w:pStyle w:val="Heading3"/>
      </w:pPr>
      <w:bookmarkStart w:id="310" w:name="_Toc86504679"/>
      <w:r w:rsidRPr="00216965">
        <w:t>Plant response to biochar amendments</w:t>
      </w:r>
      <w:bookmarkEnd w:id="310"/>
    </w:p>
    <w:p w14:paraId="259C834A" w14:textId="77777777" w:rsidR="008574C0" w:rsidRPr="00216965" w:rsidRDefault="006B380D" w:rsidP="008A33DA">
      <w:pPr>
        <w:spacing w:line="360" w:lineRule="auto"/>
        <w:jc w:val="both"/>
      </w:pPr>
      <w:r w:rsidRPr="00216965">
        <w:t xml:space="preserve">Plant response to biochar amendments varied depending on plant species. The contrast between enhanced plant biomass observed at 1% biochar dosage and the growth inhibition observed at 3% and 5% dosage observed with </w:t>
      </w:r>
      <w:r w:rsidRPr="00216965">
        <w:rPr>
          <w:i/>
        </w:rPr>
        <w:t>Arabidopsis thaliana</w:t>
      </w:r>
      <w:r w:rsidRPr="00216965">
        <w:t xml:space="preserve">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rPr>
          <w:b/>
        </w:rPr>
        <w:t xml:space="preserve">) </w:t>
      </w:r>
      <w:r w:rsidRPr="00216965">
        <w:t>is associated with an increased soil pH at the higher rate of biochar application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12</w:t>
      </w:r>
      <w:r w:rsidRPr="00216965">
        <w:rPr>
          <w:b/>
          <w:bCs/>
        </w:rPr>
        <w:fldChar w:fldCharType="end"/>
      </w:r>
      <w:r w:rsidRPr="00216965">
        <w:t>), but is most likely due to the increased K</w:t>
      </w:r>
      <w:r w:rsidRPr="00216965">
        <w:rPr>
          <w:vertAlign w:val="superscript"/>
        </w:rPr>
        <w:t>+</w:t>
      </w:r>
      <w:r w:rsidRPr="00216965">
        <w:t xml:space="preserve"> and Na</w:t>
      </w:r>
      <w:r w:rsidRPr="00216965">
        <w:rPr>
          <w:vertAlign w:val="superscript"/>
        </w:rPr>
        <w:t>+</w:t>
      </w:r>
      <w:r w:rsidRPr="00216965">
        <w:t xml:space="preserve"> content released from biochar. Similarly, </w:t>
      </w:r>
      <w:r w:rsidR="001A73A8" w:rsidRPr="00216965">
        <w:rPr>
          <w:i/>
          <w:iCs/>
        </w:rPr>
        <w:t>Sinapsis alba</w:t>
      </w:r>
      <w:r w:rsidRPr="00216965">
        <w:t xml:space="preserve"> was negatively affected by the addition of WSP550 even in the un-contaminated soil (</w:t>
      </w:r>
      <w:r w:rsidRPr="00216965">
        <w:rPr>
          <w:b/>
          <w:bCs/>
        </w:rPr>
        <w:fldChar w:fldCharType="begin"/>
      </w:r>
      <w:r w:rsidRPr="00216965">
        <w:rPr>
          <w:b/>
          <w:bCs/>
        </w:rPr>
        <w:instrText xml:space="preserve"> REF _Ref85488109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15</w:t>
      </w:r>
      <w:r w:rsidRPr="00216965">
        <w:rPr>
          <w:b/>
          <w:bCs/>
        </w:rPr>
        <w:fldChar w:fldCharType="end"/>
      </w:r>
      <w:r w:rsidRPr="00216965">
        <w:t xml:space="preserve">), demonstrating that the sensitivity of this species is not associated with HM toxicity but to biochar addition exclusively. </w:t>
      </w:r>
    </w:p>
    <w:p w14:paraId="4E4EDA34" w14:textId="419C5603" w:rsidR="006B380D" w:rsidRPr="00216965" w:rsidRDefault="006B380D" w:rsidP="008A33DA">
      <w:pPr>
        <w:spacing w:line="360" w:lineRule="auto"/>
        <w:jc w:val="both"/>
      </w:pPr>
      <w:r w:rsidRPr="00216965">
        <w:t>The correlation analysis suggests that it is not biochar pH directly that inhibits plant growth at 3% and 5% addition, but the chemical species (Na</w:t>
      </w:r>
      <w:r w:rsidRPr="00216965">
        <w:rPr>
          <w:vertAlign w:val="superscript"/>
        </w:rPr>
        <w:t>+</w:t>
      </w:r>
      <w:r w:rsidRPr="00216965">
        <w:t xml:space="preserve"> and K</w:t>
      </w:r>
      <w:r w:rsidRPr="00216965">
        <w:rPr>
          <w:vertAlign w:val="superscript"/>
        </w:rPr>
        <w:t>+</w:t>
      </w:r>
      <w:r w:rsidRPr="00216965">
        <w:t>) within the biochar (</w:t>
      </w:r>
      <w:r w:rsidRPr="00216965">
        <w:rPr>
          <w:b/>
          <w:bCs/>
        </w:rPr>
        <w:fldChar w:fldCharType="begin"/>
      </w:r>
      <w:r w:rsidRPr="00216965">
        <w:rPr>
          <w:b/>
          <w:bCs/>
        </w:rPr>
        <w:instrText xml:space="preserve"> REF _Ref82648225 \h  \* MERGEFORMAT </w:instrText>
      </w:r>
      <w:r w:rsidRPr="00216965">
        <w:rPr>
          <w:b/>
          <w:bCs/>
        </w:rPr>
      </w:r>
      <w:r w:rsidRPr="00216965">
        <w:rPr>
          <w:b/>
          <w:bCs/>
        </w:rPr>
        <w:fldChar w:fldCharType="separate"/>
      </w:r>
      <w:r w:rsidR="006E23EA" w:rsidRPr="00216965">
        <w:rPr>
          <w:b/>
          <w:bCs/>
          <w:sz w:val="22"/>
        </w:rPr>
        <w:t xml:space="preserve">Fig. </w:t>
      </w:r>
      <w:r w:rsidR="006E23EA" w:rsidRPr="00216965">
        <w:rPr>
          <w:b/>
          <w:bCs/>
          <w:noProof/>
          <w:sz w:val="22"/>
        </w:rPr>
        <w:t>4</w:t>
      </w:r>
      <w:r w:rsidR="006E23EA" w:rsidRPr="00216965">
        <w:rPr>
          <w:b/>
          <w:bCs/>
          <w:noProof/>
          <w:sz w:val="22"/>
        </w:rPr>
        <w:noBreakHyphen/>
        <w:t>12</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 These monovalent cations increase with biochar application rate, and simultaneously biochar addition increases the soil pH which negatively affects the bioavailability of Ca</w:t>
      </w:r>
      <w:r w:rsidRPr="00216965">
        <w:rPr>
          <w:vertAlign w:val="superscript"/>
        </w:rPr>
        <w:t>2+</w:t>
      </w:r>
      <w:r w:rsidRPr="00216965">
        <w:t>, Mn</w:t>
      </w:r>
      <w:r w:rsidRPr="00216965">
        <w:rPr>
          <w:vertAlign w:val="superscript"/>
        </w:rPr>
        <w:t>2+</w:t>
      </w:r>
      <w:r w:rsidRPr="00216965">
        <w:t xml:space="preserve"> and Mg</w:t>
      </w:r>
      <w:r w:rsidRPr="00216965">
        <w:rPr>
          <w:vertAlign w:val="superscript"/>
        </w:rPr>
        <w:t>2+</w:t>
      </w:r>
      <w:r w:rsidRPr="00216965">
        <w:t xml:space="preserve">. These conditions may have contributed to the detrimental effects observed on the </w:t>
      </w:r>
      <w:r w:rsidRPr="00216965">
        <w:rPr>
          <w:i/>
        </w:rPr>
        <w:t>Arabidopsis thaliana</w:t>
      </w:r>
      <w:r w:rsidRPr="00216965">
        <w:t xml:space="preserve"> and </w:t>
      </w:r>
      <w:r w:rsidR="001A73A8" w:rsidRPr="00216965">
        <w:rPr>
          <w:i/>
          <w:iCs/>
        </w:rPr>
        <w:t>Sinapsis alba</w:t>
      </w:r>
      <w:r w:rsidRPr="00216965">
        <w:t xml:space="preserve"> plants, after addition of some biochars at 3% and 5%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rPr>
          <w:b/>
          <w:bCs/>
        </w:rPr>
        <w:t xml:space="preserve">, </w:t>
      </w:r>
      <w:r w:rsidRPr="00216965">
        <w:rPr>
          <w:b/>
          <w:bCs/>
        </w:rPr>
        <w:fldChar w:fldCharType="begin"/>
      </w:r>
      <w:r w:rsidRPr="00216965">
        <w:rPr>
          <w:b/>
          <w:bCs/>
        </w:rPr>
        <w:instrText xml:space="preserve"> REF _Ref85488109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15</w:t>
      </w:r>
      <w:r w:rsidRPr="00216965">
        <w:rPr>
          <w:b/>
          <w:bCs/>
        </w:rPr>
        <w:fldChar w:fldCharType="end"/>
      </w:r>
      <w:r w:rsidRPr="00216965">
        <w:t xml:space="preserve">), hence suggesting that </w:t>
      </w:r>
      <w:r w:rsidR="00EA7F29" w:rsidRPr="00216965">
        <w:t xml:space="preserve">some </w:t>
      </w:r>
      <w:r w:rsidRPr="00216965">
        <w:t>plants from the Brassicaceae family are more sensitive to biochar addition.</w:t>
      </w:r>
    </w:p>
    <w:p w14:paraId="4215CBB7" w14:textId="3CDE1B05" w:rsidR="006B380D" w:rsidRPr="00216965" w:rsidRDefault="006B380D" w:rsidP="008A33DA">
      <w:pPr>
        <w:spacing w:line="360" w:lineRule="auto"/>
        <w:jc w:val="both"/>
      </w:pPr>
      <w:r w:rsidRPr="00216965">
        <w:t xml:space="preserve">The results are in accordance with that of </w:t>
      </w:r>
      <w:r w:rsidRPr="00216965">
        <w:fldChar w:fldCharType="begin" w:fldLock="1"/>
      </w:r>
      <w:r w:rsidR="006C06AA" w:rsidRPr="00216965">
        <w:instrText>ADDIN CSL_CITATION {"citationItems":[{"id":"ITEM-1","itemData":{"DOI":"10.1007/s12517-020-05376-w","ISSN":"18667538","abstract":"Metal-contaminated soils are considered a global concern due to their adverse effects on ecosystem vitality. This study was conducted to assess the efficiency of garden waste biochar (GB), as a modern remediation tool of soils contaminated with heavy metals (HMs), compared with the other Paulownia biochar (PB) and bamboo biochar (BB), on the growth of Brassica juncea (L.). The experiments and analyses were carried out at the Institute of Agricultural Resources and Environment, Guangdong Academy of Agricultural Sciences (Guangzhou, China), during the year 2018. The studied contaminated soil sample was amended with 0, 2%, 4%, and 6% (w/w) of PB, BB, GB400, and GB600 biochar. The experiment was designed in a completely randomized block design with 3 replications for each treatment. Garden waste biochar significantly duplicated the soil organic matter and EC 1.43−2.21 and 1.33−1.51 times, respectively, enhanced soil pH, and improved plant growth. It was more efficient to improve soil properties than PB and BB. DTPA-extractable metals showed the highest reduction at 6% of GB400, which was 29.56, 46.04, and 59.98% for Pb, Cd, and Cu, respectively, while it was 48.29% for Zn at GB600 over the control. Moreover, GB treatments increased the nitrogen (N) and phosphorus (P) contents of the plant shoots. Besides, HM contents of soil and plant tissues were significantly reduced after biochar applications and the highest reduction was recorded using 6% of GB. The results obviously pointed out that the metal transfer coefficient (TC) of shoots was decreased compared with the control after biochar applications, and GB showed the optimum response in this regard. The huge amounts of garden waste, after transforming them to biochar (GB) which has been considered more effective in safe crop production, can be used to reduce the availability of toxic metals in the soil and keep them under safe limits, especially with large-scale vegetable crops in China. It will clean the environment and improve resource sustainability. Therefore, GB is recommended to be used in soil HM remediation on a large scale in polluted areas.","author":[{"dropping-particle":"","family":"Awad","given":"Mahrous","non-dropping-particle":"","parse-names":false,"suffix":""},{"dropping-particle":"","family":"Moustafa-Farag","given":"Mohamed","non-dropping-particle":"","parse-names":false,"suffix":""},{"dropping-particle":"","family":"Wei","given":"Lan","non-dropping-particle":"","parse-names":false,"suffix":""},{"dropping-particle":"","family":"Huang","given":"Qing","non-dropping-particle":"","parse-names":false,"suffix":""},{"dropping-particle":"","family":"Liu","given":"Zhongzhen","non-dropping-particle":"","parse-names":false,"suffix":""}],"container-title":"Arabian Journal of Geosciences","id":"ITEM-1","issue":"12","issued":{"date-parts":[["2020","6","1"]]},"page":"1-12","publisher":"Springer","title":"Effect of garden waste biochar on the bioavailability of heavy metals and growth of Brassica juncea (L.) in a multi-contaminated soil","type":"article-journal","volume":"13"},"uris":["http://www.mendeley.com/documents/?uuid=5557bcf8-d2c7-32cb-b69b-d99d85eb099a"]}],"mendeley":{"formattedCitation":"(Awad et al., 2020)","manualFormatting":"Awad et al. (2020)","plainTextFormattedCitation":"(Awad et al., 2020)","previouslyFormattedCitation":"(Awad et al., 2020)"},"properties":{"noteIndex":0},"schema":"https://github.com/citation-style-language/schema/raw/master/csl-citation.json"}</w:instrText>
      </w:r>
      <w:r w:rsidRPr="00216965">
        <w:fldChar w:fldCharType="separate"/>
      </w:r>
      <w:r w:rsidRPr="00216965">
        <w:rPr>
          <w:noProof/>
        </w:rPr>
        <w:t xml:space="preserve">Awad </w:t>
      </w:r>
      <w:r w:rsidR="009B2252" w:rsidRPr="00216965">
        <w:rPr>
          <w:iCs/>
          <w:noProof/>
        </w:rPr>
        <w:t>et al</w:t>
      </w:r>
      <w:r w:rsidRPr="00216965">
        <w:rPr>
          <w:noProof/>
        </w:rPr>
        <w:t>. (2020)</w:t>
      </w:r>
      <w:r w:rsidRPr="00216965">
        <w:fldChar w:fldCharType="end"/>
      </w:r>
      <w:r w:rsidRPr="00216965">
        <w:t xml:space="preserve">, who reported that dry biomass of </w:t>
      </w:r>
      <w:r w:rsidRPr="00216965">
        <w:rPr>
          <w:i/>
        </w:rPr>
        <w:t>Brassica juncea</w:t>
      </w:r>
      <w:r w:rsidRPr="00216965">
        <w:t xml:space="preserve"> plants were significantly boosted by garden waste biochar at applications of 2% and 4% (</w:t>
      </w:r>
      <w:r w:rsidRPr="00216965">
        <w:rPr>
          <w:i/>
        </w:rPr>
        <w:t>w/w</w:t>
      </w:r>
      <w:r w:rsidRPr="00216965">
        <w:t>), while a decline was observed at 6% (</w:t>
      </w:r>
      <w:r w:rsidRPr="00216965">
        <w:rPr>
          <w:i/>
        </w:rPr>
        <w:t>w/w</w:t>
      </w:r>
      <w:r w:rsidRPr="00216965">
        <w:t xml:space="preserve">), despite reductions in extractable Pb, Cd and Zn. </w:t>
      </w:r>
      <w:r w:rsidRPr="00216965">
        <w:fldChar w:fldCharType="begin" w:fldLock="1"/>
      </w:r>
      <w:r w:rsidR="006C06AA" w:rsidRPr="00216965">
        <w:instrText>ADDIN CSL_CITATION {"citationItems":[{"id":"ITEM-1","itemData":{"DOI":"10.1016/J.SCITOTENV.2016.06.129","ISSN":"0048-9697","abstract":"In this study, 19 biochars from marginal biomass, representing all major biomass groups (woody materials, grass, an aquatic plant, anthropogenic wastes) were investigated regarding their content of available potentially toxic elements (PTEs) and nutrients (determined by NH4NO3-extractions) and their effects on cress (Lepidium sativum) seedling growth. The objective was to assess the potential and actual effects of biochar with increased PTE content on plant growth in the context of use in soil amendments and growing media. It showed that the percentage of available PTEs was highest for biochars produced at the highest treatment temperature (HTT) of 750°C. On average, however, for all 19 biochars, the percentage availability of Cu, Cr, Ni and Zn (&lt;1.5% for all) was similar to the percentage availability reported in the literature for the same elements in soils at similar pH values which is a highly important finding. Most biochars exceeded German soil threshold values for NH4NO3-extractable PTEs, such as Zn (by up to 25-fold), As and Cd. Despite this, cress seedling growth tests with 5% biochar in sand did not show any correlations between inhibitory effects (observed in 5 of the 19 biochars) and the available PTE concentrations. Instead, the available K concentration and biochar pH were highly significantly, negatively correlated with seedling growth (K: p&lt;0.001, pH: p=0.004). K had the highest available concentration of all elements and the highest percentage availability (47.7±19.7% of the total K was available). Consequently, available K contributed most to the osmotic pressure and high pH which negatively affected the seedlings. Although a potential risk if some of these marginal biomass-derived biochar were applied at high concentrations, e.g. 5% (&gt;100tha−1), when applied at agriculturally realistic application rates (1–10tha−1), the resulting smaller increases in pH and available K concentration may actually be beneficial for plant growth.","author":[{"dropping-particle":"","family":"Buss","given":"Wolfram","non-dropping-particle":"","parse-names":false,"suffix":""},{"dropping-particle":"","family":"Graham","given":"Margaret C.","non-dropping-particle":"","parse-names":false,"suffix":""},{"dropping-particle":"","family":"Shepherd","given":"Jessica G.","non-dropping-particle":"","parse-names":false,"suffix":""},{"dropping-particle":"","family":"Mašek","given":"Ondřej","non-dropping-particle":"","parse-names":false,"suffix":""}],"container-title":"Science of The Total Environment","id":"ITEM-1","issued":{"date-parts":[["2016","11","1"]]},"page":"496-506","publisher":"Elsevier","title":"Risks and benefits of marginal biomass-derived biochars for plant growth","type":"article-journal","volume":"569-570"},"uris":["http://www.mendeley.com/documents/?uuid=c9f940e9-16f0-3bdc-b8ff-7723791a7c70"]}],"mendeley":{"formattedCitation":"(Buss et al., 2016)","manualFormatting":"Buss et al. (2016)","plainTextFormattedCitation":"(Buss et al., 2016)","previouslyFormattedCitation":"(Buss et al., 2016)"},"properties":{"noteIndex":0},"schema":"https://github.com/citation-style-language/schema/raw/master/csl-citation.json"}</w:instrText>
      </w:r>
      <w:r w:rsidRPr="00216965">
        <w:fldChar w:fldCharType="separate"/>
      </w:r>
      <w:r w:rsidRPr="00216965">
        <w:rPr>
          <w:noProof/>
        </w:rPr>
        <w:t>Buss et al. (2016)</w:t>
      </w:r>
      <w:r w:rsidRPr="00216965">
        <w:fldChar w:fldCharType="end"/>
      </w:r>
      <w:r w:rsidRPr="00216965">
        <w:t xml:space="preserve"> reported that elevated biochar pH caused growth suppression of </w:t>
      </w:r>
      <w:r w:rsidRPr="00216965">
        <w:rPr>
          <w:i/>
        </w:rPr>
        <w:t>Lepidium sativum</w:t>
      </w:r>
      <w:r w:rsidRPr="00216965">
        <w:t xml:space="preserve"> seeds in germination tests in a 5% (</w:t>
      </w:r>
      <w:r w:rsidRPr="00216965">
        <w:rPr>
          <w:i/>
        </w:rPr>
        <w:t>w/w</w:t>
      </w:r>
      <w:r w:rsidRPr="00216965">
        <w:t xml:space="preserve">) biochar-sand mixture. They attributed the high pH of the biochars to K salts </w:t>
      </w:r>
      <w:r w:rsidRPr="00216965">
        <w:fldChar w:fldCharType="begin" w:fldLock="1"/>
      </w:r>
      <w:r w:rsidR="006C06AA" w:rsidRPr="00216965">
        <w:instrText>ADDIN CSL_CITATION {"citationItems":[{"id":"ITEM-1","itemData":{"DOI":"10.1016/J.SCITOTENV.2016.06.129","ISSN":"0048-9697","abstract":"In this study, 19 biochars from marginal biomass, representing all major biomass groups (woody materials, grass, an aquatic plant, anthropogenic wastes) were investigated regarding their content of available potentially toxic elements (PTEs) and nutrients (determined by NH4NO3-extractions) and their effects on cress (Lepidium sativum) seedling growth. The objective was to assess the potential and actual effects of biochar with increased PTE content on plant growth in the context of use in soil amendments and growing media. It showed that the percentage of available PTEs was highest for biochars produced at the highest treatment temperature (HTT) of 750°C. On average, however, for all 19 biochars, the percentage availability of Cu, Cr, Ni and Zn (&lt;1.5% for all) was similar to the percentage availability reported in the literature for the same elements in soils at similar pH values which is a highly important finding. Most biochars exceeded German soil threshold values for NH4NO3-extractable PTEs, such as Zn (by up to 25-fold), As and Cd. Despite this, cress seedling growth tests with 5% biochar in sand did not show any correlations between inhibitory effects (observed in 5 of the 19 biochars) and the available PTE concentrations. Instead, the available K concentration and biochar pH were highly significantly, negatively correlated with seedling growth (K: p&lt;0.001, pH: p=0.004). K had the highest available concentration of all elements and the highest percentage availability (47.7±19.7% of the total K was available). Consequently, available K contributed most to the osmotic pressure and high pH which negatively affected the seedlings. Although a potential risk if some of these marginal biomass-derived biochar were applied at high concentrations, e.g. 5% (&gt;100tha−1), when applied at agriculturally realistic application rates (1–10tha−1), the resulting smaller increases in pH and available K concentration may actually be beneficial for plant growth.","author":[{"dropping-particle":"","family":"Buss","given":"Wolfram","non-dropping-particle":"","parse-names":false,"suffix":""},{"dropping-particle":"","family":"Graham","given":"Margaret C.","non-dropping-particle":"","parse-names":false,"suffix":""},{"dropping-particle":"","family":"Shepherd","given":"Jessica G.","non-dropping-particle":"","parse-names":false,"suffix":""},{"dropping-particle":"","family":"Mašek","given":"Ondřej","non-dropping-particle":"","parse-names":false,"suffix":""}],"container-title":"Science of The Total Environment","id":"ITEM-1","issued":{"date-parts":[["2016","11","1"]]},"page":"496-506","publisher":"Elsevier","title":"Risks and benefits of marginal biomass-derived biochars for plant growth","type":"article-journal","volume":"569-570"},"uris":["http://www.mendeley.com/documents/?uuid=c9f940e9-16f0-3bdc-b8ff-7723791a7c70"]}],"mendeley":{"formattedCitation":"(Buss et al., 2016)","plainTextFormattedCitation":"(Buss et al., 2016)","previouslyFormattedCitation":"(Buss et al., 2016)"},"properties":{"noteIndex":0},"schema":"https://github.com/citation-style-language/schema/raw/master/csl-citation.json"}</w:instrText>
      </w:r>
      <w:r w:rsidRPr="00216965">
        <w:fldChar w:fldCharType="separate"/>
      </w:r>
      <w:r w:rsidR="00C83E62" w:rsidRPr="00216965">
        <w:rPr>
          <w:noProof/>
        </w:rPr>
        <w:t>(Buss et al., 2016)</w:t>
      </w:r>
      <w:r w:rsidRPr="00216965">
        <w:fldChar w:fldCharType="end"/>
      </w:r>
      <w:r w:rsidRPr="00216965">
        <w:t xml:space="preserve">. </w:t>
      </w:r>
      <w:bookmarkStart w:id="311" w:name="_Hlk86403852"/>
      <w:r w:rsidRPr="00216965">
        <w:fldChar w:fldCharType="begin" w:fldLock="1"/>
      </w:r>
      <w:r w:rsidR="006C06AA" w:rsidRPr="00216965">
        <w:instrText>ADDIN CSL_CITATION {"citationItems":[{"id":"ITEM-1","itemData":{"DOI":"10.1007/s00374-011-0624-7","ISSN":"01782762","abstract":"The effects of biochar properties on crop growth are little understood. Therefore, biochar was produced from eight feedstocks and pyrolyzed at four temperatures (300°C, 400°C, 500°C, 600°C) using slow pyrolysis. Corn was grown for 46 days in a greenhouse pot trial on a temperate and moderately fertile Alfisol amended with the biochar at application rates of 0.0%, 0.2%, 0.5%, 2.0%, and 7.0% (w/w) (equivalent to 0.0, 2.6, 6.5, 26, and 91 t biochar ha -1) and full recommended fertilization. Animal manure biochars increased biomass by up to 43% and corn stover biochar by up to 30%, while food waste biochar decreased biomass by up to 92% in relation to similarly fertilized controls (all P &lt; 0.05). Increasing the pyrolysis temperature from 300°C to 600°C decreased the negative effect of food waste as well as paper sludge biochars. On average, plant growth was the highest with additions of biochar produced at a pyrolysis temperature of 500°C (P &lt; 0.05), but feedstock type caused eight times more variation in growth than pyrolysis temperature. Biochar application rates above 2.0% (w/w) (equivalent to 26 t ha -1) did generally not improve corn growth and rather decreased growth when biochars produced from dairy manure, paper sludge, or food waste were applied. Crop N uptake was 15% greater than the fully fertilized control (P &lt; 0.05, average at 300°C) at a biochar application rate of 0. 2% but decreased with greater application to 16% below the N uptake of the control at an application rate of 7%. Volatile matter or ash content in biochar did not correlate with crop growth or N uptake (P &gt; 0.05), and greater pH had only a weak positive relationship with growth at intermediate application rates. Greater nutrient contents (N, P, K, Mg) improved growth at low application rates of 0.2% and 0.5%, but Na reduced growth at high application rates of 2.0% and 7.0% in the studied fertile Alfisol. © 2011 Springer-Verlag.","author":[{"dropping-particle":"","family":"Rajkovich","given":"Shelby","non-dropping-particle":"","parse-names":false,"suffix":""},{"dropping-particle":"","family":"Enders","given":"Akio","non-dropping-particle":"","parse-names":false,"suffix":""},{"dropping-particle":"","family":"Hanley","given":"Kelly","non-dropping-particle":"","parse-names":false,"suffix":""},{"dropping-particle":"","family":"Hyland","given":"Charles","non-dropping-particle":"","parse-names":false,"suffix":""},{"dropping-particle":"","family":"Zimmerman","given":"Andrew R.","non-dropping-particle":"","parse-names":false,"suffix":""},{"dropping-particle":"","family":"Lehmann","given":"Johannes","non-dropping-particle":"","parse-names":false,"suffix":""}],"container-title":"Biology and Fertility of Soils","id":"ITEM-1","issue":"3","issued":{"date-parts":[["2012","4","1"]]},"page":"271-284","publisher":"Springer","title":"Corn growth and nitrogen nutrition after additions of biochars with varying properties to a temperate soil","type":"article-journal","volume":"48"},"uris":["http://www.mendeley.com/documents/?uuid=ccb13ca7-a0bc-3a8d-822a-a4419221cbad"]}],"mendeley":{"formattedCitation":"(Rajkovich et al., 2012)","manualFormatting":"Rajkovich et al. (2012)","plainTextFormattedCitation":"(Rajkovich et al., 2012)","previouslyFormattedCitation":"(Rajkovich et al., 2012)"},"properties":{"noteIndex":0},"schema":"https://github.com/citation-style-language/schema/raw/master/csl-citation.json"}</w:instrText>
      </w:r>
      <w:r w:rsidRPr="00216965">
        <w:fldChar w:fldCharType="separate"/>
      </w:r>
      <w:r w:rsidRPr="00216965">
        <w:rPr>
          <w:noProof/>
        </w:rPr>
        <w:t>Rajkovich et al. (2012)</w:t>
      </w:r>
      <w:r w:rsidRPr="00216965">
        <w:fldChar w:fldCharType="end"/>
      </w:r>
      <w:bookmarkEnd w:id="311"/>
      <w:r w:rsidRPr="00216965">
        <w:t xml:space="preserve"> reported increased soil pH and EC with increasing biochar application rates from 0% to 7%. It was shown that Na negatively affected crop growth (corn) at 7% biochar, causing an 80% decline.</w:t>
      </w:r>
    </w:p>
    <w:p w14:paraId="4DD326E5" w14:textId="3A63E472" w:rsidR="008574C0" w:rsidRPr="00216965" w:rsidRDefault="006B380D" w:rsidP="008A33DA">
      <w:pPr>
        <w:spacing w:line="360" w:lineRule="auto"/>
        <w:jc w:val="both"/>
      </w:pPr>
      <w:r w:rsidRPr="00216965">
        <w:lastRenderedPageBreak/>
        <w:t>In the present study there was a correlation between soil pH and water extractable K</w:t>
      </w:r>
      <w:r w:rsidRPr="00216965">
        <w:rPr>
          <w:vertAlign w:val="superscript"/>
        </w:rPr>
        <w:t>+</w:t>
      </w:r>
      <w:r w:rsidRPr="00216965">
        <w:t xml:space="preserve"> and Na</w:t>
      </w:r>
      <w:r w:rsidRPr="00216965">
        <w:rPr>
          <w:vertAlign w:val="superscript"/>
        </w:rPr>
        <w:t>+</w:t>
      </w:r>
      <w:r w:rsidRPr="00216965">
        <w:t>, and a negative correlation between above-ground biomass and these water extractable cations (</w:t>
      </w:r>
      <w:r w:rsidRPr="00216965">
        <w:fldChar w:fldCharType="begin"/>
      </w:r>
      <w:r w:rsidRPr="00216965">
        <w:instrText xml:space="preserve"> REF _Ref72331154 \h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noProof/>
        </w:rPr>
        <w:noBreakHyphen/>
        <w:t>13</w:t>
      </w:r>
      <w:r w:rsidRPr="00216965">
        <w:fldChar w:fldCharType="end"/>
      </w:r>
      <w:r w:rsidRPr="00216965">
        <w:rPr>
          <w:b/>
          <w:bCs/>
        </w:rPr>
        <w:t xml:space="preserve">B, </w:t>
      </w:r>
      <w:r w:rsidRPr="00216965">
        <w:rPr>
          <w:b/>
          <w:bCs/>
        </w:rPr>
        <w:fldChar w:fldCharType="begin"/>
      </w:r>
      <w:r w:rsidRPr="00216965">
        <w:rPr>
          <w:b/>
          <w:bCs/>
        </w:rPr>
        <w:instrText xml:space="preserve"> REF _Ref85541023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19</w:t>
      </w:r>
      <w:r w:rsidRPr="00216965">
        <w:rPr>
          <w:b/>
          <w:bCs/>
        </w:rPr>
        <w:fldChar w:fldCharType="end"/>
      </w:r>
      <w:r w:rsidRPr="00216965">
        <w:t>). This confirms that the growth inhibition at high biochar application rates is associated with an increased salinity of the soil, caused mainly by the dissolution of K</w:t>
      </w:r>
      <w:r w:rsidRPr="00216965">
        <w:rPr>
          <w:vertAlign w:val="superscript"/>
        </w:rPr>
        <w:t xml:space="preserve">+ </w:t>
      </w:r>
      <w:r w:rsidRPr="00216965">
        <w:t>and Na</w:t>
      </w:r>
      <w:r w:rsidRPr="00216965">
        <w:rPr>
          <w:vertAlign w:val="superscript"/>
        </w:rPr>
        <w:t xml:space="preserve">+ </w:t>
      </w:r>
      <w:r w:rsidRPr="00216965">
        <w:t xml:space="preserve">salts from biochar. </w:t>
      </w:r>
      <w:r w:rsidRPr="00216965">
        <w:fldChar w:fldCharType="begin" w:fldLock="1"/>
      </w:r>
      <w:r w:rsidR="006C06AA" w:rsidRPr="00216965">
        <w:instrText>ADDIN CSL_CITATION {"citationItems":[{"id":"ITEM-1","itemData":{"DOI":"10.1007/s00425-015-2400-7","ISSN":"14322048","PMID":"26345991","abstract":"Main conclusion: Arabidopsis plants in NaCl suffering half growth inhibition do not suffer osmotic stress and seldom shoot Na+toxicity; overaccumulation of Na+plus K+might trigger the inhibition. It is widely assumed that salinity inhibits plant growth by osmotic stress and shoot Na+ toxicity. This study aims to examine the growth inhibition of Arabidopsis thaliana by NaCl concentrations that allow the completion of the life cycle. Unaffected Col-0 wild-type plants were used to define nontoxic Na+ contents; Na+ toxicities in shoots and roots were analyzed in hkt1 and sos1 mutants, respectively. The growth inhibition of Col-0 plants at 40 mM Na+ was mild and equivalent to that produced by 8 and 4 mM Na+ in hkt1 and sos1 plants, respectively. Therefore, these mutants allowed to study the toxicity of Na+ in the absence of an osmotic challenge. Col-0 and Ts-1 accessions showed very different Na+ contents but similar growth inhibitions; Ts-1 plants showed very high leaf Na+ contents but no symptoms of Na+ toxicity. Ak-1, C24, and Fei-0 plants were highly affected by NaCl showing evident symptoms of shoot Na+ toxicity. Increasing K+ in isotonic NaCl/KCl combinations dramatically decreased the Na+ content in all Arabidopsis accessions and eliminated the signs of Na+ toxicity in most of them but did not relieve growth inhibition. This suggested that the dominant inhibition in these conditions was either osmotic or of an ionic nature unspecific for Na+ or K+. Col-0 and Ts-1 plants growing in sorbitol showed a clear osmotic stress characterized by a notable decrease of their water content, but this response did not occur in NaCl. Overaccumulation of Na+ plus K+ might trigger growth reduction in NaCl-treated plants.","author":[{"dropping-particle":"","family":"Álvarez-Aragón","given":"Rocío","non-dropping-particle":"","parse-names":false,"suffix":""},{"dropping-particle":"","family":"Haro","given":"Rosario","non-dropping-particle":"","parse-names":false,"suffix":""},{"dropping-particle":"","family":"Benito","given":"Begoña","non-dropping-particle":"","parse-names":false,"suffix":""},{"dropping-particle":"","family":"Rodríguez-Navarro","given":"Alonso","non-dropping-particle":"","parse-names":false,"suffix":""}],"container-title":"Planta","id":"ITEM-1","issue":"1","issued":{"date-parts":[["2016"]]},"page":"97-114","title":"Salt intolerance in Arabidopsis: shoot and root sodium toxicity, and inhibition by sodium-plus-potassium overaccumulation","type":"article-journal","volume":"243"},"uris":["http://www.mendeley.com/documents/?uuid=3ff1c798-c072-4725-ad2b-30eaa1c5e73a"]}],"mendeley":{"formattedCitation":"(Álvarez-Aragón et al., 2016)","manualFormatting":"Álvarez-Aragón et al. (2016)","plainTextFormattedCitation":"(Álvarez-Aragón et al., 2016)","previouslyFormattedCitation":"(Álvarez-Aragón et al., 2016)"},"properties":{"noteIndex":0},"schema":"https://github.com/citation-style-language/schema/raw/master/csl-citation.json"}</w:instrText>
      </w:r>
      <w:r w:rsidRPr="00216965">
        <w:fldChar w:fldCharType="separate"/>
      </w:r>
      <w:r w:rsidRPr="00216965">
        <w:rPr>
          <w:noProof/>
        </w:rPr>
        <w:t xml:space="preserve">Álvarez-Aragón </w:t>
      </w:r>
      <w:r w:rsidR="009B2252" w:rsidRPr="00216965">
        <w:rPr>
          <w:iCs/>
          <w:noProof/>
        </w:rPr>
        <w:t>et al</w:t>
      </w:r>
      <w:r w:rsidRPr="00216965">
        <w:rPr>
          <w:noProof/>
        </w:rPr>
        <w:t>. (2016)</w:t>
      </w:r>
      <w:r w:rsidRPr="00216965">
        <w:fldChar w:fldCharType="end"/>
      </w:r>
      <w:r w:rsidRPr="00216965">
        <w:t xml:space="preserve"> concluded that the growth inhibition of </w:t>
      </w:r>
      <w:r w:rsidRPr="00216965">
        <w:rPr>
          <w:i/>
        </w:rPr>
        <w:t xml:space="preserve">Arabidopsis thaliana </w:t>
      </w:r>
      <w:r w:rsidRPr="00216965">
        <w:t>under salinity was either due to osmotic stress or over-accumulation of K</w:t>
      </w:r>
      <w:r w:rsidRPr="00216965">
        <w:rPr>
          <w:vertAlign w:val="superscript"/>
        </w:rPr>
        <w:t>+</w:t>
      </w:r>
      <w:r w:rsidRPr="00216965">
        <w:t xml:space="preserve"> and Na</w:t>
      </w:r>
      <w:r w:rsidRPr="00216965">
        <w:rPr>
          <w:vertAlign w:val="superscript"/>
        </w:rPr>
        <w:t>+</w:t>
      </w:r>
      <w:r w:rsidRPr="00216965">
        <w:t xml:space="preserve"> that might induce the inhibition. </w:t>
      </w:r>
    </w:p>
    <w:p w14:paraId="5935089D" w14:textId="752F5282" w:rsidR="006B380D" w:rsidRPr="00216965" w:rsidRDefault="006B380D" w:rsidP="008A33DA">
      <w:pPr>
        <w:spacing w:line="360" w:lineRule="auto"/>
        <w:jc w:val="both"/>
      </w:pPr>
      <w:r w:rsidRPr="00216965">
        <w:t xml:space="preserve">High salinity conditions cause osmotic stress to plants because of a water deficit created by the decreased osmotic potential in the soil solution </w:t>
      </w:r>
      <w:r w:rsidRPr="00216965">
        <w:fldChar w:fldCharType="begin" w:fldLock="1"/>
      </w:r>
      <w:r w:rsidR="00F56BD7" w:rsidRPr="00216965">
        <w:instrText>ADDIN CSL_CITATION {"citationItems":[{"id":"ITEM-1","itemData":{"DOI":"10.1002/9780470015902.a0001300.pub2","abstract":"Plant salt stress is a condition where excessive salts in soil solution cause inhibition of plant growth or plant death. On a world scale, no toxic substance restricts plant growth more than does salt. Salt stress presents an increasing threat to plant agriculture. Among the various sources of soil salinity, irrigation combined with poor drainage is the most serious, because it represents losses of once productive agricultural land.","author":[{"dropping-particle":"","family":"Zhu","given":"Jian-Kang","non-dropping-particle":"","parse-names":false,"suffix":""}],"container-title":"Encyclopedia of life sciences","id":"ITEM-1","issued":{"date-parts":[["2007","1","15"]]},"publisher":"John Wiley &amp; Sons, Ltd","publisher-place":"Chichester, UK","title":"Plant salt stress","type":"chapter"},"uris":["http://www.mendeley.com/documents/?uuid=c7851902-ae5a-3c27-8b90-cec8a89fc456"]}],"mendeley":{"formattedCitation":"(Zhu, 2007)","plainTextFormattedCitation":"(Zhu, 2007)","previouslyFormattedCitation":"(Zhu, 2007)"},"properties":{"noteIndex":0},"schema":"https://github.com/citation-style-language/schema/raw/master/csl-citation.json"}</w:instrText>
      </w:r>
      <w:r w:rsidRPr="00216965">
        <w:fldChar w:fldCharType="separate"/>
      </w:r>
      <w:r w:rsidR="00330A4F" w:rsidRPr="00216965">
        <w:rPr>
          <w:noProof/>
        </w:rPr>
        <w:t>(Zhu, 2007)</w:t>
      </w:r>
      <w:r w:rsidRPr="00216965">
        <w:fldChar w:fldCharType="end"/>
      </w:r>
      <w:r w:rsidRPr="00216965">
        <w:t>. It has been reported that s</w:t>
      </w:r>
      <w:r w:rsidRPr="00216965">
        <w:rPr>
          <w:color w:val="000000"/>
        </w:rPr>
        <w:t xml:space="preserve">oil salinity </w:t>
      </w:r>
      <w:r w:rsidRPr="00216965">
        <w:t>interferes</w:t>
      </w:r>
      <w:r w:rsidRPr="00216965">
        <w:rPr>
          <w:color w:val="000000"/>
        </w:rPr>
        <w:t xml:space="preserve"> with th</w:t>
      </w:r>
      <w:r w:rsidRPr="00216965">
        <w:t xml:space="preserve">e </w:t>
      </w:r>
      <w:r w:rsidRPr="00216965">
        <w:rPr>
          <w:color w:val="000000"/>
        </w:rPr>
        <w:t xml:space="preserve">growth and development of several crops of the Brassicaceae family in two ways: </w:t>
      </w:r>
      <w:r w:rsidRPr="00216965">
        <w:t>(i)</w:t>
      </w:r>
      <w:r w:rsidRPr="00216965">
        <w:rPr>
          <w:color w:val="000000"/>
        </w:rPr>
        <w:t xml:space="preserve"> by disturbing the osmotic relationship of tissues and, </w:t>
      </w:r>
      <w:r w:rsidRPr="00216965">
        <w:t>(ii)</w:t>
      </w:r>
      <w:r w:rsidRPr="00216965">
        <w:rPr>
          <w:color w:val="000000"/>
        </w:rPr>
        <w:t xml:space="preserve"> by specific ion effects </w:t>
      </w:r>
      <w:bookmarkStart w:id="312" w:name="_Hlk86520525"/>
      <w:r w:rsidR="005D4BE2" w:rsidRPr="00216965">
        <w:rPr>
          <w:color w:val="000000"/>
        </w:rPr>
        <w:fldChar w:fldCharType="begin" w:fldLock="1"/>
      </w:r>
      <w:r w:rsidR="006C06AA" w:rsidRPr="00216965">
        <w:rPr>
          <w:color w:val="000000"/>
        </w:rPr>
        <w:instrText>ADDIN CSL_CITATION {"citationItems":[{"id":"ITEM-1","itemData":{"DOI":"10.1007/S12298-018-0631-3","PMID":"30804631","abstract":"To explore the effect of salt stress on photosynthetic traits and gene expression in Indian mustard, four genotypes CS 54 (national check for salinity), CS 52-SPS-1-2012 (salt tolerant mutant), CS 614-4-1-4-100-13 (salt sensitive mutant) and Pusa bold (high yielding variety) were evaluated under irrigation water salinity (EC iw 12, and 15 dS m −1 ). Results suggest genotype CS 52-SPS-1-2012 followed by CS 54 performed better under imposed salt stress due to differential regulation of Na + accumulation in the roots and main stem, restriction of Na + influx from root to shoot, maintaining higher net photosynthetic traits under saline stress compared to CS 614-4-1-4-100-13 and Pusa bold. Further, overexpression of antiporters (SOS1, SOS2, SOS3, ENH1 and NHX1) and antioxidant (APX1, APX4, DHAR1 and MDHAR) genes in salt tolerant genotypes CS 52-SPS-1-2012 and CS 54 demonstrated their significant role in imparting salt tolerance in Indian mustard.","author":[{"dropping-particle":"","family":"Singh","given":"Jogendra","non-dropping-particle":"","parse-names":false,"suffix":""},{"dropping-particle":"","family":"Singh","given":"Vijayata","non-dropping-particle":"","parse-names":false,"suffix":""},{"dropping-particle":"V.","family":"Vineeth","given":"T.","non-dropping-particle":"","parse-names":false,"suffix":""},{"dropping-particle":"","family":"Kumar","given":"Parveen","non-dropping-particle":"","parse-names":false,"suffix":""},{"dropping-particle":"","family":"Kumar","given":"Neeraj","non-dropping-particle":"","parse-names":false,"suffix":""},{"dropping-particle":"","family":"Sharma","given":"Parbodh C.","non-dropping-particle":"","parse-names":false,"suffix":""}],"container-title":"Physiology and Molecular Biology of Plants","id":"ITEM-1","issue":"1","issued":{"date-parts":[["2019","2","11"]]},"page":"71","publisher":"Springer","title":"Differential response of Indian mustard (Brassica juncea L., Czern and Coss) under salinity: photosynthetic traits and gene expression","type":"article-journal","volume":"25"},"uris":["http://www.mendeley.com/documents/?uuid=2cc4c16a-437e-3409-a2e2-b9cac9d14051"]}],"mendeley":{"formattedCitation":"(Singh et al., 2019)","plainTextFormattedCitation":"(Singh et al., 2019)","previouslyFormattedCitation":"(Singh et al., 2019)"},"properties":{"noteIndex":0},"schema":"https://github.com/citation-style-language/schema/raw/master/csl-citation.json"}</w:instrText>
      </w:r>
      <w:r w:rsidR="005D4BE2" w:rsidRPr="00216965">
        <w:rPr>
          <w:color w:val="000000"/>
        </w:rPr>
        <w:fldChar w:fldCharType="separate"/>
      </w:r>
      <w:r w:rsidR="00C83E62" w:rsidRPr="00216965">
        <w:rPr>
          <w:noProof/>
          <w:color w:val="000000"/>
        </w:rPr>
        <w:t>(Singh et al., 2019)</w:t>
      </w:r>
      <w:r w:rsidR="005D4BE2" w:rsidRPr="00216965">
        <w:rPr>
          <w:color w:val="000000"/>
        </w:rPr>
        <w:fldChar w:fldCharType="end"/>
      </w:r>
      <w:bookmarkEnd w:id="312"/>
      <w:r w:rsidRPr="00216965">
        <w:rPr>
          <w:color w:val="000000"/>
        </w:rPr>
        <w:t xml:space="preserve">. </w:t>
      </w:r>
      <w:r w:rsidRPr="00216965">
        <w:t xml:space="preserve">Conversely, </w:t>
      </w:r>
      <w:r w:rsidRPr="00216965">
        <w:rPr>
          <w:i/>
        </w:rPr>
        <w:t>Lolium perenne</w:t>
      </w:r>
      <w:r w:rsidRPr="00216965">
        <w:t xml:space="preserve"> was not affected by biochar addition, suggesting it is less sensitive to soil salinity. </w:t>
      </w:r>
      <w:r w:rsidRPr="00216965">
        <w:fldChar w:fldCharType="begin" w:fldLock="1"/>
      </w:r>
      <w:r w:rsidR="006C06AA" w:rsidRPr="00216965">
        <w:instrText>ADDIN CSL_CITATION {"citationItems":[{"id":"ITEM-1","itemData":{"DOI":"10.1016/J.JPLPH.2011.08.020","ISSN":"0176-1617","abstract":"Salinity could damage cellular membranes through overproduction of reactive oxygen species (ROS), while antioxidant capacities play a vital role in protecting plants from salinity caused oxidative damages. The objective of this study was to investigate the toxic effect of salt on the antioxidant enzyme activities, isoforms and gene expressions in perennial ryegrass (Lolium perenne L.). Salt-tolerant 'Quickstart II' and salt-sensitive 'DP1' were subjected to 0 and 250mM NaCl for 12d. Salt stress increased the content of lipid peroxidation (MDA), electrolyte leakage (EL) and hydrogen peroxide (H 2O 2), to a greater extent in salt-sensitive genotype. Salt-stressed plant leaves exhibited a greater activity of superoxide dismutase (SOD, EC 1.15.1.1), peroxidase (POD, EC 1.11.1.7), ascorbate peroxidase (APX, EC 1.11.1.11) at 4d after treatment (DAT), but a lower level of enzyme activity at 8 and 12d, when compared to the control. Catalase (CAT, EC 1.11.1.6) activity was greater at 4 DAT and thereafter decreased in salt tolerant genotype relative to the control, whereas lower than the control during whole experiment period for salt-sensitive genotype. There were different patterns of five isoforms of SOD, POD and two isoforms of APX between two genotypes. Antioxidant gene expression was positively related to isoenzymatic and total enzymatic activities during 12-d salt-treated leaves of two genotypes, with a relatively higher level in salt-tolerant genotype. Thus, salt tolerance could be related to the constitutive/induced antioxidant gene, leading to more efficient enzyme stimulation and protection in perennial ryegrass. © 2011 Elsevier GmbH.","author":[{"dropping-particle":"","family":"Hu","given":"Longxing","non-dropping-particle":"","parse-names":false,"suffix":""},{"dropping-particle":"","family":"Li","given":"Huiying","non-dropping-particle":"","parse-names":false,"suffix":""},{"dropping-particle":"","family":"Pang","given":"Huangcheng","non-dropping-particle":"","parse-names":false,"suffix":""},{"dropping-particle":"","family":"Fu","given":"Jinmin","non-dropping-particle":"","parse-names":false,"suffix":""}],"container-title":"Journal of Plant Physiology","id":"ITEM-1","issue":"2","issued":{"date-parts":[["2012","1","15"]]},"page":"146-156","publisher":"Urban &amp; Fischer","title":"Responses of antioxidant gene, protein and enzymes to salinity stress in two genotypes of perennial ryegrass (Lolium perenne) differing in salt tolerance","type":"article-journal","volume":"169"},"uris":["http://www.mendeley.com/documents/?uuid=2b458a6a-1ef0-37f8-b1e1-36b85be96bc8"]}],"mendeley":{"formattedCitation":"(Hu et al., 2012)","manualFormatting":"Hu et al. (2012)","plainTextFormattedCitation":"(Hu et al., 2012)","previouslyFormattedCitation":"(Hu et al., 2012)"},"properties":{"noteIndex":0},"schema":"https://github.com/citation-style-language/schema/raw/master/csl-citation.json"}</w:instrText>
      </w:r>
      <w:r w:rsidRPr="00216965">
        <w:fldChar w:fldCharType="separate"/>
      </w:r>
      <w:r w:rsidRPr="00216965">
        <w:rPr>
          <w:noProof/>
        </w:rPr>
        <w:t xml:space="preserve">Hu </w:t>
      </w:r>
      <w:r w:rsidR="009B2252" w:rsidRPr="00216965">
        <w:rPr>
          <w:iCs/>
          <w:noProof/>
        </w:rPr>
        <w:t>et al</w:t>
      </w:r>
      <w:r w:rsidRPr="00216965">
        <w:rPr>
          <w:noProof/>
        </w:rPr>
        <w:t>. (2012)</w:t>
      </w:r>
      <w:r w:rsidRPr="00216965">
        <w:fldChar w:fldCharType="end"/>
      </w:r>
      <w:r w:rsidRPr="00216965">
        <w:t xml:space="preserve"> studied the salinity tolerance in perennial ryegrass, and concluded that some genotypes of perennial ryegrass possess antioxidant genes, which contribute to plant defense against salinity stress.</w:t>
      </w:r>
    </w:p>
    <w:p w14:paraId="51B1BBC0" w14:textId="77777777" w:rsidR="008574C0" w:rsidRPr="00216965" w:rsidRDefault="006B380D" w:rsidP="008A33DA">
      <w:pPr>
        <w:spacing w:line="360" w:lineRule="auto"/>
        <w:jc w:val="both"/>
      </w:pPr>
      <w:r w:rsidRPr="00216965">
        <w:t>The decrease in Fv/Fm observed in Experiment A with some biochars at 3% and 5% (</w:t>
      </w:r>
      <w:r w:rsidRPr="00216965">
        <w:rPr>
          <w:i/>
        </w:rPr>
        <w:t>w/w</w:t>
      </w:r>
      <w:r w:rsidRPr="00216965">
        <w:t>) relative to the control (0% biochar) (</w:t>
      </w:r>
      <w:r w:rsidRPr="00216965">
        <w:fldChar w:fldCharType="begin"/>
      </w:r>
      <w:r w:rsidRPr="00216965">
        <w:instrText xml:space="preserve"> REF _Ref82647701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10</w:t>
      </w:r>
      <w:r w:rsidRPr="00216965">
        <w:fldChar w:fldCharType="end"/>
      </w:r>
      <w:r w:rsidRPr="00216965">
        <w:t xml:space="preserve">) is consistent with the osmotic stress generated in </w:t>
      </w:r>
      <w:r w:rsidRPr="00216965">
        <w:rPr>
          <w:i/>
        </w:rPr>
        <w:t>Arabidopsis thaliana</w:t>
      </w:r>
      <w:r w:rsidRPr="00216965">
        <w:t xml:space="preserve"> by the increased soil salinity previously discussed. It implies that in spite of a lower bioavailability of HMs, plant stress was not decreased due to the osmotic stress induced by biochars at high dosages. However, the slopes of the linear models used to study Fv/Fm over time indicate that the osmotic stress induced by biochars can be temporary, as the mean Fv/Fm values of plants grown in the biochar-amended soils show a steady increase over time. </w:t>
      </w:r>
    </w:p>
    <w:p w14:paraId="629866C5" w14:textId="3887ED92" w:rsidR="006B380D" w:rsidRPr="00216965" w:rsidRDefault="006B380D" w:rsidP="008A33DA">
      <w:pPr>
        <w:spacing w:line="360" w:lineRule="auto"/>
        <w:jc w:val="both"/>
      </w:pPr>
      <w:r w:rsidRPr="00216965">
        <w:t xml:space="preserve">This indicates that if plants survive the initial stage where salinity and osmotic stress delayed plant germination and inhibited plant growth, they can potentially recover from osmotic stress damage to the point of showing no signs of stress. This conceptual model implies that after this first stage, plants would grow well as the soil toxicity originating from metals would be decreased, with less competition for nutrients and light due to less plants reaching this point. They should increase in size, as observed in </w:t>
      </w:r>
      <w:r w:rsidRPr="00216965">
        <w:fldChar w:fldCharType="begin"/>
      </w:r>
      <w:r w:rsidRPr="00216965">
        <w:instrText xml:space="preserve"> REF _Ref82644489 \h  \* MERGEFORMAT </w:instrText>
      </w:r>
      <w:r w:rsidRPr="00216965">
        <w:fldChar w:fldCharType="separate"/>
      </w:r>
      <w:r w:rsidR="006E23EA" w:rsidRPr="00216965">
        <w:rPr>
          <w:b/>
          <w:bCs/>
        </w:rPr>
        <w:t xml:space="preserve">Fig. </w:t>
      </w:r>
      <w:r w:rsidR="006E23EA" w:rsidRPr="00216965">
        <w:rPr>
          <w:b/>
          <w:bCs/>
          <w:noProof/>
        </w:rPr>
        <w:t>4</w:t>
      </w:r>
      <w:r w:rsidR="006E23EA" w:rsidRPr="00216965">
        <w:rPr>
          <w:b/>
          <w:bCs/>
          <w:noProof/>
        </w:rPr>
        <w:noBreakHyphen/>
        <w:t>2</w:t>
      </w:r>
      <w:r w:rsidRPr="00216965">
        <w:fldChar w:fldCharType="end"/>
      </w:r>
      <w:r w:rsidRPr="00216965">
        <w:t xml:space="preserve"> and </w:t>
      </w:r>
      <w:r w:rsidRPr="00216965">
        <w:rPr>
          <w:b/>
          <w:bCs/>
        </w:rPr>
        <w:fldChar w:fldCharType="begin"/>
      </w:r>
      <w:r w:rsidRPr="00216965">
        <w:rPr>
          <w:b/>
          <w:bCs/>
        </w:rPr>
        <w:instrText xml:space="preserve"> REF _Ref82644491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3</w:t>
      </w:r>
      <w:r w:rsidRPr="00216965">
        <w:rPr>
          <w:b/>
          <w:bCs/>
        </w:rPr>
        <w:fldChar w:fldCharType="end"/>
      </w:r>
      <w:r w:rsidRPr="00216965">
        <w:t xml:space="preserve">. Conversely, the mean Fv/Fm values of the Mix-soils amended with biochars suggest </w:t>
      </w:r>
      <w:r w:rsidRPr="00216965">
        <w:lastRenderedPageBreak/>
        <w:t xml:space="preserve">that the stress induced by the presence of multiple contaminants in the Mix-soil outweighed the osmotic stress induced by biochar, showing overall higher Fv/Fm ratios for the biochar-treated soils than the control treatments. Overall, the results demonstrate that Fv/Fm is sensitive to changes in HMs in plant tissue and other stress conditions such as osmotic stress. </w:t>
      </w:r>
    </w:p>
    <w:p w14:paraId="092ED4BE" w14:textId="2E334F31" w:rsidR="008574C0" w:rsidRPr="00216965" w:rsidRDefault="006B380D" w:rsidP="008A33DA">
      <w:pPr>
        <w:spacing w:line="360" w:lineRule="auto"/>
        <w:jc w:val="both"/>
      </w:pPr>
      <w:r w:rsidRPr="00216965">
        <w:t xml:space="preserve">The higher growth rates (AGRs) of </w:t>
      </w:r>
      <w:r w:rsidRPr="00216965">
        <w:rPr>
          <w:i/>
        </w:rPr>
        <w:t>Arabidopsis thaliana</w:t>
      </w:r>
      <w:r w:rsidRPr="00216965">
        <w:t xml:space="preserve"> Col-0 observed at 1% (</w:t>
      </w:r>
      <w:r w:rsidRPr="00216965">
        <w:rPr>
          <w:i/>
        </w:rPr>
        <w:t>w/w</w:t>
      </w:r>
      <w:r w:rsidRPr="00216965">
        <w:t>) in Zn-soil, Pb-soil and Mix-soil (</w:t>
      </w:r>
      <w:r w:rsidRPr="00216965">
        <w:fldChar w:fldCharType="begin"/>
      </w:r>
      <w:r w:rsidRPr="00216965">
        <w:instrText xml:space="preserve"> REF _Ref82646663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6</w:t>
      </w:r>
      <w:r w:rsidRPr="00216965">
        <w:fldChar w:fldCharType="end"/>
      </w:r>
      <w:r w:rsidRPr="00216965">
        <w:t>) are consistent with the dry biomass results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t xml:space="preserve">). The cross-correlation analysis demonstrated a strong positive correlation (R= 0.9) between these two plant performance indicators, illustrating the feasibility of using rapid imaging techniques for the assessment of biochar-amended soils instead of traditional destructive measurements. </w:t>
      </w:r>
      <w:r w:rsidRPr="00216965">
        <w:fldChar w:fldCharType="begin" w:fldLock="1"/>
      </w:r>
      <w:r w:rsidR="006C06AA" w:rsidRPr="00216965">
        <w:instrText>ADDIN CSL_CITATION {"citationItems":[{"id":"ITEM-1","itemData":{"DOI":"10.3389/fpls.2015.00167","ISSN":"1664-462X","abstract":"Leaf area growth determines the light interception capacity of a crop and is often used as a surrogate for plant growth in high-throughput phenotyping systems. The relationship between leaf area growth and growth in terms of mass will depend on how carbon is partitioned among new leaf area, leaf mass, root mass, reproduction, and respiration. A model of leaf area growth in terms of photosynthetic rate and carbon partitioning to different plant organs was developed and tested with Arabidopsis thaliana L. Heynh. ecotype Columbia (Col-0) and a mutant line, gigantea-2 (gi-2), which develops very large rosettes. Data obtained from growth analysis and gas exchange measurements was used to train a genetic programming algorithm to parameterize and test the above model. The relationship between leaf area and plant biomass was found to be non-linear and variable depending on carbon partitioning. The model output was sensitive to the rate of photosynthesis but more sensitive to the amount of carbon partitioned to growing thicker leaves. The large rosette size of gi-2 relative to that of Col-0 resulted from relatively small differences in partitioning to new leaf area vs. leaf thickness.","author":[{"dropping-particle":"","family":"Weraduwage","given":"Sarathi M.","non-dropping-particle":"","parse-names":false,"suffix":""},{"dropping-particle":"","family":"Chen","given":"Jin","non-dropping-particle":"","parse-names":false,"suffix":""},{"dropping-particle":"","family":"Anozie","given":"Fransisca C.","non-dropping-particle":"","parse-names":false,"suffix":""},{"dropping-particle":"","family":"Morales","given":"Alejandro","non-dropping-particle":"","parse-names":false,"suffix":""},{"dropping-particle":"","family":"Weise","given":"Sean E.","non-dropping-particle":"","parse-names":false,"suffix":""},{"dropping-particle":"","family":"Sharkey","given":"Thomas D.","non-dropping-particle":"","parse-names":false,"suffix":""}],"container-title":"Frontiers in Plant Science","id":"ITEM-1","issued":{"date-parts":[["2015","4","9"]]},"page":"167","publisher":"Frontiers Research Foundation","title":"The relationship between leaf area growth and biomass accumulation in Arabidopsis thaliana","type":"article-journal","volume":"6"},"uris":["http://www.mendeley.com/documents/?uuid=b3f16963-cc89-3ea6-985f-7ab77f765e87"]}],"mendeley":{"formattedCitation":"(Weraduwage et al., 2015)","manualFormatting":"Weraduwage et al. (2015)","plainTextFormattedCitation":"(Weraduwage et al., 2015)","previouslyFormattedCitation":"(Weraduwage et al., 2015)"},"properties":{"noteIndex":0},"schema":"https://github.com/citation-style-language/schema/raw/master/csl-citation.json"}</w:instrText>
      </w:r>
      <w:r w:rsidRPr="00216965">
        <w:fldChar w:fldCharType="separate"/>
      </w:r>
      <w:r w:rsidRPr="00216965">
        <w:rPr>
          <w:noProof/>
        </w:rPr>
        <w:t xml:space="preserve">Weraduwage </w:t>
      </w:r>
      <w:r w:rsidR="009B2252" w:rsidRPr="00216965">
        <w:rPr>
          <w:noProof/>
        </w:rPr>
        <w:t>et al</w:t>
      </w:r>
      <w:r w:rsidRPr="00216965">
        <w:rPr>
          <w:i/>
          <w:noProof/>
        </w:rPr>
        <w:t>.</w:t>
      </w:r>
      <w:r w:rsidRPr="00216965">
        <w:rPr>
          <w:noProof/>
        </w:rPr>
        <w:t xml:space="preserve"> (2015)</w:t>
      </w:r>
      <w:r w:rsidRPr="00216965">
        <w:fldChar w:fldCharType="end"/>
      </w:r>
      <w:r w:rsidRPr="00216965">
        <w:t xml:space="preserve"> reported a linear relationship between leaf mass and plant mass during the vegetative phase of </w:t>
      </w:r>
      <w:r w:rsidRPr="00216965">
        <w:rPr>
          <w:i/>
        </w:rPr>
        <w:t>A. thaliana</w:t>
      </w:r>
      <w:r w:rsidRPr="00216965">
        <w:t>; at this stage leaf mass could provide a reasonably accurate estimation of plant mass.</w:t>
      </w:r>
    </w:p>
    <w:p w14:paraId="0BAB7773" w14:textId="64A445B4" w:rsidR="006B380D" w:rsidRPr="00216965" w:rsidRDefault="006B380D" w:rsidP="008A33DA">
      <w:pPr>
        <w:spacing w:line="360" w:lineRule="auto"/>
        <w:jc w:val="both"/>
      </w:pPr>
      <w:r w:rsidRPr="00216965">
        <w:t>The lower AGRs of plants grown on soils amended with biochars at 3% and 5% (</w:t>
      </w:r>
      <w:r w:rsidRPr="00216965">
        <w:rPr>
          <w:i/>
        </w:rPr>
        <w:t>w/w</w:t>
      </w:r>
      <w:r w:rsidRPr="00216965">
        <w:t>) are associated with diminished photosynthetic efficiency (Fv/Fm) due to the osmotic stress caused by high biochar applications. Despite the absence of statistically significant differences in some treatments (</w:t>
      </w:r>
      <w:r w:rsidRPr="00216965">
        <w:rPr>
          <w:b/>
          <w:bCs/>
        </w:rPr>
        <w:fldChar w:fldCharType="begin"/>
      </w:r>
      <w:r w:rsidRPr="00216965">
        <w:rPr>
          <w:b/>
          <w:bCs/>
        </w:rPr>
        <w:instrText xml:space="preserve"> REF _Ref76646294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4</w:t>
      </w:r>
      <w:r w:rsidR="006E23EA" w:rsidRPr="00216965">
        <w:rPr>
          <w:b/>
          <w:bCs/>
          <w:noProof/>
        </w:rPr>
        <w:noBreakHyphen/>
        <w:t>4</w:t>
      </w:r>
      <w:r w:rsidRPr="00216965">
        <w:rPr>
          <w:b/>
          <w:bCs/>
        </w:rPr>
        <w:fldChar w:fldCharType="end"/>
      </w:r>
      <w:r w:rsidRPr="00216965">
        <w:t xml:space="preserve">, </w:t>
      </w:r>
      <w:r w:rsidRPr="00216965">
        <w:fldChar w:fldCharType="begin"/>
      </w:r>
      <w:r w:rsidRPr="00216965">
        <w:instrText xml:space="preserve"> REF _Ref82646663 \h  \* MERGEFORMAT </w:instrText>
      </w:r>
      <w:r w:rsidRPr="00216965">
        <w:fldChar w:fldCharType="separate"/>
      </w:r>
      <w:r w:rsidR="006E23EA" w:rsidRPr="00216965">
        <w:rPr>
          <w:rStyle w:val="Heading2Char"/>
          <w:rFonts w:eastAsiaTheme="minorHAnsi"/>
        </w:rPr>
        <w:t xml:space="preserve">Fig. </w:t>
      </w:r>
      <w:r w:rsidR="006E23EA" w:rsidRPr="00216965">
        <w:rPr>
          <w:rStyle w:val="Heading2Char"/>
          <w:rFonts w:eastAsiaTheme="minorHAnsi"/>
          <w:noProof/>
        </w:rPr>
        <w:t>4</w:t>
      </w:r>
      <w:r w:rsidR="006E23EA" w:rsidRPr="00216965">
        <w:rPr>
          <w:rStyle w:val="Heading2Char"/>
          <w:rFonts w:eastAsiaTheme="minorHAnsi"/>
          <w:noProof/>
        </w:rPr>
        <w:noBreakHyphen/>
        <w:t>6</w:t>
      </w:r>
      <w:r w:rsidRPr="00216965">
        <w:fldChar w:fldCharType="end"/>
      </w:r>
      <w:r w:rsidRPr="00216965">
        <w:t>), biochars applied at 1% (</w:t>
      </w:r>
      <w:r w:rsidRPr="00216965">
        <w:rPr>
          <w:i/>
        </w:rPr>
        <w:t>w/w)</w:t>
      </w:r>
      <w:r w:rsidRPr="00216965">
        <w:t xml:space="preserve"> generally enhanced growth rates (AGR) and plant biomass, highlighting the biological significance of the role of biochar in protecting plants from HM toxicity. </w:t>
      </w:r>
      <w:r w:rsidRPr="00216965">
        <w:rPr>
          <w:color w:val="1C1D1E"/>
        </w:rPr>
        <w:t xml:space="preserve">The steady increase of AGRs for </w:t>
      </w:r>
      <w:r w:rsidRPr="00216965">
        <w:rPr>
          <w:i/>
          <w:color w:val="1C1D1E"/>
        </w:rPr>
        <w:t xml:space="preserve">Arabidopsis thaliana </w:t>
      </w:r>
      <w:r w:rsidRPr="00216965">
        <w:rPr>
          <w:color w:val="1C1D1E"/>
        </w:rPr>
        <w:t>in soil with 1% biochar during the vegetative phase indicates that the favourable response of plants to biochar amendments would continue over the mid-term.</w:t>
      </w:r>
    </w:p>
    <w:p w14:paraId="4C122F1F" w14:textId="353CEFEA" w:rsidR="006B380D" w:rsidRPr="00216965" w:rsidRDefault="006B380D" w:rsidP="008A33DA">
      <w:pPr>
        <w:spacing w:line="360" w:lineRule="auto"/>
        <w:jc w:val="both"/>
        <w:rPr>
          <w:rFonts w:ascii="Arial" w:eastAsia="Arial" w:hAnsi="Arial" w:cs="Arial"/>
        </w:rPr>
      </w:pPr>
      <w:r w:rsidRPr="00216965">
        <w:t xml:space="preserve">Although the analysis of plant biomass (fresh or dry weight) is common practice, the use of continuous monitoring techniques, such as imaging green leaf area, will allow links to be established between scales of biology, from physiology and metabolism, to community dynamics </w:t>
      </w:r>
      <w:r w:rsidRPr="00216965">
        <w:rPr>
          <w:color w:val="1C1D1E"/>
          <w:shd w:val="clear" w:color="auto" w:fill="FFFFFF"/>
        </w:rPr>
        <w:fldChar w:fldCharType="begin" w:fldLock="1"/>
      </w:r>
      <w:r w:rsidR="006C06AA" w:rsidRPr="00216965">
        <w:rPr>
          <w:color w:val="1C1D1E"/>
          <w:shd w:val="clear" w:color="auto" w:fill="FFFFFF"/>
        </w:rPr>
        <w:instrText>ADDIN CSL_CITATION {"citationItems":[{"id":"ITEM-1","itemData":{"DOI":"10.1111/j.2041-210X.2011.00155.x","abstract":"1. Plant growth is a fundamental ecological process, integrating across scales from physiology to community dynamics and ecosystem properties. Recent improvements in plant growth modelling have allowed deeper understanding and more accurate predictions for a wide range of ecological issues, including competition among plants, plant-herbivore interactions and ecosystem functioning. 2. One challenge in modelling plant growth is that, for a variety of reasons, relative growth rate (RGR) almost universally decreases with increasing size, although traditional calculations assume that RGR is constant. Nonlinear growth models are flexible enough to account for varying growth rates. 3. We demonstrate a variety of nonlinear models that are appropriate for modelling plant growth and, for each, show how to calculate function-derived growth rates, which allow unbiased comparisons among species at a common time or size. We show how to propagate uncertainty in estimated parameters to express uncertainty in growth rates. Fitting nonlinear models can be challenging, so we present extensive worked examples and practical recommendations, all implemented in R. 4. The use of nonlinear models coupled with function-derived growth rates can facilitate the testing of novel hypotheses in population and community ecology. For example, the use of such techniques has allowed better understanding of the components of RGR, the costs of rapid growth and the linkage between host and parasite growth rates. We hope this contribution will demystify nonlinear modelling and persuade more ecologists to use these techniques.","author":[{"dropping-particle":"","family":"Timothy Paine","given":"C E","non-dropping-particle":"","parse-names":false,"suffix":""},{"dropping-particle":"","family":"Marthews","given":"Toby R","non-dropping-particle":"","parse-names":false,"suffix":""},{"dropping-particle":"","family":"Vogt","given":"Deborah R","non-dropping-particle":"","parse-names":false,"suffix":""},{"dropping-particle":"","family":"Purves","given":"Drew","non-dropping-particle":"","parse-names":false,"suffix":""},{"dropping-particle":"","family":"Rees","given":"Mark","non-dropping-particle":"","parse-names":false,"suffix":""},{"dropping-particle":"","family":"Hector","given":"Andy","non-dropping-particle":"","parse-names":false,"suffix":""},{"dropping-particle":"","family":"Turnbull","given":"Lindsay A","non-dropping-particle":"","parse-names":false,"suffix":""}],"container-title":"Methods in Ecology and Evolution","id":"ITEM-1","issued":{"date-parts":[["2012"]]},"page":"245-256","title":"How to fit nonlinear plant growth models and calculate growth rates: an update for ecologists","type":"article-journal","volume":"3"},"uris":["http://www.mendeley.com/documents/?uuid=e23abbf7-8bc8-3d08-90bd-67c17e748f32"]}],"mendeley":{"formattedCitation":"(Timothy Paine et al., 2012)","manualFormatting":"(Paine et al., 2012)","plainTextFormattedCitation":"(Timothy Paine et al., 2012)","previouslyFormattedCitation":"(Timothy Paine et al., 2012)"},"properties":{"noteIndex":0},"schema":"https://github.com/citation-style-language/schema/raw/master/csl-citation.json"}</w:instrText>
      </w:r>
      <w:r w:rsidRPr="00216965">
        <w:rPr>
          <w:color w:val="1C1D1E"/>
          <w:shd w:val="clear" w:color="auto" w:fill="FFFFFF"/>
        </w:rPr>
        <w:fldChar w:fldCharType="separate"/>
      </w:r>
      <w:r w:rsidRPr="00216965">
        <w:rPr>
          <w:noProof/>
          <w:color w:val="1C1D1E"/>
          <w:shd w:val="clear" w:color="auto" w:fill="FFFFFF"/>
        </w:rPr>
        <w:t xml:space="preserve">(Paine </w:t>
      </w:r>
      <w:r w:rsidR="009B2252" w:rsidRPr="00216965">
        <w:rPr>
          <w:iCs/>
          <w:noProof/>
          <w:color w:val="1C1D1E"/>
          <w:shd w:val="clear" w:color="auto" w:fill="FFFFFF"/>
        </w:rPr>
        <w:t>et al</w:t>
      </w:r>
      <w:r w:rsidRPr="00216965">
        <w:rPr>
          <w:noProof/>
          <w:color w:val="1C1D1E"/>
          <w:shd w:val="clear" w:color="auto" w:fill="FFFFFF"/>
        </w:rPr>
        <w:t>., 2012)</w:t>
      </w:r>
      <w:r w:rsidRPr="00216965">
        <w:rPr>
          <w:color w:val="1C1D1E"/>
          <w:shd w:val="clear" w:color="auto" w:fill="FFFFFF"/>
        </w:rPr>
        <w:fldChar w:fldCharType="end"/>
      </w:r>
      <w:r w:rsidRPr="00216965">
        <w:rPr>
          <w:color w:val="1C1D1E"/>
        </w:rPr>
        <w:t>. This will provide further</w:t>
      </w:r>
      <w:r w:rsidRPr="00216965">
        <w:t xml:space="preserve"> understanding of the </w:t>
      </w:r>
      <w:r w:rsidRPr="00216965">
        <w:rPr>
          <w:color w:val="1C1D1E"/>
        </w:rPr>
        <w:t xml:space="preserve">effect of </w:t>
      </w:r>
      <w:r w:rsidRPr="00216965">
        <w:t xml:space="preserve">biochar </w:t>
      </w:r>
      <w:r w:rsidRPr="00216965">
        <w:rPr>
          <w:color w:val="1C1D1E"/>
        </w:rPr>
        <w:t>in reducing the ecological toxicity of HMs in contaminated soils</w:t>
      </w:r>
      <w:r w:rsidRPr="00216965">
        <w:t xml:space="preserve"> </w:t>
      </w:r>
      <w:r w:rsidRPr="00216965">
        <w:rPr>
          <w:color w:val="1C1D1E"/>
        </w:rPr>
        <w:t>and more accurate predictions of plant establishment</w:t>
      </w:r>
      <w:r w:rsidRPr="00216965">
        <w:t xml:space="preserve">, since </w:t>
      </w:r>
      <w:r w:rsidRPr="00216965">
        <w:rPr>
          <w:color w:val="1C1D1E"/>
        </w:rPr>
        <w:t xml:space="preserve">leaf area can be used as a parameter to predict overall growth </w:t>
      </w:r>
      <w:r w:rsidRPr="00216965">
        <w:rPr>
          <w:color w:val="1C1D1E"/>
          <w:shd w:val="clear" w:color="auto" w:fill="FFFFFF"/>
        </w:rPr>
        <w:fldChar w:fldCharType="begin" w:fldLock="1"/>
      </w:r>
      <w:r w:rsidR="006C06AA" w:rsidRPr="00216965">
        <w:rPr>
          <w:color w:val="1C1D1E"/>
          <w:shd w:val="clear" w:color="auto" w:fill="FFFFFF"/>
        </w:rPr>
        <w:instrText>ADDIN CSL_CITATION {"citationItems":[{"id":"ITEM-1","itemData":{"DOI":"10.3389/fpls.2015.00167","ISSN":"1664-462X","abstract":"Leaf area growth determines the light interception capacity of a crop and is often used as a surrogate for plant growth in high-throughput phenotyping systems. The relationship between leaf area growth and growth in terms of mass will depend on how carbon is partitioned among new leaf area, leaf mass, root mass, reproduction, and respiration. A model of leaf area growth in terms of photosynthetic rate and carbon partitioning to different plant organs was developed and tested with Arabidopsis thaliana L. Heynh. ecotype Columbia (Col-0) and a mutant line, gigantea-2 (gi-2), which develops very large rosettes. Data obtained from growth analysis and gas exchange measurements was used to train a genetic programming algorithm to parameterize and test the above model. The relationship between leaf area and plant biomass was found to be non-linear and variable depending on carbon partitioning. The model output was sensitive to the rate of photosynthesis but more sensitive to the amount of carbon partitioned to growing thicker leaves. The large rosette size of gi-2 relative to that of Col-0 resulted from relatively small differences in partitioning to new leaf area vs. leaf thickness.","author":[{"dropping-particle":"","family":"Weraduwage","given":"Sarathi M.","non-dropping-particle":"","parse-names":false,"suffix":""},{"dropping-particle":"","family":"Chen","given":"Jin","non-dropping-particle":"","parse-names":false,"suffix":""},{"dropping-particle":"","family":"Anozie","given":"Fransisca C.","non-dropping-particle":"","parse-names":false,"suffix":""},{"dropping-particle":"","family":"Morales","given":"Alejandro","non-dropping-particle":"","parse-names":false,"suffix":""},{"dropping-particle":"","family":"Weise","given":"Sean E.","non-dropping-particle":"","parse-names":false,"suffix":""},{"dropping-particle":"","family":"Sharkey","given":"Thomas D.","non-dropping-particle":"","parse-names":false,"suffix":""}],"container-title":"Frontiers in Plant Science","id":"ITEM-1","issued":{"date-parts":[["2015","4","9"]]},"page":"167","publisher":"Frontiers Research Foundation","title":"The relationship between leaf area growth and biomass accumulation in Arabidopsis thaliana","type":"article-journal","volume":"6"},"uris":["http://www.mendeley.com/documents/?uuid=b3f16963-cc89-3ea6-985f-7ab77f765e87"]}],"mendeley":{"formattedCitation":"(Weraduwage et al., 2015)","plainTextFormattedCitation":"(Weraduwage et al., 2015)","previouslyFormattedCitation":"(Weraduwage et al., 2015)"},"properties":{"noteIndex":0},"schema":"https://github.com/citation-style-language/schema/raw/master/csl-citation.json"}</w:instrText>
      </w:r>
      <w:r w:rsidRPr="00216965">
        <w:rPr>
          <w:color w:val="1C1D1E"/>
          <w:shd w:val="clear" w:color="auto" w:fill="FFFFFF"/>
        </w:rPr>
        <w:fldChar w:fldCharType="separate"/>
      </w:r>
      <w:r w:rsidR="00C83E62" w:rsidRPr="00216965">
        <w:rPr>
          <w:noProof/>
          <w:color w:val="1C1D1E"/>
          <w:shd w:val="clear" w:color="auto" w:fill="FFFFFF"/>
        </w:rPr>
        <w:t>(Weraduwage et al., 2015)</w:t>
      </w:r>
      <w:r w:rsidRPr="00216965">
        <w:rPr>
          <w:color w:val="1C1D1E"/>
          <w:shd w:val="clear" w:color="auto" w:fill="FFFFFF"/>
        </w:rPr>
        <w:fldChar w:fldCharType="end"/>
      </w:r>
      <w:r w:rsidRPr="00216965">
        <w:rPr>
          <w:color w:val="1C1D1E"/>
        </w:rPr>
        <w:t>.</w:t>
      </w:r>
    </w:p>
    <w:p w14:paraId="70A6A8E0" w14:textId="77777777" w:rsidR="006B380D" w:rsidRPr="00216965" w:rsidRDefault="006B380D" w:rsidP="008A33DA">
      <w:pPr>
        <w:pStyle w:val="Heading3"/>
        <w:rPr>
          <w:rFonts w:ascii="Arial Narrow" w:hAnsi="Arial Narrow"/>
        </w:rPr>
      </w:pPr>
      <w:bookmarkStart w:id="313" w:name="_Toc86504680"/>
      <w:r w:rsidRPr="00216965">
        <w:lastRenderedPageBreak/>
        <w:t>Implications for soil remediation</w:t>
      </w:r>
      <w:bookmarkEnd w:id="313"/>
    </w:p>
    <w:p w14:paraId="44A999CD" w14:textId="3470A625" w:rsidR="006B380D" w:rsidRPr="00216965" w:rsidRDefault="006B380D" w:rsidP="008A33DA">
      <w:pPr>
        <w:spacing w:line="360" w:lineRule="auto"/>
        <w:jc w:val="both"/>
      </w:pPr>
      <w:r w:rsidRPr="00216965">
        <w:t xml:space="preserve">Some biochars may have a high sorption capacity for HMs in soil, which could prevent metals from entering water courses and reduce the accumulation of trace elements by living organisms. However, biochars can have a high pH and salt content according to the source of the feedstock, which may negatively impact soil health and plant development due to osmotic stress </w:t>
      </w:r>
      <w:r w:rsidRPr="00216965">
        <w:fldChar w:fldCharType="begin" w:fldLock="1"/>
      </w:r>
      <w:r w:rsidR="006C06AA" w:rsidRPr="00216965">
        <w:instrText>ADDIN CSL_CITATION {"citationItems":[{"id":"ITEM-1","itemData":{"DOI":"10.1016/j.envpol.2020.114133","ISSN":"18736424","PMID":"32078879","abstract":"Biochar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Pollution","id":"ITEM-1","issued":{"date-parts":[["2020","6","1"]]},"page":"114133","publisher":"Elsevier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soil","type":"article-journal","volume":"261"},"uris":["http://www.mendeley.com/documents/?uuid=6eee545a-7fee-346b-8aa7-47b79f2eb8fe"]},{"id":"ITEM-2","itemData":{"DOI":"10.1016/j.jhazmat.2016.06.013","ISSN":"18733336","abstract":"Analyses were carried out for biochars produced at three temperatures of pyrolysis (400, 600 and 800????C) from solid residue from biogas production (RBP). Separated and non-separated RBP from biogas plants employing different biogas production conditions were pyrolyzed. The contents of heavy metals and polycyclic aromatic hydrocarbons (PAHs) (16 PAH US EPA) were analyzed in biochars. The analyses showed that with an increased pyrolysis temperature, there was an increase in the contents of PAHs and of certain heavy metals (Cr, Cu, Cd, Pb and Mn). In the ecotoxicological tests, it was noted that the effect depended on the temperature of pyrolysis and on the feedstock from which the biochar was produced. The least harmful effect on the test organisms was from biochar produced by separated RBP in a biogas plant operating in mesophilic conditions. The most negative effect on the test organisms was characteristic of biochar produced from non-separated mesophilic RBP. This study shows that the main factors determining the level of toxicity of biochars produced from RBP towards various living organisms are both the method of feedstock production and the temperature at which the process of pyrolysis is conducted.","author":[{"dropping-particle":"","family":"Stefaniuk","given":"Magdalena","non-dropping-particle":"","parse-names":false,"suffix":""},{"dropping-particle":"","family":"Oleszczuk","given":"Patryk","non-dropping-particle":"","parse-names":false,"suffix":""},{"dropping-particle":"","family":"Bartminski","given":"Piotr","non-dropping-particle":"","parse-names":false,"suffix":""}],"container-title":"Journal of Hazardous Materials","id":"ITEM-2","issued":{"date-parts":[["2016"]]},"page":"417-424","title":"Chemical and ecotoxicological evaluation of biochar produced from residues of biogas production","type":"article-journal","volume":"318"},"uris":["http://www.mendeley.com/documents/?uuid=40cf4aba-b837-4b8f-a48d-083a14a4d7ba"]},{"id":"ITEM-3","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Bioeconomy","id":"ITEM-3","issued":{"date-parts":[["2021","7","27"]]},"page":"1731–1764","title":"How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 Stefaniuk et al., 2016; C. Xu et al., 2020)","plainTextFormattedCitation":"(Joseph et al., 2021; Stefaniuk et al., 2016; C. Xu et al., 2020)","previouslyFormattedCitation":"(Joseph et al., 2021; Stefaniuk et al., 2016; C. Xu et al., 2020)"},"properties":{"noteIndex":0},"schema":"https://github.com/citation-style-language/schema/raw/master/csl-citation.json"}</w:instrText>
      </w:r>
      <w:r w:rsidRPr="00216965">
        <w:fldChar w:fldCharType="separate"/>
      </w:r>
      <w:r w:rsidR="001974AA" w:rsidRPr="00216965">
        <w:rPr>
          <w:noProof/>
        </w:rPr>
        <w:t>(Joseph et al., 2021; Stefaniuk et al., 2016; C. Xu et al., 2020)</w:t>
      </w:r>
      <w:r w:rsidRPr="00216965">
        <w:fldChar w:fldCharType="end"/>
      </w:r>
      <w:r w:rsidRPr="00216965">
        <w:t>.</w:t>
      </w:r>
    </w:p>
    <w:p w14:paraId="397E3433" w14:textId="681AF058" w:rsidR="006B380D" w:rsidRPr="00216965" w:rsidRDefault="006B380D" w:rsidP="008A33DA">
      <w:pPr>
        <w:spacing w:line="360" w:lineRule="auto"/>
        <w:jc w:val="both"/>
      </w:pPr>
      <w:r w:rsidRPr="00216965">
        <w:t xml:space="preserve">It is important to determine whether the goal of biochar application in soil is the immobilization of HMs only, or if revegetation is also desired. If the establishment of plants is intended, the selection of biochar and the estimation of application rates should carefully consider the composition and physicochemical properties of both the soil and biochar. Hormesis is commonly observed in biochar applications, that is, high rates of biochar can have a detrimental effect, while low rates can be stimulatory </w:t>
      </w:r>
      <w:r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Pr="00216965">
        <w:fldChar w:fldCharType="separate"/>
      </w:r>
      <w:r w:rsidR="00C83E62" w:rsidRPr="00216965">
        <w:rPr>
          <w:noProof/>
        </w:rPr>
        <w:t>(Joseph et al., 2021)</w:t>
      </w:r>
      <w:r w:rsidRPr="00216965">
        <w:fldChar w:fldCharType="end"/>
      </w:r>
      <w:r w:rsidRPr="00216965">
        <w:t xml:space="preserve">. Consequently, low biochar application rates should be preferred over high application rates, which might negatively affect soil properties required for successful plant development as well as creating unnecessary additional costs in biochar use. </w:t>
      </w:r>
    </w:p>
    <w:p w14:paraId="39A5637E" w14:textId="19469CDE" w:rsidR="006B380D" w:rsidRPr="00216965" w:rsidRDefault="006B380D" w:rsidP="008A33DA">
      <w:pPr>
        <w:spacing w:line="360" w:lineRule="auto"/>
        <w:jc w:val="both"/>
      </w:pPr>
      <w:r w:rsidRPr="00216965">
        <w:t xml:space="preserve">The specific sensitivity of different plant species to biochar related factors, such as salinity and water availability, may result in very variable results </w:t>
      </w:r>
      <w:r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Pr="00216965">
        <w:fldChar w:fldCharType="separate"/>
      </w:r>
      <w:r w:rsidR="00C83E62" w:rsidRPr="00216965">
        <w:rPr>
          <w:noProof/>
        </w:rPr>
        <w:t>(Joseph et al., 2021)</w:t>
      </w:r>
      <w:r w:rsidRPr="00216965">
        <w:fldChar w:fldCharType="end"/>
      </w:r>
      <w:r w:rsidRPr="00216965">
        <w:t xml:space="preserve">. The remediation and revegetation of HM-contaminated soils with biochar can yield successful results if used in combination with salt tolerant plants (halophytes) to overcome the potential osmotic stress created by the use of some biochars. Besides, it has been suggested that halophytes show high potential to tolerate and concentrate heavy metals in their tissues by triggering detoxification mechanisms </w:t>
      </w:r>
      <w:r w:rsidRPr="00216965">
        <w:fldChar w:fldCharType="begin" w:fldLock="1"/>
      </w:r>
      <w:r w:rsidR="006C06AA" w:rsidRPr="00216965">
        <w:instrText>ADDIN CSL_CITATION {"citationItems":[{"id":"ITEM-1","itemData":{"DOI":"10.1016/j.sajb.2017.03.011","ISSN":"02546299","abstract":"Among heavy metals, nickel, cadmium and lead have received a particular attention not only as potent hazards to human health but also given their constant increase in the environment and bioaccumulation throughout the food-chain. In plants, these metals may either directly or indirectly cause a broad range of physiological and biochemical dysfunctions culminating ultimately in the sharp decline of crop production. Here, we present new insights regarding the mechanisms governing metal phytotoxicity. In addition, we emphasize the potential interest of halophytic plants in the framework of the phytoremediation approach which has emerged as an environmental-friendly technology contributing to the extraction of heavy metal from contaminated sites. Indeed, recent reports suggest that halophyte species could be more suitable for heavy metal extraction than glycophytes most frequently used so far.","author":[{"dropping-particle":"","family":"Amari","given":"T.","non-dropping-particle":"","parse-names":false,"suffix":""},{"dropping-particle":"","family":"Ghnaya","given":"T.","non-dropping-particle":"","parse-names":false,"suffix":""},{"dropping-particle":"","family":"Abdelly","given":"C.","non-dropping-particle":"","parse-names":false,"suffix":""}],"container-title":"South African Journal of Botany","id":"ITEM-1","issued":{"date-parts":[["2017"]]},"page":"99-110","publisher":"SAAB","title":"Nickel, cadmium and lead phytotoxicity and potential of halophytic plants in heavy metal extraction","type":"article-journal","volume":"111"},"uris":["http://www.mendeley.com/documents/?uuid=3f3115f6-bc94-48bc-bf3f-c1f3b198493d"]},{"id":"ITEM-2","itemData":{"DOI":"10.1093/aob/mcy077","ISSN":"10958290","PMID":"29788289","abstract":"Background and Aims Salinity affects the bioavailability of cadmium (Cd) in soils and Cd accumulation in plants, but the associated mechanisms remain unclear. This study aimed to assess the metabolic response to NaCl and Cd and the relationship between metabolites and Cd accumulation in the halophyte Carpobrotus rossii, which has potential for Cd phytoextraction. Methods Plants were grown in nutrient solution with 0-400 mm NaCl in the presence of 5 or 15 μm Cd, with varied or constant solution Cd 2+ activity. Plant growth and Cd uptake were measured, and the accumulation of peptides, and organic and amino acids in plant tissues were assessed. Key Results The addition of NaCl to Cd-containing solutions improved plant growth along with 70-87 % less shoot Cd accumulation, resulting from decreases in Cd root uptake and root-to-shoot translocation irrespective of Cd 2+ activity in solutions. Moreover, Cd exposure increased the concentration of phytochelatins, which correlated positively with Cd concentrations in plants regardless of NaCl addition. In comparison, Cd inhibited the synthesis of organic acids in shoots and roots in the absence of NaCl, but increased it in shoots in the presence of NaCl. While Cd increased the concentrations of amino acids in plant shoots, the effect of NaCl on the synthesis of amino acids was inconsistent. Conclusions Our data provide the first evidence that NaCl decreased Cd shoot accumulation in C. rossii by decreasing Cd root uptake and root-to-shoot translocation even under constant Cd 2+ activity. The present study also supports the important role of peptides and organic acids, particular of phytochelatins, in Cd tolerance and accumulation although the changes of those metabolites was not the main reason for the decreased Cd accumulation.","author":[{"dropping-particle":"","family":"Cheng","given":"Miaomiao","non-dropping-particle":"","parse-names":false,"suffix":""},{"dropping-particle":"","family":"Wang","given":"Anan","non-dropping-particle":"","parse-names":false,"suffix":""},{"dropping-particle":"","family":"Liu","given":"Zhiqian","non-dropping-particle":"","parse-names":false,"suffix":""},{"dropping-particle":"","family":"Gendall","given":"Anthony R.","non-dropping-particle":"","parse-names":false,"suffix":""},{"dropping-particle":"","family":"Rochfort","given":"Simone","non-dropping-particle":"","parse-names":false,"suffix":""},{"dropping-particle":"","family":"Tang","given":"Caixian","non-dropping-particle":"","parse-names":false,"suffix":""}],"container-title":"Annals of Botany","id":"ITEM-2","issue":"3","issued":{"date-parts":[["2018","8","27"]]},"page":"373-385","publisher":"Oxford University Press","title":"Sodium chloride decreases cadmium accumulation and changes the response of metabolites to cadmium stress in the halophyte Carpobrotus rossii","type":"article-journal","volume":"122"},"uris":["http://www.mendeley.com/documents/?uuid=d03ead9b-1562-3cfa-b57b-2cff33c6c28a"]}],"mendeley":{"formattedCitation":"(Amari et al., 2017; Cheng et al., 2018)","plainTextFormattedCitation":"(Amari et al., 2017; Cheng et al., 2018)","previouslyFormattedCitation":"(Amari et al., 2017; Cheng et al., 2018)"},"properties":{"noteIndex":0},"schema":"https://github.com/citation-style-language/schema/raw/master/csl-citation.json"}</w:instrText>
      </w:r>
      <w:r w:rsidRPr="00216965">
        <w:fldChar w:fldCharType="separate"/>
      </w:r>
      <w:r w:rsidR="001974AA" w:rsidRPr="00216965">
        <w:rPr>
          <w:noProof/>
        </w:rPr>
        <w:t>(Amari et al., 2017; Cheng et al., 2018)</w:t>
      </w:r>
      <w:r w:rsidRPr="00216965">
        <w:fldChar w:fldCharType="end"/>
      </w:r>
      <w:r w:rsidRPr="00216965">
        <w:t>. Therefore, the use of halophytes may offer an alternative approach that combines phytoremediation and chemical stabilization with biochar addition for a more efficient soil remediation. This would allow amended soils with a vegetative cover to be repurposed into different land uses which may be determined depending on the level of ecological risk.</w:t>
      </w:r>
    </w:p>
    <w:p w14:paraId="18E69FE2" w14:textId="77777777" w:rsidR="006B380D" w:rsidRPr="00216965" w:rsidRDefault="006B380D" w:rsidP="008A33DA">
      <w:pPr>
        <w:pStyle w:val="Heading2"/>
      </w:pPr>
      <w:bookmarkStart w:id="314" w:name="_Toc86504681"/>
      <w:r w:rsidRPr="00216965">
        <w:t>Conclusion</w:t>
      </w:r>
      <w:bookmarkEnd w:id="314"/>
    </w:p>
    <w:p w14:paraId="29E4306F" w14:textId="77777777" w:rsidR="008574C0" w:rsidRPr="00216965" w:rsidRDefault="006B380D" w:rsidP="008A33DA">
      <w:pPr>
        <w:spacing w:line="360" w:lineRule="auto"/>
        <w:jc w:val="both"/>
        <w:rPr>
          <w:color w:val="000000"/>
        </w:rPr>
      </w:pPr>
      <w:r w:rsidRPr="00216965">
        <w:rPr>
          <w:color w:val="000000"/>
        </w:rPr>
        <w:t>The potential protective effect of biochar to plants cultivated in HM</w:t>
      </w:r>
      <w:r w:rsidRPr="00216965">
        <w:t>-</w:t>
      </w:r>
      <w:r w:rsidRPr="00216965">
        <w:rPr>
          <w:color w:val="000000"/>
        </w:rPr>
        <w:t xml:space="preserve">contaminated soil depends on plant species and biochar properties. The addition of </w:t>
      </w:r>
      <w:r w:rsidRPr="00216965">
        <w:t>biochar had</w:t>
      </w:r>
      <w:r w:rsidRPr="00216965">
        <w:rPr>
          <w:color w:val="000000"/>
        </w:rPr>
        <w:t xml:space="preserve"> a protective </w:t>
      </w:r>
      <w:r w:rsidRPr="00216965">
        <w:rPr>
          <w:color w:val="000000"/>
        </w:rPr>
        <w:lastRenderedPageBreak/>
        <w:t xml:space="preserve">effect to </w:t>
      </w:r>
      <w:r w:rsidRPr="00216965">
        <w:rPr>
          <w:i/>
          <w:color w:val="000000"/>
        </w:rPr>
        <w:t>Arabidopsis thaliana</w:t>
      </w:r>
      <w:r w:rsidRPr="00216965">
        <w:rPr>
          <w:color w:val="000000"/>
        </w:rPr>
        <w:t xml:space="preserve"> grown in a multi-element metal-contaminated soil. The protective effect was indicated by an increased plant biomass and absolute growth rates, decreased plant stress and lower HM</w:t>
      </w:r>
      <w:r w:rsidRPr="00216965">
        <w:t xml:space="preserve"> concentrations</w:t>
      </w:r>
      <w:r w:rsidRPr="00216965">
        <w:rPr>
          <w:color w:val="000000"/>
        </w:rPr>
        <w:t xml:space="preserve"> in plant tissue. However, this protective effect was overall not observed in </w:t>
      </w:r>
      <w:r w:rsidRPr="00216965">
        <w:rPr>
          <w:i/>
          <w:color w:val="000000"/>
        </w:rPr>
        <w:t>Arabidopsis thaliana</w:t>
      </w:r>
      <w:r w:rsidRPr="00216965">
        <w:rPr>
          <w:color w:val="000000"/>
        </w:rPr>
        <w:t xml:space="preserve"> grown in the single element metal-contaminated soils, n</w:t>
      </w:r>
      <w:r w:rsidRPr="00216965">
        <w:t>or</w:t>
      </w:r>
      <w:r w:rsidRPr="00216965">
        <w:rPr>
          <w:color w:val="000000"/>
        </w:rPr>
        <w:t xml:space="preserve"> in </w:t>
      </w:r>
      <w:r w:rsidRPr="00216965">
        <w:rPr>
          <w:i/>
          <w:color w:val="000000"/>
        </w:rPr>
        <w:t>Lolium perenne</w:t>
      </w:r>
      <w:r w:rsidRPr="00216965">
        <w:rPr>
          <w:color w:val="000000"/>
        </w:rPr>
        <w:t xml:space="preserve"> or </w:t>
      </w:r>
      <w:r w:rsidR="001A73A8" w:rsidRPr="00216965">
        <w:rPr>
          <w:i/>
          <w:iCs/>
        </w:rPr>
        <w:t>Sinapsis alba</w:t>
      </w:r>
      <w:r w:rsidRPr="00216965">
        <w:rPr>
          <w:color w:val="000000"/>
        </w:rPr>
        <w:t xml:space="preserve"> plants, despite the reduced HM bioavailability due to biochar addition. </w:t>
      </w:r>
    </w:p>
    <w:p w14:paraId="62906309" w14:textId="0D12EB93" w:rsidR="006B380D" w:rsidRPr="00216965" w:rsidRDefault="006B380D" w:rsidP="008A33DA">
      <w:pPr>
        <w:spacing w:line="360" w:lineRule="auto"/>
        <w:jc w:val="both"/>
        <w:rPr>
          <w:color w:val="000000"/>
          <w:szCs w:val="24"/>
        </w:rPr>
      </w:pPr>
      <w:r w:rsidRPr="00216965">
        <w:rPr>
          <w:color w:val="000000"/>
        </w:rPr>
        <w:t>The lowest biochar application rate of 1% (</w:t>
      </w:r>
      <w:r w:rsidRPr="00216965">
        <w:rPr>
          <w:i/>
          <w:color w:val="000000"/>
        </w:rPr>
        <w:t>w/w</w:t>
      </w:r>
      <w:r w:rsidRPr="00216965">
        <w:rPr>
          <w:color w:val="000000"/>
        </w:rPr>
        <w:t>) resulted in the highest immobilization of the bioavailable HMs in soil. Higher biochar application rates</w:t>
      </w:r>
      <w:r w:rsidRPr="00216965">
        <w:t xml:space="preserve"> of</w:t>
      </w:r>
      <w:r w:rsidRPr="00216965">
        <w:rPr>
          <w:color w:val="000000"/>
        </w:rPr>
        <w:t xml:space="preserve"> 3% and 5% (</w:t>
      </w:r>
      <w:r w:rsidRPr="00216965">
        <w:rPr>
          <w:i/>
          <w:color w:val="000000"/>
        </w:rPr>
        <w:t>w/w</w:t>
      </w:r>
      <w:r w:rsidRPr="00216965">
        <w:rPr>
          <w:color w:val="000000"/>
        </w:rPr>
        <w:t xml:space="preserve">) did not provide any further decrease in bioavailable HMs, but instead caused growth inhibition of </w:t>
      </w:r>
      <w:r w:rsidRPr="00216965">
        <w:rPr>
          <w:i/>
          <w:color w:val="000000"/>
        </w:rPr>
        <w:t>Arabidopsis thaliana</w:t>
      </w:r>
      <w:r w:rsidRPr="00216965">
        <w:rPr>
          <w:color w:val="000000"/>
        </w:rPr>
        <w:t xml:space="preserve"> and </w:t>
      </w:r>
      <w:r w:rsidR="001A73A8" w:rsidRPr="00216965">
        <w:rPr>
          <w:i/>
          <w:iCs/>
        </w:rPr>
        <w:t>Sinapsis alba</w:t>
      </w:r>
      <w:r w:rsidRPr="00216965">
        <w:rPr>
          <w:color w:val="000000"/>
        </w:rPr>
        <w:t xml:space="preserve"> due to the increased salinity that led to osmotic stress in the plants. </w:t>
      </w:r>
      <w:r w:rsidRPr="00216965">
        <w:rPr>
          <w:i/>
          <w:color w:val="000000"/>
        </w:rPr>
        <w:t>Lolium perenne</w:t>
      </w:r>
      <w:r w:rsidRPr="00216965">
        <w:rPr>
          <w:color w:val="000000"/>
        </w:rPr>
        <w:t xml:space="preserve"> plants </w:t>
      </w:r>
      <w:r w:rsidRPr="00216965">
        <w:t>showed</w:t>
      </w:r>
      <w:r w:rsidRPr="00216965">
        <w:rPr>
          <w:color w:val="000000"/>
        </w:rPr>
        <w:t xml:space="preserve"> tolerance to the salinity induced by biochar addition. The salinity in the soil was associated with a relatively high K</w:t>
      </w:r>
      <w:r w:rsidRPr="00216965">
        <w:rPr>
          <w:color w:val="000000"/>
          <w:vertAlign w:val="superscript"/>
        </w:rPr>
        <w:t>+</w:t>
      </w:r>
      <w:r w:rsidRPr="00216965">
        <w:rPr>
          <w:color w:val="000000"/>
        </w:rPr>
        <w:t xml:space="preserve"> and Na</w:t>
      </w:r>
      <w:r w:rsidRPr="00216965">
        <w:rPr>
          <w:color w:val="000000"/>
          <w:vertAlign w:val="superscript"/>
        </w:rPr>
        <w:t>+</w:t>
      </w:r>
      <w:r w:rsidRPr="00216965">
        <w:rPr>
          <w:color w:val="000000"/>
        </w:rPr>
        <w:t xml:space="preserve"> content released from the biochars. The immobilization of Pb was associated with precipitation and sorption by inner sphere complexation, whereas Cd was retained by electrostatic attraction (outer sphere complexes) and Zn was retained by a combination of electrostatic attraction, inner-sphere complexes and precipitation. </w:t>
      </w:r>
    </w:p>
    <w:p w14:paraId="58344A7A" w14:textId="380CE202" w:rsidR="006B380D" w:rsidRPr="00216965" w:rsidRDefault="006B380D" w:rsidP="008A33DA">
      <w:pPr>
        <w:spacing w:line="360" w:lineRule="auto"/>
        <w:jc w:val="both"/>
        <w:rPr>
          <w:color w:val="000000"/>
        </w:rPr>
      </w:pPr>
      <w:r w:rsidRPr="00216965">
        <w:rPr>
          <w:color w:val="000000"/>
        </w:rPr>
        <w:t xml:space="preserve">The results indicate that plant-based biochars can reduce trace metal bioavailability in soils at low biochar application rates. However, soils may need to be managed with caution, because biochar can reduce metal bioavailability but plants can still accumulate metals in their tissues. This may limit the type of land use </w:t>
      </w:r>
      <w:r w:rsidRPr="00216965">
        <w:t>for</w:t>
      </w:r>
      <w:r w:rsidRPr="00216965">
        <w:rPr>
          <w:color w:val="000000"/>
        </w:rPr>
        <w:t xml:space="preserve"> the amended soils.</w:t>
      </w:r>
    </w:p>
    <w:p w14:paraId="614745F5" w14:textId="0653C30A" w:rsidR="00B45740" w:rsidRPr="00216965" w:rsidRDefault="00B45740" w:rsidP="008A33DA">
      <w:pPr>
        <w:spacing w:line="360" w:lineRule="auto"/>
        <w:jc w:val="both"/>
        <w:rPr>
          <w:color w:val="000000"/>
        </w:rPr>
      </w:pPr>
    </w:p>
    <w:p w14:paraId="566E13D9" w14:textId="57FC5508" w:rsidR="00B45740" w:rsidRPr="00216965" w:rsidRDefault="00B45740" w:rsidP="008A33DA">
      <w:pPr>
        <w:spacing w:line="360" w:lineRule="auto"/>
        <w:jc w:val="both"/>
        <w:rPr>
          <w:color w:val="000000"/>
        </w:rPr>
      </w:pPr>
    </w:p>
    <w:p w14:paraId="0656EEA6" w14:textId="500E0882" w:rsidR="00B45740" w:rsidRPr="00216965" w:rsidRDefault="00B45740" w:rsidP="008A33DA">
      <w:pPr>
        <w:spacing w:line="360" w:lineRule="auto"/>
        <w:jc w:val="both"/>
        <w:rPr>
          <w:color w:val="000000"/>
        </w:rPr>
      </w:pPr>
    </w:p>
    <w:p w14:paraId="45693187" w14:textId="6F9DDAC3" w:rsidR="00B45740" w:rsidRPr="00216965" w:rsidRDefault="00B45740" w:rsidP="008A33DA">
      <w:pPr>
        <w:spacing w:line="360" w:lineRule="auto"/>
        <w:jc w:val="both"/>
        <w:rPr>
          <w:color w:val="000000"/>
        </w:rPr>
      </w:pPr>
    </w:p>
    <w:p w14:paraId="15DE5910" w14:textId="0E0B75C9" w:rsidR="00B45740" w:rsidRPr="00216965" w:rsidRDefault="00B45740" w:rsidP="008A33DA">
      <w:pPr>
        <w:spacing w:line="360" w:lineRule="auto"/>
        <w:jc w:val="both"/>
        <w:rPr>
          <w:color w:val="000000"/>
        </w:rPr>
      </w:pPr>
    </w:p>
    <w:p w14:paraId="68B2519F" w14:textId="1BF2240B" w:rsidR="00B45740" w:rsidRPr="00216965" w:rsidRDefault="00B45740" w:rsidP="008A33DA">
      <w:pPr>
        <w:spacing w:line="360" w:lineRule="auto"/>
        <w:jc w:val="both"/>
        <w:rPr>
          <w:color w:val="000000"/>
        </w:rPr>
      </w:pPr>
    </w:p>
    <w:p w14:paraId="335D8753" w14:textId="261D4003" w:rsidR="00B45740" w:rsidRPr="00216965" w:rsidRDefault="00B45740" w:rsidP="008A33DA">
      <w:pPr>
        <w:spacing w:line="360" w:lineRule="auto"/>
        <w:jc w:val="both"/>
        <w:rPr>
          <w:color w:val="000000"/>
        </w:rPr>
      </w:pPr>
    </w:p>
    <w:p w14:paraId="4B2D8A28" w14:textId="2D19FCEB" w:rsidR="00B45740" w:rsidRPr="00216965" w:rsidRDefault="00B45740" w:rsidP="008A33DA">
      <w:pPr>
        <w:spacing w:line="360" w:lineRule="auto"/>
        <w:jc w:val="both"/>
        <w:rPr>
          <w:color w:val="000000"/>
        </w:rPr>
      </w:pPr>
    </w:p>
    <w:p w14:paraId="33207416" w14:textId="378DD67C" w:rsidR="00B45740" w:rsidRPr="00216965" w:rsidRDefault="00B45740" w:rsidP="008A33DA">
      <w:pPr>
        <w:pStyle w:val="Heading1"/>
      </w:pPr>
      <w:bookmarkStart w:id="315" w:name="_Ref86422225"/>
      <w:bookmarkStart w:id="316" w:name="_Toc86504682"/>
      <w:r w:rsidRPr="00216965">
        <w:lastRenderedPageBreak/>
        <w:t>The effect of biochar on bioavailable Pb</w:t>
      </w:r>
      <w:r w:rsidR="00CD4550" w:rsidRPr="00216965">
        <w:t>(II)</w:t>
      </w:r>
      <w:r w:rsidRPr="00216965">
        <w:t xml:space="preserve"> and Zn</w:t>
      </w:r>
      <w:r w:rsidR="00CD4550" w:rsidRPr="00216965">
        <w:t>(II)</w:t>
      </w:r>
      <w:r w:rsidRPr="00216965">
        <w:t xml:space="preserve"> and its influence on soil health: an outdoor pot </w:t>
      </w:r>
      <w:sdt>
        <w:sdtPr>
          <w:tag w:val="goog_rdk_0"/>
          <w:id w:val="2145542141"/>
        </w:sdtPr>
        <w:sdtEndPr/>
        <w:sdtContent/>
      </w:sdt>
      <w:r w:rsidRPr="00216965">
        <w:t>experiment</w:t>
      </w:r>
      <w:bookmarkEnd w:id="315"/>
      <w:bookmarkEnd w:id="316"/>
    </w:p>
    <w:p w14:paraId="7F1244F5" w14:textId="77777777" w:rsidR="00B45740" w:rsidRPr="00216965" w:rsidRDefault="00B45740" w:rsidP="008A33DA"/>
    <w:p w14:paraId="7AEC75F5" w14:textId="77777777" w:rsidR="00B45740" w:rsidRPr="00216965" w:rsidRDefault="00B45740" w:rsidP="008A33DA">
      <w:pPr>
        <w:pStyle w:val="Heading2"/>
      </w:pPr>
      <w:bookmarkStart w:id="317" w:name="_Toc86504683"/>
      <w:r w:rsidRPr="00216965">
        <w:t>Introduction</w:t>
      </w:r>
      <w:bookmarkEnd w:id="317"/>
    </w:p>
    <w:p w14:paraId="5C761F7A" w14:textId="51E1FF82" w:rsidR="00B45740" w:rsidRPr="00216965" w:rsidRDefault="00B45740" w:rsidP="008A33DA">
      <w:pPr>
        <w:spacing w:line="360" w:lineRule="auto"/>
        <w:jc w:val="both"/>
      </w:pPr>
      <w:r w:rsidRPr="00216965">
        <w:t>The contamination of soil by heavy metals (HM</w:t>
      </w:r>
      <w:r w:rsidR="00915E9C" w:rsidRPr="00216965">
        <w:t>s</w:t>
      </w:r>
      <w:r w:rsidRPr="00216965">
        <w:t xml:space="preserve">) can have marked and persistent effects on soil characteristics and function by disturbing both soil biological and physiochemical properties (e.g. poor soil structure, soil fertility and soil microbial activity) </w:t>
      </w:r>
      <w:r w:rsidRPr="00216965">
        <w:fldChar w:fldCharType="begin" w:fldLock="1"/>
      </w:r>
      <w:r w:rsidR="006C06AA" w:rsidRPr="00216965">
        <w:instrText>ADDIN CSL_CITATION {"citationItems":[{"id":"ITEM-1","itemData":{"DOI":"10.1080/00380768.2018.1440938","abstract":"Today, soil metal pollution has become a significant environmental issue of great public concern. This is because soil is both a major sink for heavy metal(loid)s (HMs) released into the environmen...","author":[{"dropping-particle":"","family":"Lwin","given":"Chaw Su","non-dropping-particle":"","parse-names":false,"suffix":""},{"dropping-particle":"","family":"Seo","given":"Byoung-Hwan","non-dropping-particle":"","parse-names":false,"suffix":""},{"dropping-particle":"","family":"Kim","given":"Hyun-Uk","non-dropping-particle":"","parse-names":false,"suffix":""},{"dropping-particle":"","family":"Owens","given":"Gary","non-dropping-particle":"","parse-names":false,"suffix":""},{"dropping-particle":"","family":"Kim","given":"Kwon-Rae","non-dropping-particle":"","parse-names":false,"suffix":""}],"container-title":"Soil Science and Plant Nutrition","id":"ITEM-1","issue":"2","issued":{"date-parts":[["2018","3","4"]]},"page":"156-167","publisher":"Taylor &amp; Francis","title":"Application of soil amendments to contaminated soils for heavy metal immobilization and improved soil quality—a critical review","type":"article-journal","volume":"64"},"uris":["http://www.mendeley.com/documents/?uuid=17ed8760-d4cc-39de-a1f3-15083d192e3b"]},{"id":"ITEM-2","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Letters","id":"ITEM-2","issue":"1","issued":{"date-parts":[["2017"]]},"page":"65-84","publisher":"Springer International Publishing","title":"Heavy metals and soil microbes","type":"article-journal","volume":"15"},"uris":["http://www.mendeley.com/documents/?uuid=0023517c-32b4-42a2-b702-116e06791c54"]}],"mendeley":{"formattedCitation":"(Abdu et al., 2017; Lwin et al., 2018)","plainTextFormattedCitation":"(Abdu et al., 2017; Lwin et al., 2018)","previouslyFormattedCitation":"(Abdu et al., 2017; Lwin et al., 2018)"},"properties":{"noteIndex":0},"schema":"https://github.com/citation-style-language/schema/raw/master/csl-citation.json"}</w:instrText>
      </w:r>
      <w:r w:rsidRPr="00216965">
        <w:fldChar w:fldCharType="separate"/>
      </w:r>
      <w:r w:rsidR="001974AA" w:rsidRPr="00216965">
        <w:rPr>
          <w:noProof/>
        </w:rPr>
        <w:t>(Abdu et al., 2017; Lwin et al., 2018)</w:t>
      </w:r>
      <w:r w:rsidRPr="00216965">
        <w:fldChar w:fldCharType="end"/>
      </w:r>
      <w:r w:rsidRPr="00216965">
        <w:t xml:space="preserve">. Ecotoxicological studies have shown decreased microbial populations and alterations in microbial diversity and structure as a result of HM toxicity </w:t>
      </w:r>
      <w:r w:rsidRPr="00216965">
        <w:fldChar w:fldCharType="begin" w:fldLock="1"/>
      </w:r>
      <w:r w:rsidR="006C06AA" w:rsidRPr="00216965">
        <w:instrText>ADDIN CSL_CITATION {"citationItems":[{"id":"ITEM-1","itemData":{"DOI":"10.1007/s10311-016-0587-x","ISBN":"0038-0717","ISSN":"16103661","PMID":"15886913","author":[{"dropping-particle":"","family":"Abdu","given":"Nafiu","non-dropping-particle":"","parse-names":false,"suffix":""},{"dropping-particle":"","family":"Abdullahi","given":"Aliyu A.","non-dropping-particle":"","parse-names":false,"suffix":""},{"dropping-particle":"","family":"Abdulkadir","given":"Aisha","non-dropping-particle":"","parse-names":false,"suffix":""}],"container-title":"Environmental Chemistry Letters","id":"ITEM-1","issue":"1","issued":{"date-parts":[["2017"]]},"page":"65-84","publisher":"Springer International Publishing","title":"Heavy metals and soil microbes","type":"article-journal","volume":"15"},"uris":["http://www.mendeley.com/documents/?uuid=0023517c-32b4-42a2-b702-116e06791c54"]}],"mendeley":{"formattedCitation":"(Abdu et al., 2017)","plainTextFormattedCitation":"(Abdu et al., 2017)","previouslyFormattedCitation":"(Abdu et al., 2017)"},"properties":{"noteIndex":0},"schema":"https://github.com/citation-style-language/schema/raw/master/csl-citation.json"}</w:instrText>
      </w:r>
      <w:r w:rsidRPr="00216965">
        <w:fldChar w:fldCharType="separate"/>
      </w:r>
      <w:r w:rsidR="001974AA" w:rsidRPr="00216965">
        <w:rPr>
          <w:noProof/>
        </w:rPr>
        <w:t>(Abdu et al., 2017)</w:t>
      </w:r>
      <w:r w:rsidRPr="00216965">
        <w:fldChar w:fldCharType="end"/>
      </w:r>
      <w:r w:rsidRPr="00216965">
        <w:t xml:space="preserve">. Because microbes play a vital role in soil productivity and sustainability, some soil functions, such as nutrient cycling, may be impeded by HM toxicity. Soil is a complex, dynamic and living resource </w:t>
      </w:r>
      <w:r w:rsidRPr="00216965">
        <w:fldChar w:fldCharType="begin" w:fldLock="1"/>
      </w:r>
      <w:r w:rsidR="00F56BD7" w:rsidRPr="00216965">
        <w:instrText>ADDIN CSL_CITATION {"citationItems":[{"id":"ITEM-1","itemData":{"DOI":"10.2800/779710","ISBN":"9789294800954","abstract":"We cannot live without healthy land and soil. It is on land that we produce most of our food and we build our homes. For all species — animals and plants living on land or water — land is vital. Soil — one of the essential components of land — is a very complex and often undervalued element, teeming with life. Unfortunately, the way we currently use land and soil in Europe and in the world is not sustainable. This has significant impacts on life on land.","author":[{"dropping-particle":"","family":"Bruyninckx","given":"Hans","non-dropping-particle":"","parse-names":false,"suffix":""}],"container-title":"EEA Signals 2019","id":"ITEM-1","issued":{"date-parts":[["2019"]]},"number-of-pages":"1-60","publisher-place":"Copenhagen","title":"Land and soil in Europe. Why we need to use these vital and finite resources sustainably","type":"report"},"uris":["http://www.mendeley.com/documents/?uuid=40840e4a-6244-4082-941b-f9b5e4e9cf40"]}],"mendeley":{"formattedCitation":"(Bruyninckx, 2019)","plainTextFormattedCitation":"(Bruyninckx, 2019)","previouslyFormattedCitation":"(Bruyninckx, 2019)"},"properties":{"noteIndex":0},"schema":"https://github.com/citation-style-language/schema/raw/master/csl-citation.json"}</w:instrText>
      </w:r>
      <w:r w:rsidRPr="00216965">
        <w:fldChar w:fldCharType="separate"/>
      </w:r>
      <w:r w:rsidR="00330A4F" w:rsidRPr="00216965">
        <w:rPr>
          <w:noProof/>
        </w:rPr>
        <w:t>(Bruyninckx, 2019)</w:t>
      </w:r>
      <w:r w:rsidRPr="00216965">
        <w:fldChar w:fldCharType="end"/>
      </w:r>
      <w:r w:rsidRPr="00216965">
        <w:t xml:space="preserve">, but once contamination exceeds a certain threshold, the soil may be considered ‘functionally dead’ due to damage to the soil microbial community </w:t>
      </w:r>
      <w:r w:rsidRPr="00216965">
        <w:fldChar w:fldCharType="begin" w:fldLock="1"/>
      </w:r>
      <w:r w:rsidR="006C06AA" w:rsidRPr="00216965">
        <w:instrText>ADDIN CSL_CITATION {"citationItems":[{"id":"ITEM-1","itemData":{"DOI":"10.1080/00380768.2018.1440938","abstract":"Today, soil metal pollution has become a significant environmental issue of great public concern. This is because soil is both a major sink for heavy metal(loid)s (HMs) released into the environmen...","author":[{"dropping-particle":"","family":"Lwin","given":"Chaw Su","non-dropping-particle":"","parse-names":false,"suffix":""},{"dropping-particle":"","family":"Seo","given":"Byoung-Hwan","non-dropping-particle":"","parse-names":false,"suffix":""},{"dropping-particle":"","family":"Kim","given":"Hyun-Uk","non-dropping-particle":"","parse-names":false,"suffix":""},{"dropping-particle":"","family":"Owens","given":"Gary","non-dropping-particle":"","parse-names":false,"suffix":""},{"dropping-particle":"","family":"Kim","given":"Kwon-Rae","non-dropping-particle":"","parse-names":false,"suffix":""}],"container-title":"Soil Science and Plant Nutrition","id":"ITEM-1","issue":"2","issued":{"date-parts":[["2018","3","4"]]},"page":"156-167","publisher":"Taylor &amp; Francis","title":"Application of soil amendments to contaminated soils for heavy metal immobilization and improved soil quality—a critical review","type":"article-journal","volume":"64"},"uris":["http://www.mendeley.com/documents/?uuid=17ed8760-d4cc-39de-a1f3-15083d192e3b"]}],"mendeley":{"formattedCitation":"(Lwin et al., 2018)","plainTextFormattedCitation":"(Lwin et al., 2018)","previouslyFormattedCitation":"(Lwin et al., 2018)"},"properties":{"noteIndex":0},"schema":"https://github.com/citation-style-language/schema/raw/master/csl-citation.json"}</w:instrText>
      </w:r>
      <w:r w:rsidRPr="00216965">
        <w:fldChar w:fldCharType="separate"/>
      </w:r>
      <w:r w:rsidR="00C83E62" w:rsidRPr="00216965">
        <w:rPr>
          <w:noProof/>
        </w:rPr>
        <w:t>(Lwin et al., 2018)</w:t>
      </w:r>
      <w:r w:rsidRPr="00216965">
        <w:fldChar w:fldCharType="end"/>
      </w:r>
      <w:r w:rsidRPr="00216965">
        <w:t xml:space="preserve">. Therefore, holistic remediation technologies are required, to reduce metal concentrations and simultaneously improve soil functioning. </w:t>
      </w:r>
    </w:p>
    <w:p w14:paraId="06143937" w14:textId="2EA1D04D" w:rsidR="00554933" w:rsidRPr="00216965" w:rsidRDefault="00B45740" w:rsidP="008A33DA">
      <w:pPr>
        <w:spacing w:line="360" w:lineRule="auto"/>
        <w:jc w:val="both"/>
      </w:pPr>
      <w:r w:rsidRPr="00216965">
        <w:rPr>
          <w:i/>
        </w:rPr>
        <w:t>In situ</w:t>
      </w:r>
      <w:r w:rsidRPr="00216965">
        <w:t xml:space="preserve"> chemical stabilisation of metals in soil by the addition of suitable amendments can be relatively low cost and facilitates the treatment of large areas of contaminated land </w:t>
      </w:r>
      <w:r w:rsidRPr="00216965">
        <w:fldChar w:fldCharType="begin" w:fldLock="1"/>
      </w:r>
      <w:r w:rsidR="006C06AA" w:rsidRPr="00216965">
        <w:instrText>ADDIN CSL_CITATION {"citationItems":[{"id":"ITEM-1","itemData":{"DOI":"10.1007/s11356-016-7250-8","ISSN":"16147499","abstract":"Remediation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Research","id":"ITEM-1","issue":"20","issued":{"date-parts":[["2016"]]},"page":"20619-20627","publisher":"Environmental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properties","type":"article-journal","volume":"23"},"uris":["http://www.mendeley.com/documents/?uuid=4f6b4466-61da-4665-bb63-c0b88ebc42c0"]}],"mendeley":{"formattedCitation":"(Venegas et al., 2016)","plainTextFormattedCitation":"(Venegas et al., 2016)","previouslyFormattedCitation":"(Venegas et al., 2016)"},"properties":{"noteIndex":0},"schema":"https://github.com/citation-style-language/schema/raw/master/csl-citation.json"}</w:instrText>
      </w:r>
      <w:r w:rsidRPr="00216965">
        <w:fldChar w:fldCharType="separate"/>
      </w:r>
      <w:r w:rsidR="001974AA" w:rsidRPr="00216965">
        <w:rPr>
          <w:noProof/>
        </w:rPr>
        <w:t>(Venegas et al., 2016)</w:t>
      </w:r>
      <w:r w:rsidRPr="00216965">
        <w:fldChar w:fldCharType="end"/>
      </w:r>
      <w:r w:rsidRPr="00216965">
        <w:t xml:space="preserve">. Of the numerous amendment materials used for </w:t>
      </w:r>
      <w:r w:rsidRPr="00216965">
        <w:rPr>
          <w:i/>
        </w:rPr>
        <w:t>in situ</w:t>
      </w:r>
      <w:r w:rsidRPr="00216965">
        <w:t xml:space="preserve"> stabilization of HMs, biochar has proven to be successful at immobilizing and reducing the bioavailability of HMs, hence restoring chemical, physical, biological and ecological functionality of soil </w:t>
      </w:r>
      <w:r w:rsidRPr="00216965">
        <w:fldChar w:fldCharType="begin" w:fldLock="1"/>
      </w:r>
      <w:r w:rsidR="006C06AA" w:rsidRPr="00216965">
        <w:instrText>ADDIN CSL_CITATION {"citationItems":[{"id":"ITEM-1","itemData":{"DOI":"10.1016/j.scitotenv.2020.137852","ISSN":"18791026","PMID":"32213438","abstract":"Soils in intensively farmed areas of the world are prone to degradation. Amendment of such soils with organic waste materials attempts to restore soil quality. Organic amendments are heterogeneous media, which are a source of soil organic matter (SOM) and maintain or restore chemical, physical, biological and ecological functionality. More specifically, an increase in SOM can influence the soil microclimate, microbial community structure, biomass turnover and mineralisation of nutrients. The search is on-going for locally sourced alternatives as many forms may be costly or geographically limiting. The present review focuses on a heterogeneous group of amendments i.e. biochar and brown coal waste (BCW). Both biochar (made from a variety of feedstocks at various temperatures) and BCW (mined extensively) are options that have worldwide applicability. These materials have very high C contents and soil stability, therefore can be used for long-term C sequestration to abate greenhouse gas emissions and as conditioners to improve soil quality. However, biochar is costly for large-scale applications and BCW may have inherently high moisture and pollutant contents. Future studies should focus on the long-term application of these amendments and determine the physicochemical properties of the soil, bioavailability of soil contaminants, diversity of soil communities and productivity of selected crops. Furthermore, the development of in situ technologies to lower production and processing costs of biochar and BCW would improve their economic feasibility for large-scale application.","author":[{"dropping-particle":"","family":"Amoah-Antwi","given":"Collins","non-dropping-particle":"","parse-names":false,"suffix":""},{"dropping-particle":"","family":"Kwiatkowska-Malina","given":"Jolanta","non-dropping-particle":"","parse-names":false,"suffix":""},{"dropping-particle":"","family":"Thornton","given":"Steven F.","non-dropping-particle":"","parse-names":false,"suffix":""},{"dropping-particle":"","family":"Fenton","given":"Owen","non-dropping-particle":"","parse-names":false,"suffix":""},{"dropping-particle":"","family":"Malina","given":"Grzegorz","non-dropping-particle":"","parse-names":false,"suffix":""},{"dropping-particle":"","family":"Szara","given":"Ewa","non-dropping-particle":"","parse-names":false,"suffix":""}],"container-title":"Science of the Total Environment","id":"ITEM-1","issued":{"date-parts":[["2020","6","20"]]},"page":"137852","publisher":"Elsevier B.V.","title":"Restoration of soil quality using biochar and brown coal waste: A review","type":"article-journal","volume":"722"},"uris":["http://www.mendeley.com/documents/?uuid=b4280b74-e92b-39fe-b8c8-ba1a4b98eee6"]},{"id":"ITEM-2","itemData":{"DOI":"10.1039/c5ra04834f","ISSN":"20462069","abstract":"Biochar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Advances","id":"ITEM-2","issue":"44","issued":{"date-parts":[["2015"]]},"page":"34541-34548","publisher":"Royal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soil","type":"article-journal","volume":"5"},"uris":["http://www.mendeley.com/documents/?uuid=ebb20dbb-cbd3-3e20-a001-a39f6f139234"]}],"mendeley":{"formattedCitation":"(Collins Amoah-Antwi et al., 2020; Zeng et al., 2015)","manualFormatting":"(Zeng et al., 2015; Amoah-Antwi et al., 2020)","plainTextFormattedCitation":"(Collins Amoah-Antwi et al., 2020; Zeng et al., 2015)","previouslyFormattedCitation":"(Collins Amoah-Antwi et al., 2020; Zeng et al., 2015)"},"properties":{"noteIndex":0},"schema":"https://github.com/citation-style-language/schema/raw/master/csl-citation.json"}</w:instrText>
      </w:r>
      <w:r w:rsidRPr="00216965">
        <w:fldChar w:fldCharType="separate"/>
      </w:r>
      <w:r w:rsidRPr="00216965">
        <w:rPr>
          <w:noProof/>
        </w:rPr>
        <w:t xml:space="preserve">(Zeng </w:t>
      </w:r>
      <w:r w:rsidRPr="00216965">
        <w:rPr>
          <w:iCs/>
          <w:noProof/>
        </w:rPr>
        <w:t>et al</w:t>
      </w:r>
      <w:r w:rsidRPr="00216965">
        <w:rPr>
          <w:i/>
          <w:noProof/>
        </w:rPr>
        <w:t>.</w:t>
      </w:r>
      <w:r w:rsidRPr="00216965">
        <w:rPr>
          <w:noProof/>
        </w:rPr>
        <w:t xml:space="preserve">, 2015; Amoah-Antwi </w:t>
      </w:r>
      <w:r w:rsidRPr="00216965">
        <w:rPr>
          <w:iCs/>
          <w:noProof/>
        </w:rPr>
        <w:t>et al</w:t>
      </w:r>
      <w:r w:rsidRPr="00216965">
        <w:rPr>
          <w:i/>
          <w:noProof/>
        </w:rPr>
        <w:t>.</w:t>
      </w:r>
      <w:r w:rsidRPr="00216965">
        <w:rPr>
          <w:noProof/>
        </w:rPr>
        <w:t>, 2020)</w:t>
      </w:r>
      <w:r w:rsidRPr="00216965">
        <w:fldChar w:fldCharType="end"/>
      </w:r>
      <w:r w:rsidRPr="00216965">
        <w:t xml:space="preserve">. Biochar can reduce the environmental bioavailability of metal ions in soil through a variety of adsorption, complexation, precipitation, and redox reactions and decrease the toxicity of soil contaminants to soil microbes </w:t>
      </w:r>
      <w:r w:rsidRPr="00216965">
        <w:fldChar w:fldCharType="begin" w:fldLock="1"/>
      </w:r>
      <w:r w:rsidR="006C06AA" w:rsidRPr="00216965">
        <w:instrText>ADDIN CSL_CITATION {"citationItems":[{"id":"ITEM-1","itemData":{"DOI":"10.1080/00380768.2018.1440938","abstract":"Today, soil metal pollution has become a significant environmental issue of great public concern. This is because soil is both a major sink for heavy metal(loid)s (HMs) released into the environmen...","author":[{"dropping-particle":"","family":"Lwin","given":"Chaw Su","non-dropping-particle":"","parse-names":false,"suffix":""},{"dropping-particle":"","family":"Seo","given":"Byoung-Hwan","non-dropping-particle":"","parse-names":false,"suffix":""},{"dropping-particle":"","family":"Kim","given":"Hyun-Uk","non-dropping-particle":"","parse-names":false,"suffix":""},{"dropping-particle":"","family":"Owens","given":"Gary","non-dropping-particle":"","parse-names":false,"suffix":""},{"dropping-particle":"","family":"Kim","given":"Kwon-Rae","non-dropping-particle":"","parse-names":false,"suffix":""}],"container-title":"Soil Science and Plant Nutrition","id":"ITEM-1","issue":"2","issued":{"date-parts":[["2018","3","4"]]},"page":"156-167","publisher":"Taylor &amp; Francis","title":"Application of soil amendments to contaminated soils for heavy metal immobilization and improved soil quality—a critical review","type":"article-journal","volume":"64"},"uris":["http://www.mendeley.com/documents/?uuid=17ed8760-d4cc-39de-a1f3-15083d192e3b"]},{"id":"ITEM-2","itemData":{"DOI":"10.1016/j.envpol.2017.04.032","ISSN":"0269-7491","author":[{"dropping-particle":"","family":"Zhu","given":"Xiaomin","non-dropping-particle":"","parse-names":false,"suffix":""},{"dropping-particle":"","family":"Chen","given":"Baoliang","non-dropping-particle":"","parse-names":false,"suffix":""},{"dropping-particle":"","family":"Zhu","given":"Lizhong","non-dropping-particle":"","parse-names":false,"suffix":""},{"dropping-particle":"","family":"Xing","given":"Baoshan","non-dropping-particle":"","parse-names":false,"suffix":""}],"container-title":"Environmental Pollution","id":"ITEM-2","issued":{"date-parts":[["2017"]]},"page":"98-115","publisher":"Elsevier Ltd","title":"Effects and mechanisms of biochar-microbe interactions in soil improvement and pollution remediation : A review","type":"article-journal","volume":"227"},"uris":["http://www.mendeley.com/documents/?uuid=41515b99-fc1c-4f72-9ae6-b7e4c1fe0bc1"]}],"mendeley":{"formattedCitation":"(Lwin et al., 2018; Zhu et al., 2017)","plainTextFormattedCitation":"(Lwin et al., 2018; Zhu et al., 2017)","previouslyFormattedCitation":"(Lwin et al., 2018; Zhu et al., 2017)"},"properties":{"noteIndex":0},"schema":"https://github.com/citation-style-language/schema/raw/master/csl-citation.json"}</w:instrText>
      </w:r>
      <w:r w:rsidRPr="00216965">
        <w:fldChar w:fldCharType="separate"/>
      </w:r>
      <w:r w:rsidR="001974AA" w:rsidRPr="00216965">
        <w:rPr>
          <w:noProof/>
        </w:rPr>
        <w:t>(Lwin et al., 2018; Zhu et al., 2017)</w:t>
      </w:r>
      <w:r w:rsidRPr="00216965">
        <w:fldChar w:fldCharType="end"/>
      </w:r>
      <w:r w:rsidRPr="00216965">
        <w:t xml:space="preserve">. </w:t>
      </w:r>
    </w:p>
    <w:p w14:paraId="3AA285AE" w14:textId="3141F72D" w:rsidR="00B45740" w:rsidRPr="00216965" w:rsidRDefault="00B45740" w:rsidP="008A33DA">
      <w:pPr>
        <w:spacing w:line="360" w:lineRule="auto"/>
        <w:jc w:val="both"/>
      </w:pPr>
      <w:r w:rsidRPr="00216965">
        <w:t xml:space="preserve">Recently, it has been proposed that mixing biochar and compost could improve the effectiveness of biochar for HM immobilization </w:t>
      </w:r>
      <w:r w:rsidRPr="00216965">
        <w:fldChar w:fldCharType="begin" w:fldLock="1"/>
      </w:r>
      <w:r w:rsidR="006C06AA" w:rsidRPr="00216965">
        <w:instrText>ADDIN CSL_CITATION {"citationItems":[{"id":"ITEM-1","itemData":{"DOI":"10.1039/c5ra04834f","ISSN":"20462069","abstract":"Biochar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Advances","id":"ITEM-1","issue":"44","issued":{"date-parts":[["2015"]]},"page":"34541-34548","publisher":"Royal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soil","type":"article-journal","volume":"5"},"uris":["http://www.mendeley.com/documents/?uuid=ebb20dbb-cbd3-3e20-a001-a39f6f139234"]},{"id":"ITEM-2","itemData":{"DOI":"10.1007/s11356-017-9168-1","abstract":"Biochar is produced by pyrolysis of biomass resi-dues under limited oxygen conditions. In recent years, biochar as an amendment has received increasing attention on composting and soil remediation, due to its unique properties such as chemical recalcitrance, high porosity and sorption capacity, and large surface area. This paper provides an over-view on the impact of biochar on the chemical characteristics (greenhouse gas emissions, nitrogen loss, decomposition and humification of organic matter) and microbial community structure during composting of organic wastes. This review also discusses the use of biochar for remediation of soils con-taminated with organic pollutants and heavy metals as well as related mechanisms. Besides its aging, the effects of biochar on the environment fate and efficacy of pesticides deserve special attention. Moreover, the combined application of bio-char and compost affects synergistically on soil remediation and plant growth. Future research needs are identified to en-sure a wide application of biochar in composting and soil remediation.","author":[{"dropping-particle":"","family":"Wu","given":"Shaohua","non-dropping-particle":"","parse-names":false,"suffix":""},{"dropping-particle":"","family":"He","given":"Huijun","non-dropping-particle":"","parse-names":false,"suffix":""},{"dropping-particle":"","family":"Inthapanya","given":"Xayanto","non-dropping-particle":"","parse-names":false,"suffix":""},{"dropping-particle":"","family":"Yang","given":"Chunping","non-dropping-particle":"","parse-names":false,"suffix":""},{"dropping-particle":"","family":"Lu","given":"Li","non-dropping-particle":"","parse-names":false,"suffix":""},{"dropping-particle":"","family":"Zeng","given":"Guangming","non-dropping-particle":"","parse-names":false,"suffix":""},{"dropping-particle":"","family":"Han","given":"Zhenfeng","non-dropping-particle":"","parse-names":false,"suffix":""}],"container-title":"Environmental Science and Pollution Research","id":"ITEM-2","issued":{"date-parts":[["2017"]]},"page":"16560–16577","title":"Role of biochar on composting of organic wastes and remediation of contaminated soils—a review","type":"article-journal","volume":"24"},"uris":["http://www.mendeley.com/documents/?uuid=dc76175f-7e5b-3b14-bee9-a58ccff761a8"]}],"mendeley":{"formattedCitation":"(S. Wu et al., 2017; Zeng et al., 2015)","plainTextFormattedCitation":"(S. Wu et al., 2017; Zeng et al., 2015)","previouslyFormattedCitation":"(S. Wu et al., 2017; Zeng et al., 2015)"},"properties":{"noteIndex":0},"schema":"https://github.com/citation-style-language/schema/raw/master/csl-citation.json"}</w:instrText>
      </w:r>
      <w:r w:rsidRPr="00216965">
        <w:fldChar w:fldCharType="separate"/>
      </w:r>
      <w:r w:rsidR="001974AA" w:rsidRPr="00216965">
        <w:rPr>
          <w:noProof/>
        </w:rPr>
        <w:t>(S. Wu et al., 2017; Zeng et al., 2015)</w:t>
      </w:r>
      <w:r w:rsidRPr="00216965">
        <w:fldChar w:fldCharType="end"/>
      </w:r>
      <w:r w:rsidRPr="00216965">
        <w:t xml:space="preserve">. The addition of organic material, such as compost, plays an important role in determining HM availability, through changes in soil chemical properties and metal-chelating ability. </w:t>
      </w:r>
      <w:r w:rsidRPr="00216965">
        <w:lastRenderedPageBreak/>
        <w:t xml:space="preserve">This favours the complexation of HMs and reduces metal bioavailability in soil </w:t>
      </w:r>
      <w:r w:rsidRPr="00216965">
        <w:fldChar w:fldCharType="begin" w:fldLock="1"/>
      </w:r>
      <w:r w:rsidR="006C06AA" w:rsidRPr="00216965">
        <w:instrText>ADDIN CSL_CITATION {"citationItems":[{"id":"ITEM-1","itemData":{"DOI":"10.1007/s11356-012-1439-2","ISBN":"1135601214392","ISSN":"09441344","PMID":"23292226","abstract":"The addition of organic matter in soil can modify the bioavailability of heavy metals. A greenhouse pot experiment was carried out using an edible plant species Eruca vesicaria L. Cavalieri grown on an artificially contaminated soil with Zn (665 mg kg(-1)). In this study, the effect of compost at 20 t ha(-1) (C20) and at 60 t ha(-1) (C60), manure at 10 t ha(-1) (M10) and at 30 t ha(-1) (M30), and chemical fertilizers (NPK) on Zn fate in a soil-plant system was evaluated. At the end of the experiment, the main growth parameters and Zn content in plants were determined. In addition, Zn speciation in the soil was assessed using the original Community Bureau of Reference sequential extraction and diethylene triamine pentaacetic acid extraction. Zinc, though an essential element for plant growth, caused toxicity effects in plants grown on control and manure treatments, while in the compost treatments, plants showed no visual toxicity symptoms. The concentrations of Zn in roots were similar for all treatments, while significant differences were observed for shoots. In fact, in the compost treatments, plants showed the lowest Zn concentration in shoots. Zinc speciation seems not to be affected by the applied treatments. Indeed, Zn plant content and translocation to shoots seems to be affected. Compost amendments significantly reduced Zn content and translocation in comparison to other treatments.","author":[{"dropping-particle":"","family":"Chami","given":"Ziad","non-dropping-particle":"Al","parse-names":false,"suffix":""},{"dropping-particle":"","family":"Cavoski","given":"Ivana","non-dropping-particle":"","parse-names":false,"suffix":""},{"dropping-particle":"","family":"Mondelli","given":"Donato","non-dropping-particle":"","parse-names":false,"suffix":""},{"dropping-particle":"","family":"Miano","given":"Teodoro","non-dropping-particle":"","parse-names":false,"suffix":""}],"container-title":"Environmental Science and Pollution Research","id":"ITEM-1","issue":"7","issued":{"date-parts":[["2013"]]},"page":"4766-4776","title":"Effect of compost and manure amendments on zinc soil speciation, plant content, and translocation in an artificially contaminated soil","type":"article-journal","volume":"20"},"uris":["http://www.mendeley.com/documents/?uuid=d785e606-09d5-41f1-a2f6-3b0611bdaaad"]}],"mendeley":{"formattedCitation":"(Al Chami et al., 2013)","plainTextFormattedCitation":"(Al Chami et al., 2013)","previouslyFormattedCitation":"(Al Chami et al., 2013)"},"properties":{"noteIndex":0},"schema":"https://github.com/citation-style-language/schema/raw/master/csl-citation.json"}</w:instrText>
      </w:r>
      <w:r w:rsidRPr="00216965">
        <w:fldChar w:fldCharType="separate"/>
      </w:r>
      <w:r w:rsidR="00C83E62" w:rsidRPr="00216965">
        <w:rPr>
          <w:noProof/>
        </w:rPr>
        <w:t>(Al Chami et al., 2013)</w:t>
      </w:r>
      <w:r w:rsidRPr="00216965">
        <w:fldChar w:fldCharType="end"/>
      </w:r>
      <w:r w:rsidRPr="00216965">
        <w:t xml:space="preserve">. Compost can also ameliorate ecological functionality and improve the physical and chemical properties of degraded soils </w:t>
      </w:r>
      <w:r w:rsidRPr="00216965">
        <w:fldChar w:fldCharType="begin" w:fldLock="1"/>
      </w:r>
      <w:r w:rsidR="006C06AA" w:rsidRPr="00216965">
        <w:instrText>ADDIN CSL_CITATION {"citationItems":[{"id":"ITEM-1","itemData":{"DOI":"10.1007/s11270-021-05356-0","ISBN":"0123456789","abstract":"Cd was not reduced, but even slightly increased. Soil washing did not affect plant productivity and organic amendments improved biomass production.","author":[{"dropping-particle":"","family":"Noller","given":"Christoph","non-dropping-particle":"","parse-names":false,"suffix":""},{"dropping-particle":"","family":"Friesl-Hanl","given":"Wolfgang","non-dropping-particle":"","parse-names":false,"suffix":""},{"dropping-particle":"","family":"Hood-Nowotny","given":"Rebecca","non-dropping-particle":"","parse-names":false,"suffix":""},{"dropping-particle":"","family":"Puschenreiter","given":"Markus","non-dropping-particle":"","parse-names":false,"suffix":""},{"dropping-particle":"","family":"Watzinger","given":"Andrea","non-dropping-particle":"","parse-names":false,"suffix":""}],"container-title":"Water, Air, and Soil Pollution","id":"ITEM-1","issue":"405","issued":{"date-parts":[["2021"]]},"page":"1-14","title":"Effect of chelant-based soil washing and post-treatment on Pb, Cd, and Zn bioavailability and plant uptake","type":"article-journal","volume":"232"},"uris":["http://www.mendeley.com/documents/?uuid=04f30d5d-9354-3925-a8be-b8cd3d1c8f7a"]},{"id":"ITEM-2","itemData":{"DOI":"10.1016/j.scitotenv.2020.137852","ISSN":"18791026","PMID":"32213438","abstract":"Soils in intensively farmed areas of the world are prone to degradation. Amendment of such soils with organic waste materials attempts to restore soil quality. Organic amendments are heterogeneous media, which are a source of soil organic matter (SOM) and maintain or restore chemical, physical, biological and ecological functionality. More specifically, an increase in SOM can influence the soil microclimate, microbial community structure, biomass turnover and mineralisation of nutrients. The search is on-going for locally sourced alternatives as many forms may be costly or geographically limiting. The present review focuses on a heterogeneous group of amendments i.e. biochar and brown coal waste (BCW). Both biochar (made from a variety of feedstocks at various temperatures) and BCW (mined extensively) are options that have worldwide applicability. These materials have very high C contents and soil stability, therefore can be used for long-term C sequestration to abate greenhouse gas emissions and as conditioners to improve soil quality. However, biochar is costly for large-scale applications and BCW may have inherently high moisture and pollutant contents. Future studies should focus on the long-term application of these amendments and determine the physicochemical properties of the soil, bioavailability of soil contaminants, diversity of soil communities and productivity of selected crops. Furthermore, the development of in situ technologies to lower production and processing costs of biochar and BCW would improve their economic feasibility for large-scale application.","author":[{"dropping-particle":"","family":"Amoah-Antwi","given":"Collins","non-dropping-particle":"","parse-names":false,"suffix":""},{"dropping-particle":"","family":"Kwiatkowska-Malina","given":"Jolanta","non-dropping-particle":"","parse-names":false,"suffix":""},{"dropping-particle":"","family":"Thornton","given":"Steven F.","non-dropping-particle":"","parse-names":false,"suffix":""},{"dropping-particle":"","family":"Fenton","given":"Owen","non-dropping-particle":"","parse-names":false,"suffix":""},{"dropping-particle":"","family":"Malina","given":"Grzegorz","non-dropping-particle":"","parse-names":false,"suffix":""},{"dropping-particle":"","family":"Szara","given":"Ewa","non-dropping-particle":"","parse-names":false,"suffix":""}],"container-title":"Science of the Total Environment","id":"ITEM-2","issued":{"date-parts":[["2020","6","20"]]},"page":"137852","publisher":"Elsevier B.V.","title":"Restoration of soil quality using biochar and brown coal waste: A review","type":"article-journal","volume":"722"},"uris":["http://www.mendeley.com/documents/?uuid=b4280b74-e92b-39fe-b8c8-ba1a4b98eee6"]}],"mendeley":{"formattedCitation":"(Collins Amoah-Antwi et al., 2020; Noller et al., 2021)","manualFormatting":"(Amoah-Antwi et al., 2020; Noller et al., 2021)","plainTextFormattedCitation":"(Collins Amoah-Antwi et al., 2020; Noller et al., 2021)","previouslyFormattedCitation":"(Collins Amoah-Antwi et al., 2020; Noller et al., 2021)"},"properties":{"noteIndex":0},"schema":"https://github.com/citation-style-language/schema/raw/master/csl-citation.json"}</w:instrText>
      </w:r>
      <w:r w:rsidRPr="00216965">
        <w:fldChar w:fldCharType="separate"/>
      </w:r>
      <w:r w:rsidRPr="00216965">
        <w:rPr>
          <w:noProof/>
        </w:rPr>
        <w:t xml:space="preserve">(Amoah-Antwi </w:t>
      </w:r>
      <w:r w:rsidRPr="00216965">
        <w:rPr>
          <w:iCs/>
          <w:noProof/>
        </w:rPr>
        <w:t>et al</w:t>
      </w:r>
      <w:r w:rsidRPr="00216965">
        <w:rPr>
          <w:i/>
          <w:noProof/>
        </w:rPr>
        <w:t>.</w:t>
      </w:r>
      <w:r w:rsidRPr="00216965">
        <w:rPr>
          <w:noProof/>
        </w:rPr>
        <w:t xml:space="preserve">, 2020; Noller </w:t>
      </w:r>
      <w:r w:rsidRPr="00216965">
        <w:rPr>
          <w:iCs/>
          <w:noProof/>
        </w:rPr>
        <w:t>et al</w:t>
      </w:r>
      <w:r w:rsidRPr="00216965">
        <w:rPr>
          <w:i/>
          <w:noProof/>
        </w:rPr>
        <w:t>.</w:t>
      </w:r>
      <w:r w:rsidRPr="00216965">
        <w:rPr>
          <w:noProof/>
        </w:rPr>
        <w:t>, 2021)</w:t>
      </w:r>
      <w:r w:rsidRPr="00216965">
        <w:fldChar w:fldCharType="end"/>
      </w:r>
      <w:r w:rsidRPr="00216965">
        <w:t xml:space="preserve">, which often increases soil microbial activity </w:t>
      </w:r>
      <w:r w:rsidRPr="00216965">
        <w:fldChar w:fldCharType="begin" w:fldLock="1"/>
      </w:r>
      <w:r w:rsidR="006C06AA" w:rsidRPr="00216965">
        <w:instrText>ADDIN CSL_CITATION {"citationItems":[{"id":"ITEM-1","itemData":{"DOI":"10.1016/j.geoderma.2017.09.009","ISSN":"00167061","abstract":"Extreme soil degradation is one of the most serious problems affecting dryland ecosystem health and agricultural production globally. This study was conducted to investigate the potential for using woody amendments to improve soil moisture availability, soil microbial activity, soil fertility, and plant growth in desertified soils in Ningxia, China. Soil amendments of wood chips derived from tree branches of four readily available tree species (poplar, elm, pagoda tree, and grapevine), were evaluated and compared with more commonly used wheat straw, rice husks, and cow manure, using replicated microcosm experiments. Different types, concentrations, and application techniques of woody and non-woody organic amendments were compared for their impacts on soil moisture, soil chemistry, microbial activity, and plant growth. The treatments with woody organic materials incorporated into the soil consistently demonstrated an improvement in soil water status, increased organic C content, and improved soil fertility, and also resulted in enhanced microbial activity, and wheat growth. Although surface mulch increased soil water storage and enhanced wheat growth, it did not effectively improve soil microbial activity as compared with wood incorporated into the soil. Differences in placement and type of amendment differ markedly in their effects on physical, chemical and biological soil responses. A combination of 5% poplar wood chips incorporated into the soil with a lattice of twigs over the soil was ideal for simultaneously maximizing soil water availability, encouraging microbial activity, and maximizing wheat yield. In conclusion, woody materials from locally available trees can serve as a valuable amendment for desertified soils in Ningxia and other places of Northern China by increasing rainfall capture, reducing irrigation demand, improving soil health and promoting higher crop yields.","author":[{"dropping-particle":"","family":"Li","given":"Zhigang","non-dropping-particle":"","parse-names":false,"suffix":""},{"dropping-particle":"","family":"Schneider","given":"Rebecca L.","non-dropping-particle":"","parse-names":false,"suffix":""},{"dropping-particle":"","family":"Morreale","given":"Stephen J.","non-dropping-particle":"","parse-names":false,"suffix":""},{"dropping-particle":"","family":"Xie","given":"Yingzhong","non-dropping-particle":"","parse-names":false,"suffix":""},{"dropping-particle":"","family":"Li","given":"Changxiao","non-dropping-particle":"","parse-names":false,"suffix":""},{"dropping-particle":"","family":"Li","given":"Jian","non-dropping-particle":"","parse-names":false,"suffix":""}],"container-title":"Geoderma","id":"ITEM-1","issue":"September 2017","issued":{"date-parts":[["2018"]]},"page":"143-152","publisher":"Elsevier","title":"Woody organic amendments for retaining soil water, improving soil properties and enhancing plant growth in desertified soils of Ningxia, China","type":"article-journal","volume":"310"},"uris":["http://www.mendeley.com/documents/?uuid=a63e6deb-b307-46ac-a9cb-bab3a6347d8e"]}],"mendeley":{"formattedCitation":"(Li et al., 2018)","plainTextFormattedCitation":"(Li et al., 2018)","previouslyFormattedCitation":"(Li et al., 2018)"},"properties":{"noteIndex":0},"schema":"https://github.com/citation-style-language/schema/raw/master/csl-citation.json"}</w:instrText>
      </w:r>
      <w:r w:rsidRPr="00216965">
        <w:fldChar w:fldCharType="separate"/>
      </w:r>
      <w:r w:rsidR="00C83E62" w:rsidRPr="00216965">
        <w:rPr>
          <w:noProof/>
        </w:rPr>
        <w:t>(Li et al., 2018)</w:t>
      </w:r>
      <w:r w:rsidRPr="00216965">
        <w:fldChar w:fldCharType="end"/>
      </w:r>
      <w:r w:rsidRPr="00216965">
        <w:t xml:space="preserve">. The combined application of compost and biochar as soil amendments is inexpensive and sustainable, providing synergistic effects on soil remediation, plant growth and microbial processes </w:t>
      </w:r>
      <w:r w:rsidRPr="00216965">
        <w:fldChar w:fldCharType="begin" w:fldLock="1"/>
      </w:r>
      <w:r w:rsidR="006C06AA" w:rsidRPr="00216965">
        <w:instrText>ADDIN CSL_CITATION {"citationItems":[{"id":"ITEM-1","itemData":{"DOI":"10.1007/s11356-017-9168-1","abstract":"Biochar is produced by pyrolysis of biomass resi-dues under limited oxygen conditions. In recent years, biochar as an amendment has received increasing attention on composting and soil remediation, due to its unique properties such as chemical recalcitrance, high porosity and sorption capacity, and large surface area. This paper provides an over-view on the impact of biochar on the chemical characteristics (greenhouse gas emissions, nitrogen loss, decomposition and humification of organic matter) and microbial community structure during composting of organic wastes. This review also discusses the use of biochar for remediation of soils con-taminated with organic pollutants and heavy metals as well as related mechanisms. Besides its aging, the effects of biochar on the environment fate and efficacy of pesticides deserve special attention. Moreover, the combined application of bio-char and compost affects synergistically on soil remediation and plant growth. Future research needs are identified to en-sure a wide application of biochar in composting and soil remediation.","author":[{"dropping-particle":"","family":"Wu","given":"Shaohua","non-dropping-particle":"","parse-names":false,"suffix":""},{"dropping-particle":"","family":"He","given":"Huijun","non-dropping-particle":"","parse-names":false,"suffix":""},{"dropping-particle":"","family":"Inthapanya","given":"Xayanto","non-dropping-particle":"","parse-names":false,"suffix":""},{"dropping-particle":"","family":"Yang","given":"Chunping","non-dropping-particle":"","parse-names":false,"suffix":""},{"dropping-particle":"","family":"Lu","given":"Li","non-dropping-particle":"","parse-names":false,"suffix":""},{"dropping-particle":"","family":"Zeng","given":"Guangming","non-dropping-particle":"","parse-names":false,"suffix":""},{"dropping-particle":"","family":"Han","given":"Zhenfeng","non-dropping-particle":"","parse-names":false,"suffix":""}],"container-title":"Environmental Science and Pollution Research","id":"ITEM-1","issued":{"date-parts":[["2017"]]},"page":"16560–16577","title":"Role of biochar on composting of organic wastes and remediation of contaminated soils—a review","type":"article-journal","volume":"24"},"uris":["http://www.mendeley.com/documents/?uuid=dc76175f-7e5b-3b14-bee9-a58ccff761a8"]},{"id":"ITEM-2","itemData":{"DOI":"10.3389/FMICB.2016.00372","PMID":"27092104","abstract":"Organic farming avoids the use of synthetic fertilizers and promises food production with minimal environmental impact, however this farming practice does not often result in the same productivity as conventional farming. In recent years, biochar has received increasing attention as an agricultural amendment and by coating it with minerals to form biochar-mineral complex (BMC) carbon retention and nutrient availability can be improved. However, little is known about the potential of BMC in improving organic farming. We therefore investigated here how soil, bacterial and plant properties respond to a combined treatment of BMC and an organic fertilizer, i.e., a compost based on poultry manure. In a pakchoi pot trial, BMC and compost showed synergistic effects on soil properties, and specifically by increasing nitrate content. Soil nitrate has been previously observed to increase leaf size and we correspondingly saw an increase in the surface area of pakchoi leaves under the combined treatment of BMC and composted chicken manure. The increase in soil nitrate was also correlated with an enrichment of bacterial nitrifiers due to BMC. Additionally, we observed that the bacteria present in the compost treatment had a high turnover, which likely facilitated organic matter degradation and a reduction of potential pathogens derived from the manure. Overall our results demonstrate that a combination of BMC and compost can stimulate microbial process in organic farming that result in better vegetable production and improved soil properties for sustainable farming.","author":[{"dropping-particle":"","family":"Ye","given":"Jun","non-dropping-particle":"","parse-names":false,"suffix":""},{"dropping-particle":"","family":"Zhang","given":"Rui","non-dropping-particle":"","parse-names":false,"suffix":""},{"dropping-particle":"","family":"Nielsen","given":"Shaun","non-dropping-particle":"","parse-names":false,"suffix":""},{"dropping-particle":"","family":"Joseph","given":"Stephen D.","non-dropping-particle":"","parse-names":false,"suffix":""},{"dropping-particle":"","family":"Huang","given":"Danfeng","non-dropping-particle":"","parse-names":false,"suffix":""},{"dropping-particle":"","family":"Thomas","given":"Torsten","non-dropping-particle":"","parse-names":false,"suffix":""}],"container-title":"Frontiers in Microbiology","id":"ITEM-2","issued":{"date-parts":[["2016","4","8"]]},"page":"372","publisher":"Frontiers Media SA","title":"A combination of biochar–mineral complexes and compost improves soil bacterial processes, soil quality, and plant properties","type":"article-journal","volume":"7"},"uris":["http://www.mendeley.com/documents/?uuid=04ca8dff-3049-3df7-a8ff-c638c372fd8e"]}],"mendeley":{"formattedCitation":"(S. Wu et al., 2017; Ye et al., 2016)","plainTextFormattedCitation":"(S. Wu et al., 2017; Ye et al., 2016)","previouslyFormattedCitation":"(S. Wu et al., 2017; Ye et al., 2016)"},"properties":{"noteIndex":0},"schema":"https://github.com/citation-style-language/schema/raw/master/csl-citation.json"}</w:instrText>
      </w:r>
      <w:r w:rsidRPr="00216965">
        <w:fldChar w:fldCharType="separate"/>
      </w:r>
      <w:r w:rsidR="001974AA" w:rsidRPr="00216965">
        <w:rPr>
          <w:noProof/>
        </w:rPr>
        <w:t>(S. Wu et al., 2017; Ye et al., 2016)</w:t>
      </w:r>
      <w:r w:rsidRPr="00216965">
        <w:fldChar w:fldCharType="end"/>
      </w:r>
      <w:r w:rsidRPr="00216965">
        <w:t xml:space="preserve">. However, as mentioned by </w:t>
      </w:r>
      <w:r w:rsidRPr="00216965">
        <w:fldChar w:fldCharType="begin" w:fldLock="1"/>
      </w:r>
      <w:r w:rsidR="006C06AA" w:rsidRPr="00216965">
        <w:instrText>ADDIN CSL_CITATION {"citationItems":[{"id":"ITEM-1","itemData":{"DOI":"10.1039/c5ra04834f","ISSN":"20462069","abstract":"Biochar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Advances","id":"ITEM-1","issue":"44","issued":{"date-parts":[["2015"]]},"page":"34541-34548","publisher":"Royal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soil","type":"article-journal","volume":"5"},"uris":["http://www.mendeley.com/documents/?uuid=ebb20dbb-cbd3-3e20-a001-a39f6f139234"]}],"mendeley":{"formattedCitation":"(Zeng et al., 2015)","manualFormatting":"Zeng et al. (2015)","plainTextFormattedCitation":"(Zeng et al., 2015)","previouslyFormattedCitation":"(Zeng et al., 2015)"},"properties":{"noteIndex":0},"schema":"https://github.com/citation-style-language/schema/raw/master/csl-citation.json"}</w:instrText>
      </w:r>
      <w:r w:rsidRPr="00216965">
        <w:fldChar w:fldCharType="separate"/>
      </w:r>
      <w:r w:rsidRPr="00216965">
        <w:rPr>
          <w:noProof/>
        </w:rPr>
        <w:t xml:space="preserve">Zeng </w:t>
      </w:r>
      <w:r w:rsidR="009B2252" w:rsidRPr="00216965">
        <w:rPr>
          <w:iCs/>
          <w:noProof/>
        </w:rPr>
        <w:t>et al</w:t>
      </w:r>
      <w:r w:rsidRPr="00216965">
        <w:rPr>
          <w:noProof/>
        </w:rPr>
        <w:t>. (2015)</w:t>
      </w:r>
      <w:r w:rsidRPr="00216965">
        <w:fldChar w:fldCharType="end"/>
      </w:r>
      <w:r w:rsidRPr="00216965">
        <w:t>, the interaction between biochar and compost requires further studies to maximize the potential benefits of both.</w:t>
      </w:r>
    </w:p>
    <w:p w14:paraId="466A7FB7" w14:textId="0878517D" w:rsidR="00554933" w:rsidRPr="00216965" w:rsidRDefault="00B45740" w:rsidP="008A33DA">
      <w:pPr>
        <w:spacing w:line="360" w:lineRule="auto"/>
        <w:jc w:val="both"/>
      </w:pPr>
      <w:r w:rsidRPr="00216965">
        <w:t xml:space="preserve">One uncertainty concerning the use of biochar, or combined use with compost, is the potential remobilization of HMs. For instance, </w:t>
      </w:r>
      <w:r w:rsidRPr="00216965">
        <w:fldChar w:fldCharType="begin" w:fldLock="1"/>
      </w:r>
      <w:r w:rsidR="006C06AA" w:rsidRPr="00216965">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soil","type":"article-journal","volume":"158"},"uris":["http://www.mendeley.com/documents/?uuid=82b97d1e-c40c-4f11-95c0-fbd3c838b5a9"]}],"mendeley":{"formattedCitation":"(Beesley et al., 2010)","manualFormatting":"Beesley et al. (2010)","plainTextFormattedCitation":"(Beesley et al., 2010)","previouslyFormattedCitation":"(Beesley et al., 2010)"},"properties":{"noteIndex":0},"schema":"https://github.com/citation-style-language/schema/raw/master/csl-citation.json"}</w:instrText>
      </w:r>
      <w:r w:rsidRPr="00216965">
        <w:fldChar w:fldCharType="separate"/>
      </w:r>
      <w:r w:rsidRPr="00216965">
        <w:rPr>
          <w:noProof/>
        </w:rPr>
        <w:t xml:space="preserve">Beesley </w:t>
      </w:r>
      <w:r w:rsidR="009B2252" w:rsidRPr="00216965">
        <w:rPr>
          <w:iCs/>
          <w:noProof/>
        </w:rPr>
        <w:t>et al</w:t>
      </w:r>
      <w:r w:rsidRPr="00216965">
        <w:rPr>
          <w:noProof/>
        </w:rPr>
        <w:t>. (2010)</w:t>
      </w:r>
      <w:r w:rsidRPr="00216965">
        <w:fldChar w:fldCharType="end"/>
      </w:r>
      <w:r w:rsidRPr="00216965">
        <w:t xml:space="preserve"> reported that the application of biochar and green waste compost effectively reduced Zn and Cd concentrations in soil pore water, but increased As and Cu concentrations at least 30-fold due to an increase in pH and dissolved organic carbon (DOC), especially in the treatment that combined both amendments. </w:t>
      </w:r>
    </w:p>
    <w:p w14:paraId="1AD8DEFC" w14:textId="64B16A32" w:rsidR="00554933" w:rsidRPr="00216965" w:rsidRDefault="00B45740" w:rsidP="008A33DA">
      <w:pPr>
        <w:spacing w:line="360" w:lineRule="auto"/>
        <w:jc w:val="both"/>
      </w:pPr>
      <w:r w:rsidRPr="00216965">
        <w:t xml:space="preserve">Another uncertainty concerns the fate of HM in the long term. Immobilization approaches are generally effective and low cost, but the long-term stability of a system has to be monitored constantly to prevent future environmental risks </w:t>
      </w:r>
      <w:r w:rsidRPr="00216965">
        <w:fldChar w:fldCharType="begin" w:fldLock="1"/>
      </w:r>
      <w:r w:rsidR="006C06AA" w:rsidRPr="00216965">
        <w:instrText>ADDIN CSL_CITATION {"citationItems":[{"id":"ITEM-1","itemData":{"DOI":"10.1080/00380768.2018.1440938","abstract":"Today, soil metal pollution has become a significant environmental issue of great public concern. This is because soil is both a major sink for heavy metal(loid)s (HMs) released into the environmen...","author":[{"dropping-particle":"","family":"Lwin","given":"Chaw Su","non-dropping-particle":"","parse-names":false,"suffix":""},{"dropping-particle":"","family":"Seo","given":"Byoung-Hwan","non-dropping-particle":"","parse-names":false,"suffix":""},{"dropping-particle":"","family":"Kim","given":"Hyun-Uk","non-dropping-particle":"","parse-names":false,"suffix":""},{"dropping-particle":"","family":"Owens","given":"Gary","non-dropping-particle":"","parse-names":false,"suffix":""},{"dropping-particle":"","family":"Kim","given":"Kwon-Rae","non-dropping-particle":"","parse-names":false,"suffix":""}],"container-title":"Soil Science and Plant Nutrition","id":"ITEM-1","issue":"2","issued":{"date-parts":[["2018","3","4"]]},"page":"156-167","publisher":"Taylor &amp; Francis","title":"Application of soil amendments to contaminated soils for heavy metal immobilization and improved soil quality—a critical review","type":"article-journal","volume":"64"},"uris":["http://www.mendeley.com/documents/?uuid=17ed8760-d4cc-39de-a1f3-15083d192e3b"]}],"mendeley":{"formattedCitation":"(Lwin et al., 2018)","plainTextFormattedCitation":"(Lwin et al., 2018)","previouslyFormattedCitation":"(Lwin et al., 2018)"},"properties":{"noteIndex":0},"schema":"https://github.com/citation-style-language/schema/raw/master/csl-citation.json"}</w:instrText>
      </w:r>
      <w:r w:rsidRPr="00216965">
        <w:fldChar w:fldCharType="separate"/>
      </w:r>
      <w:r w:rsidR="00C83E62" w:rsidRPr="00216965">
        <w:rPr>
          <w:noProof/>
        </w:rPr>
        <w:t>(Lwin et al., 2018)</w:t>
      </w:r>
      <w:r w:rsidRPr="00216965">
        <w:fldChar w:fldCharType="end"/>
      </w:r>
      <w:r w:rsidRPr="00216965">
        <w:t xml:space="preserve">. </w:t>
      </w:r>
      <w:r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2021)","manualFormatting":"Joseph et al. (2021)","plainTextFormattedCitation":"(Joseph et al., 2021)","previouslyFormattedCitation":"(Joseph et al., 2021)"},"properties":{"noteIndex":0},"schema":"https://github.com/citation-style-language/schema/raw/master/csl-citation.json"}</w:instrText>
      </w:r>
      <w:r w:rsidRPr="00216965">
        <w:fldChar w:fldCharType="separate"/>
      </w:r>
      <w:r w:rsidRPr="00216965">
        <w:rPr>
          <w:noProof/>
        </w:rPr>
        <w:t xml:space="preserve">Joseph </w:t>
      </w:r>
      <w:r w:rsidR="009B2252" w:rsidRPr="00216965">
        <w:rPr>
          <w:iCs/>
          <w:noProof/>
        </w:rPr>
        <w:t>et al</w:t>
      </w:r>
      <w:r w:rsidRPr="00216965">
        <w:rPr>
          <w:noProof/>
        </w:rPr>
        <w:t>. (2021)</w:t>
      </w:r>
      <w:r w:rsidRPr="00216965">
        <w:fldChar w:fldCharType="end"/>
      </w:r>
      <w:r w:rsidRPr="00216965">
        <w:t xml:space="preserve"> classified the duration of biochar experiments based on the interactions between biochar, soil and plants in the context of the annual crop cycle, establishing that short-term studies last 1-3 weeks, medium-term 1-6 months and long-term more than 6 months. In this context, most studies to date on the use of biochar to treat HM-contaminated soils are short to mid-term </w:t>
      </w:r>
      <w:r w:rsidRPr="00216965">
        <w:fldChar w:fldCharType="begin" w:fldLock="1"/>
      </w:r>
      <w:r w:rsidR="006C06AA" w:rsidRPr="00216965">
        <w:instrText>ADDIN CSL_CITATION {"citationItems":[{"id":"ITEM-1","itemData":{"DOI":"10.1007/s11356-015-4977-6","ISBN":"0944-1344","ISSN":"16147499","PMID":"26146374","abstract":"Accumulation of heavy metals in unconsolidated soils can prove toxic to proximal environments, if measures are not taken to stabilize soils. One way to minimize the toxicity of metals in soils is the use of materials capable of immobilizing these contaminants by sorption. Biochar (BC) can retain large amts. of heavy metals due to, among other characteristics, its large surface area. In the current expt., sugarcane-straw-derived biochar, produced at 700 °C, was applied to a heavy-metal-contaminated mine soil at 1.5, 3.0, and 5.0 % (wt./wt.). Jack bean and Mucuna aterrima were grown in pots contg. a mine contaminated soil and soil mixed with BC. Pore water was sampled to assess the effects of biochar on zinc soly., while soils were analyzed by DTPA extn. to confirm available metal concns. The application of BC decreased the available concns. of Cd, Pb, and Zn in the mine contaminated soil leading to a consistent redn. in the concn. of Zn in the pore water. Amendment with BC reduced plant uptake of Cd, Pb, and Zn with the jack bean uptaking higher amts. of Cd and Pb than M. aterrima. This study indicates that biochar application during mine soil remediation could reduce plant concns. of heavy metals. Coupled with this, symptoms of heavy metal toxicity were absent only in plants growing in pots amended with biochar. The redn. in metal bioavailability and other modifications to the substrate induced by the application of biochar may be beneficial to the establishment of a green cover on top of mine soil to aid remediation and reduce risks. [on SciFinder(R)]","author":[{"dropping-particle":"","family":"Puga","given":"A. P.","non-dropping-particle":"","parse-names":false,"suffix":""},{"dropping-particle":"","family":"Abreu","given":"C. A.","non-dropping-particle":"","parse-names":false,"suffix":""},{"dropping-particle":"","family":"Melo","given":"L. C A","non-dropping-particle":"","parse-names":false,"suffix":""},{"dropping-particle":"","family":"Paz","given":"J.","non-dropping-particle":"","parse-names":false,"suffix":""},{"dropping-particle":"","family":"Beesley","given":"L.","non-dropping-particle":"","parse-names":false,"suffix":""}],"container-title":"Environmental Science and Pollution Research","id":"ITEM-1","issue":"22","issued":{"date-parts":[["2015"]]},"page":"17606-17614","title":"Cadmium, lead, and zinc mobility and plant uptake in a mine soil amended with sugarcane straw biochar","type":"article-journal","volume":"22"},"uris":["http://www.mendeley.com/documents/?uuid=0f1bab2d-fdd5-4530-815a-a23e1b3657eb"]},{"id":"ITEM-2","itemData":{"DOI":"10.1016/j.chemosphere.2016.01.044","ISSN":"00456535","author":[{"dropping-particle":"","family":"Yin","given":"Daixia","non-dropping-particle":"","parse-names":false,"suffix":""},{"dropping-particle":"","family":"Wang","given":"Xin","non-dropping-particle":"","parse-names":false,"suffix":""},{"dropping-particle":"","family":"Chen","given":"Can","non-dropping-particle":"","parse-names":false,"suffix":""},{"dropping-particle":"","family":"Peng","given":"Bo","non-dropping-particle":"","parse-names":false,"suffix":""},{"dropping-particle":"","family":"Tan","given":"Changyin","non-dropping-particle":"","parse-names":false,"suffix":""},{"dropping-particle":"","family":"Li","given":"Hailong","non-dropping-particle":"","parse-names":false,"suffix":""}],"container-title":"Chemosphere","id":"ITEM-2","issued":{"date-parts":[["2016","6"]]},"page":"196-206","title":"Varying effect of biochar on Cd, Pb and As mobility in a multi-metal contaminated paddy soil","type":"article-journal","volume":"152"},"uris":["http://www.mendeley.com/documents/?uuid=25a616c9-2f7f-38e3-afdf-467c5f002eec"]},{"id":"ITEM-3","itemData":{"DOI":"10.1016/j.jhazmat.2011.04.025","ISBN":"1873-3336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Materials","id":"ITEM-3","issue":"1-3","issued":{"date-parts":[["2011"]]},"page":"41-48","publisher":"Elsevier B.V.","title":"Efficiency of green waste compost and biochar soil amendments for reducing lead and copper mobility and uptake to ryegrass","type":"article-journal","volume":"191"},"uris":["http://www.mendeley.com/documents/?uuid=2e021c3e-c811-4cdf-b456-4f53f6ef7853"]}],"mendeley":{"formattedCitation":"(Karami et al., 2011; Puga et al., 2015b; Yin et al., 2016)","plainTextFormattedCitation":"(Karami et al., 2011; Puga et al., 2015b; Yin et al., 2016)","previouslyFormattedCitation":"(Karami et al., 2011; Puga et al., 2015b; Yin et al., 2016)"},"properties":{"noteIndex":0},"schema":"https://github.com/citation-style-language/schema/raw/master/csl-citation.json"}</w:instrText>
      </w:r>
      <w:r w:rsidRPr="00216965">
        <w:fldChar w:fldCharType="separate"/>
      </w:r>
      <w:r w:rsidR="001974AA" w:rsidRPr="00216965">
        <w:rPr>
          <w:noProof/>
        </w:rPr>
        <w:t>(Karami et al., 2011; Puga et al., 2015b; Yin et al., 2016)</w:t>
      </w:r>
      <w:r w:rsidRPr="00216965">
        <w:fldChar w:fldCharType="end"/>
      </w:r>
      <w:r w:rsidRPr="00216965">
        <w:t xml:space="preserve"> and often use artificially contaminated soil </w:t>
      </w:r>
      <w:r w:rsidRPr="00216965">
        <w:fldChar w:fldCharType="begin" w:fldLock="1"/>
      </w:r>
      <w:r w:rsidR="006C06AA" w:rsidRPr="00216965">
        <w:instrText>ADDIN CSL_CITATION {"citationItems":[{"id":"ITEM-1","itemData":{"DOI":"10.1007/s11270-020-04885-4","ISSN":"15732932","abstract":"Organic sorbents alter physicochemical soil properties and mitigate heavy metal (HM) bioavailability. However, some sorbents are labile and, therefore, introduce the risk of HM release into soil after mineralisation. Before field application, new stable organic sorbents such as woodchip biochar (BIO) and brown coal waste (BCW) need to be tested and compared with standard organic amendments like farmyard manure (FYM). An incubated pot experiment was conducted to investigate the efficacy of FYM, BIO and BCW (added to soil in pots at 5 and 10% w/w) to alter soil physicochemical properties and mitigate bioavailability of Cd, Pb and Zn spiked in treatments at different doses (in mg kg−1); 0 (not spiked), 1 (1 Cd, 70 Pb, 100 Zn) and 2 (3 Cd, 500 Pb, 700 Zn), and incubated for 9 weeks. At the end of the experiment, the EDTA-extractable HM fractions, pH, cation exchange capacity (CEC) and specific surface area (SSA, to check trends) were determined in all treated soils. Results showed that FYM, BCW and BIO generally improved all soil properties (except reduced pH from BCW and apparent SSA reduction from FYM) and accounted for respective maximum abatements of Cd (50.2, 69.9 and 25.5%), Pb (34.2, 64.3 and 17.4%) and Zn (14.9, 17.7 and 11.8%) bioavailability in soil. FYM and BCW were more effective at 10% w/w especially in the low contaminated soil, whereas the highest efficacy for BIO was at 5% w/w and in the high contaminated soil. The efficacies of sorption by the organic sorbents varied for different HMs and were in the orders: BCW &gt; FYM &gt; BIO for Cd, FYM &gt; BCW &gt; BIO for Pb and BIO &gt; BCW &gt; FYM for Zn. Soil pH and CEC were strongly correlated with HM bioavailability in all treatments and implied that immobilisation of HMs occurred via complex formation, ion exchange and pH-dependent specific adsorption. All three sorbents were beneficial as soil amendments, and in terms of HM mitigation, BCW had the highest efficacy, followed by FYM and then BIO. Considering the documented high soil stability of BCW and BIO, these results are promising for further trialling at field scale.","author":[{"dropping-particle":"","family":"Amoah-Antwi","given":"C.","non-dropping-particle":"","parse-names":false,"suffix":""},{"dropping-particle":"","family":"Kwiatkowska-Malina","given":"J.","non-dropping-particle":"","parse-names":false,"suffix":""},{"dropping-particle":"","family":"Szara","given":"E.","non-dropping-particle":"","parse-names":false,"suffix":""},{"dropping-particle":"","family":"Thornton","given":"S.","non-dropping-particle":"","parse-names":false,"suffix":""},{"dropping-particle":"","family":"Fenton","given":"O.","non-dropping-particle":"","parse-names":false,"suffix":""},{"dropping-particle":"","family":"Malina","given":"G.","non-dropping-particle":"","parse-names":false,"suffix":""}],"container-title":"Water, Air, and Soil Pollution","id":"ITEM-1","issued":{"date-parts":[["2020","10","1"]]},"page":"515","publisher":"Springer Science and Business Media Deutschland GmbH","title":"Efficacy of woodchip biochar and brown coal waste as stable sorbents for abatement of bioavailable cadmium, lead and zinc in soil","type":"article-journal","volume":"231"},"uris":["http://www.mendeley.com/documents/?uuid=3443d71f-7da5-34e4-a645-6e69e4174239"]},{"id":"ITEM-2","itemData":{"DOI":"10.1007/s11104-011-0948-y","ISBN":"0032-079X","ISSN":"0032079X","abstract":"Background and aims Biochar has attracted research interest due to its ability to increase the soil carbon pool and improve crop productivity. The objective of this study was to evaluate the metal immobilizing impact of chicken manure- and green waste-derived biochars, and their effectiveness in promoting plant growth. Methods The immobilization and phytoavailability of Cd, Cu and Pb was examd. using naturally contaminated shooting range and spiked soils. Biochar samples prepd. from chicken manure and green waste were used as soil amendments. Results Application of biochar significantly reduced NH4NO3 extractable Cd, Cu and Pb concns. of soils, indicating the immobilization of these metals. Chicken manure-derived biochar increased plant dry biomass by 353 and 572% for shoot and root, resp. with 1% of biochar addn. This might be attributed to reduced toxicity of metals and increased availability of nutrients such as P and K. Both biochars significantly reduced Cd, Cu and Pb accumulation by Indian mustard (Brassica juncea), and the redn. increased with increasing amt. of biochar application except Cu concn. Metal sequential fractionation data indicated that biochar treatments substantially modified the partitioning of Cd, Cu and Pb from the easily exchangeable phase to less bioavailable org. bound fraction. Conclusions The results clearly showed that biochar application was effective in metal immobilization, thereby reducing the bioavailability and phytotoxicity of heavy metals. [on SciFinder(R)]","author":[{"dropping-particle":"","family":"Park","given":"Jin Hee","non-dropping-particle":"","parse-names":false,"suffix":""},{"dropping-particle":"","family":"Choppala","given":"Girish Kumar","non-dropping-particle":"","parse-names":false,"suffix":""},{"dropping-particle":"","family":"Bolan","given":"Nanthi Sirangie","non-dropping-particle":"","parse-names":false,"suffix":""},{"dropping-particle":"","family":"Chung","given":"Jae Woo","non-dropping-particle":"","parse-names":false,"suffix":""},{"dropping-particle":"","family":"Chuasavathi","given":"Thammared","non-dropping-particle":"","parse-names":false,"suffix":""}],"container-title":"Plant and Soil","id":"ITEM-2","issued":{"date-parts":[["2011"]]},"page":"439-451","title":"Biochar reduces the bioavailability and phytotoxicity of heavy metals","type":"article-journal","volume":"348"},"uris":["http://www.mendeley.com/documents/?uuid=82171b33-8b24-44b8-8521-6ab142be0efa"]},{"id":"ITEM-3","itemData":{"DOI":"10.1007/s11356-016-7344-3","ISSN":"16147499","author":[{"dropping-particle":"","family":"Younis","given":"Uzma","non-dropping-particle":"","parse-names":false,"suffix":""},{"dropping-particle":"","family":"Malik","given":"Saeed Ahmad","non-dropping-particle":"","parse-names":false,"suffix":""},{"dropping-particle":"","family":"Rizwan","given":"Muhammad","non-dropping-particle":"","parse-names":false,"suffix":""},{"dropping-particle":"","family":"Qayyum","given":"Muhammad Farooq","non-dropping-particle":"","parse-names":false,"suffix":""},{"dropping-particle":"","family":"Ok","given":"Yong Sik","non-dropping-particle":"","parse-names":false,"suffix":""},{"dropping-particle":"","family":"Shah","given":"Muhammad Hasnain Raza","non-dropping-particle":"","parse-names":false,"suffix":""},{"dropping-particle":"","family":"Rehman","given":"Rabia Abdur","non-dropping-particle":"","parse-names":false,"suffix":""},{"dropping-particle":"","family":"Ahmad","given":"Niaz","non-dropping-particle":"","parse-names":false,"suffix":""}],"container-title":"Environmental Science and Pollution Research","id":"ITEM-3","issue":"21","issued":{"date-parts":[["2016"]]},"page":"21385-21394","publisher":"Environmental Science and Pollution Research","title":"Biochar enhances the cadmium tolerance in spinach (Spinacia oleracea) through modification of Cd uptake and physiological and biochemical attributes","type":"article-journal","volume":"23"},"uris":["http://www.mendeley.com/documents/?uuid=ebcfe694-3503-453a-bd58-c248a76fc245"]},{"id":"ITEM-4","itemData":{"DOI":"10.1016/j.envpol.2020.114133","ISSN":"18736424","PMID":"32078879","abstract":"Biochar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Pollution","id":"ITEM-4","issued":{"date-parts":[["2020","6","1"]]},"page":"114133","publisher":"Elsevier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soil","type":"article-journal","volume":"261"},"uris":["http://www.mendeley.com/documents/?uuid=6eee545a-7fee-346b-8aa7-47b79f2eb8fe"]}],"mendeley":{"formattedCitation":"(C. Amoah-Antwi et al., 2020; Park et al., 2011a; C. Xu et al., 2020; Younis et al., 2016)","manualFormatting":"(Park et al., 2011; Younis et al., 2016; Amoah-Antwi et al., 2020; Xu et al., 2020)","plainTextFormattedCitation":"(C. Amoah-Antwi et al., 2020; Park et al., 2011a; C. Xu et al., 2020; Younis et al., 2016)","previouslyFormattedCitation":"(C. Amoah-Antwi et al., 2020; Park et al., 2011a; C. Xu et al., 2020; Younis et al., 2016)"},"properties":{"noteIndex":0},"schema":"https://github.com/citation-style-language/schema/raw/master/csl-citation.json"}</w:instrText>
      </w:r>
      <w:r w:rsidRPr="00216965">
        <w:fldChar w:fldCharType="separate"/>
      </w:r>
      <w:r w:rsidRPr="00216965">
        <w:rPr>
          <w:noProof/>
        </w:rPr>
        <w:t xml:space="preserve">(Park </w:t>
      </w:r>
      <w:r w:rsidRPr="00216965">
        <w:rPr>
          <w:iCs/>
          <w:noProof/>
        </w:rPr>
        <w:t>et al</w:t>
      </w:r>
      <w:r w:rsidRPr="00216965">
        <w:rPr>
          <w:i/>
          <w:noProof/>
        </w:rPr>
        <w:t>.</w:t>
      </w:r>
      <w:r w:rsidRPr="00216965">
        <w:rPr>
          <w:noProof/>
        </w:rPr>
        <w:t xml:space="preserve">, 2011; Younis </w:t>
      </w:r>
      <w:r w:rsidR="009B2252" w:rsidRPr="00216965">
        <w:rPr>
          <w:noProof/>
        </w:rPr>
        <w:t>et al</w:t>
      </w:r>
      <w:r w:rsidRPr="00216965">
        <w:rPr>
          <w:i/>
          <w:noProof/>
        </w:rPr>
        <w:t>.</w:t>
      </w:r>
      <w:r w:rsidRPr="00216965">
        <w:rPr>
          <w:noProof/>
        </w:rPr>
        <w:t xml:space="preserve">, 2016; Amoah-Antwi </w:t>
      </w:r>
      <w:r w:rsidR="009B2252" w:rsidRPr="00216965">
        <w:rPr>
          <w:noProof/>
        </w:rPr>
        <w:t>et al</w:t>
      </w:r>
      <w:r w:rsidRPr="00216965">
        <w:rPr>
          <w:i/>
          <w:noProof/>
        </w:rPr>
        <w:t>.</w:t>
      </w:r>
      <w:r w:rsidRPr="00216965">
        <w:rPr>
          <w:noProof/>
        </w:rPr>
        <w:t>, 2020)</w:t>
      </w:r>
      <w:r w:rsidRPr="00216965">
        <w:fldChar w:fldCharType="end"/>
      </w:r>
      <w:r w:rsidRPr="00216965">
        <w:t xml:space="preserve"> which do not accurately represent the behaviour of long-term contaminated soils. </w:t>
      </w:r>
    </w:p>
    <w:p w14:paraId="07EF2F71" w14:textId="51CD9567" w:rsidR="00B45740" w:rsidRPr="00216965" w:rsidRDefault="00B45740" w:rsidP="008A33DA">
      <w:pPr>
        <w:spacing w:line="360" w:lineRule="auto"/>
        <w:jc w:val="both"/>
      </w:pPr>
      <w:r w:rsidRPr="00216965">
        <w:t xml:space="preserve">Only a few studies have explored the stability of HMs immobilized by biochar in the long-term. For example, </w:t>
      </w:r>
      <w:r w:rsidRPr="00216965">
        <w:fldChar w:fldCharType="begin" w:fldLock="1"/>
      </w:r>
      <w:r w:rsidR="006C06AA" w:rsidRPr="00216965">
        <w:instrText>ADDIN CSL_CITATION {"citationItems":[{"id":"ITEM-1","itemData":{"DOI":"10.1016/j.jhazmat.2014.03.017","abstract":"h i g h l i g h t s • Biochar significantly increased soil pH, organic matter and immobilized soil Cd and Pb. • Biochar treatment consistently reduced rice Cd and Pb content in three years. • Contaminated biochar from the study field contained much higher heavy metals than fresh biochar. • Biochar caused metal immobilization primarily due to the precipitation and surface adsorption. a b s t r a c t Heavy metal contamination in croplands has been a serious concern because of its high health risk through soil-food chain transfer. A field experiment was conducted in 2010-2012 in a contaminated rice paddy in southern China to determine if bioavailability of soil Cd and Pb could be reduced while grain yield was sustained over 3 years after a single soil amendment of wheat straw biochar. Contaminated biochar particles were separated from the biochar amended soil and microscopically analyzed to help determine where, and how, metals were immobilized with biochar. Biochar soil amendment (BSA) consistently and significantly increased soil pH, total organic carbon and decreased soil extractable Cd and Pb over the 3 year period. While rice plant tissues' Cd content was significantly reduced, depending on biochar application rate, reduction in plant Pb concentration was found only in root tissue. Analysis of the fresh and contaminated biochar particles indicated that Cd and Pb had probably been bonded with the mineral phases of Al, Fe and P on and around and inside the contaminated biochar particle. Immobilization of the Pb and Cd also occurred to cation exchange on the porous carbon structure. Abbreviations: BSA, biochar soil amendment; LA-ICP-MS, laser ablation induc-tively coupled plasma mass spectrometry; XPS, X-ray photoelectron spectroscopy; SEM, scanning electron microscope; TEM, transmission electron microscope; EDS, energy dispersive X-ray spectroscopy; DAP, diammonium phosphate.","author":[{"dropping-particle":"","family":"Bian","given":"Rongjun","non-dropping-particle":"","parse-names":false,"suffix":""},{"dropping-particle":"","family":"Joseph","given":"Stephen","non-dropping-particle":"","parse-names":false,"suffix":""},{"dropping-particle":"","family":"Cui","given":"Liqiang","non-dropping-particle":"","parse-names":false,"suffix":""},{"dropping-particle":"","family":"Pan","given":"Genxing","non-dropping-particle":"","parse-names":false,"suffix":""},{"dropping-particle":"","family":"Li","given":"Lianqing","non-dropping-particle":"","parse-names":false,"suffix":""},{"dropping-particle":"","family":"Liu","given":"Xiaoyu","non-dropping-particle":"","parse-names":false,"suffix":""},{"dropping-particle":"","family":"Zhang","given":"Afeng","non-dropping-particle":"","parse-names":false,"suffix":""},{"dropping-particle":"","family":"Rutlidge","given":"Helen","non-dropping-particle":"","parse-names":false,"suffix":""},{"dropping-particle":"","family":"Wong","given":"Singwei","non-dropping-particle":"","parse-names":false,"suffix":""},{"dropping-particle":"","family":"Chia","given":"Chee","non-dropping-particle":"","parse-names":false,"suffix":""},{"dropping-particle":"","family":"Marjo","given":"Chris","non-dropping-particle":"","parse-names":false,"suffix":""},{"dropping-particle":"","family":"Munroe","given":"Paul","non-dropping-particle":"","parse-names":false,"suffix":""},{"dropping-particle":"","family":"Donne","given":"Scott","non-dropping-particle":"","parse-names":false,"suffix":""}],"container-title":"Journal of Hazardous Materials","id":"ITEM-1","issued":{"date-parts":[["2014"]]},"page":"121-128","title":"A three-year experiment confirms continuous immobilization of cadmium and lead in contaminated paddy field with biochar amendment","type":"article-journal","volume":"272"},"uris":["http://www.mendeley.com/documents/?uuid=c5fbc57e-3d38-34ea-ab47-728dd694ce90"]}],"mendeley":{"formattedCitation":"(Bian et al., 2014)","manualFormatting":"Bian et al. (2014)","plainTextFormattedCitation":"(Bian et al., 2014)","previouslyFormattedCitation":"(Bian et al., 2014)"},"properties":{"noteIndex":0},"schema":"https://github.com/citation-style-language/schema/raw/master/csl-citation.json"}</w:instrText>
      </w:r>
      <w:r w:rsidRPr="00216965">
        <w:fldChar w:fldCharType="separate"/>
      </w:r>
      <w:r w:rsidRPr="00216965">
        <w:rPr>
          <w:noProof/>
        </w:rPr>
        <w:t xml:space="preserve">Bian </w:t>
      </w:r>
      <w:r w:rsidR="009B2252" w:rsidRPr="00216965">
        <w:rPr>
          <w:noProof/>
        </w:rPr>
        <w:t>et al</w:t>
      </w:r>
      <w:r w:rsidRPr="00216965">
        <w:rPr>
          <w:noProof/>
        </w:rPr>
        <w:t>. (2014)</w:t>
      </w:r>
      <w:r w:rsidRPr="00216965">
        <w:fldChar w:fldCharType="end"/>
      </w:r>
      <w:r w:rsidRPr="00216965">
        <w:t xml:space="preserve"> reported that after a 3 year field experiment wheat straw biochar still reduced soil extractable Cd and Pb. Recently, </w:t>
      </w:r>
      <w:bookmarkStart w:id="318" w:name="_Hlk84681461"/>
      <w:r w:rsidRPr="00216965">
        <w:fldChar w:fldCharType="begin" w:fldLock="1"/>
      </w:r>
      <w:r w:rsidR="006C06AA" w:rsidRPr="00216965">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soils","type":"article-journal","volume":"420"},"uris":["http://www.mendeley.com/documents/?uuid=b0bef5de-6b79-303c-b578-f0d24a093e00"]}],"mendeley":{"formattedCitation":"(Bandara et al., 2021)","manualFormatting":"Bandara et al. (2021)","plainTextFormattedCitation":"(Bandara et al., 2021)","previouslyFormattedCitation":"(Bandara et al., 2021)"},"properties":{"noteIndex":0},"schema":"https://github.com/citation-style-language/schema/raw/master/csl-citation.json"}</w:instrText>
      </w:r>
      <w:r w:rsidRPr="00216965">
        <w:fldChar w:fldCharType="separate"/>
      </w:r>
      <w:r w:rsidRPr="00216965">
        <w:rPr>
          <w:noProof/>
        </w:rPr>
        <w:t xml:space="preserve">Bandara </w:t>
      </w:r>
      <w:r w:rsidR="009B2252" w:rsidRPr="00216965">
        <w:rPr>
          <w:noProof/>
        </w:rPr>
        <w:t>et al</w:t>
      </w:r>
      <w:r w:rsidRPr="00216965">
        <w:rPr>
          <w:i/>
          <w:noProof/>
        </w:rPr>
        <w:t>.</w:t>
      </w:r>
      <w:r w:rsidRPr="00216965">
        <w:rPr>
          <w:noProof/>
        </w:rPr>
        <w:t xml:space="preserve"> (2021)</w:t>
      </w:r>
      <w:r w:rsidRPr="00216965">
        <w:fldChar w:fldCharType="end"/>
      </w:r>
      <w:bookmarkEnd w:id="318"/>
      <w:r w:rsidRPr="00216965">
        <w:t xml:space="preserve"> reported a long term study (270 days) using poultry-litter biochar and sugar-gum-wood biochar to immobilize Cd in an artificially contaminated soil. They reported that </w:t>
      </w:r>
      <w:r w:rsidRPr="00216965">
        <w:lastRenderedPageBreak/>
        <w:t xml:space="preserve">although the use of both biochars initially reduced Cd bioaccumulation in </w:t>
      </w:r>
      <w:r w:rsidRPr="00216965">
        <w:rPr>
          <w:i/>
        </w:rPr>
        <w:t>Brassica rapa</w:t>
      </w:r>
      <w:r w:rsidRPr="00216965">
        <w:t xml:space="preserve">, after 270 days sugar-gum biochar increased Cd bioaccumulation while poultry-litter biochar decreased Cd bioaccumulation. Hence, the long-term fate of HM in soils amended with biochar specially under field conditions remains unclear. </w:t>
      </w:r>
    </w:p>
    <w:p w14:paraId="7DFBC39C" w14:textId="0F703DBB" w:rsidR="00B45740" w:rsidRPr="00216965" w:rsidRDefault="00B45740" w:rsidP="008A33DA">
      <w:pPr>
        <w:spacing w:line="360" w:lineRule="auto"/>
        <w:jc w:val="both"/>
      </w:pPr>
      <w:r w:rsidRPr="00216965">
        <w:t xml:space="preserve">Similarly, studies have investigated the effect of biochar on microbial dynamics in HM-contaminated soil by different methods, including next generation sequencing </w:t>
      </w:r>
      <w:r w:rsidRPr="00216965">
        <w:fldChar w:fldCharType="begin" w:fldLock="1"/>
      </w:r>
      <w:r w:rsidR="006C06AA" w:rsidRPr="00216965">
        <w:instrText>ADDIN CSL_CITATION {"citationItems":[{"id":"ITEM-1","itemData":{"DOI":"10.1016/j.envpol.2020.116009","ISSN":"18736424","PMID":"33257150","abstract":"Biochar has been proven as a soil amendment to improve soil environment. However, mechanistic understanding of biochar on soil physical properties and microbial community remains unclear. In this study, a wood biochar (WB), was incorporated into a highly weathered tropical soil, and after 1 year the in situ changes in soil properties and microbial community were evaluated. A field trial was conducted for application of compost, wood biochar, and polyacrylamide. Microstructure and morphological features of the soils were characterized through 3D X-ray microscopy and polarized microscopy. Soil microbial communities were identified through next-generation sequencing (NGS). After incubation, the number of pores and connection throats between the pores of biochar treated soil increased by 3.8 and 7.2 times, respectively, compared to the control. According to NGS results, most sequences belonged to Anaerolinea thermolimosa, Caldithrix palaeochoryensis, Chthoniobacter flavus, and Cohnella soli. Canonical correlation analysis (CCA) further demonstrated that the microbial community structure was determined by inorganic N (IN), available P (AP), pH, soil organic C (SOC), porosity, bulk density (BD), and aggregate stability. The treatments with co-application of biochar and compost facilitated the dominance of Cal. palaeochoryensis, Cht. flavus, and Coh. soli, all of which promoted organic matter decomposition and ammonia oxidation in the soil. The apparent increases in IN, AP, porosity, and SOC caused by the addition of biochar and compost may be the proponents of changes in soil microbial communities. The co-application of compost and biochar may be a suitable strategy for real world biochar incorporation in highly weathered soil.","author":[{"dropping-particle":"","family":"Jien","given":"Shih Hao","non-dropping-particle":"","parse-names":false,"suffix":""},{"dropping-particle":"","family":"Kuo","given":"Yu Lin","non-dropping-particle":"","parse-names":false,"suffix":""},{"dropping-particle":"Sen","family":"Liao","given":"Chien","non-dropping-particle":"","parse-names":false,"suffix":""},{"dropping-particle":"","family":"Wu","given":"Yu Ting","non-dropping-particle":"","parse-names":false,"suffix":""},{"dropping-particle":"","family":"Igalavithana","given":"Avanthi Deshani","non-dropping-particle":"","parse-names":false,"suffix":""},{"dropping-particle":"","family":"Tsang","given":"Daniel C.W.","non-dropping-particle":"","parse-names":false,"suffix":""},{"dropping-particle":"","family":"Ok","given":"Yong Sik","non-dropping-particle":"","parse-names":false,"suffix":""}],"container-title":"Environmental Pollution","id":"ITEM-1","issued":{"date-parts":[["2020","11","20"]]},"page":"116009","publisher":"Elsevier Ltd","title":"Effects of field scale in situ biochar incorporation on soil environment in a tropical highly weathered soil","type":"article-journal"},"uris":["http://www.mendeley.com/documents/?uuid=ff51c44c-c0ee-3986-a785-bedf58dd23e0"]}],"mendeley":{"formattedCitation":"(Jien et al., 2020)","plainTextFormattedCitation":"(Jien et al., 2020)","previouslyFormattedCitation":"(Jien et al., 2020)"},"properties":{"noteIndex":0},"schema":"https://github.com/citation-style-language/schema/raw/master/csl-citation.json"}</w:instrText>
      </w:r>
      <w:r w:rsidRPr="00216965">
        <w:fldChar w:fldCharType="separate"/>
      </w:r>
      <w:r w:rsidR="00C83E62" w:rsidRPr="00216965">
        <w:rPr>
          <w:noProof/>
        </w:rPr>
        <w:t>(Jien et al., 2020)</w:t>
      </w:r>
      <w:r w:rsidRPr="00216965">
        <w:fldChar w:fldCharType="end"/>
      </w:r>
      <w:r w:rsidRPr="00216965">
        <w:t xml:space="preserve">, enzymatic activities </w:t>
      </w:r>
      <w:r w:rsidRPr="00216965">
        <w:fldChar w:fldCharType="begin" w:fldLock="1"/>
      </w:r>
      <w:r w:rsidR="006C06AA" w:rsidRPr="00216965">
        <w:instrText>ADDIN CSL_CITATION {"citationItems":[{"id":"ITEM-1","itemData":{"DOI":"10.1007/s11356-015-4233-0","abstract":"Biochar is a carbon-rich solid material derived from the pyrolysis of agricultural and forest residual biomass. Previous studies have shown that biochar is suitable as an adsorbent for soil contaminants such as heavy metals and consequently re-duces their bioavailability. However, the long-term effect of dif-ferent biochars on metal extractability or soil health has not been assessed. Therefore, a 1-year incubation experiment was carried out to investigate the effect of biochar produced from bamboo and rice straw (at temperatures ≥500 °C) on the heavy metal (cadmium (Cd), copper (Cu), lead (Pb), and zinc (Zn)) extract-ability and enzyme activity (urease, catalase, and acid phospha-tase) in a contaminated sandy loam paddy soil. Three rates (0, 1, and 5 %) and two mesh sizes (&lt;0.25 and &lt;1 mm) of biochar applications were investigated. After incubation, the physico-chemical properties, extractable heavy metals, available phos-phorus, and enzyme activity of soil samples were analyzed. The results demonstrated that rice straw biochar significantly (P&lt;0.05) increased the pH, electrical conductivity, and cation exchange capacity of the soil, especially at the 5 % application rate. Both bamboo and rice straw biochar significantly (P&lt;0.05) decreased the concentration of CaCl 2 -extractable heavy metals as biochar application rate increased. The heavy metal extractability was significantly (P&lt;0.01) correlated with pH, water-soluble organic carbon, and available phosphorus in soil. The 5 % appli-cation rate of fine rice straw biochar resulted in the greatest re-ductions of extractable Cu and Zn, 97.3 and 62.2 %, respectively. Both bamboo and rice straw biochar were more effective at de-creasing extractable Cu and Pb than removing extractable Cd and Zn from the soil. Urease activity increased by 143 and 107 % after the addition of 5 % coarse and fine rice straw biochars, respectively. Both bamboo and rice straw biochars significantly (P&lt;0.05) increased catalase activity but had no significant im-pact on acid phosphatase activity. In conclusion, the rice straw biochar had greater potential as an amendment for reducing the bioavailability of heavy metals in soil than that of the bamboo biochar. The impact of biochar treatment on heavy metal extract-ability and enzyme activity varied with the biochar type, appli-cation rate, and particle size.","author":[{"dropping-particle":"","family":"Yang","given":"Xing","non-dropping-particle":"","parse-names":false,"suffix":""},{"dropping-particle":"","family":"Liu","given":"Jingjing","non-dropping-particle":"","parse-names":false,"suffix":""},{"dropping-particle":"","family":"Mcgrouther","given":"Kim","non-dropping-particle":"","parse-names":false,"suffix":""},{"dropping-particle":"","family":"Huang","given":"Huagang","non-dropping-particle":"","parse-names":false,"suffix":""},{"dropping-particle":"","family":"Lu","given":"Kouping","non-dropping-particle":"","parse-names":false,"suffix":""},{"dropping-particle":"","family":"Guo","given":"Xi","non-dropping-particle":"","parse-names":false,"suffix":""},{"dropping-particle":"","family":"He","given":"Lizhi","non-dropping-particle":"","parse-names":false,"suffix":""},{"dropping-particle":"","family":"Lin","given":"Xiaoming","non-dropping-particle":"","parse-names":false,"suffix":""},{"dropping-particle":"","family":"Che","given":"Lei","non-dropping-particle":"","parse-names":false,"suffix":""},{"dropping-particle":"","family":"Ye","given":"Zhengqian","non-dropping-particle":"","parse-names":false,"suffix":""},{"dropping-particle":"","family":"Wang","given":"Hailong","non-dropping-particle":"","parse-names":false,"suffix":""}],"container-title":"Environmental Science and Pollution Research","id":"ITEM-1","issued":{"date-parts":[["2016"]]},"page":"974-984","title":"Effect of biochar on the extractability of heavy metals (Cd, Cu, Pb, and Zn) and enzyme activity in soil","type":"article-journal","volume":"23"},"uris":["http://www.mendeley.com/documents/?uuid=2cc320c9-b009-37a7-80a9-9edc49123e98"]}],"mendeley":{"formattedCitation":"(X. Yang et al., 2016)","plainTextFormattedCitation":"(X. Yang et al., 2016)","previouslyFormattedCitation":"(X. Yang et al., 2016)"},"properties":{"noteIndex":0},"schema":"https://github.com/citation-style-language/schema/raw/master/csl-citation.json"}</w:instrText>
      </w:r>
      <w:r w:rsidRPr="00216965">
        <w:fldChar w:fldCharType="separate"/>
      </w:r>
      <w:r w:rsidR="00C83E62" w:rsidRPr="00216965">
        <w:rPr>
          <w:noProof/>
        </w:rPr>
        <w:t>(X. Yang et al., 2016)</w:t>
      </w:r>
      <w:r w:rsidRPr="00216965">
        <w:fldChar w:fldCharType="end"/>
      </w:r>
      <w:r w:rsidRPr="00216965">
        <w:t xml:space="preserve">, phospholipid fatty acids PLFAs </w:t>
      </w:r>
      <w:r w:rsidRPr="00216965">
        <w:fldChar w:fldCharType="begin" w:fldLock="1"/>
      </w:r>
      <w:r w:rsidR="006C06AA" w:rsidRPr="00216965">
        <w:instrText>ADDIN CSL_CITATION {"citationItems":[{"id":"ITEM-1","itemData":{"DOI":"10.1016/j.scitotenv.2018.02.156","ISSN":"18791026","abstract":"In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Environment","id":"ITEM-1","issued":{"date-parts":[["2018"]]},"page":"1287-1295","publisher":"Elsevier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additives","type":"article-journal","volume":"628-629"},"uris":["http://www.mendeley.com/documents/?uuid=9c06a75b-67d7-467b-ac54-a74c5a7bb86a"]},{"id":"ITEM-2","itemData":{"DOI":"10.1016/j.chemosphere.2017.01.148","ISSN":"18791298","PMID":"28193592","abstract":"In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Sik","non-dropping-particle":"","parse-names":false,"suffix":""}],"container-title":"Chemosphere","id":"ITEM-2","issued":{"date-parts":[["2017","5","1"]]},"page":"593-603","publisher":"Elsevier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soils","type":"article-journal","volume":"174"},"uris":["http://www.mendeley.com/documents/?uuid=912ea230-9583-333a-a4f5-f79899ad2594"]}],"mendeley":{"formattedCitation":"(Igalavithana et al., 2017; Wawra et al., 2018)","plainTextFormattedCitation":"(Igalavithana et al., 2017; Wawra et al., 2018)","previouslyFormattedCitation":"(Igalavithana et al., 2017; Wawra et al., 2018)"},"properties":{"noteIndex":0},"schema":"https://github.com/citation-style-language/schema/raw/master/csl-citation.json"}</w:instrText>
      </w:r>
      <w:r w:rsidRPr="00216965">
        <w:fldChar w:fldCharType="separate"/>
      </w:r>
      <w:r w:rsidR="00C83E62" w:rsidRPr="00216965">
        <w:rPr>
          <w:noProof/>
        </w:rPr>
        <w:t>(Igalavithana et al., 2017; Wawra et al., 2018)</w:t>
      </w:r>
      <w:r w:rsidRPr="00216965">
        <w:fldChar w:fldCharType="end"/>
      </w:r>
      <w:r w:rsidRPr="00216965">
        <w:t xml:space="preserve"> and basal respiration </w:t>
      </w:r>
      <w:r w:rsidRPr="00216965">
        <w:fldChar w:fldCharType="begin" w:fldLock="1"/>
      </w:r>
      <w:r w:rsidR="006C06AA" w:rsidRPr="00216965">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soils","type":"article-journal","volume":"420"},"uris":["http://www.mendeley.com/documents/?uuid=b0bef5de-6b79-303c-b578-f0d24a093e00"]}],"mendeley":{"formattedCitation":"(Bandara et al., 2021)","plainTextFormattedCitation":"(Bandara et al., 2021)","previouslyFormattedCitation":"(Bandara et al., 2021)"},"properties":{"noteIndex":0},"schema":"https://github.com/citation-style-language/schema/raw/master/csl-citation.json"}</w:instrText>
      </w:r>
      <w:r w:rsidRPr="00216965">
        <w:fldChar w:fldCharType="separate"/>
      </w:r>
      <w:r w:rsidR="00C83E62" w:rsidRPr="00216965">
        <w:rPr>
          <w:noProof/>
        </w:rPr>
        <w:t>(Bandara et al., 2021)</w:t>
      </w:r>
      <w:r w:rsidRPr="00216965">
        <w:fldChar w:fldCharType="end"/>
      </w:r>
      <w:r w:rsidRPr="00216965">
        <w:t xml:space="preserve">, but most have focused on the impact of biochar on bacterial populations rather than fungal populations. Despite acknowledging the link between above-ground and below-ground microbial communities, there is still a lack of mechanistic understanding on how communities facilitate the restoration of highly degraded environments such as post-mining landscapes </w:t>
      </w:r>
      <w:r w:rsidRPr="00216965">
        <w:fldChar w:fldCharType="begin" w:fldLock="1"/>
      </w:r>
      <w:r w:rsidR="006C06AA" w:rsidRPr="00216965">
        <w:instrText>ADDIN CSL_CITATION {"citationItems":[{"id":"ITEM-1","itemData":{"DOI":"10.1038/s41598-017-00650-6","ISBN":"4159801700650","ISSN":"20452322","abstract":"© 2017 The Author(s).Mining of mineral resources produces substantial volumes of crushed rock based wastes that are characterised by poor physical structure and hydrology, unstable geochemistry and potentially toxic chemical conditions. Recycling of these substrates is desirable and can be achieved by blending waste with native soil to form a 'novel substrate' which may be used in future landscape restoration. However, these post-mining substrate based 'soils' are likely to contain significant abiotic constraints for both plant and microbial growth. Effective use of these novel substrates for ecosystem restoration will depend on the efficacy of stored topsoil as a potential microbial inoculum as well as the subsequent generation of key microbial soil functions originally apparent in local pristine sites. Here, using both marker gene and shotgun metagenome sequencing, we show that topsoil storage and the blending of soil and waste substrates to form planting substrates gives rise to variable bacterial and archaeal phylogenetic composition but a high degree of metabolic conservation at the community metagenome level. Our data indicates that whilst low phylogenetic conservation is apparent across substrate blends we observe high functional redundancy in relation to key soil microbial pathways, allowing the potential for functional recovery of key belowground pathways under targeted management.","author":[{"dropping-particle":"","family":"Kumaresan","given":"Deepak","non-dropping-particle":"","parse-names":false,"suffix":""},{"dropping-particle":"","family":"Cross","given":"Adam T.","non-dropping-particle":"","parse-names":false,"suffix":""},{"dropping-particle":"","family":"Moreira-Grez","given":"Benjamin","non-dropping-particle":"","parse-names":false,"suffix":""},{"dropping-particle":"","family":"Kariman","given":"Khalil","non-dropping-particle":"","parse-names":false,"suffix":""},{"dropping-particle":"","family":"Nevill","given":"Paul","non-dropping-particle":"","parse-names":false,"suffix":""},{"dropping-particle":"","family":"Stevens","given":"Jason","non-dropping-particle":"","parse-names":false,"suffix":""},{"dropping-particle":"","family":"Allcock","given":"Richard J.N.","non-dropping-particle":"","parse-names":false,"suffix":""},{"dropping-particle":"","family":"O'Donnell","given":"Anthony G.","non-dropping-particle":"","parse-names":false,"suffix":""},{"dropping-particle":"","family":"Dixon","given":"Kingsley W.","non-dropping-particle":"","parse-names":false,"suffix":""},{"dropping-particle":"","family":"Whiteley","given":"Andrew S.","non-dropping-particle":"","parse-names":false,"suffix":""}],"container-title":"Scientific Reports","id":"ITEM-1","issue":"1","issued":{"date-parts":[["2017"]]},"page":"1-10","title":"Microbial functional capacity is preserved within engineered soil formulations used in mine site restoration","type":"article-journal","volume":"7"},"uris":["http://www.mendeley.com/documents/?uuid=1c4bf531-bba9-4dfb-9a05-bbc4c1386b09"]}],"mendeley":{"formattedCitation":"(Kumaresan et al., 2017)","plainTextFormattedCitation":"(Kumaresan et al., 2017)","previouslyFormattedCitation":"(Kumaresan et al., 2017)"},"properties":{"noteIndex":0},"schema":"https://github.com/citation-style-language/schema/raw/master/csl-citation.json"}</w:instrText>
      </w:r>
      <w:r w:rsidRPr="00216965">
        <w:fldChar w:fldCharType="separate"/>
      </w:r>
      <w:r w:rsidR="00C83E62" w:rsidRPr="00216965">
        <w:rPr>
          <w:noProof/>
        </w:rPr>
        <w:t>(Kumaresan et al., 2017)</w:t>
      </w:r>
      <w:r w:rsidRPr="00216965">
        <w:fldChar w:fldCharType="end"/>
      </w:r>
      <w:r w:rsidRPr="00216965">
        <w:t xml:space="preserve">. Thus, the complex interactions between biochar, microbial communities, plants, HMs and soil physical properties in this important setting are not fully understood. </w:t>
      </w:r>
    </w:p>
    <w:p w14:paraId="3E8C3567" w14:textId="0BFD9D2E" w:rsidR="00B45740" w:rsidRPr="00216965" w:rsidRDefault="00B45740" w:rsidP="008A33DA">
      <w:pPr>
        <w:spacing w:line="360" w:lineRule="auto"/>
        <w:jc w:val="both"/>
      </w:pPr>
      <w:r w:rsidRPr="00216965">
        <w:t>In order to address these knowledge gaps, the aim of the research described in this chapter was to study the ability of biochar to reduce bioavailable HMs from a mining soil in a long-term outdoor pot experiment. The objectives of this study were</w:t>
      </w:r>
      <w:r w:rsidR="00224A12" w:rsidRPr="00216965">
        <w:t xml:space="preserve"> to</w:t>
      </w:r>
      <w:r w:rsidRPr="00216965">
        <w:t>:</w:t>
      </w:r>
    </w:p>
    <w:p w14:paraId="23E98277" w14:textId="259277C5" w:rsidR="00B45740" w:rsidRPr="00216965" w:rsidRDefault="00B45740" w:rsidP="008A33DA">
      <w:pPr>
        <w:numPr>
          <w:ilvl w:val="0"/>
          <w:numId w:val="4"/>
        </w:numPr>
        <w:spacing w:line="360" w:lineRule="auto"/>
        <w:jc w:val="both"/>
      </w:pPr>
      <w:r w:rsidRPr="00216965">
        <w:t>examine the effect of biochar, and biochar combined with compost, on the immobilization of bioavailable HMs and soil quality in the long-term, under variable environmental conditions;</w:t>
      </w:r>
    </w:p>
    <w:p w14:paraId="503EE519" w14:textId="3C63487C" w:rsidR="00B45740" w:rsidRPr="00216965" w:rsidRDefault="00B45740" w:rsidP="008A33DA">
      <w:pPr>
        <w:numPr>
          <w:ilvl w:val="0"/>
          <w:numId w:val="4"/>
        </w:numPr>
        <w:spacing w:line="360" w:lineRule="auto"/>
        <w:jc w:val="both"/>
      </w:pPr>
      <w:r w:rsidRPr="00216965">
        <w:t>determine the impact of biochar, and biochar combined with compost, on soil microbial (bacterial and fungal) abundance and composition;</w:t>
      </w:r>
    </w:p>
    <w:p w14:paraId="17E7D011" w14:textId="30BF36E6" w:rsidR="00B45740" w:rsidRPr="00216965" w:rsidRDefault="00B45740" w:rsidP="008A33DA">
      <w:pPr>
        <w:numPr>
          <w:ilvl w:val="0"/>
          <w:numId w:val="4"/>
        </w:numPr>
        <w:spacing w:line="360" w:lineRule="auto"/>
        <w:jc w:val="both"/>
      </w:pPr>
      <w:r w:rsidRPr="00216965">
        <w:t>determine the effect of biochar, and biochar combined with compost, on plant growth over two growing seasons.</w:t>
      </w:r>
    </w:p>
    <w:p w14:paraId="3325E9CD" w14:textId="77777777" w:rsidR="00B45740" w:rsidRPr="00216965" w:rsidRDefault="00B45740" w:rsidP="008A33DA">
      <w:pPr>
        <w:pStyle w:val="Heading2"/>
      </w:pPr>
      <w:bookmarkStart w:id="319" w:name="_Toc86504684"/>
      <w:r w:rsidRPr="00216965">
        <w:t>Materials and Methods</w:t>
      </w:r>
      <w:bookmarkEnd w:id="319"/>
    </w:p>
    <w:p w14:paraId="50873E34" w14:textId="73B369DA" w:rsidR="00B45740" w:rsidRPr="00216965" w:rsidRDefault="00B45740" w:rsidP="008A33DA">
      <w:pPr>
        <w:spacing w:line="360" w:lineRule="auto"/>
        <w:jc w:val="both"/>
      </w:pPr>
      <w:r w:rsidRPr="00216965">
        <w:t>Wemyss Mine is located in South Wales near the village of Pont-rhyd-y-groes, Ceredigion</w:t>
      </w:r>
      <w:r w:rsidR="00602C0E" w:rsidRPr="00216965">
        <w:t xml:space="preserve"> (UK)</w:t>
      </w:r>
      <w:r w:rsidRPr="00216965">
        <w:t xml:space="preserve">, and covers approximately 11 hectares </w:t>
      </w:r>
      <w:r w:rsidRPr="00216965">
        <w:rPr>
          <w:bCs/>
        </w:rPr>
        <w:fldChar w:fldCharType="begin" w:fldLock="1"/>
      </w:r>
      <w:r w:rsidR="006C06AA" w:rsidRPr="00216965">
        <w:rPr>
          <w:bCs/>
        </w:rPr>
        <w:instrText>ADDIN CSL_CITATION {"citationItems":[{"id":"ITEM-1","itemData":{"author":[{"dropping-particle":"","family":"Edwards","given":"Paul","non-dropping-particle":"","parse-names":false,"suffix":""},{"dropping-particle":"","family":"Williams","given":"Tom","non-dropping-particle":"","parse-names":false,"suffix":""},{"dropping-particle":"","family":"Stanley","given":"Peter","non-dropping-particle":"","parse-names":false,"suffix":""}],"id":"ITEM-1","issued":{"date-parts":[["2016"]]},"number-of-pages":"1-8","publisher-place":"Cardiff","title":"Surface water management and encapsulation of mine waste to reduce water pollution from Frongoch Mine , Mid Wales","type":"report"},"uris":["http://www.mendeley.com/documents/?uuid=d1fd7bbb-1775-405e-963c-a22c663c3163","http://www.mendeley.com/documents/?uuid=3df839aa-5c4d-49fe-b0f5-2ed71d220112"]}],"mendeley":{"formattedCitation":"(Edwards et al., 2016)","plainTextFormattedCitation":"(Edwards et al., 2016)","previouslyFormattedCitation":"(Edwards et al., 2016)"},"properties":{"noteIndex":0},"schema":"https://github.com/citation-style-language/schema/raw/master/csl-citation.json"}</w:instrText>
      </w:r>
      <w:r w:rsidRPr="00216965">
        <w:rPr>
          <w:bCs/>
        </w:rPr>
        <w:fldChar w:fldCharType="separate"/>
      </w:r>
      <w:r w:rsidR="001974AA" w:rsidRPr="00216965">
        <w:rPr>
          <w:bCs/>
          <w:noProof/>
        </w:rPr>
        <w:t>(Edwards et al., 2016)</w:t>
      </w:r>
      <w:r w:rsidRPr="00216965">
        <w:rPr>
          <w:bCs/>
        </w:rPr>
        <w:fldChar w:fldCharType="end"/>
      </w:r>
      <w:r w:rsidRPr="00216965">
        <w:t xml:space="preserve">. The mine produced lead and zinc ore from the late 1700s until the early 1900s, when it fell into </w:t>
      </w:r>
      <w:r w:rsidRPr="00216965">
        <w:lastRenderedPageBreak/>
        <w:t>disuse. From 1924 to 1930 the waste dumps were reworked to reclaim zinc and lead. As a result, copious amounts of contaminated waste material is present (</w:t>
      </w:r>
      <w:r w:rsidRPr="00216965">
        <w:rPr>
          <w:bCs/>
        </w:rPr>
        <w:fldChar w:fldCharType="begin"/>
      </w:r>
      <w:r w:rsidRPr="00216965">
        <w:rPr>
          <w:bCs/>
        </w:rPr>
        <w:instrText xml:space="preserve"> REF _Ref84801693 \h </w:instrText>
      </w:r>
      <w:r w:rsidRPr="00216965">
        <w:rPr>
          <w:bCs/>
        </w:rPr>
      </w:r>
      <w:r w:rsidR="00216965" w:rsidRPr="00216965">
        <w:rPr>
          <w:bCs/>
        </w:rPr>
        <w:instrText xml:space="preserve"> \* MERGEFORMAT </w:instrText>
      </w:r>
      <w:r w:rsidRPr="00216965">
        <w:rPr>
          <w:bCs/>
        </w:rPr>
        <w:fldChar w:fldCharType="separate"/>
      </w:r>
      <w:r w:rsidR="006E23EA" w:rsidRPr="00216965">
        <w:rPr>
          <w:b/>
          <w:bCs/>
        </w:rPr>
        <w:t xml:space="preserve">Fig. </w:t>
      </w:r>
      <w:r w:rsidR="006E23EA" w:rsidRPr="00216965">
        <w:rPr>
          <w:b/>
          <w:bCs/>
          <w:noProof/>
        </w:rPr>
        <w:t>5</w:t>
      </w:r>
      <w:r w:rsidR="006E23EA" w:rsidRPr="00216965">
        <w:rPr>
          <w:b/>
          <w:bCs/>
        </w:rPr>
        <w:noBreakHyphen/>
      </w:r>
      <w:r w:rsidR="006E23EA" w:rsidRPr="00216965">
        <w:rPr>
          <w:b/>
          <w:bCs/>
          <w:noProof/>
        </w:rPr>
        <w:t>1</w:t>
      </w:r>
      <w:r w:rsidRPr="00216965">
        <w:rPr>
          <w:bCs/>
        </w:rPr>
        <w:fldChar w:fldCharType="end"/>
      </w:r>
      <w:r w:rsidRPr="00216965">
        <w:t xml:space="preserve">), which in combination with drainage from underground workings pose a serious threat to the ecological and environmental health of nearby watercourses </w:t>
      </w:r>
      <w:r w:rsidRPr="00216965">
        <w:rPr>
          <w:bCs/>
        </w:rPr>
        <w:fldChar w:fldCharType="begin" w:fldLock="1"/>
      </w:r>
      <w:r w:rsidR="00F56BD7" w:rsidRPr="00216965">
        <w:rPr>
          <w:bCs/>
        </w:rPr>
        <w:instrText>ADDIN CSL_CITATION {"citationItems":[{"id":"ITEM-1","itemData":{"author":[{"dropping-particle":"","family":"Lort","given":"J","non-dropping-particle":"","parse-names":false,"suffix":""}],"id":"ITEM-1","issued":{"date-parts":[["2017"]]},"publisher":"Aberystwyth University","title":"Assessment of stream sediment quality and the Fe / Mn oxide coatings of stream pebbles in the watercourses of Frongoch Mine","type":"thesis"},"uris":["http://www.mendeley.com/documents/?uuid=35f62ab8-0e71-43eb-a336-dba0faedee6c","http://www.mendeley.com/documents/?uuid=f1d8476f-0d17-4bcf-b903-acc7e86503e4"]}],"mendeley":{"formattedCitation":"(Lort, 2017)","plainTextFormattedCitation":"(Lort, 2017)","previouslyFormattedCitation":"(Lort, 2017)"},"properties":{"noteIndex":0},"schema":"https://github.com/citation-style-language/schema/raw/master/csl-citation.json"}</w:instrText>
      </w:r>
      <w:r w:rsidRPr="00216965">
        <w:rPr>
          <w:bCs/>
        </w:rPr>
        <w:fldChar w:fldCharType="separate"/>
      </w:r>
      <w:r w:rsidR="00330A4F" w:rsidRPr="00216965">
        <w:rPr>
          <w:bCs/>
          <w:noProof/>
        </w:rPr>
        <w:t>(Lort, 2017)</w:t>
      </w:r>
      <w:r w:rsidRPr="00216965">
        <w:rPr>
          <w:bCs/>
        </w:rPr>
        <w:fldChar w:fldCharType="end"/>
      </w:r>
      <w:r w:rsidRPr="00216965">
        <w:t>.</w:t>
      </w:r>
    </w:p>
    <w:p w14:paraId="6F6A3DD5" w14:textId="77777777" w:rsidR="00B45740" w:rsidRPr="00216965" w:rsidRDefault="00B45740" w:rsidP="008A33DA">
      <w:pPr>
        <w:pBdr>
          <w:top w:val="nil"/>
          <w:left w:val="nil"/>
          <w:bottom w:val="nil"/>
          <w:right w:val="nil"/>
          <w:between w:val="nil"/>
        </w:pBdr>
        <w:spacing w:after="200" w:line="240" w:lineRule="auto"/>
        <w:jc w:val="center"/>
        <w:rPr>
          <w:b/>
          <w:color w:val="000000"/>
        </w:rPr>
      </w:pPr>
      <w:r w:rsidRPr="00216965">
        <w:rPr>
          <w:b/>
          <w:noProof/>
          <w:color w:val="000000"/>
        </w:rPr>
        <w:drawing>
          <wp:inline distT="0" distB="0" distL="0" distR="0" wp14:anchorId="595D8186" wp14:editId="733ECF90">
            <wp:extent cx="2941114" cy="2204191"/>
            <wp:effectExtent l="0" t="0" r="0" b="0"/>
            <wp:docPr id="26" name="image18.png" descr="A picture containing sky, outdoor, grass, na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icture containing sky, outdoor, grass, nature&#10;&#10;Description automatically generated"/>
                    <pic:cNvPicPr preferRelativeResize="0"/>
                  </pic:nvPicPr>
                  <pic:blipFill>
                    <a:blip r:embed="rId56"/>
                    <a:srcRect/>
                    <a:stretch>
                      <a:fillRect/>
                    </a:stretch>
                  </pic:blipFill>
                  <pic:spPr>
                    <a:xfrm>
                      <a:off x="0" y="0"/>
                      <a:ext cx="2941114" cy="2204191"/>
                    </a:xfrm>
                    <a:prstGeom prst="rect">
                      <a:avLst/>
                    </a:prstGeom>
                    <a:ln/>
                  </pic:spPr>
                </pic:pic>
              </a:graphicData>
            </a:graphic>
          </wp:inline>
        </w:drawing>
      </w:r>
    </w:p>
    <w:p w14:paraId="59D318A0" w14:textId="476640AD" w:rsidR="00B45740" w:rsidRPr="00216965" w:rsidRDefault="00B45740" w:rsidP="008A33DA">
      <w:pPr>
        <w:rPr>
          <w:b/>
          <w:bCs/>
        </w:rPr>
      </w:pPr>
      <w:bookmarkStart w:id="320" w:name="_Ref84801693"/>
      <w:bookmarkStart w:id="321" w:name="_Toc86439382"/>
      <w:r w:rsidRPr="00216965">
        <w:rPr>
          <w:b/>
          <w:bCs/>
        </w:rPr>
        <w:t>Fig</w:t>
      </w:r>
      <w:r w:rsidR="000D5093"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w:t>
      </w:r>
      <w:r w:rsidR="00BF3EBE" w:rsidRPr="00216965">
        <w:rPr>
          <w:b/>
          <w:bCs/>
        </w:rPr>
        <w:fldChar w:fldCharType="end"/>
      </w:r>
      <w:bookmarkEnd w:id="320"/>
      <w:r w:rsidRPr="00216965">
        <w:rPr>
          <w:b/>
          <w:bCs/>
        </w:rPr>
        <w:t xml:space="preserve"> Overview of Wemyss mine</w:t>
      </w:r>
      <w:bookmarkEnd w:id="321"/>
      <w:r w:rsidR="0031210E" w:rsidRPr="00216965">
        <w:rPr>
          <w:b/>
          <w:bCs/>
        </w:rPr>
        <w:t>.</w:t>
      </w:r>
    </w:p>
    <w:p w14:paraId="1264A2E5" w14:textId="77777777" w:rsidR="00B45740" w:rsidRPr="00216965" w:rsidRDefault="00B45740" w:rsidP="008A33DA">
      <w:pPr>
        <w:pStyle w:val="Heading3"/>
      </w:pPr>
      <w:bookmarkStart w:id="322" w:name="_Toc86504685"/>
      <w:r w:rsidRPr="00216965">
        <w:t>Soil collection</w:t>
      </w:r>
      <w:bookmarkEnd w:id="322"/>
      <w:r w:rsidRPr="00216965">
        <w:t xml:space="preserve"> </w:t>
      </w:r>
    </w:p>
    <w:p w14:paraId="39C9ECD4" w14:textId="77777777" w:rsidR="00B45740" w:rsidRPr="00216965" w:rsidRDefault="00B45740" w:rsidP="008A33DA">
      <w:pPr>
        <w:spacing w:line="360" w:lineRule="auto"/>
        <w:jc w:val="both"/>
      </w:pPr>
      <w:r w:rsidRPr="00216965">
        <w:t xml:space="preserve">Soil from Wemyss mine was sampled from the top surface layer (20-40 cm) at three points (A, B and C) selected randomly within an 8 meter distance. Approximately 25 kg of soil was collected from each point. Soil was placed in plastic bags and transported to the University of Sheffield where the samples from the 3 sampling points were combined to create a composite sample and stored at 4 °C. </w:t>
      </w:r>
    </w:p>
    <w:p w14:paraId="128F5F5A" w14:textId="77777777" w:rsidR="00B45740" w:rsidRPr="00216965" w:rsidRDefault="00B45740" w:rsidP="008A33DA">
      <w:pPr>
        <w:pStyle w:val="Heading3"/>
      </w:pPr>
      <w:bookmarkStart w:id="323" w:name="_Ref86417924"/>
      <w:bookmarkStart w:id="324" w:name="_Toc86504686"/>
      <w:r w:rsidRPr="00216965">
        <w:t>Soil, biochar and compost characteristics</w:t>
      </w:r>
      <w:bookmarkEnd w:id="323"/>
      <w:bookmarkEnd w:id="324"/>
    </w:p>
    <w:p w14:paraId="2149CD79" w14:textId="123EB58D" w:rsidR="00B45740" w:rsidRPr="00216965" w:rsidRDefault="00B45740" w:rsidP="008A33DA">
      <w:pPr>
        <w:spacing w:line="360" w:lineRule="auto"/>
        <w:jc w:val="both"/>
        <w:rPr>
          <w:b/>
        </w:rPr>
      </w:pPr>
      <w:r w:rsidRPr="00216965">
        <w:t xml:space="preserve">Two kg of soil was used for particle size distribution analysis following the British Standard BS1377 </w:t>
      </w:r>
      <w:r w:rsidRPr="00216965">
        <w:fldChar w:fldCharType="begin" w:fldLock="1"/>
      </w:r>
      <w:r w:rsidR="00F56BD7" w:rsidRPr="00216965">
        <w:instrText>ADDIN CSL_CITATION {"citationItems":[{"id":"ITEM-1","itemData":{"URL":"https://shop.bsigroup.com/ProductDetail/?pid=000000000030351284","accessed":{"date-parts":[["2021","5","10"]]},"author":[{"dropping-particle":"","family":"British Standards","given":"","non-dropping-particle":"","parse-names":false,"suffix":""}],"container-title":"European Standards","id":"ITEM-1","issued":{"date-parts":[["2018"]]},"title":"BS 1377-3:2018 Methods of test for soils for civil engineering purposes. Chemical and electro-chemical testing","type":"webpage"},"uris":["http://www.mendeley.com/documents/?uuid=276aee1e-5d16-4cf3-95db-005810ca06cb"]}],"mendeley":{"formattedCitation":"(British Standards, 2018)","plainTextFormattedCitation":"(British Standards, 2018)","previouslyFormattedCitation":"(British Standards, 2018)"},"properties":{"noteIndex":0},"schema":"https://github.com/citation-style-language/schema/raw/master/csl-citation.json"}</w:instrText>
      </w:r>
      <w:r w:rsidRPr="00216965">
        <w:fldChar w:fldCharType="separate"/>
      </w:r>
      <w:r w:rsidR="00330A4F" w:rsidRPr="00216965">
        <w:rPr>
          <w:noProof/>
        </w:rPr>
        <w:t>(British Standards, 2018)</w:t>
      </w:r>
      <w:r w:rsidRPr="00216965">
        <w:fldChar w:fldCharType="end"/>
      </w:r>
      <w:r w:rsidRPr="00216965">
        <w:t xml:space="preserve">. An aliquot (1 kg) of the composite soil was dried at 40 °C and sieved &lt; 2 mm for physico-chemical analysis. The methods used for the characterization of the soil are described in </w:t>
      </w:r>
      <w:r w:rsidR="00934E33" w:rsidRPr="00216965">
        <w:rPr>
          <w:b/>
        </w:rPr>
        <w:fldChar w:fldCharType="begin"/>
      </w:r>
      <w:r w:rsidR="00934E33" w:rsidRPr="00216965">
        <w:rPr>
          <w:b/>
        </w:rPr>
        <w:instrText xml:space="preserve"> REF _Ref86417682 \r \h  \* MERGEFORMAT </w:instrText>
      </w:r>
      <w:r w:rsidR="00934E33" w:rsidRPr="00216965">
        <w:rPr>
          <w:b/>
        </w:rPr>
      </w:r>
      <w:r w:rsidR="00934E33" w:rsidRPr="00216965">
        <w:rPr>
          <w:b/>
        </w:rPr>
        <w:fldChar w:fldCharType="separate"/>
      </w:r>
      <w:r w:rsidR="006E23EA" w:rsidRPr="00216965">
        <w:rPr>
          <w:b/>
        </w:rPr>
        <w:t>Chapter 4</w:t>
      </w:r>
      <w:r w:rsidR="00934E33" w:rsidRPr="00216965">
        <w:rPr>
          <w:b/>
        </w:rPr>
        <w:fldChar w:fldCharType="end"/>
      </w:r>
      <w:r w:rsidRPr="00216965">
        <w:t>,</w:t>
      </w:r>
      <w:r w:rsidR="00934E33" w:rsidRPr="00216965">
        <w:t xml:space="preserve"> </w:t>
      </w:r>
      <w:r w:rsidR="00934E33" w:rsidRPr="00216965">
        <w:rPr>
          <w:b/>
          <w:bCs/>
        </w:rPr>
        <w:t xml:space="preserve">section </w:t>
      </w:r>
      <w:r w:rsidR="00934E33" w:rsidRPr="00216965">
        <w:rPr>
          <w:b/>
          <w:bCs/>
        </w:rPr>
        <w:fldChar w:fldCharType="begin"/>
      </w:r>
      <w:r w:rsidR="00934E33" w:rsidRPr="00216965">
        <w:rPr>
          <w:b/>
          <w:bCs/>
        </w:rPr>
        <w:instrText xml:space="preserve"> REF _Ref86406016 \r \h  \* MERGEFORMAT </w:instrText>
      </w:r>
      <w:r w:rsidR="00934E33" w:rsidRPr="00216965">
        <w:rPr>
          <w:b/>
          <w:bCs/>
        </w:rPr>
      </w:r>
      <w:r w:rsidR="00934E33" w:rsidRPr="00216965">
        <w:rPr>
          <w:b/>
          <w:bCs/>
        </w:rPr>
        <w:fldChar w:fldCharType="separate"/>
      </w:r>
      <w:r w:rsidR="006E23EA" w:rsidRPr="00216965">
        <w:rPr>
          <w:b/>
          <w:bCs/>
        </w:rPr>
        <w:t>4.2.2</w:t>
      </w:r>
      <w:r w:rsidR="00934E33" w:rsidRPr="00216965">
        <w:rPr>
          <w:b/>
          <w:bCs/>
        </w:rPr>
        <w:fldChar w:fldCharType="end"/>
      </w:r>
      <w:r w:rsidRPr="00216965">
        <w:rPr>
          <w:b/>
        </w:rPr>
        <w:t xml:space="preserve">. </w:t>
      </w:r>
      <w:r w:rsidRPr="00216965">
        <w:t xml:space="preserve">Wheat straw pellet biochar produced at 550 °C (WSP550) was provided </w:t>
      </w:r>
      <w:r w:rsidR="00602C0E" w:rsidRPr="00216965">
        <w:t xml:space="preserve">in February 2019 </w:t>
      </w:r>
      <w:r w:rsidRPr="00216965">
        <w:t>by the UK Biochar research Centre</w:t>
      </w:r>
      <w:r w:rsidR="00602C0E" w:rsidRPr="00216965">
        <w:t xml:space="preserve"> (Edinburgh, UK)</w:t>
      </w:r>
      <w:r w:rsidRPr="00216965">
        <w:t>.</w:t>
      </w:r>
      <w:r w:rsidRPr="00216965">
        <w:rPr>
          <w:b/>
        </w:rPr>
        <w:t xml:space="preserve"> </w:t>
      </w:r>
      <w:r w:rsidRPr="00216965">
        <w:t xml:space="preserve">The garden waste compost was produced at the Green Estate Waste Recycling facilities </w:t>
      </w:r>
      <w:r w:rsidR="00602C0E" w:rsidRPr="00216965">
        <w:t>(</w:t>
      </w:r>
      <w:r w:rsidRPr="00216965">
        <w:t>Sheffield</w:t>
      </w:r>
      <w:r w:rsidR="00602C0E" w:rsidRPr="00216965">
        <w:t>, UK)</w:t>
      </w:r>
      <w:r w:rsidRPr="00216965">
        <w:t>.</w:t>
      </w:r>
      <w:r w:rsidRPr="00216965">
        <w:rPr>
          <w:b/>
        </w:rPr>
        <w:t xml:space="preserve"> </w:t>
      </w:r>
      <w:r w:rsidRPr="00216965">
        <w:t xml:space="preserve">The compost complied with the PAS 100:2018 specifications for composted materials. The characteristics of the soil, selected biochar and compost properties are shown in </w:t>
      </w:r>
      <w:r w:rsidRPr="00216965">
        <w:rPr>
          <w:b/>
        </w:rPr>
        <w:fldChar w:fldCharType="begin"/>
      </w:r>
      <w:r w:rsidRPr="00216965">
        <w:rPr>
          <w:b/>
        </w:rPr>
        <w:instrText xml:space="preserve"> REF _Ref83064428 \h  \* MERGEFORMAT </w:instrText>
      </w:r>
      <w:r w:rsidRPr="00216965">
        <w:rPr>
          <w:b/>
        </w:rPr>
      </w:r>
      <w:r w:rsidRPr="00216965">
        <w:rPr>
          <w:b/>
        </w:rPr>
        <w:fldChar w:fldCharType="separate"/>
      </w:r>
      <w:r w:rsidR="006E23EA" w:rsidRPr="00216965">
        <w:rPr>
          <w:b/>
        </w:rPr>
        <w:t>Table 5</w:t>
      </w:r>
      <w:r w:rsidR="006E23EA" w:rsidRPr="00216965">
        <w:rPr>
          <w:b/>
        </w:rPr>
        <w:noBreakHyphen/>
        <w:t>1</w:t>
      </w:r>
      <w:r w:rsidRPr="00216965">
        <w:rPr>
          <w:b/>
        </w:rPr>
        <w:fldChar w:fldCharType="end"/>
      </w:r>
      <w:r w:rsidRPr="00216965">
        <w:rPr>
          <w:b/>
        </w:rPr>
        <w:t xml:space="preserve">. </w:t>
      </w:r>
    </w:p>
    <w:p w14:paraId="15AD07BC" w14:textId="525F35F3" w:rsidR="00934E33" w:rsidRPr="00216965" w:rsidRDefault="00934E33" w:rsidP="008A33DA">
      <w:pPr>
        <w:spacing w:line="360" w:lineRule="auto"/>
        <w:jc w:val="both"/>
        <w:rPr>
          <w:b/>
        </w:rPr>
      </w:pPr>
    </w:p>
    <w:p w14:paraId="275C6344" w14:textId="7A356BD8" w:rsidR="00B45740" w:rsidRPr="00216965" w:rsidRDefault="00B45740" w:rsidP="008A33DA">
      <w:pPr>
        <w:pBdr>
          <w:top w:val="nil"/>
          <w:left w:val="nil"/>
          <w:bottom w:val="nil"/>
          <w:right w:val="nil"/>
          <w:between w:val="nil"/>
        </w:pBdr>
        <w:spacing w:after="200" w:line="240" w:lineRule="auto"/>
        <w:rPr>
          <w:b/>
          <w:color w:val="000000"/>
        </w:rPr>
      </w:pPr>
      <w:bookmarkStart w:id="325" w:name="_Ref83064428"/>
      <w:bookmarkStart w:id="326" w:name="_Toc86440371"/>
      <w:r w:rsidRPr="00216965">
        <w:rPr>
          <w:b/>
          <w:bCs/>
        </w:rPr>
        <w:lastRenderedPageBreak/>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5</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1</w:t>
      </w:r>
      <w:r w:rsidR="00E569FA" w:rsidRPr="00216965">
        <w:rPr>
          <w:b/>
          <w:bCs/>
        </w:rPr>
        <w:fldChar w:fldCharType="end"/>
      </w:r>
      <w:bookmarkEnd w:id="325"/>
      <w:r w:rsidRPr="00216965">
        <w:t xml:space="preserve"> </w:t>
      </w:r>
      <w:r w:rsidRPr="00216965">
        <w:rPr>
          <w:b/>
          <w:color w:val="000000"/>
        </w:rPr>
        <w:t>Characteristics of experimental soil and biochar WSP550, values are means ± standard deviation; n =3.</w:t>
      </w:r>
      <w:bookmarkEnd w:id="326"/>
    </w:p>
    <w:tbl>
      <w:tblPr>
        <w:tblW w:w="0" w:type="auto"/>
        <w:jc w:val="center"/>
        <w:tblBorders>
          <w:top w:val="single" w:sz="4" w:space="0" w:color="auto"/>
          <w:bottom w:val="single" w:sz="4" w:space="0" w:color="auto"/>
        </w:tblBorders>
        <w:tblLook w:val="0400" w:firstRow="0" w:lastRow="0" w:firstColumn="0" w:lastColumn="0" w:noHBand="0" w:noVBand="1"/>
      </w:tblPr>
      <w:tblGrid>
        <w:gridCol w:w="819"/>
        <w:gridCol w:w="968"/>
        <w:gridCol w:w="1289"/>
        <w:gridCol w:w="222"/>
        <w:gridCol w:w="1571"/>
        <w:gridCol w:w="948"/>
        <w:gridCol w:w="327"/>
        <w:gridCol w:w="1505"/>
        <w:gridCol w:w="855"/>
      </w:tblGrid>
      <w:tr w:rsidR="00934E33" w:rsidRPr="00216965" w14:paraId="5FC48C06" w14:textId="77777777" w:rsidTr="00C84F12">
        <w:trPr>
          <w:jc w:val="center"/>
        </w:trPr>
        <w:tc>
          <w:tcPr>
            <w:tcW w:w="0" w:type="auto"/>
            <w:gridSpan w:val="3"/>
            <w:tcBorders>
              <w:top w:val="single" w:sz="4" w:space="0" w:color="auto"/>
              <w:bottom w:val="nil"/>
            </w:tcBorders>
            <w:shd w:val="clear" w:color="auto" w:fill="A8D08D" w:themeFill="accent6" w:themeFillTint="99"/>
            <w:vAlign w:val="center"/>
          </w:tcPr>
          <w:p w14:paraId="1E58E60C" w14:textId="77777777" w:rsidR="00B45740" w:rsidRPr="00216965" w:rsidRDefault="00B45740" w:rsidP="008A33DA">
            <w:pPr>
              <w:spacing w:after="0" w:line="240" w:lineRule="auto"/>
              <w:ind w:right="122"/>
              <w:jc w:val="center"/>
              <w:rPr>
                <w:b/>
                <w:color w:val="000000"/>
                <w:sz w:val="18"/>
                <w:szCs w:val="18"/>
              </w:rPr>
            </w:pPr>
            <w:r w:rsidRPr="00216965">
              <w:rPr>
                <w:b/>
                <w:color w:val="000000"/>
                <w:sz w:val="18"/>
                <w:szCs w:val="18"/>
              </w:rPr>
              <w:t>Soil</w:t>
            </w:r>
          </w:p>
        </w:tc>
        <w:tc>
          <w:tcPr>
            <w:tcW w:w="0" w:type="auto"/>
            <w:tcBorders>
              <w:top w:val="single" w:sz="4" w:space="0" w:color="auto"/>
              <w:bottom w:val="nil"/>
            </w:tcBorders>
            <w:shd w:val="clear" w:color="auto" w:fill="A8D08D" w:themeFill="accent6" w:themeFillTint="99"/>
          </w:tcPr>
          <w:p w14:paraId="537E12A1" w14:textId="77777777" w:rsidR="00B45740" w:rsidRPr="00216965" w:rsidRDefault="00B45740" w:rsidP="008A33DA">
            <w:pPr>
              <w:spacing w:after="0" w:line="240" w:lineRule="auto"/>
              <w:ind w:right="122"/>
              <w:jc w:val="center"/>
              <w:rPr>
                <w:b/>
                <w:color w:val="000000"/>
                <w:sz w:val="18"/>
                <w:szCs w:val="18"/>
              </w:rPr>
            </w:pPr>
          </w:p>
        </w:tc>
        <w:tc>
          <w:tcPr>
            <w:tcW w:w="2519" w:type="dxa"/>
            <w:gridSpan w:val="2"/>
            <w:vMerge w:val="restart"/>
            <w:tcBorders>
              <w:top w:val="single" w:sz="4" w:space="0" w:color="auto"/>
              <w:bottom w:val="nil"/>
            </w:tcBorders>
            <w:shd w:val="clear" w:color="auto" w:fill="A8D08D" w:themeFill="accent6" w:themeFillTint="99"/>
            <w:vAlign w:val="center"/>
          </w:tcPr>
          <w:p w14:paraId="269D9424" w14:textId="77777777" w:rsidR="00B45740" w:rsidRPr="00216965" w:rsidRDefault="00B45740" w:rsidP="008A33DA">
            <w:pPr>
              <w:spacing w:after="0" w:line="240" w:lineRule="auto"/>
              <w:ind w:right="122"/>
              <w:jc w:val="center"/>
              <w:rPr>
                <w:b/>
                <w:color w:val="000000"/>
                <w:sz w:val="18"/>
                <w:szCs w:val="18"/>
              </w:rPr>
            </w:pPr>
            <w:r w:rsidRPr="00216965">
              <w:rPr>
                <w:b/>
                <w:color w:val="000000"/>
                <w:sz w:val="18"/>
                <w:szCs w:val="18"/>
              </w:rPr>
              <w:t xml:space="preserve">WSP550 biochar </w:t>
            </w:r>
          </w:p>
        </w:tc>
        <w:tc>
          <w:tcPr>
            <w:tcW w:w="327" w:type="dxa"/>
            <w:tcBorders>
              <w:top w:val="single" w:sz="4" w:space="0" w:color="auto"/>
              <w:bottom w:val="nil"/>
            </w:tcBorders>
            <w:shd w:val="clear" w:color="auto" w:fill="A8D08D" w:themeFill="accent6" w:themeFillTint="99"/>
          </w:tcPr>
          <w:p w14:paraId="0648E0E7" w14:textId="77777777" w:rsidR="00B45740" w:rsidRPr="00216965" w:rsidRDefault="00B45740" w:rsidP="008A33DA">
            <w:pPr>
              <w:spacing w:after="0" w:line="240" w:lineRule="auto"/>
              <w:ind w:right="122"/>
              <w:jc w:val="center"/>
              <w:rPr>
                <w:b/>
                <w:color w:val="000000"/>
                <w:sz w:val="18"/>
                <w:szCs w:val="18"/>
              </w:rPr>
            </w:pPr>
          </w:p>
        </w:tc>
        <w:tc>
          <w:tcPr>
            <w:tcW w:w="2360" w:type="dxa"/>
            <w:gridSpan w:val="2"/>
            <w:vMerge w:val="restart"/>
            <w:tcBorders>
              <w:top w:val="single" w:sz="4" w:space="0" w:color="auto"/>
              <w:bottom w:val="nil"/>
            </w:tcBorders>
            <w:shd w:val="clear" w:color="auto" w:fill="A8D08D" w:themeFill="accent6" w:themeFillTint="99"/>
            <w:vAlign w:val="center"/>
          </w:tcPr>
          <w:p w14:paraId="34E8BDC2" w14:textId="77777777" w:rsidR="00B45740" w:rsidRPr="00216965" w:rsidRDefault="00B45740" w:rsidP="008A33DA">
            <w:pPr>
              <w:spacing w:after="0" w:line="240" w:lineRule="auto"/>
              <w:ind w:right="122"/>
              <w:jc w:val="center"/>
              <w:rPr>
                <w:b/>
                <w:color w:val="000000"/>
                <w:sz w:val="18"/>
                <w:szCs w:val="18"/>
              </w:rPr>
            </w:pPr>
            <w:r w:rsidRPr="00216965">
              <w:rPr>
                <w:b/>
                <w:color w:val="000000"/>
                <w:sz w:val="18"/>
                <w:szCs w:val="18"/>
              </w:rPr>
              <w:t>Compost</w:t>
            </w:r>
          </w:p>
        </w:tc>
      </w:tr>
      <w:tr w:rsidR="00934E33" w:rsidRPr="00216965" w14:paraId="50394F72" w14:textId="77777777" w:rsidTr="00C84F12">
        <w:trPr>
          <w:jc w:val="center"/>
        </w:trPr>
        <w:tc>
          <w:tcPr>
            <w:tcW w:w="0" w:type="auto"/>
            <w:tcBorders>
              <w:top w:val="nil"/>
              <w:bottom w:val="single" w:sz="4" w:space="0" w:color="auto"/>
            </w:tcBorders>
            <w:shd w:val="clear" w:color="auto" w:fill="A8D08D" w:themeFill="accent6" w:themeFillTint="99"/>
          </w:tcPr>
          <w:p w14:paraId="123CA623" w14:textId="77777777" w:rsidR="00B45740" w:rsidRPr="00216965" w:rsidRDefault="00B45740" w:rsidP="008A33DA">
            <w:pPr>
              <w:spacing w:after="0" w:line="240" w:lineRule="auto"/>
              <w:jc w:val="both"/>
              <w:rPr>
                <w:sz w:val="18"/>
                <w:szCs w:val="18"/>
              </w:rPr>
            </w:pPr>
          </w:p>
        </w:tc>
        <w:tc>
          <w:tcPr>
            <w:tcW w:w="0" w:type="auto"/>
            <w:tcBorders>
              <w:top w:val="nil"/>
              <w:bottom w:val="single" w:sz="4" w:space="0" w:color="auto"/>
            </w:tcBorders>
            <w:shd w:val="clear" w:color="auto" w:fill="A8D08D" w:themeFill="accent6" w:themeFillTint="99"/>
          </w:tcPr>
          <w:p w14:paraId="3BBE4C08" w14:textId="77777777" w:rsidR="00B45740" w:rsidRPr="00216965" w:rsidRDefault="00B45740" w:rsidP="008A33DA">
            <w:pPr>
              <w:spacing w:after="0" w:line="240" w:lineRule="auto"/>
              <w:ind w:right="122"/>
              <w:rPr>
                <w:b/>
                <w:color w:val="000000"/>
                <w:sz w:val="18"/>
                <w:szCs w:val="18"/>
              </w:rPr>
            </w:pPr>
            <w:r w:rsidRPr="00216965">
              <w:rPr>
                <w:b/>
                <w:color w:val="000000"/>
                <w:sz w:val="18"/>
                <w:szCs w:val="18"/>
              </w:rPr>
              <w:t>Total</w:t>
            </w:r>
          </w:p>
          <w:p w14:paraId="0E77950B" w14:textId="77777777" w:rsidR="00B45740" w:rsidRPr="00216965" w:rsidRDefault="00B45740" w:rsidP="008A33DA">
            <w:pPr>
              <w:spacing w:after="0" w:line="240" w:lineRule="auto"/>
              <w:rPr>
                <w:b/>
                <w:sz w:val="18"/>
                <w:szCs w:val="18"/>
              </w:rPr>
            </w:pPr>
            <w:r w:rsidRPr="00216965">
              <w:rPr>
                <w:b/>
                <w:color w:val="000000"/>
                <w:sz w:val="18"/>
                <w:szCs w:val="18"/>
              </w:rPr>
              <w:t>mg.kg</w:t>
            </w:r>
            <w:r w:rsidRPr="00216965">
              <w:rPr>
                <w:b/>
                <w:color w:val="000000"/>
                <w:sz w:val="18"/>
                <w:szCs w:val="18"/>
                <w:vertAlign w:val="superscript"/>
              </w:rPr>
              <w:t>-1</w:t>
            </w:r>
          </w:p>
        </w:tc>
        <w:tc>
          <w:tcPr>
            <w:tcW w:w="0" w:type="auto"/>
            <w:tcBorders>
              <w:top w:val="nil"/>
              <w:bottom w:val="single" w:sz="4" w:space="0" w:color="auto"/>
            </w:tcBorders>
            <w:shd w:val="clear" w:color="auto" w:fill="A8D08D" w:themeFill="accent6" w:themeFillTint="99"/>
          </w:tcPr>
          <w:p w14:paraId="1C9D7B13" w14:textId="77777777" w:rsidR="00B45740" w:rsidRPr="00216965" w:rsidRDefault="00B45740" w:rsidP="008A33DA">
            <w:pPr>
              <w:spacing w:after="0" w:line="240" w:lineRule="auto"/>
              <w:ind w:right="122"/>
              <w:rPr>
                <w:b/>
                <w:color w:val="000000"/>
                <w:sz w:val="18"/>
                <w:szCs w:val="18"/>
              </w:rPr>
            </w:pPr>
            <w:r w:rsidRPr="00216965">
              <w:rPr>
                <w:b/>
                <w:color w:val="000000"/>
                <w:sz w:val="18"/>
                <w:szCs w:val="18"/>
              </w:rPr>
              <w:t>Bioavailable</w:t>
            </w:r>
          </w:p>
          <w:p w14:paraId="60874498" w14:textId="77777777" w:rsidR="00B45740" w:rsidRPr="00216965" w:rsidRDefault="00B45740" w:rsidP="008A33DA">
            <w:pPr>
              <w:spacing w:after="0" w:line="240" w:lineRule="auto"/>
              <w:rPr>
                <w:b/>
                <w:sz w:val="18"/>
                <w:szCs w:val="18"/>
              </w:rPr>
            </w:pPr>
            <w:r w:rsidRPr="00216965">
              <w:rPr>
                <w:b/>
                <w:color w:val="000000"/>
                <w:sz w:val="18"/>
                <w:szCs w:val="18"/>
              </w:rPr>
              <w:t>mg.kg</w:t>
            </w:r>
            <w:r w:rsidRPr="00216965">
              <w:rPr>
                <w:b/>
                <w:color w:val="000000"/>
                <w:sz w:val="18"/>
                <w:szCs w:val="18"/>
                <w:vertAlign w:val="superscript"/>
              </w:rPr>
              <w:t>-1</w:t>
            </w:r>
          </w:p>
        </w:tc>
        <w:tc>
          <w:tcPr>
            <w:tcW w:w="0" w:type="auto"/>
            <w:tcBorders>
              <w:top w:val="nil"/>
              <w:bottom w:val="single" w:sz="4" w:space="0" w:color="auto"/>
            </w:tcBorders>
            <w:shd w:val="clear" w:color="auto" w:fill="A8D08D" w:themeFill="accent6" w:themeFillTint="99"/>
          </w:tcPr>
          <w:p w14:paraId="405F5A01" w14:textId="77777777" w:rsidR="00B45740" w:rsidRPr="00216965" w:rsidRDefault="00B45740" w:rsidP="008A33DA">
            <w:pPr>
              <w:spacing w:after="0" w:line="240" w:lineRule="auto"/>
              <w:ind w:right="122"/>
              <w:rPr>
                <w:b/>
                <w:color w:val="000000"/>
                <w:sz w:val="18"/>
                <w:szCs w:val="18"/>
              </w:rPr>
            </w:pPr>
          </w:p>
        </w:tc>
        <w:tc>
          <w:tcPr>
            <w:tcW w:w="2519" w:type="dxa"/>
            <w:gridSpan w:val="2"/>
            <w:vMerge/>
            <w:tcBorders>
              <w:top w:val="nil"/>
              <w:bottom w:val="single" w:sz="4" w:space="0" w:color="auto"/>
            </w:tcBorders>
            <w:shd w:val="clear" w:color="auto" w:fill="A8D08D" w:themeFill="accent6" w:themeFillTint="99"/>
            <w:vAlign w:val="center"/>
          </w:tcPr>
          <w:p w14:paraId="250CA996" w14:textId="77777777" w:rsidR="00B45740" w:rsidRPr="00216965" w:rsidRDefault="00B45740" w:rsidP="008A33DA">
            <w:pPr>
              <w:widowControl w:val="0"/>
              <w:pBdr>
                <w:top w:val="nil"/>
                <w:left w:val="nil"/>
                <w:bottom w:val="nil"/>
                <w:right w:val="nil"/>
                <w:between w:val="nil"/>
              </w:pBdr>
              <w:spacing w:after="0" w:line="240" w:lineRule="auto"/>
              <w:rPr>
                <w:b/>
                <w:color w:val="000000"/>
                <w:sz w:val="18"/>
                <w:szCs w:val="18"/>
              </w:rPr>
            </w:pPr>
          </w:p>
        </w:tc>
        <w:tc>
          <w:tcPr>
            <w:tcW w:w="327" w:type="dxa"/>
            <w:tcBorders>
              <w:top w:val="nil"/>
              <w:bottom w:val="single" w:sz="4" w:space="0" w:color="auto"/>
            </w:tcBorders>
            <w:shd w:val="clear" w:color="auto" w:fill="A8D08D" w:themeFill="accent6" w:themeFillTint="99"/>
          </w:tcPr>
          <w:p w14:paraId="71D2B56F" w14:textId="77777777" w:rsidR="00B45740" w:rsidRPr="00216965" w:rsidRDefault="00B45740" w:rsidP="008A33DA">
            <w:pPr>
              <w:spacing w:after="0" w:line="240" w:lineRule="auto"/>
              <w:ind w:right="122"/>
              <w:rPr>
                <w:b/>
                <w:color w:val="000000"/>
                <w:sz w:val="18"/>
                <w:szCs w:val="18"/>
              </w:rPr>
            </w:pPr>
          </w:p>
        </w:tc>
        <w:tc>
          <w:tcPr>
            <w:tcW w:w="2360" w:type="dxa"/>
            <w:gridSpan w:val="2"/>
            <w:vMerge/>
            <w:tcBorders>
              <w:top w:val="nil"/>
              <w:bottom w:val="single" w:sz="4" w:space="0" w:color="auto"/>
            </w:tcBorders>
            <w:shd w:val="clear" w:color="auto" w:fill="A8D08D" w:themeFill="accent6" w:themeFillTint="99"/>
            <w:vAlign w:val="center"/>
          </w:tcPr>
          <w:p w14:paraId="3B874A47" w14:textId="77777777" w:rsidR="00B45740" w:rsidRPr="00216965" w:rsidRDefault="00B45740" w:rsidP="008A33DA">
            <w:pPr>
              <w:widowControl w:val="0"/>
              <w:pBdr>
                <w:top w:val="nil"/>
                <w:left w:val="nil"/>
                <w:bottom w:val="nil"/>
                <w:right w:val="nil"/>
                <w:between w:val="nil"/>
              </w:pBdr>
              <w:spacing w:after="0" w:line="240" w:lineRule="auto"/>
              <w:rPr>
                <w:b/>
                <w:color w:val="000000"/>
                <w:sz w:val="18"/>
                <w:szCs w:val="18"/>
              </w:rPr>
            </w:pPr>
          </w:p>
        </w:tc>
      </w:tr>
      <w:tr w:rsidR="00934E33" w:rsidRPr="00216965" w14:paraId="3CCF30F5" w14:textId="77777777" w:rsidTr="00934E33">
        <w:trPr>
          <w:jc w:val="center"/>
        </w:trPr>
        <w:tc>
          <w:tcPr>
            <w:tcW w:w="0" w:type="auto"/>
            <w:tcBorders>
              <w:top w:val="single" w:sz="4" w:space="0" w:color="auto"/>
            </w:tcBorders>
          </w:tcPr>
          <w:p w14:paraId="41A9B775" w14:textId="77777777" w:rsidR="00B45740" w:rsidRPr="00216965" w:rsidRDefault="00B45740" w:rsidP="008A33DA">
            <w:pPr>
              <w:spacing w:after="0" w:line="240" w:lineRule="auto"/>
              <w:jc w:val="both"/>
              <w:rPr>
                <w:sz w:val="18"/>
                <w:szCs w:val="18"/>
              </w:rPr>
            </w:pPr>
            <w:r w:rsidRPr="00216965">
              <w:rPr>
                <w:color w:val="000000"/>
                <w:sz w:val="18"/>
                <w:szCs w:val="18"/>
              </w:rPr>
              <w:t>Cd</w:t>
            </w:r>
          </w:p>
        </w:tc>
        <w:tc>
          <w:tcPr>
            <w:tcW w:w="0" w:type="auto"/>
            <w:tcBorders>
              <w:top w:val="single" w:sz="4" w:space="0" w:color="auto"/>
            </w:tcBorders>
          </w:tcPr>
          <w:p w14:paraId="26EFE4B0" w14:textId="77777777" w:rsidR="00B45740" w:rsidRPr="00216965" w:rsidRDefault="00B45740" w:rsidP="008A33DA">
            <w:pPr>
              <w:spacing w:after="0" w:line="240" w:lineRule="auto"/>
              <w:jc w:val="both"/>
              <w:rPr>
                <w:sz w:val="18"/>
                <w:szCs w:val="18"/>
              </w:rPr>
            </w:pPr>
            <w:r w:rsidRPr="00216965">
              <w:rPr>
                <w:color w:val="000000"/>
                <w:sz w:val="18"/>
                <w:szCs w:val="18"/>
              </w:rPr>
              <w:t>5 ± 5</w:t>
            </w:r>
          </w:p>
        </w:tc>
        <w:tc>
          <w:tcPr>
            <w:tcW w:w="0" w:type="auto"/>
            <w:tcBorders>
              <w:top w:val="single" w:sz="4" w:space="0" w:color="auto"/>
            </w:tcBorders>
          </w:tcPr>
          <w:p w14:paraId="5C24FDF7" w14:textId="77777777" w:rsidR="00B45740" w:rsidRPr="00216965" w:rsidRDefault="00B45740" w:rsidP="008A33DA">
            <w:pPr>
              <w:spacing w:after="0" w:line="240" w:lineRule="auto"/>
              <w:jc w:val="both"/>
              <w:rPr>
                <w:sz w:val="18"/>
                <w:szCs w:val="18"/>
              </w:rPr>
            </w:pPr>
            <w:r w:rsidRPr="00216965">
              <w:rPr>
                <w:color w:val="000000"/>
                <w:sz w:val="18"/>
                <w:szCs w:val="18"/>
              </w:rPr>
              <w:t>0.05 ± 0.00</w:t>
            </w:r>
          </w:p>
        </w:tc>
        <w:tc>
          <w:tcPr>
            <w:tcW w:w="0" w:type="auto"/>
            <w:tcBorders>
              <w:top w:val="single" w:sz="4" w:space="0" w:color="auto"/>
            </w:tcBorders>
          </w:tcPr>
          <w:p w14:paraId="122FD841" w14:textId="77777777" w:rsidR="00B45740" w:rsidRPr="00216965" w:rsidRDefault="00B45740" w:rsidP="008A33DA">
            <w:pPr>
              <w:spacing w:after="0" w:line="240" w:lineRule="auto"/>
              <w:jc w:val="both"/>
              <w:rPr>
                <w:sz w:val="18"/>
                <w:szCs w:val="18"/>
              </w:rPr>
            </w:pPr>
          </w:p>
        </w:tc>
        <w:tc>
          <w:tcPr>
            <w:tcW w:w="1571" w:type="dxa"/>
            <w:tcBorders>
              <w:top w:val="single" w:sz="4" w:space="0" w:color="auto"/>
            </w:tcBorders>
            <w:vAlign w:val="center"/>
          </w:tcPr>
          <w:p w14:paraId="50880230" w14:textId="77777777" w:rsidR="00B45740" w:rsidRPr="00216965" w:rsidRDefault="00B45740" w:rsidP="008A33DA">
            <w:pPr>
              <w:spacing w:after="0" w:line="240" w:lineRule="auto"/>
              <w:rPr>
                <w:color w:val="000000"/>
                <w:sz w:val="18"/>
                <w:szCs w:val="18"/>
              </w:rPr>
            </w:pPr>
            <w:r w:rsidRPr="00216965">
              <w:rPr>
                <w:sz w:val="18"/>
                <w:szCs w:val="18"/>
              </w:rPr>
              <w:t>Temperature (⁰C)</w:t>
            </w:r>
            <w:r w:rsidRPr="00216965">
              <w:rPr>
                <w:sz w:val="18"/>
                <w:szCs w:val="18"/>
                <w:vertAlign w:val="superscript"/>
              </w:rPr>
              <w:t>d</w:t>
            </w:r>
          </w:p>
        </w:tc>
        <w:tc>
          <w:tcPr>
            <w:tcW w:w="948" w:type="dxa"/>
            <w:tcBorders>
              <w:top w:val="single" w:sz="4" w:space="0" w:color="auto"/>
            </w:tcBorders>
          </w:tcPr>
          <w:p w14:paraId="0CC8DDB5" w14:textId="77777777" w:rsidR="00B45740" w:rsidRPr="00216965" w:rsidRDefault="00B45740" w:rsidP="008A33DA">
            <w:pPr>
              <w:spacing w:after="0" w:line="240" w:lineRule="auto"/>
              <w:jc w:val="both"/>
              <w:rPr>
                <w:color w:val="000000"/>
                <w:sz w:val="18"/>
                <w:szCs w:val="18"/>
              </w:rPr>
            </w:pPr>
            <w:r w:rsidRPr="00216965">
              <w:rPr>
                <w:sz w:val="18"/>
                <w:szCs w:val="18"/>
              </w:rPr>
              <w:t>550</w:t>
            </w:r>
          </w:p>
        </w:tc>
        <w:tc>
          <w:tcPr>
            <w:tcW w:w="327" w:type="dxa"/>
            <w:tcBorders>
              <w:top w:val="single" w:sz="4" w:space="0" w:color="auto"/>
            </w:tcBorders>
          </w:tcPr>
          <w:p w14:paraId="10EE1C4F" w14:textId="77777777" w:rsidR="00B45740" w:rsidRPr="00216965" w:rsidRDefault="00B45740" w:rsidP="008A33DA">
            <w:pPr>
              <w:spacing w:after="0" w:line="240" w:lineRule="auto"/>
              <w:jc w:val="both"/>
              <w:rPr>
                <w:sz w:val="18"/>
                <w:szCs w:val="18"/>
              </w:rPr>
            </w:pPr>
          </w:p>
        </w:tc>
        <w:tc>
          <w:tcPr>
            <w:tcW w:w="1505" w:type="dxa"/>
            <w:tcBorders>
              <w:top w:val="single" w:sz="4" w:space="0" w:color="auto"/>
            </w:tcBorders>
          </w:tcPr>
          <w:p w14:paraId="19C0B4FB" w14:textId="77777777" w:rsidR="00B45740" w:rsidRPr="00216965" w:rsidRDefault="00B45740" w:rsidP="008A33DA">
            <w:pPr>
              <w:spacing w:after="0" w:line="240" w:lineRule="auto"/>
              <w:jc w:val="both"/>
              <w:rPr>
                <w:sz w:val="18"/>
                <w:szCs w:val="18"/>
              </w:rPr>
            </w:pPr>
            <w:r w:rsidRPr="00216965">
              <w:rPr>
                <w:sz w:val="18"/>
                <w:szCs w:val="18"/>
              </w:rPr>
              <w:t>pH</w:t>
            </w:r>
          </w:p>
        </w:tc>
        <w:tc>
          <w:tcPr>
            <w:tcW w:w="0" w:type="auto"/>
            <w:tcBorders>
              <w:top w:val="single" w:sz="4" w:space="0" w:color="auto"/>
            </w:tcBorders>
          </w:tcPr>
          <w:p w14:paraId="10EBB018" w14:textId="77777777" w:rsidR="00B45740" w:rsidRPr="00216965" w:rsidRDefault="00B45740" w:rsidP="008A33DA">
            <w:pPr>
              <w:spacing w:after="0" w:line="240" w:lineRule="auto"/>
              <w:jc w:val="both"/>
              <w:rPr>
                <w:sz w:val="18"/>
                <w:szCs w:val="18"/>
              </w:rPr>
            </w:pPr>
            <w:r w:rsidRPr="00216965">
              <w:rPr>
                <w:sz w:val="18"/>
                <w:szCs w:val="18"/>
              </w:rPr>
              <w:t xml:space="preserve">8.4 </w:t>
            </w:r>
            <w:r w:rsidRPr="00216965">
              <w:rPr>
                <w:color w:val="000000"/>
                <w:sz w:val="18"/>
                <w:szCs w:val="18"/>
              </w:rPr>
              <w:t>± 0.1</w:t>
            </w:r>
          </w:p>
        </w:tc>
      </w:tr>
      <w:tr w:rsidR="00934E33" w:rsidRPr="00216965" w14:paraId="6BFD04BB" w14:textId="77777777" w:rsidTr="00934E33">
        <w:trPr>
          <w:jc w:val="center"/>
        </w:trPr>
        <w:tc>
          <w:tcPr>
            <w:tcW w:w="0" w:type="auto"/>
          </w:tcPr>
          <w:p w14:paraId="7395EF3B" w14:textId="77777777" w:rsidR="00B45740" w:rsidRPr="00216965" w:rsidRDefault="00B45740" w:rsidP="008A33DA">
            <w:pPr>
              <w:spacing w:after="0" w:line="240" w:lineRule="auto"/>
              <w:jc w:val="both"/>
              <w:rPr>
                <w:sz w:val="18"/>
                <w:szCs w:val="18"/>
              </w:rPr>
            </w:pPr>
            <w:r w:rsidRPr="00216965">
              <w:rPr>
                <w:color w:val="000000"/>
                <w:sz w:val="18"/>
                <w:szCs w:val="18"/>
              </w:rPr>
              <w:t>Co</w:t>
            </w:r>
          </w:p>
        </w:tc>
        <w:tc>
          <w:tcPr>
            <w:tcW w:w="0" w:type="auto"/>
          </w:tcPr>
          <w:p w14:paraId="5A07AE88" w14:textId="77777777" w:rsidR="00B45740" w:rsidRPr="00216965" w:rsidRDefault="00B45740" w:rsidP="008A33DA">
            <w:pPr>
              <w:spacing w:after="0" w:line="240" w:lineRule="auto"/>
              <w:jc w:val="both"/>
              <w:rPr>
                <w:sz w:val="18"/>
                <w:szCs w:val="18"/>
              </w:rPr>
            </w:pPr>
            <w:r w:rsidRPr="00216965">
              <w:rPr>
                <w:color w:val="000000"/>
                <w:sz w:val="18"/>
                <w:szCs w:val="18"/>
              </w:rPr>
              <w:t>67 ± 8</w:t>
            </w:r>
          </w:p>
        </w:tc>
        <w:tc>
          <w:tcPr>
            <w:tcW w:w="0" w:type="auto"/>
          </w:tcPr>
          <w:p w14:paraId="73BF7A3C" w14:textId="77777777" w:rsidR="00B45740" w:rsidRPr="00216965" w:rsidRDefault="00B45740" w:rsidP="008A33DA">
            <w:pPr>
              <w:spacing w:after="0" w:line="240" w:lineRule="auto"/>
              <w:jc w:val="both"/>
              <w:rPr>
                <w:sz w:val="18"/>
                <w:szCs w:val="18"/>
              </w:rPr>
            </w:pPr>
            <w:r w:rsidRPr="00216965">
              <w:rPr>
                <w:color w:val="000000"/>
                <w:sz w:val="18"/>
                <w:szCs w:val="18"/>
              </w:rPr>
              <w:t>0.26 ± 0.07</w:t>
            </w:r>
          </w:p>
        </w:tc>
        <w:tc>
          <w:tcPr>
            <w:tcW w:w="0" w:type="auto"/>
          </w:tcPr>
          <w:p w14:paraId="13C1400B" w14:textId="77777777" w:rsidR="00B45740" w:rsidRPr="00216965" w:rsidRDefault="00B45740" w:rsidP="008A33DA">
            <w:pPr>
              <w:spacing w:after="0" w:line="240" w:lineRule="auto"/>
              <w:jc w:val="both"/>
              <w:rPr>
                <w:sz w:val="18"/>
                <w:szCs w:val="18"/>
              </w:rPr>
            </w:pPr>
          </w:p>
        </w:tc>
        <w:tc>
          <w:tcPr>
            <w:tcW w:w="1571" w:type="dxa"/>
            <w:vAlign w:val="center"/>
          </w:tcPr>
          <w:p w14:paraId="77C29D5D" w14:textId="77777777" w:rsidR="00B45740" w:rsidRPr="00216965" w:rsidRDefault="00B45740" w:rsidP="008A33DA">
            <w:pPr>
              <w:spacing w:after="0" w:line="240" w:lineRule="auto"/>
              <w:rPr>
                <w:color w:val="000000"/>
                <w:sz w:val="18"/>
                <w:szCs w:val="18"/>
              </w:rPr>
            </w:pPr>
            <w:r w:rsidRPr="00216965">
              <w:rPr>
                <w:sz w:val="18"/>
                <w:szCs w:val="18"/>
              </w:rPr>
              <w:t>pH</w:t>
            </w:r>
            <w:r w:rsidRPr="00216965">
              <w:rPr>
                <w:sz w:val="18"/>
                <w:szCs w:val="18"/>
                <w:vertAlign w:val="superscript"/>
              </w:rPr>
              <w:t xml:space="preserve"> d</w:t>
            </w:r>
          </w:p>
        </w:tc>
        <w:tc>
          <w:tcPr>
            <w:tcW w:w="948" w:type="dxa"/>
          </w:tcPr>
          <w:p w14:paraId="001C01E8" w14:textId="77777777" w:rsidR="00B45740" w:rsidRPr="00216965" w:rsidRDefault="00B45740" w:rsidP="008A33DA">
            <w:pPr>
              <w:spacing w:after="0" w:line="240" w:lineRule="auto"/>
              <w:jc w:val="both"/>
              <w:rPr>
                <w:color w:val="000000"/>
                <w:sz w:val="18"/>
                <w:szCs w:val="18"/>
              </w:rPr>
            </w:pPr>
            <w:r w:rsidRPr="00216965">
              <w:rPr>
                <w:sz w:val="18"/>
                <w:szCs w:val="18"/>
              </w:rPr>
              <w:t xml:space="preserve">9.9 </w:t>
            </w:r>
            <w:r w:rsidRPr="00216965">
              <w:rPr>
                <w:color w:val="000000"/>
                <w:sz w:val="18"/>
                <w:szCs w:val="18"/>
              </w:rPr>
              <w:t>± 0.2</w:t>
            </w:r>
          </w:p>
        </w:tc>
        <w:tc>
          <w:tcPr>
            <w:tcW w:w="327" w:type="dxa"/>
          </w:tcPr>
          <w:p w14:paraId="4D81E457" w14:textId="77777777" w:rsidR="00B45740" w:rsidRPr="00216965" w:rsidRDefault="00B45740" w:rsidP="008A33DA">
            <w:pPr>
              <w:spacing w:after="0" w:line="240" w:lineRule="auto"/>
              <w:jc w:val="both"/>
              <w:rPr>
                <w:sz w:val="18"/>
                <w:szCs w:val="18"/>
              </w:rPr>
            </w:pPr>
          </w:p>
        </w:tc>
        <w:tc>
          <w:tcPr>
            <w:tcW w:w="1505" w:type="dxa"/>
          </w:tcPr>
          <w:p w14:paraId="0B21CD41" w14:textId="77777777" w:rsidR="00B45740" w:rsidRPr="00216965" w:rsidRDefault="00B45740" w:rsidP="008A33DA">
            <w:pPr>
              <w:spacing w:after="0" w:line="240" w:lineRule="auto"/>
              <w:jc w:val="both"/>
              <w:rPr>
                <w:sz w:val="18"/>
                <w:szCs w:val="18"/>
              </w:rPr>
            </w:pPr>
            <w:r w:rsidRPr="00216965">
              <w:rPr>
                <w:sz w:val="18"/>
                <w:szCs w:val="18"/>
              </w:rPr>
              <w:t>EC [μS.cm</w:t>
            </w:r>
            <w:r w:rsidRPr="00216965">
              <w:rPr>
                <w:sz w:val="18"/>
                <w:szCs w:val="18"/>
                <w:vertAlign w:val="superscript"/>
              </w:rPr>
              <w:t>-1</w:t>
            </w:r>
            <w:r w:rsidRPr="00216965">
              <w:rPr>
                <w:sz w:val="18"/>
                <w:szCs w:val="18"/>
              </w:rPr>
              <w:t>]</w:t>
            </w:r>
          </w:p>
        </w:tc>
        <w:tc>
          <w:tcPr>
            <w:tcW w:w="0" w:type="auto"/>
          </w:tcPr>
          <w:p w14:paraId="2ACBEAD7" w14:textId="77777777" w:rsidR="00B45740" w:rsidRPr="00216965" w:rsidRDefault="00B45740" w:rsidP="008A33DA">
            <w:pPr>
              <w:spacing w:after="0" w:line="240" w:lineRule="auto"/>
              <w:jc w:val="both"/>
              <w:rPr>
                <w:sz w:val="18"/>
                <w:szCs w:val="18"/>
              </w:rPr>
            </w:pPr>
            <w:r w:rsidRPr="00216965">
              <w:rPr>
                <w:sz w:val="18"/>
                <w:szCs w:val="18"/>
              </w:rPr>
              <w:t xml:space="preserve">772 </w:t>
            </w:r>
            <w:r w:rsidRPr="00216965">
              <w:rPr>
                <w:color w:val="000000"/>
                <w:sz w:val="18"/>
                <w:szCs w:val="18"/>
              </w:rPr>
              <w:t>± 39</w:t>
            </w:r>
          </w:p>
        </w:tc>
      </w:tr>
      <w:tr w:rsidR="00934E33" w:rsidRPr="00216965" w14:paraId="1641546E" w14:textId="77777777" w:rsidTr="00934E33">
        <w:trPr>
          <w:jc w:val="center"/>
        </w:trPr>
        <w:tc>
          <w:tcPr>
            <w:tcW w:w="0" w:type="auto"/>
          </w:tcPr>
          <w:p w14:paraId="64AB76D6" w14:textId="77777777" w:rsidR="00B45740" w:rsidRPr="00216965" w:rsidRDefault="00B45740" w:rsidP="008A33DA">
            <w:pPr>
              <w:spacing w:after="0" w:line="240" w:lineRule="auto"/>
              <w:jc w:val="both"/>
              <w:rPr>
                <w:sz w:val="18"/>
                <w:szCs w:val="18"/>
              </w:rPr>
            </w:pPr>
            <w:r w:rsidRPr="00216965">
              <w:rPr>
                <w:color w:val="000000"/>
                <w:sz w:val="18"/>
                <w:szCs w:val="18"/>
              </w:rPr>
              <w:t>Cr</w:t>
            </w:r>
          </w:p>
        </w:tc>
        <w:tc>
          <w:tcPr>
            <w:tcW w:w="0" w:type="auto"/>
          </w:tcPr>
          <w:p w14:paraId="20FAE827" w14:textId="77777777" w:rsidR="00B45740" w:rsidRPr="00216965" w:rsidRDefault="00B45740" w:rsidP="008A33DA">
            <w:pPr>
              <w:spacing w:after="0" w:line="240" w:lineRule="auto"/>
              <w:jc w:val="both"/>
              <w:rPr>
                <w:sz w:val="18"/>
                <w:szCs w:val="18"/>
              </w:rPr>
            </w:pPr>
            <w:r w:rsidRPr="00216965">
              <w:rPr>
                <w:color w:val="000000"/>
                <w:sz w:val="18"/>
                <w:szCs w:val="18"/>
              </w:rPr>
              <w:t>135 ± 14</w:t>
            </w:r>
          </w:p>
        </w:tc>
        <w:tc>
          <w:tcPr>
            <w:tcW w:w="0" w:type="auto"/>
          </w:tcPr>
          <w:p w14:paraId="54A8F609" w14:textId="77777777" w:rsidR="00B45740" w:rsidRPr="00216965" w:rsidRDefault="00B45740" w:rsidP="008A33DA">
            <w:pPr>
              <w:spacing w:after="0" w:line="240" w:lineRule="auto"/>
              <w:jc w:val="both"/>
              <w:rPr>
                <w:sz w:val="18"/>
                <w:szCs w:val="18"/>
              </w:rPr>
            </w:pPr>
            <w:r w:rsidRPr="00216965">
              <w:rPr>
                <w:color w:val="000000"/>
                <w:sz w:val="18"/>
                <w:szCs w:val="18"/>
              </w:rPr>
              <w:t>0.01 ± 0.00</w:t>
            </w:r>
          </w:p>
        </w:tc>
        <w:tc>
          <w:tcPr>
            <w:tcW w:w="0" w:type="auto"/>
          </w:tcPr>
          <w:p w14:paraId="70F39740" w14:textId="77777777" w:rsidR="00B45740" w:rsidRPr="00216965" w:rsidRDefault="00B45740" w:rsidP="008A33DA">
            <w:pPr>
              <w:spacing w:after="0" w:line="240" w:lineRule="auto"/>
              <w:jc w:val="both"/>
              <w:rPr>
                <w:sz w:val="18"/>
                <w:szCs w:val="18"/>
              </w:rPr>
            </w:pPr>
          </w:p>
        </w:tc>
        <w:tc>
          <w:tcPr>
            <w:tcW w:w="1571" w:type="dxa"/>
            <w:vAlign w:val="center"/>
          </w:tcPr>
          <w:p w14:paraId="4BFE663D" w14:textId="77777777" w:rsidR="00B45740" w:rsidRPr="00216965" w:rsidRDefault="00B45740" w:rsidP="008A33DA">
            <w:pPr>
              <w:spacing w:after="0" w:line="240" w:lineRule="auto"/>
              <w:rPr>
                <w:color w:val="000000"/>
                <w:sz w:val="18"/>
                <w:szCs w:val="18"/>
              </w:rPr>
            </w:pPr>
            <w:r w:rsidRPr="00216965">
              <w:rPr>
                <w:sz w:val="18"/>
                <w:szCs w:val="18"/>
              </w:rPr>
              <w:t>H:C</w:t>
            </w:r>
            <w:r w:rsidRPr="00216965">
              <w:rPr>
                <w:sz w:val="18"/>
                <w:szCs w:val="18"/>
                <w:vertAlign w:val="subscript"/>
              </w:rPr>
              <w:t>tot</w:t>
            </w:r>
            <w:r w:rsidRPr="00216965">
              <w:rPr>
                <w:sz w:val="18"/>
                <w:szCs w:val="18"/>
              </w:rPr>
              <w:t xml:space="preserve"> (molar ratio)</w:t>
            </w:r>
            <w:r w:rsidRPr="00216965">
              <w:rPr>
                <w:sz w:val="18"/>
                <w:szCs w:val="18"/>
                <w:vertAlign w:val="superscript"/>
              </w:rPr>
              <w:t xml:space="preserve"> d</w:t>
            </w:r>
          </w:p>
        </w:tc>
        <w:tc>
          <w:tcPr>
            <w:tcW w:w="948" w:type="dxa"/>
          </w:tcPr>
          <w:p w14:paraId="79A512E4" w14:textId="77777777" w:rsidR="00B45740" w:rsidRPr="00216965" w:rsidRDefault="00B45740" w:rsidP="008A33DA">
            <w:pPr>
              <w:spacing w:after="0" w:line="240" w:lineRule="auto"/>
              <w:jc w:val="both"/>
              <w:rPr>
                <w:color w:val="000000"/>
                <w:sz w:val="18"/>
                <w:szCs w:val="18"/>
              </w:rPr>
            </w:pPr>
            <w:r w:rsidRPr="00216965">
              <w:rPr>
                <w:sz w:val="18"/>
                <w:szCs w:val="18"/>
              </w:rPr>
              <w:t xml:space="preserve">0.4 </w:t>
            </w:r>
            <w:r w:rsidRPr="00216965">
              <w:rPr>
                <w:color w:val="000000"/>
                <w:sz w:val="18"/>
                <w:szCs w:val="18"/>
              </w:rPr>
              <w:t>± 0.1</w:t>
            </w:r>
          </w:p>
        </w:tc>
        <w:tc>
          <w:tcPr>
            <w:tcW w:w="327" w:type="dxa"/>
          </w:tcPr>
          <w:p w14:paraId="4CD2A1C6" w14:textId="77777777" w:rsidR="00B45740" w:rsidRPr="00216965" w:rsidRDefault="00B45740" w:rsidP="008A33DA">
            <w:pPr>
              <w:spacing w:after="0" w:line="240" w:lineRule="auto"/>
              <w:jc w:val="both"/>
              <w:rPr>
                <w:sz w:val="18"/>
                <w:szCs w:val="18"/>
              </w:rPr>
            </w:pPr>
          </w:p>
        </w:tc>
        <w:tc>
          <w:tcPr>
            <w:tcW w:w="1505" w:type="dxa"/>
          </w:tcPr>
          <w:p w14:paraId="479506F7" w14:textId="77777777" w:rsidR="00B45740" w:rsidRPr="00216965" w:rsidRDefault="00B45740" w:rsidP="008A33DA">
            <w:pPr>
              <w:spacing w:after="0" w:line="240" w:lineRule="auto"/>
              <w:jc w:val="both"/>
              <w:rPr>
                <w:sz w:val="18"/>
                <w:szCs w:val="18"/>
              </w:rPr>
            </w:pPr>
            <w:r w:rsidRPr="00216965">
              <w:rPr>
                <w:sz w:val="18"/>
                <w:szCs w:val="18"/>
              </w:rPr>
              <w:t>OM %</w:t>
            </w:r>
          </w:p>
        </w:tc>
        <w:tc>
          <w:tcPr>
            <w:tcW w:w="0" w:type="auto"/>
          </w:tcPr>
          <w:p w14:paraId="3B3909FF" w14:textId="77777777" w:rsidR="00B45740" w:rsidRPr="00216965" w:rsidRDefault="00B45740" w:rsidP="008A33DA">
            <w:pPr>
              <w:spacing w:after="0" w:line="240" w:lineRule="auto"/>
              <w:jc w:val="both"/>
              <w:rPr>
                <w:sz w:val="18"/>
                <w:szCs w:val="18"/>
              </w:rPr>
            </w:pPr>
            <w:r w:rsidRPr="00216965">
              <w:rPr>
                <w:sz w:val="18"/>
                <w:szCs w:val="18"/>
              </w:rPr>
              <w:t xml:space="preserve">8.8 </w:t>
            </w:r>
            <w:r w:rsidRPr="00216965">
              <w:rPr>
                <w:color w:val="000000"/>
                <w:sz w:val="18"/>
                <w:szCs w:val="18"/>
              </w:rPr>
              <w:t>± 0.3</w:t>
            </w:r>
          </w:p>
        </w:tc>
      </w:tr>
      <w:tr w:rsidR="00934E33" w:rsidRPr="00216965" w14:paraId="533360CB" w14:textId="77777777" w:rsidTr="00934E33">
        <w:trPr>
          <w:jc w:val="center"/>
        </w:trPr>
        <w:tc>
          <w:tcPr>
            <w:tcW w:w="0" w:type="auto"/>
          </w:tcPr>
          <w:p w14:paraId="6350BCCD" w14:textId="77777777" w:rsidR="00B45740" w:rsidRPr="00216965" w:rsidRDefault="00B45740" w:rsidP="008A33DA">
            <w:pPr>
              <w:spacing w:after="0" w:line="240" w:lineRule="auto"/>
              <w:jc w:val="both"/>
              <w:rPr>
                <w:sz w:val="18"/>
                <w:szCs w:val="18"/>
              </w:rPr>
            </w:pPr>
            <w:r w:rsidRPr="00216965">
              <w:rPr>
                <w:color w:val="000000"/>
                <w:sz w:val="18"/>
                <w:szCs w:val="18"/>
              </w:rPr>
              <w:t>Cu</w:t>
            </w:r>
          </w:p>
        </w:tc>
        <w:tc>
          <w:tcPr>
            <w:tcW w:w="0" w:type="auto"/>
          </w:tcPr>
          <w:p w14:paraId="2B67F132" w14:textId="77777777" w:rsidR="00B45740" w:rsidRPr="00216965" w:rsidRDefault="00B45740" w:rsidP="008A33DA">
            <w:pPr>
              <w:spacing w:after="0" w:line="240" w:lineRule="auto"/>
              <w:jc w:val="both"/>
              <w:rPr>
                <w:sz w:val="18"/>
                <w:szCs w:val="18"/>
              </w:rPr>
            </w:pPr>
            <w:r w:rsidRPr="00216965">
              <w:rPr>
                <w:color w:val="000000"/>
                <w:sz w:val="18"/>
                <w:szCs w:val="18"/>
              </w:rPr>
              <w:t>174 ± 9</w:t>
            </w:r>
          </w:p>
        </w:tc>
        <w:tc>
          <w:tcPr>
            <w:tcW w:w="0" w:type="auto"/>
          </w:tcPr>
          <w:p w14:paraId="4D9CD425" w14:textId="77777777" w:rsidR="00B45740" w:rsidRPr="00216965" w:rsidRDefault="00B45740" w:rsidP="008A33DA">
            <w:pPr>
              <w:spacing w:after="0" w:line="240" w:lineRule="auto"/>
              <w:jc w:val="both"/>
              <w:rPr>
                <w:sz w:val="18"/>
                <w:szCs w:val="18"/>
              </w:rPr>
            </w:pPr>
            <w:r w:rsidRPr="00216965">
              <w:rPr>
                <w:color w:val="000000"/>
                <w:sz w:val="18"/>
                <w:szCs w:val="18"/>
              </w:rPr>
              <w:t>0.22 ± 0.05</w:t>
            </w:r>
          </w:p>
        </w:tc>
        <w:tc>
          <w:tcPr>
            <w:tcW w:w="0" w:type="auto"/>
          </w:tcPr>
          <w:p w14:paraId="14836623" w14:textId="77777777" w:rsidR="00B45740" w:rsidRPr="00216965" w:rsidRDefault="00B45740" w:rsidP="008A33DA">
            <w:pPr>
              <w:spacing w:after="0" w:line="240" w:lineRule="auto"/>
              <w:jc w:val="both"/>
              <w:rPr>
                <w:sz w:val="18"/>
                <w:szCs w:val="18"/>
              </w:rPr>
            </w:pPr>
          </w:p>
        </w:tc>
        <w:tc>
          <w:tcPr>
            <w:tcW w:w="1571" w:type="dxa"/>
            <w:vAlign w:val="center"/>
          </w:tcPr>
          <w:p w14:paraId="0FF20643" w14:textId="6D43531B" w:rsidR="00B45740" w:rsidRPr="00216965" w:rsidRDefault="00B45740" w:rsidP="008A33DA">
            <w:pPr>
              <w:spacing w:after="0" w:line="240" w:lineRule="auto"/>
              <w:rPr>
                <w:color w:val="000000"/>
                <w:sz w:val="18"/>
                <w:szCs w:val="18"/>
                <w:lang w:val="es-419"/>
              </w:rPr>
            </w:pPr>
            <w:r w:rsidRPr="00216965">
              <w:rPr>
                <w:sz w:val="18"/>
                <w:szCs w:val="18"/>
                <w:lang w:val="es-419"/>
              </w:rPr>
              <w:t>O:C</w:t>
            </w:r>
            <w:r w:rsidRPr="00216965">
              <w:rPr>
                <w:sz w:val="18"/>
                <w:szCs w:val="18"/>
                <w:vertAlign w:val="subscript"/>
                <w:lang w:val="es-419"/>
              </w:rPr>
              <w:t>tot</w:t>
            </w:r>
            <w:r w:rsidR="00934E33" w:rsidRPr="00216965">
              <w:rPr>
                <w:sz w:val="18"/>
                <w:szCs w:val="18"/>
                <w:vertAlign w:val="subscript"/>
                <w:lang w:val="es-419"/>
              </w:rPr>
              <w:t xml:space="preserve"> </w:t>
            </w:r>
            <w:r w:rsidRPr="00216965">
              <w:rPr>
                <w:sz w:val="18"/>
                <w:szCs w:val="18"/>
                <w:lang w:val="es-419"/>
              </w:rPr>
              <w:t>(molar ratio)</w:t>
            </w:r>
            <w:r w:rsidRPr="00216965">
              <w:rPr>
                <w:sz w:val="18"/>
                <w:szCs w:val="18"/>
                <w:vertAlign w:val="superscript"/>
                <w:lang w:val="es-419"/>
              </w:rPr>
              <w:t xml:space="preserve"> d</w:t>
            </w:r>
          </w:p>
        </w:tc>
        <w:tc>
          <w:tcPr>
            <w:tcW w:w="948" w:type="dxa"/>
          </w:tcPr>
          <w:p w14:paraId="52E6FEFF" w14:textId="77777777" w:rsidR="00B45740" w:rsidRPr="00216965" w:rsidRDefault="00B45740" w:rsidP="008A33DA">
            <w:pPr>
              <w:spacing w:after="0" w:line="240" w:lineRule="auto"/>
              <w:jc w:val="both"/>
              <w:rPr>
                <w:color w:val="000000"/>
                <w:sz w:val="18"/>
                <w:szCs w:val="18"/>
              </w:rPr>
            </w:pPr>
            <w:r w:rsidRPr="00216965">
              <w:rPr>
                <w:sz w:val="18"/>
                <w:szCs w:val="18"/>
              </w:rPr>
              <w:t xml:space="preserve">0.1 </w:t>
            </w:r>
            <w:r w:rsidRPr="00216965">
              <w:rPr>
                <w:color w:val="000000"/>
                <w:sz w:val="18"/>
                <w:szCs w:val="18"/>
              </w:rPr>
              <w:t>± 0.0</w:t>
            </w:r>
          </w:p>
        </w:tc>
        <w:tc>
          <w:tcPr>
            <w:tcW w:w="327" w:type="dxa"/>
          </w:tcPr>
          <w:p w14:paraId="02D1617F" w14:textId="77777777" w:rsidR="00B45740" w:rsidRPr="00216965" w:rsidRDefault="00B45740" w:rsidP="008A33DA">
            <w:pPr>
              <w:spacing w:after="0" w:line="240" w:lineRule="auto"/>
              <w:jc w:val="both"/>
              <w:rPr>
                <w:sz w:val="18"/>
                <w:szCs w:val="18"/>
              </w:rPr>
            </w:pPr>
          </w:p>
        </w:tc>
        <w:tc>
          <w:tcPr>
            <w:tcW w:w="1505" w:type="dxa"/>
          </w:tcPr>
          <w:p w14:paraId="3595E4FB" w14:textId="77777777" w:rsidR="00B45740" w:rsidRPr="00216965" w:rsidRDefault="00B45740" w:rsidP="008A33DA">
            <w:pPr>
              <w:spacing w:after="0" w:line="240" w:lineRule="auto"/>
              <w:jc w:val="both"/>
              <w:rPr>
                <w:sz w:val="18"/>
                <w:szCs w:val="18"/>
              </w:rPr>
            </w:pPr>
            <w:r w:rsidRPr="00216965">
              <w:rPr>
                <w:sz w:val="18"/>
                <w:szCs w:val="18"/>
              </w:rPr>
              <w:t>Olsen Phosphate [mg.kg</w:t>
            </w:r>
            <w:r w:rsidRPr="00216965">
              <w:rPr>
                <w:sz w:val="18"/>
                <w:szCs w:val="18"/>
                <w:vertAlign w:val="superscript"/>
              </w:rPr>
              <w:t>-1</w:t>
            </w:r>
            <w:r w:rsidRPr="00216965">
              <w:rPr>
                <w:sz w:val="18"/>
                <w:szCs w:val="18"/>
              </w:rPr>
              <w:t>]</w:t>
            </w:r>
          </w:p>
        </w:tc>
        <w:tc>
          <w:tcPr>
            <w:tcW w:w="0" w:type="auto"/>
          </w:tcPr>
          <w:p w14:paraId="527E5298" w14:textId="77777777" w:rsidR="00B45740" w:rsidRPr="00216965" w:rsidRDefault="00B45740" w:rsidP="008A33DA">
            <w:pPr>
              <w:spacing w:after="0" w:line="240" w:lineRule="auto"/>
              <w:jc w:val="both"/>
              <w:rPr>
                <w:sz w:val="18"/>
                <w:szCs w:val="18"/>
              </w:rPr>
            </w:pPr>
            <w:r w:rsidRPr="00216965">
              <w:rPr>
                <w:sz w:val="18"/>
                <w:szCs w:val="18"/>
              </w:rPr>
              <w:t xml:space="preserve">51 </w:t>
            </w:r>
            <w:r w:rsidRPr="00216965">
              <w:rPr>
                <w:color w:val="000000"/>
                <w:sz w:val="18"/>
                <w:szCs w:val="18"/>
              </w:rPr>
              <w:t>± 2</w:t>
            </w:r>
          </w:p>
        </w:tc>
      </w:tr>
      <w:tr w:rsidR="00934E33" w:rsidRPr="00216965" w14:paraId="5188D2B4" w14:textId="77777777" w:rsidTr="00934E33">
        <w:trPr>
          <w:jc w:val="center"/>
        </w:trPr>
        <w:tc>
          <w:tcPr>
            <w:tcW w:w="0" w:type="auto"/>
          </w:tcPr>
          <w:p w14:paraId="751521D6" w14:textId="77777777" w:rsidR="00B45740" w:rsidRPr="00216965" w:rsidRDefault="00B45740" w:rsidP="008A33DA">
            <w:pPr>
              <w:spacing w:after="0" w:line="240" w:lineRule="auto"/>
              <w:jc w:val="both"/>
              <w:rPr>
                <w:sz w:val="18"/>
                <w:szCs w:val="18"/>
              </w:rPr>
            </w:pPr>
            <w:r w:rsidRPr="00216965">
              <w:rPr>
                <w:color w:val="000000"/>
                <w:sz w:val="18"/>
                <w:szCs w:val="18"/>
              </w:rPr>
              <w:t>Ni</w:t>
            </w:r>
          </w:p>
        </w:tc>
        <w:tc>
          <w:tcPr>
            <w:tcW w:w="0" w:type="auto"/>
          </w:tcPr>
          <w:p w14:paraId="46C003A1" w14:textId="77777777" w:rsidR="00B45740" w:rsidRPr="00216965" w:rsidRDefault="00B45740" w:rsidP="008A33DA">
            <w:pPr>
              <w:spacing w:after="0" w:line="240" w:lineRule="auto"/>
              <w:jc w:val="both"/>
              <w:rPr>
                <w:sz w:val="18"/>
                <w:szCs w:val="18"/>
              </w:rPr>
            </w:pPr>
            <w:r w:rsidRPr="00216965">
              <w:rPr>
                <w:color w:val="000000"/>
                <w:sz w:val="18"/>
                <w:szCs w:val="18"/>
              </w:rPr>
              <w:t>129 ± 16</w:t>
            </w:r>
          </w:p>
        </w:tc>
        <w:tc>
          <w:tcPr>
            <w:tcW w:w="0" w:type="auto"/>
          </w:tcPr>
          <w:p w14:paraId="4F581F1D" w14:textId="77777777" w:rsidR="00B45740" w:rsidRPr="00216965" w:rsidRDefault="00B45740" w:rsidP="008A33DA">
            <w:pPr>
              <w:spacing w:after="0" w:line="240" w:lineRule="auto"/>
              <w:jc w:val="both"/>
              <w:rPr>
                <w:sz w:val="18"/>
                <w:szCs w:val="18"/>
              </w:rPr>
            </w:pPr>
            <w:r w:rsidRPr="00216965">
              <w:rPr>
                <w:color w:val="000000"/>
                <w:sz w:val="18"/>
                <w:szCs w:val="18"/>
              </w:rPr>
              <w:t>0.17 0.02</w:t>
            </w:r>
          </w:p>
        </w:tc>
        <w:tc>
          <w:tcPr>
            <w:tcW w:w="0" w:type="auto"/>
          </w:tcPr>
          <w:p w14:paraId="02AE7D65" w14:textId="77777777" w:rsidR="00B45740" w:rsidRPr="00216965" w:rsidRDefault="00B45740" w:rsidP="008A33DA">
            <w:pPr>
              <w:spacing w:after="0" w:line="240" w:lineRule="auto"/>
              <w:rPr>
                <w:sz w:val="18"/>
                <w:szCs w:val="18"/>
              </w:rPr>
            </w:pPr>
          </w:p>
        </w:tc>
        <w:tc>
          <w:tcPr>
            <w:tcW w:w="1571" w:type="dxa"/>
            <w:vAlign w:val="center"/>
          </w:tcPr>
          <w:p w14:paraId="7B0D47B5" w14:textId="2CB6EF60" w:rsidR="00B45740" w:rsidRPr="00216965" w:rsidRDefault="00B45740" w:rsidP="008A33DA">
            <w:pPr>
              <w:spacing w:after="0" w:line="240" w:lineRule="auto"/>
              <w:rPr>
                <w:sz w:val="18"/>
                <w:szCs w:val="18"/>
              </w:rPr>
            </w:pPr>
            <w:r w:rsidRPr="00216965">
              <w:rPr>
                <w:sz w:val="18"/>
                <w:szCs w:val="18"/>
              </w:rPr>
              <w:t>EC [d</w:t>
            </w:r>
            <w:r w:rsidR="008563DC" w:rsidRPr="00216965">
              <w:rPr>
                <w:sz w:val="18"/>
                <w:szCs w:val="18"/>
              </w:rPr>
              <w:t>S</w:t>
            </w:r>
            <w:r w:rsidRPr="00216965">
              <w:rPr>
                <w:sz w:val="18"/>
                <w:szCs w:val="18"/>
              </w:rPr>
              <w:t>.m</w:t>
            </w:r>
            <w:r w:rsidRPr="00216965">
              <w:rPr>
                <w:sz w:val="18"/>
                <w:szCs w:val="18"/>
                <w:vertAlign w:val="superscript"/>
              </w:rPr>
              <w:t>-1</w:t>
            </w:r>
            <w:r w:rsidRPr="00216965">
              <w:rPr>
                <w:sz w:val="18"/>
                <w:szCs w:val="18"/>
              </w:rPr>
              <w:t>]</w:t>
            </w:r>
            <w:r w:rsidRPr="00216965">
              <w:rPr>
                <w:sz w:val="18"/>
                <w:szCs w:val="18"/>
                <w:vertAlign w:val="superscript"/>
              </w:rPr>
              <w:t xml:space="preserve"> d</w:t>
            </w:r>
          </w:p>
        </w:tc>
        <w:tc>
          <w:tcPr>
            <w:tcW w:w="948" w:type="dxa"/>
          </w:tcPr>
          <w:p w14:paraId="4784D78D" w14:textId="77777777" w:rsidR="00B45740" w:rsidRPr="00216965" w:rsidRDefault="00B45740" w:rsidP="008A33DA">
            <w:pPr>
              <w:spacing w:after="0" w:line="240" w:lineRule="auto"/>
              <w:jc w:val="both"/>
              <w:rPr>
                <w:color w:val="000000"/>
                <w:sz w:val="18"/>
                <w:szCs w:val="18"/>
              </w:rPr>
            </w:pPr>
            <w:r w:rsidRPr="00216965">
              <w:rPr>
                <w:sz w:val="18"/>
                <w:szCs w:val="18"/>
              </w:rPr>
              <w:t xml:space="preserve">21 </w:t>
            </w:r>
            <w:r w:rsidRPr="00216965">
              <w:rPr>
                <w:color w:val="000000"/>
                <w:sz w:val="18"/>
                <w:szCs w:val="18"/>
              </w:rPr>
              <w:t>± 1</w:t>
            </w:r>
          </w:p>
        </w:tc>
        <w:tc>
          <w:tcPr>
            <w:tcW w:w="327" w:type="dxa"/>
          </w:tcPr>
          <w:p w14:paraId="4E4E2340" w14:textId="77777777" w:rsidR="00B45740" w:rsidRPr="00216965" w:rsidRDefault="00B45740" w:rsidP="008A33DA">
            <w:pPr>
              <w:spacing w:after="0" w:line="240" w:lineRule="auto"/>
              <w:jc w:val="both"/>
              <w:rPr>
                <w:sz w:val="18"/>
                <w:szCs w:val="18"/>
              </w:rPr>
            </w:pPr>
          </w:p>
        </w:tc>
        <w:tc>
          <w:tcPr>
            <w:tcW w:w="1505" w:type="dxa"/>
          </w:tcPr>
          <w:p w14:paraId="26AB1EBA" w14:textId="77777777" w:rsidR="00B45740" w:rsidRPr="00216965" w:rsidRDefault="00B45740" w:rsidP="008A33DA">
            <w:pPr>
              <w:spacing w:after="0" w:line="240" w:lineRule="auto"/>
              <w:jc w:val="both"/>
              <w:rPr>
                <w:sz w:val="18"/>
                <w:szCs w:val="18"/>
              </w:rPr>
            </w:pPr>
            <w:r w:rsidRPr="00216965">
              <w:rPr>
                <w:sz w:val="18"/>
                <w:szCs w:val="18"/>
              </w:rPr>
              <w:t xml:space="preserve">Nitrate </w:t>
            </w:r>
          </w:p>
          <w:p w14:paraId="0DC67C32" w14:textId="77777777" w:rsidR="00B45740" w:rsidRPr="00216965" w:rsidRDefault="00B45740" w:rsidP="008A33DA">
            <w:pPr>
              <w:spacing w:after="0" w:line="240" w:lineRule="auto"/>
              <w:jc w:val="both"/>
              <w:rPr>
                <w:sz w:val="18"/>
                <w:szCs w:val="18"/>
              </w:rPr>
            </w:pPr>
            <w:r w:rsidRPr="00216965">
              <w:rPr>
                <w:sz w:val="18"/>
                <w:szCs w:val="18"/>
              </w:rPr>
              <w:t>[mg.kg</w:t>
            </w:r>
            <w:r w:rsidRPr="00216965">
              <w:rPr>
                <w:sz w:val="18"/>
                <w:szCs w:val="18"/>
                <w:vertAlign w:val="superscript"/>
              </w:rPr>
              <w:t>-1</w:t>
            </w:r>
            <w:r w:rsidRPr="00216965">
              <w:rPr>
                <w:sz w:val="18"/>
                <w:szCs w:val="18"/>
              </w:rPr>
              <w:t>]</w:t>
            </w:r>
          </w:p>
        </w:tc>
        <w:tc>
          <w:tcPr>
            <w:tcW w:w="0" w:type="auto"/>
          </w:tcPr>
          <w:p w14:paraId="12974D9A" w14:textId="77777777" w:rsidR="00B45740" w:rsidRPr="00216965" w:rsidRDefault="00B45740" w:rsidP="008A33DA">
            <w:pPr>
              <w:spacing w:after="0" w:line="240" w:lineRule="auto"/>
              <w:jc w:val="both"/>
              <w:rPr>
                <w:sz w:val="18"/>
                <w:szCs w:val="18"/>
              </w:rPr>
            </w:pPr>
            <w:r w:rsidRPr="00216965">
              <w:rPr>
                <w:sz w:val="18"/>
                <w:szCs w:val="18"/>
              </w:rPr>
              <w:t xml:space="preserve">49 </w:t>
            </w:r>
            <w:r w:rsidRPr="00216965">
              <w:rPr>
                <w:color w:val="000000"/>
                <w:sz w:val="18"/>
                <w:szCs w:val="18"/>
              </w:rPr>
              <w:t>± 5</w:t>
            </w:r>
          </w:p>
        </w:tc>
      </w:tr>
      <w:tr w:rsidR="00934E33" w:rsidRPr="00216965" w14:paraId="7DFF8F92" w14:textId="77777777" w:rsidTr="00934E33">
        <w:trPr>
          <w:jc w:val="center"/>
        </w:trPr>
        <w:tc>
          <w:tcPr>
            <w:tcW w:w="0" w:type="auto"/>
          </w:tcPr>
          <w:p w14:paraId="0908215B" w14:textId="77777777" w:rsidR="00B45740" w:rsidRPr="00216965" w:rsidRDefault="00B45740" w:rsidP="008A33DA">
            <w:pPr>
              <w:spacing w:after="0" w:line="240" w:lineRule="auto"/>
              <w:jc w:val="both"/>
              <w:rPr>
                <w:sz w:val="18"/>
                <w:szCs w:val="18"/>
              </w:rPr>
            </w:pPr>
            <w:r w:rsidRPr="00216965">
              <w:rPr>
                <w:color w:val="000000"/>
                <w:sz w:val="18"/>
                <w:szCs w:val="18"/>
              </w:rPr>
              <w:t>Pb</w:t>
            </w:r>
          </w:p>
        </w:tc>
        <w:tc>
          <w:tcPr>
            <w:tcW w:w="0" w:type="auto"/>
          </w:tcPr>
          <w:p w14:paraId="17F44AFF" w14:textId="77777777" w:rsidR="00B45740" w:rsidRPr="00216965" w:rsidRDefault="00B45740" w:rsidP="008A33DA">
            <w:pPr>
              <w:spacing w:after="0" w:line="240" w:lineRule="auto"/>
              <w:jc w:val="both"/>
              <w:rPr>
                <w:sz w:val="18"/>
                <w:szCs w:val="18"/>
              </w:rPr>
            </w:pPr>
            <w:r w:rsidRPr="00216965">
              <w:rPr>
                <w:color w:val="000000"/>
                <w:sz w:val="18"/>
                <w:szCs w:val="18"/>
              </w:rPr>
              <w:t>6314 ± 1880</w:t>
            </w:r>
          </w:p>
        </w:tc>
        <w:tc>
          <w:tcPr>
            <w:tcW w:w="0" w:type="auto"/>
          </w:tcPr>
          <w:p w14:paraId="11EDCF30" w14:textId="77777777" w:rsidR="00B45740" w:rsidRPr="00216965" w:rsidRDefault="00B45740" w:rsidP="008A33DA">
            <w:pPr>
              <w:spacing w:after="0" w:line="240" w:lineRule="auto"/>
              <w:jc w:val="both"/>
              <w:rPr>
                <w:sz w:val="18"/>
                <w:szCs w:val="18"/>
              </w:rPr>
            </w:pPr>
            <w:r w:rsidRPr="00216965">
              <w:rPr>
                <w:color w:val="000000"/>
                <w:sz w:val="18"/>
                <w:szCs w:val="18"/>
              </w:rPr>
              <w:t>302 ± 91</w:t>
            </w:r>
          </w:p>
        </w:tc>
        <w:tc>
          <w:tcPr>
            <w:tcW w:w="0" w:type="auto"/>
          </w:tcPr>
          <w:p w14:paraId="6B3220E7" w14:textId="77777777" w:rsidR="00B45740" w:rsidRPr="00216965" w:rsidRDefault="00B45740" w:rsidP="008A33DA">
            <w:pPr>
              <w:spacing w:after="0" w:line="240" w:lineRule="auto"/>
              <w:jc w:val="both"/>
              <w:rPr>
                <w:sz w:val="18"/>
                <w:szCs w:val="18"/>
              </w:rPr>
            </w:pPr>
          </w:p>
        </w:tc>
        <w:tc>
          <w:tcPr>
            <w:tcW w:w="1571" w:type="dxa"/>
            <w:vAlign w:val="center"/>
          </w:tcPr>
          <w:p w14:paraId="7D252E28" w14:textId="77777777" w:rsidR="00B45740" w:rsidRPr="00216965" w:rsidRDefault="00B45740" w:rsidP="008A33DA">
            <w:pPr>
              <w:spacing w:after="0" w:line="240" w:lineRule="auto"/>
              <w:rPr>
                <w:color w:val="000000"/>
                <w:sz w:val="18"/>
                <w:szCs w:val="18"/>
              </w:rPr>
            </w:pPr>
            <w:r w:rsidRPr="00216965">
              <w:rPr>
                <w:sz w:val="18"/>
                <w:szCs w:val="18"/>
              </w:rPr>
              <w:t>BET [m</w:t>
            </w:r>
            <w:r w:rsidRPr="00216965">
              <w:rPr>
                <w:sz w:val="18"/>
                <w:szCs w:val="18"/>
                <w:vertAlign w:val="superscript"/>
              </w:rPr>
              <w:t>2</w:t>
            </w:r>
            <w:r w:rsidRPr="00216965">
              <w:rPr>
                <w:sz w:val="18"/>
                <w:szCs w:val="18"/>
              </w:rPr>
              <w:t>.g</w:t>
            </w:r>
            <w:r w:rsidRPr="00216965">
              <w:rPr>
                <w:sz w:val="18"/>
                <w:szCs w:val="18"/>
                <w:vertAlign w:val="superscript"/>
              </w:rPr>
              <w:t>-1</w:t>
            </w:r>
            <w:r w:rsidRPr="00216965">
              <w:rPr>
                <w:sz w:val="18"/>
                <w:szCs w:val="18"/>
              </w:rPr>
              <w:t>]</w:t>
            </w:r>
            <w:r w:rsidRPr="00216965">
              <w:rPr>
                <w:sz w:val="18"/>
                <w:szCs w:val="18"/>
                <w:vertAlign w:val="superscript"/>
              </w:rPr>
              <w:t xml:space="preserve"> b</w:t>
            </w:r>
          </w:p>
        </w:tc>
        <w:tc>
          <w:tcPr>
            <w:tcW w:w="948" w:type="dxa"/>
          </w:tcPr>
          <w:p w14:paraId="1668B8A2" w14:textId="77777777" w:rsidR="00B45740" w:rsidRPr="00216965" w:rsidRDefault="00B45740" w:rsidP="008A33DA">
            <w:pPr>
              <w:spacing w:after="0" w:line="240" w:lineRule="auto"/>
              <w:jc w:val="both"/>
              <w:rPr>
                <w:color w:val="000000"/>
                <w:sz w:val="18"/>
                <w:szCs w:val="18"/>
              </w:rPr>
            </w:pPr>
            <w:r w:rsidRPr="00216965">
              <w:rPr>
                <w:sz w:val="18"/>
                <w:szCs w:val="18"/>
              </w:rPr>
              <w:t xml:space="preserve">299 </w:t>
            </w:r>
            <w:r w:rsidRPr="00216965">
              <w:rPr>
                <w:color w:val="000000"/>
                <w:sz w:val="18"/>
                <w:szCs w:val="18"/>
              </w:rPr>
              <w:t xml:space="preserve">± 3 </w:t>
            </w:r>
          </w:p>
        </w:tc>
        <w:tc>
          <w:tcPr>
            <w:tcW w:w="327" w:type="dxa"/>
          </w:tcPr>
          <w:p w14:paraId="4A7FDB52" w14:textId="77777777" w:rsidR="00B45740" w:rsidRPr="00216965" w:rsidRDefault="00B45740" w:rsidP="008A33DA">
            <w:pPr>
              <w:spacing w:after="0" w:line="240" w:lineRule="auto"/>
              <w:jc w:val="both"/>
              <w:rPr>
                <w:sz w:val="18"/>
                <w:szCs w:val="18"/>
              </w:rPr>
            </w:pPr>
          </w:p>
        </w:tc>
        <w:tc>
          <w:tcPr>
            <w:tcW w:w="1505" w:type="dxa"/>
          </w:tcPr>
          <w:p w14:paraId="260DA2AC" w14:textId="77777777" w:rsidR="00B45740" w:rsidRPr="00216965" w:rsidRDefault="00B45740" w:rsidP="008A33DA">
            <w:pPr>
              <w:spacing w:after="0" w:line="240" w:lineRule="auto"/>
              <w:jc w:val="both"/>
              <w:rPr>
                <w:sz w:val="18"/>
                <w:szCs w:val="18"/>
              </w:rPr>
            </w:pPr>
          </w:p>
        </w:tc>
        <w:tc>
          <w:tcPr>
            <w:tcW w:w="0" w:type="auto"/>
          </w:tcPr>
          <w:p w14:paraId="742657B4" w14:textId="77777777" w:rsidR="00B45740" w:rsidRPr="00216965" w:rsidRDefault="00B45740" w:rsidP="008A33DA">
            <w:pPr>
              <w:spacing w:after="0" w:line="240" w:lineRule="auto"/>
              <w:jc w:val="both"/>
              <w:rPr>
                <w:sz w:val="18"/>
                <w:szCs w:val="18"/>
              </w:rPr>
            </w:pPr>
          </w:p>
        </w:tc>
      </w:tr>
      <w:tr w:rsidR="00934E33" w:rsidRPr="00216965" w14:paraId="52D99FE0" w14:textId="77777777" w:rsidTr="00934E33">
        <w:trPr>
          <w:jc w:val="center"/>
        </w:trPr>
        <w:tc>
          <w:tcPr>
            <w:tcW w:w="0" w:type="auto"/>
          </w:tcPr>
          <w:p w14:paraId="5033C58E" w14:textId="77777777" w:rsidR="00B45740" w:rsidRPr="00216965" w:rsidRDefault="00B45740" w:rsidP="008A33DA">
            <w:pPr>
              <w:spacing w:after="0" w:line="240" w:lineRule="auto"/>
              <w:jc w:val="both"/>
              <w:rPr>
                <w:sz w:val="18"/>
                <w:szCs w:val="18"/>
              </w:rPr>
            </w:pPr>
            <w:r w:rsidRPr="00216965">
              <w:rPr>
                <w:color w:val="000000"/>
                <w:sz w:val="18"/>
                <w:szCs w:val="18"/>
              </w:rPr>
              <w:t>Zn</w:t>
            </w:r>
          </w:p>
        </w:tc>
        <w:tc>
          <w:tcPr>
            <w:tcW w:w="0" w:type="auto"/>
          </w:tcPr>
          <w:p w14:paraId="6D2EB99E" w14:textId="77777777" w:rsidR="00B45740" w:rsidRPr="00216965" w:rsidRDefault="00B45740" w:rsidP="008A33DA">
            <w:pPr>
              <w:spacing w:after="0" w:line="240" w:lineRule="auto"/>
              <w:jc w:val="both"/>
              <w:rPr>
                <w:sz w:val="18"/>
                <w:szCs w:val="18"/>
              </w:rPr>
            </w:pPr>
            <w:r w:rsidRPr="00216965">
              <w:rPr>
                <w:color w:val="000000"/>
                <w:sz w:val="18"/>
                <w:szCs w:val="18"/>
              </w:rPr>
              <w:t>1655± 64</w:t>
            </w:r>
          </w:p>
        </w:tc>
        <w:tc>
          <w:tcPr>
            <w:tcW w:w="0" w:type="auto"/>
          </w:tcPr>
          <w:p w14:paraId="3493C4DB" w14:textId="77777777" w:rsidR="00B45740" w:rsidRPr="00216965" w:rsidRDefault="00B45740" w:rsidP="008A33DA">
            <w:pPr>
              <w:spacing w:after="0" w:line="240" w:lineRule="auto"/>
              <w:jc w:val="both"/>
              <w:rPr>
                <w:sz w:val="18"/>
                <w:szCs w:val="18"/>
              </w:rPr>
            </w:pPr>
            <w:r w:rsidRPr="00216965">
              <w:rPr>
                <w:color w:val="000000"/>
                <w:sz w:val="18"/>
                <w:szCs w:val="18"/>
              </w:rPr>
              <w:t>10 ± 2</w:t>
            </w:r>
          </w:p>
        </w:tc>
        <w:tc>
          <w:tcPr>
            <w:tcW w:w="0" w:type="auto"/>
          </w:tcPr>
          <w:p w14:paraId="23F3D31D" w14:textId="77777777" w:rsidR="00B45740" w:rsidRPr="00216965" w:rsidRDefault="00B45740" w:rsidP="008A33DA">
            <w:pPr>
              <w:spacing w:after="0" w:line="240" w:lineRule="auto"/>
              <w:jc w:val="both"/>
              <w:rPr>
                <w:sz w:val="18"/>
                <w:szCs w:val="18"/>
              </w:rPr>
            </w:pPr>
          </w:p>
        </w:tc>
        <w:tc>
          <w:tcPr>
            <w:tcW w:w="1571" w:type="dxa"/>
            <w:vAlign w:val="center"/>
          </w:tcPr>
          <w:p w14:paraId="5BF6B2EF" w14:textId="77777777" w:rsidR="00B45740" w:rsidRPr="00216965" w:rsidRDefault="00B45740" w:rsidP="008A33DA">
            <w:pPr>
              <w:spacing w:after="0" w:line="240" w:lineRule="auto"/>
              <w:rPr>
                <w:color w:val="000000"/>
                <w:sz w:val="18"/>
                <w:szCs w:val="18"/>
              </w:rPr>
            </w:pPr>
            <w:r w:rsidRPr="00216965">
              <w:rPr>
                <w:sz w:val="18"/>
                <w:szCs w:val="18"/>
              </w:rPr>
              <w:t>CEC [cmol.kg</w:t>
            </w:r>
            <w:r w:rsidRPr="00216965">
              <w:rPr>
                <w:sz w:val="18"/>
                <w:szCs w:val="18"/>
                <w:vertAlign w:val="superscript"/>
              </w:rPr>
              <w:t>-1</w:t>
            </w:r>
            <w:r w:rsidRPr="00216965">
              <w:rPr>
                <w:sz w:val="18"/>
                <w:szCs w:val="18"/>
              </w:rPr>
              <w:t>]</w:t>
            </w:r>
            <w:r w:rsidRPr="00216965">
              <w:rPr>
                <w:sz w:val="18"/>
                <w:szCs w:val="18"/>
                <w:vertAlign w:val="superscript"/>
              </w:rPr>
              <w:t xml:space="preserve"> b</w:t>
            </w:r>
          </w:p>
        </w:tc>
        <w:tc>
          <w:tcPr>
            <w:tcW w:w="948" w:type="dxa"/>
          </w:tcPr>
          <w:p w14:paraId="223B6BE5" w14:textId="77777777" w:rsidR="00B45740" w:rsidRPr="00216965" w:rsidRDefault="00B45740" w:rsidP="008A33DA">
            <w:pPr>
              <w:spacing w:after="0" w:line="240" w:lineRule="auto"/>
              <w:jc w:val="both"/>
              <w:rPr>
                <w:color w:val="000000"/>
                <w:sz w:val="18"/>
                <w:szCs w:val="18"/>
              </w:rPr>
            </w:pPr>
            <w:r w:rsidRPr="00216965">
              <w:rPr>
                <w:sz w:val="18"/>
                <w:szCs w:val="18"/>
              </w:rPr>
              <w:t xml:space="preserve">21 </w:t>
            </w:r>
            <w:r w:rsidRPr="00216965">
              <w:rPr>
                <w:color w:val="000000"/>
                <w:sz w:val="18"/>
                <w:szCs w:val="18"/>
              </w:rPr>
              <w:t xml:space="preserve">± 2 </w:t>
            </w:r>
          </w:p>
        </w:tc>
        <w:tc>
          <w:tcPr>
            <w:tcW w:w="327" w:type="dxa"/>
          </w:tcPr>
          <w:p w14:paraId="5CA6E756" w14:textId="77777777" w:rsidR="00B45740" w:rsidRPr="00216965" w:rsidRDefault="00B45740" w:rsidP="008A33DA">
            <w:pPr>
              <w:spacing w:after="0" w:line="240" w:lineRule="auto"/>
              <w:jc w:val="both"/>
              <w:rPr>
                <w:sz w:val="18"/>
                <w:szCs w:val="18"/>
              </w:rPr>
            </w:pPr>
          </w:p>
        </w:tc>
        <w:tc>
          <w:tcPr>
            <w:tcW w:w="1505" w:type="dxa"/>
          </w:tcPr>
          <w:p w14:paraId="0A05C276" w14:textId="77777777" w:rsidR="00B45740" w:rsidRPr="00216965" w:rsidRDefault="00B45740" w:rsidP="008A33DA">
            <w:pPr>
              <w:spacing w:after="0" w:line="240" w:lineRule="auto"/>
              <w:jc w:val="both"/>
              <w:rPr>
                <w:sz w:val="18"/>
                <w:szCs w:val="18"/>
              </w:rPr>
            </w:pPr>
          </w:p>
        </w:tc>
        <w:tc>
          <w:tcPr>
            <w:tcW w:w="0" w:type="auto"/>
          </w:tcPr>
          <w:p w14:paraId="1A01D1C8" w14:textId="77777777" w:rsidR="00B45740" w:rsidRPr="00216965" w:rsidRDefault="00B45740" w:rsidP="008A33DA">
            <w:pPr>
              <w:spacing w:after="0" w:line="240" w:lineRule="auto"/>
              <w:jc w:val="both"/>
              <w:rPr>
                <w:sz w:val="18"/>
                <w:szCs w:val="18"/>
              </w:rPr>
            </w:pPr>
          </w:p>
        </w:tc>
      </w:tr>
      <w:tr w:rsidR="00934E33" w:rsidRPr="00216965" w14:paraId="005E19C2" w14:textId="77777777" w:rsidTr="00934E33">
        <w:trPr>
          <w:jc w:val="center"/>
        </w:trPr>
        <w:tc>
          <w:tcPr>
            <w:tcW w:w="0" w:type="auto"/>
          </w:tcPr>
          <w:p w14:paraId="01D73363" w14:textId="77777777" w:rsidR="00B45740" w:rsidRPr="00216965" w:rsidRDefault="00B45740" w:rsidP="008A33DA">
            <w:pPr>
              <w:spacing w:after="0" w:line="240" w:lineRule="auto"/>
              <w:jc w:val="both"/>
              <w:rPr>
                <w:sz w:val="18"/>
                <w:szCs w:val="18"/>
              </w:rPr>
            </w:pPr>
            <w:r w:rsidRPr="00216965">
              <w:rPr>
                <w:color w:val="000000"/>
                <w:sz w:val="18"/>
                <w:szCs w:val="18"/>
              </w:rPr>
              <w:t>pH</w:t>
            </w:r>
          </w:p>
        </w:tc>
        <w:tc>
          <w:tcPr>
            <w:tcW w:w="0" w:type="auto"/>
          </w:tcPr>
          <w:p w14:paraId="37DB1CBB" w14:textId="77777777" w:rsidR="00B45740" w:rsidRPr="00216965" w:rsidRDefault="00B45740" w:rsidP="008A33DA">
            <w:pPr>
              <w:spacing w:after="0" w:line="240" w:lineRule="auto"/>
              <w:jc w:val="both"/>
              <w:rPr>
                <w:sz w:val="18"/>
                <w:szCs w:val="18"/>
              </w:rPr>
            </w:pPr>
            <w:r w:rsidRPr="00216965">
              <w:rPr>
                <w:color w:val="000000"/>
                <w:sz w:val="18"/>
                <w:szCs w:val="18"/>
              </w:rPr>
              <w:t>4.7 ± 0.1</w:t>
            </w:r>
          </w:p>
        </w:tc>
        <w:tc>
          <w:tcPr>
            <w:tcW w:w="0" w:type="auto"/>
          </w:tcPr>
          <w:p w14:paraId="6BE9FB83" w14:textId="77777777" w:rsidR="00B45740" w:rsidRPr="00216965" w:rsidRDefault="00B45740" w:rsidP="008A33DA">
            <w:pPr>
              <w:spacing w:after="0" w:line="240" w:lineRule="auto"/>
              <w:jc w:val="both"/>
              <w:rPr>
                <w:sz w:val="18"/>
                <w:szCs w:val="18"/>
              </w:rPr>
            </w:pPr>
          </w:p>
        </w:tc>
        <w:tc>
          <w:tcPr>
            <w:tcW w:w="0" w:type="auto"/>
          </w:tcPr>
          <w:p w14:paraId="0A62CFAC" w14:textId="77777777" w:rsidR="00B45740" w:rsidRPr="00216965" w:rsidRDefault="00B45740" w:rsidP="008A33DA">
            <w:pPr>
              <w:spacing w:after="0" w:line="240" w:lineRule="auto"/>
              <w:jc w:val="both"/>
              <w:rPr>
                <w:sz w:val="18"/>
                <w:szCs w:val="18"/>
              </w:rPr>
            </w:pPr>
          </w:p>
        </w:tc>
        <w:tc>
          <w:tcPr>
            <w:tcW w:w="1571" w:type="dxa"/>
          </w:tcPr>
          <w:p w14:paraId="0BC5AF5D" w14:textId="77777777" w:rsidR="00B45740" w:rsidRPr="00216965" w:rsidRDefault="00B45740" w:rsidP="008A33DA">
            <w:pPr>
              <w:spacing w:after="0" w:line="240" w:lineRule="auto"/>
              <w:jc w:val="both"/>
              <w:rPr>
                <w:color w:val="000000"/>
                <w:sz w:val="18"/>
                <w:szCs w:val="18"/>
              </w:rPr>
            </w:pPr>
          </w:p>
        </w:tc>
        <w:tc>
          <w:tcPr>
            <w:tcW w:w="948" w:type="dxa"/>
          </w:tcPr>
          <w:p w14:paraId="39E526E7" w14:textId="77777777" w:rsidR="00B45740" w:rsidRPr="00216965" w:rsidRDefault="00B45740" w:rsidP="008A33DA">
            <w:pPr>
              <w:spacing w:after="0" w:line="240" w:lineRule="auto"/>
              <w:jc w:val="both"/>
              <w:rPr>
                <w:color w:val="000000"/>
                <w:sz w:val="18"/>
                <w:szCs w:val="18"/>
              </w:rPr>
            </w:pPr>
          </w:p>
        </w:tc>
        <w:tc>
          <w:tcPr>
            <w:tcW w:w="327" w:type="dxa"/>
          </w:tcPr>
          <w:p w14:paraId="27123486" w14:textId="77777777" w:rsidR="00B45740" w:rsidRPr="00216965" w:rsidRDefault="00B45740" w:rsidP="008A33DA">
            <w:pPr>
              <w:spacing w:after="0" w:line="240" w:lineRule="auto"/>
              <w:jc w:val="both"/>
              <w:rPr>
                <w:sz w:val="18"/>
                <w:szCs w:val="18"/>
              </w:rPr>
            </w:pPr>
          </w:p>
        </w:tc>
        <w:tc>
          <w:tcPr>
            <w:tcW w:w="1505" w:type="dxa"/>
          </w:tcPr>
          <w:p w14:paraId="0075D2E6" w14:textId="77777777" w:rsidR="00B45740" w:rsidRPr="00216965" w:rsidRDefault="00B45740" w:rsidP="008A33DA">
            <w:pPr>
              <w:spacing w:after="0" w:line="240" w:lineRule="auto"/>
              <w:jc w:val="both"/>
              <w:rPr>
                <w:sz w:val="18"/>
                <w:szCs w:val="18"/>
              </w:rPr>
            </w:pPr>
          </w:p>
        </w:tc>
        <w:tc>
          <w:tcPr>
            <w:tcW w:w="0" w:type="auto"/>
          </w:tcPr>
          <w:p w14:paraId="43286957" w14:textId="77777777" w:rsidR="00B45740" w:rsidRPr="00216965" w:rsidRDefault="00B45740" w:rsidP="008A33DA">
            <w:pPr>
              <w:spacing w:after="0" w:line="240" w:lineRule="auto"/>
              <w:jc w:val="both"/>
              <w:rPr>
                <w:sz w:val="18"/>
                <w:szCs w:val="18"/>
              </w:rPr>
            </w:pPr>
          </w:p>
        </w:tc>
      </w:tr>
      <w:tr w:rsidR="00934E33" w:rsidRPr="00216965" w14:paraId="2F5C114D" w14:textId="77777777" w:rsidTr="00934E33">
        <w:trPr>
          <w:jc w:val="center"/>
        </w:trPr>
        <w:tc>
          <w:tcPr>
            <w:tcW w:w="0" w:type="auto"/>
          </w:tcPr>
          <w:p w14:paraId="350EDCAD" w14:textId="77777777" w:rsidR="00B45740" w:rsidRPr="00216965" w:rsidRDefault="00B45740" w:rsidP="008A33DA">
            <w:pPr>
              <w:spacing w:after="0" w:line="240" w:lineRule="auto"/>
              <w:jc w:val="both"/>
              <w:rPr>
                <w:sz w:val="18"/>
                <w:szCs w:val="18"/>
              </w:rPr>
            </w:pPr>
            <w:r w:rsidRPr="00216965">
              <w:rPr>
                <w:color w:val="000000"/>
                <w:sz w:val="18"/>
                <w:szCs w:val="18"/>
              </w:rPr>
              <w:t>WHC %</w:t>
            </w:r>
          </w:p>
        </w:tc>
        <w:tc>
          <w:tcPr>
            <w:tcW w:w="0" w:type="auto"/>
          </w:tcPr>
          <w:p w14:paraId="1634B158" w14:textId="77777777" w:rsidR="00B45740" w:rsidRPr="00216965" w:rsidRDefault="00B45740" w:rsidP="008A33DA">
            <w:pPr>
              <w:spacing w:after="0" w:line="240" w:lineRule="auto"/>
              <w:jc w:val="both"/>
              <w:rPr>
                <w:sz w:val="18"/>
                <w:szCs w:val="18"/>
              </w:rPr>
            </w:pPr>
            <w:r w:rsidRPr="00216965">
              <w:rPr>
                <w:color w:val="000000"/>
                <w:sz w:val="18"/>
                <w:szCs w:val="18"/>
              </w:rPr>
              <w:t>21 ± 1</w:t>
            </w:r>
          </w:p>
        </w:tc>
        <w:tc>
          <w:tcPr>
            <w:tcW w:w="0" w:type="auto"/>
          </w:tcPr>
          <w:p w14:paraId="7E842C52" w14:textId="77777777" w:rsidR="00B45740" w:rsidRPr="00216965" w:rsidRDefault="00B45740" w:rsidP="008A33DA">
            <w:pPr>
              <w:spacing w:after="0" w:line="240" w:lineRule="auto"/>
              <w:jc w:val="both"/>
              <w:rPr>
                <w:sz w:val="18"/>
                <w:szCs w:val="18"/>
              </w:rPr>
            </w:pPr>
          </w:p>
        </w:tc>
        <w:tc>
          <w:tcPr>
            <w:tcW w:w="0" w:type="auto"/>
          </w:tcPr>
          <w:p w14:paraId="2FA53E33" w14:textId="77777777" w:rsidR="00B45740" w:rsidRPr="00216965" w:rsidRDefault="00B45740" w:rsidP="008A33DA">
            <w:pPr>
              <w:spacing w:after="0" w:line="240" w:lineRule="auto"/>
              <w:jc w:val="both"/>
              <w:rPr>
                <w:sz w:val="18"/>
                <w:szCs w:val="18"/>
              </w:rPr>
            </w:pPr>
          </w:p>
        </w:tc>
        <w:tc>
          <w:tcPr>
            <w:tcW w:w="1571" w:type="dxa"/>
          </w:tcPr>
          <w:p w14:paraId="71500078" w14:textId="77777777" w:rsidR="00B45740" w:rsidRPr="00216965" w:rsidRDefault="00B45740" w:rsidP="008A33DA">
            <w:pPr>
              <w:spacing w:after="0" w:line="240" w:lineRule="auto"/>
              <w:jc w:val="both"/>
              <w:rPr>
                <w:sz w:val="18"/>
                <w:szCs w:val="18"/>
              </w:rPr>
            </w:pPr>
          </w:p>
        </w:tc>
        <w:tc>
          <w:tcPr>
            <w:tcW w:w="948" w:type="dxa"/>
          </w:tcPr>
          <w:p w14:paraId="252EE28C" w14:textId="77777777" w:rsidR="00B45740" w:rsidRPr="00216965" w:rsidRDefault="00B45740" w:rsidP="008A33DA">
            <w:pPr>
              <w:spacing w:after="0" w:line="240" w:lineRule="auto"/>
              <w:jc w:val="both"/>
              <w:rPr>
                <w:sz w:val="18"/>
                <w:szCs w:val="18"/>
              </w:rPr>
            </w:pPr>
          </w:p>
        </w:tc>
        <w:tc>
          <w:tcPr>
            <w:tcW w:w="327" w:type="dxa"/>
          </w:tcPr>
          <w:p w14:paraId="12B5DE84" w14:textId="77777777" w:rsidR="00B45740" w:rsidRPr="00216965" w:rsidRDefault="00B45740" w:rsidP="008A33DA">
            <w:pPr>
              <w:spacing w:after="0" w:line="240" w:lineRule="auto"/>
              <w:jc w:val="both"/>
              <w:rPr>
                <w:sz w:val="18"/>
                <w:szCs w:val="18"/>
              </w:rPr>
            </w:pPr>
          </w:p>
        </w:tc>
        <w:tc>
          <w:tcPr>
            <w:tcW w:w="1505" w:type="dxa"/>
          </w:tcPr>
          <w:p w14:paraId="662636A2" w14:textId="77777777" w:rsidR="00B45740" w:rsidRPr="00216965" w:rsidRDefault="00B45740" w:rsidP="008A33DA">
            <w:pPr>
              <w:spacing w:after="0" w:line="240" w:lineRule="auto"/>
              <w:jc w:val="both"/>
              <w:rPr>
                <w:sz w:val="18"/>
                <w:szCs w:val="18"/>
              </w:rPr>
            </w:pPr>
          </w:p>
        </w:tc>
        <w:tc>
          <w:tcPr>
            <w:tcW w:w="0" w:type="auto"/>
          </w:tcPr>
          <w:p w14:paraId="630AC608" w14:textId="77777777" w:rsidR="00B45740" w:rsidRPr="00216965" w:rsidRDefault="00B45740" w:rsidP="008A33DA">
            <w:pPr>
              <w:spacing w:after="0" w:line="240" w:lineRule="auto"/>
              <w:jc w:val="both"/>
              <w:rPr>
                <w:sz w:val="18"/>
                <w:szCs w:val="18"/>
              </w:rPr>
            </w:pPr>
          </w:p>
        </w:tc>
      </w:tr>
      <w:tr w:rsidR="00934E33" w:rsidRPr="00216965" w14:paraId="3FC1F60D" w14:textId="77777777" w:rsidTr="00934E33">
        <w:trPr>
          <w:jc w:val="center"/>
        </w:trPr>
        <w:tc>
          <w:tcPr>
            <w:tcW w:w="0" w:type="auto"/>
          </w:tcPr>
          <w:p w14:paraId="7A107C21" w14:textId="77777777" w:rsidR="00B45740" w:rsidRPr="00216965" w:rsidRDefault="00B45740" w:rsidP="008A33DA">
            <w:pPr>
              <w:spacing w:after="0" w:line="240" w:lineRule="auto"/>
              <w:jc w:val="both"/>
              <w:rPr>
                <w:color w:val="000000"/>
                <w:sz w:val="18"/>
                <w:szCs w:val="18"/>
              </w:rPr>
            </w:pPr>
            <w:r w:rsidRPr="00216965">
              <w:rPr>
                <w:color w:val="000000"/>
                <w:sz w:val="18"/>
                <w:szCs w:val="18"/>
              </w:rPr>
              <w:t xml:space="preserve">DOC </w:t>
            </w:r>
          </w:p>
          <w:p w14:paraId="6576F0ED" w14:textId="77777777" w:rsidR="00B45740" w:rsidRPr="00216965" w:rsidRDefault="00B45740" w:rsidP="008A33DA">
            <w:pPr>
              <w:spacing w:after="0" w:line="240" w:lineRule="auto"/>
              <w:jc w:val="both"/>
              <w:rPr>
                <w:sz w:val="18"/>
                <w:szCs w:val="18"/>
              </w:rPr>
            </w:pPr>
            <w:r w:rsidRPr="00216965">
              <w:rPr>
                <w:color w:val="000000"/>
                <w:sz w:val="18"/>
                <w:szCs w:val="18"/>
              </w:rPr>
              <w:t>mg.L</w:t>
            </w:r>
            <w:r w:rsidRPr="00216965">
              <w:rPr>
                <w:color w:val="000000"/>
                <w:sz w:val="18"/>
                <w:szCs w:val="18"/>
                <w:vertAlign w:val="superscript"/>
              </w:rPr>
              <w:t>-1</w:t>
            </w:r>
          </w:p>
        </w:tc>
        <w:tc>
          <w:tcPr>
            <w:tcW w:w="0" w:type="auto"/>
          </w:tcPr>
          <w:p w14:paraId="1F05A684" w14:textId="77777777" w:rsidR="00B45740" w:rsidRPr="00216965" w:rsidRDefault="00B45740" w:rsidP="008A33DA">
            <w:pPr>
              <w:spacing w:after="0" w:line="240" w:lineRule="auto"/>
              <w:jc w:val="both"/>
              <w:rPr>
                <w:sz w:val="18"/>
                <w:szCs w:val="18"/>
              </w:rPr>
            </w:pPr>
            <w:r w:rsidRPr="00216965">
              <w:rPr>
                <w:color w:val="000000"/>
                <w:sz w:val="18"/>
                <w:szCs w:val="18"/>
              </w:rPr>
              <w:t>138 ± 17</w:t>
            </w:r>
          </w:p>
        </w:tc>
        <w:tc>
          <w:tcPr>
            <w:tcW w:w="0" w:type="auto"/>
          </w:tcPr>
          <w:p w14:paraId="36D1D771" w14:textId="77777777" w:rsidR="00B45740" w:rsidRPr="00216965" w:rsidRDefault="00B45740" w:rsidP="008A33DA">
            <w:pPr>
              <w:spacing w:after="0" w:line="240" w:lineRule="auto"/>
              <w:jc w:val="both"/>
              <w:rPr>
                <w:sz w:val="18"/>
                <w:szCs w:val="18"/>
              </w:rPr>
            </w:pPr>
          </w:p>
        </w:tc>
        <w:tc>
          <w:tcPr>
            <w:tcW w:w="0" w:type="auto"/>
          </w:tcPr>
          <w:p w14:paraId="2B42DA73" w14:textId="77777777" w:rsidR="00B45740" w:rsidRPr="00216965" w:rsidRDefault="00B45740" w:rsidP="008A33DA">
            <w:pPr>
              <w:spacing w:after="0" w:line="240" w:lineRule="auto"/>
              <w:jc w:val="both"/>
              <w:rPr>
                <w:sz w:val="18"/>
                <w:szCs w:val="18"/>
              </w:rPr>
            </w:pPr>
          </w:p>
        </w:tc>
        <w:tc>
          <w:tcPr>
            <w:tcW w:w="1571" w:type="dxa"/>
          </w:tcPr>
          <w:p w14:paraId="3EC343CC" w14:textId="77777777" w:rsidR="00B45740" w:rsidRPr="00216965" w:rsidRDefault="00B45740" w:rsidP="008A33DA">
            <w:pPr>
              <w:spacing w:after="0" w:line="240" w:lineRule="auto"/>
              <w:jc w:val="both"/>
              <w:rPr>
                <w:sz w:val="18"/>
                <w:szCs w:val="18"/>
              </w:rPr>
            </w:pPr>
          </w:p>
        </w:tc>
        <w:tc>
          <w:tcPr>
            <w:tcW w:w="948" w:type="dxa"/>
            <w:vAlign w:val="center"/>
          </w:tcPr>
          <w:p w14:paraId="640CB0AA" w14:textId="77777777" w:rsidR="00B45740" w:rsidRPr="00216965" w:rsidRDefault="00B45740" w:rsidP="008A33DA">
            <w:pPr>
              <w:spacing w:after="0" w:line="240" w:lineRule="auto"/>
              <w:jc w:val="both"/>
              <w:rPr>
                <w:sz w:val="18"/>
                <w:szCs w:val="18"/>
              </w:rPr>
            </w:pPr>
          </w:p>
        </w:tc>
        <w:tc>
          <w:tcPr>
            <w:tcW w:w="327" w:type="dxa"/>
          </w:tcPr>
          <w:p w14:paraId="55E25581" w14:textId="77777777" w:rsidR="00B45740" w:rsidRPr="00216965" w:rsidRDefault="00B45740" w:rsidP="008A33DA">
            <w:pPr>
              <w:spacing w:after="0" w:line="240" w:lineRule="auto"/>
              <w:jc w:val="both"/>
              <w:rPr>
                <w:sz w:val="18"/>
                <w:szCs w:val="18"/>
              </w:rPr>
            </w:pPr>
          </w:p>
        </w:tc>
        <w:tc>
          <w:tcPr>
            <w:tcW w:w="1505" w:type="dxa"/>
          </w:tcPr>
          <w:p w14:paraId="66F71758" w14:textId="77777777" w:rsidR="00B45740" w:rsidRPr="00216965" w:rsidRDefault="00B45740" w:rsidP="008A33DA">
            <w:pPr>
              <w:spacing w:after="0" w:line="240" w:lineRule="auto"/>
              <w:jc w:val="both"/>
              <w:rPr>
                <w:sz w:val="18"/>
                <w:szCs w:val="18"/>
              </w:rPr>
            </w:pPr>
          </w:p>
        </w:tc>
        <w:tc>
          <w:tcPr>
            <w:tcW w:w="0" w:type="auto"/>
          </w:tcPr>
          <w:p w14:paraId="304770DF" w14:textId="77777777" w:rsidR="00B45740" w:rsidRPr="00216965" w:rsidRDefault="00B45740" w:rsidP="008A33DA">
            <w:pPr>
              <w:spacing w:after="0" w:line="240" w:lineRule="auto"/>
              <w:jc w:val="both"/>
              <w:rPr>
                <w:sz w:val="18"/>
                <w:szCs w:val="18"/>
              </w:rPr>
            </w:pPr>
          </w:p>
        </w:tc>
      </w:tr>
      <w:tr w:rsidR="00934E33" w:rsidRPr="00216965" w14:paraId="49441638" w14:textId="77777777" w:rsidTr="00934E33">
        <w:trPr>
          <w:jc w:val="center"/>
        </w:trPr>
        <w:tc>
          <w:tcPr>
            <w:tcW w:w="0" w:type="auto"/>
          </w:tcPr>
          <w:p w14:paraId="0F091ECD" w14:textId="77777777" w:rsidR="00B45740" w:rsidRPr="00216965" w:rsidRDefault="00B45740" w:rsidP="008A33DA">
            <w:pPr>
              <w:spacing w:after="0" w:line="240" w:lineRule="auto"/>
              <w:jc w:val="both"/>
              <w:rPr>
                <w:sz w:val="18"/>
                <w:szCs w:val="18"/>
              </w:rPr>
            </w:pPr>
            <w:r w:rsidRPr="00216965">
              <w:rPr>
                <w:color w:val="000000"/>
                <w:sz w:val="18"/>
                <w:szCs w:val="18"/>
              </w:rPr>
              <w:t>OM %</w:t>
            </w:r>
          </w:p>
        </w:tc>
        <w:tc>
          <w:tcPr>
            <w:tcW w:w="0" w:type="auto"/>
          </w:tcPr>
          <w:p w14:paraId="6BEF5C49" w14:textId="77777777" w:rsidR="00B45740" w:rsidRPr="00216965" w:rsidRDefault="00B45740" w:rsidP="008A33DA">
            <w:pPr>
              <w:spacing w:after="0" w:line="240" w:lineRule="auto"/>
              <w:jc w:val="both"/>
              <w:rPr>
                <w:sz w:val="18"/>
                <w:szCs w:val="18"/>
              </w:rPr>
            </w:pPr>
            <w:r w:rsidRPr="00216965">
              <w:rPr>
                <w:color w:val="000000"/>
                <w:sz w:val="18"/>
                <w:szCs w:val="18"/>
              </w:rPr>
              <w:t xml:space="preserve">2.4 </w:t>
            </w:r>
          </w:p>
        </w:tc>
        <w:tc>
          <w:tcPr>
            <w:tcW w:w="0" w:type="auto"/>
          </w:tcPr>
          <w:p w14:paraId="58B4571A" w14:textId="77777777" w:rsidR="00B45740" w:rsidRPr="00216965" w:rsidRDefault="00B45740" w:rsidP="008A33DA">
            <w:pPr>
              <w:spacing w:after="0" w:line="240" w:lineRule="auto"/>
              <w:jc w:val="both"/>
              <w:rPr>
                <w:sz w:val="18"/>
                <w:szCs w:val="18"/>
              </w:rPr>
            </w:pPr>
          </w:p>
        </w:tc>
        <w:tc>
          <w:tcPr>
            <w:tcW w:w="0" w:type="auto"/>
          </w:tcPr>
          <w:p w14:paraId="197E6095" w14:textId="77777777" w:rsidR="00B45740" w:rsidRPr="00216965" w:rsidRDefault="00B45740" w:rsidP="008A33DA">
            <w:pPr>
              <w:spacing w:after="0" w:line="240" w:lineRule="auto"/>
              <w:jc w:val="both"/>
              <w:rPr>
                <w:sz w:val="18"/>
                <w:szCs w:val="18"/>
              </w:rPr>
            </w:pPr>
          </w:p>
        </w:tc>
        <w:tc>
          <w:tcPr>
            <w:tcW w:w="1571" w:type="dxa"/>
          </w:tcPr>
          <w:p w14:paraId="204BE955" w14:textId="77777777" w:rsidR="00B45740" w:rsidRPr="00216965" w:rsidRDefault="00B45740" w:rsidP="008A33DA">
            <w:pPr>
              <w:spacing w:after="0" w:line="240" w:lineRule="auto"/>
              <w:jc w:val="both"/>
              <w:rPr>
                <w:sz w:val="18"/>
                <w:szCs w:val="18"/>
              </w:rPr>
            </w:pPr>
          </w:p>
        </w:tc>
        <w:tc>
          <w:tcPr>
            <w:tcW w:w="948" w:type="dxa"/>
          </w:tcPr>
          <w:p w14:paraId="1B431402" w14:textId="77777777" w:rsidR="00B45740" w:rsidRPr="00216965" w:rsidRDefault="00B45740" w:rsidP="008A33DA">
            <w:pPr>
              <w:spacing w:after="0" w:line="240" w:lineRule="auto"/>
              <w:jc w:val="both"/>
              <w:rPr>
                <w:sz w:val="18"/>
                <w:szCs w:val="18"/>
              </w:rPr>
            </w:pPr>
          </w:p>
        </w:tc>
        <w:tc>
          <w:tcPr>
            <w:tcW w:w="327" w:type="dxa"/>
          </w:tcPr>
          <w:p w14:paraId="7763580E" w14:textId="77777777" w:rsidR="00B45740" w:rsidRPr="00216965" w:rsidRDefault="00B45740" w:rsidP="008A33DA">
            <w:pPr>
              <w:spacing w:after="0" w:line="240" w:lineRule="auto"/>
              <w:jc w:val="both"/>
              <w:rPr>
                <w:sz w:val="18"/>
                <w:szCs w:val="18"/>
              </w:rPr>
            </w:pPr>
          </w:p>
        </w:tc>
        <w:tc>
          <w:tcPr>
            <w:tcW w:w="1505" w:type="dxa"/>
          </w:tcPr>
          <w:p w14:paraId="39360E4B" w14:textId="77777777" w:rsidR="00B45740" w:rsidRPr="00216965" w:rsidRDefault="00B45740" w:rsidP="008A33DA">
            <w:pPr>
              <w:spacing w:after="0" w:line="240" w:lineRule="auto"/>
              <w:jc w:val="both"/>
              <w:rPr>
                <w:sz w:val="18"/>
                <w:szCs w:val="18"/>
              </w:rPr>
            </w:pPr>
          </w:p>
        </w:tc>
        <w:tc>
          <w:tcPr>
            <w:tcW w:w="0" w:type="auto"/>
          </w:tcPr>
          <w:p w14:paraId="69CF1ACD" w14:textId="77777777" w:rsidR="00B45740" w:rsidRPr="00216965" w:rsidRDefault="00B45740" w:rsidP="008A33DA">
            <w:pPr>
              <w:spacing w:after="0" w:line="240" w:lineRule="auto"/>
              <w:jc w:val="both"/>
              <w:rPr>
                <w:sz w:val="18"/>
                <w:szCs w:val="18"/>
              </w:rPr>
            </w:pPr>
          </w:p>
        </w:tc>
      </w:tr>
      <w:tr w:rsidR="00934E33" w:rsidRPr="00216965" w14:paraId="40578202" w14:textId="77777777" w:rsidTr="00934E33">
        <w:trPr>
          <w:jc w:val="center"/>
        </w:trPr>
        <w:tc>
          <w:tcPr>
            <w:tcW w:w="0" w:type="auto"/>
          </w:tcPr>
          <w:p w14:paraId="541543D3" w14:textId="77777777" w:rsidR="00B45740" w:rsidRPr="00216965" w:rsidRDefault="00B45740" w:rsidP="008A33DA">
            <w:pPr>
              <w:spacing w:after="0" w:line="240" w:lineRule="auto"/>
              <w:jc w:val="both"/>
              <w:rPr>
                <w:sz w:val="18"/>
                <w:szCs w:val="18"/>
              </w:rPr>
            </w:pPr>
            <w:r w:rsidRPr="00216965">
              <w:rPr>
                <w:color w:val="000000"/>
                <w:sz w:val="18"/>
                <w:szCs w:val="18"/>
              </w:rPr>
              <w:t>Clay %</w:t>
            </w:r>
          </w:p>
        </w:tc>
        <w:tc>
          <w:tcPr>
            <w:tcW w:w="0" w:type="auto"/>
          </w:tcPr>
          <w:p w14:paraId="4ED7DB8E" w14:textId="77777777" w:rsidR="00B45740" w:rsidRPr="00216965" w:rsidRDefault="00B45740" w:rsidP="008A33DA">
            <w:pPr>
              <w:spacing w:after="0" w:line="240" w:lineRule="auto"/>
              <w:jc w:val="both"/>
              <w:rPr>
                <w:sz w:val="18"/>
                <w:szCs w:val="18"/>
              </w:rPr>
            </w:pPr>
            <w:r w:rsidRPr="00216965">
              <w:rPr>
                <w:color w:val="000000"/>
                <w:sz w:val="18"/>
                <w:szCs w:val="18"/>
              </w:rPr>
              <w:t>12</w:t>
            </w:r>
          </w:p>
        </w:tc>
        <w:tc>
          <w:tcPr>
            <w:tcW w:w="0" w:type="auto"/>
          </w:tcPr>
          <w:p w14:paraId="4A0EB1A0" w14:textId="77777777" w:rsidR="00B45740" w:rsidRPr="00216965" w:rsidRDefault="00B45740" w:rsidP="008A33DA">
            <w:pPr>
              <w:spacing w:after="0" w:line="240" w:lineRule="auto"/>
              <w:jc w:val="both"/>
              <w:rPr>
                <w:sz w:val="18"/>
                <w:szCs w:val="18"/>
              </w:rPr>
            </w:pPr>
          </w:p>
        </w:tc>
        <w:tc>
          <w:tcPr>
            <w:tcW w:w="0" w:type="auto"/>
          </w:tcPr>
          <w:p w14:paraId="30C11534" w14:textId="77777777" w:rsidR="00B45740" w:rsidRPr="00216965" w:rsidRDefault="00B45740" w:rsidP="008A33DA">
            <w:pPr>
              <w:spacing w:after="0" w:line="240" w:lineRule="auto"/>
              <w:jc w:val="both"/>
              <w:rPr>
                <w:sz w:val="18"/>
                <w:szCs w:val="18"/>
              </w:rPr>
            </w:pPr>
          </w:p>
        </w:tc>
        <w:tc>
          <w:tcPr>
            <w:tcW w:w="1571" w:type="dxa"/>
          </w:tcPr>
          <w:p w14:paraId="7A5729B4" w14:textId="77777777" w:rsidR="00B45740" w:rsidRPr="00216965" w:rsidRDefault="00B45740" w:rsidP="008A33DA">
            <w:pPr>
              <w:spacing w:after="0" w:line="240" w:lineRule="auto"/>
              <w:jc w:val="both"/>
              <w:rPr>
                <w:sz w:val="18"/>
                <w:szCs w:val="18"/>
              </w:rPr>
            </w:pPr>
          </w:p>
        </w:tc>
        <w:tc>
          <w:tcPr>
            <w:tcW w:w="948" w:type="dxa"/>
          </w:tcPr>
          <w:p w14:paraId="7CE7D8F8" w14:textId="77777777" w:rsidR="00B45740" w:rsidRPr="00216965" w:rsidRDefault="00B45740" w:rsidP="008A33DA">
            <w:pPr>
              <w:spacing w:after="0" w:line="240" w:lineRule="auto"/>
              <w:jc w:val="both"/>
              <w:rPr>
                <w:sz w:val="18"/>
                <w:szCs w:val="18"/>
              </w:rPr>
            </w:pPr>
          </w:p>
        </w:tc>
        <w:tc>
          <w:tcPr>
            <w:tcW w:w="327" w:type="dxa"/>
          </w:tcPr>
          <w:p w14:paraId="657BA897" w14:textId="77777777" w:rsidR="00B45740" w:rsidRPr="00216965" w:rsidRDefault="00B45740" w:rsidP="008A33DA">
            <w:pPr>
              <w:spacing w:after="0" w:line="240" w:lineRule="auto"/>
              <w:jc w:val="both"/>
              <w:rPr>
                <w:sz w:val="18"/>
                <w:szCs w:val="18"/>
              </w:rPr>
            </w:pPr>
          </w:p>
        </w:tc>
        <w:tc>
          <w:tcPr>
            <w:tcW w:w="1505" w:type="dxa"/>
          </w:tcPr>
          <w:p w14:paraId="53FF847E" w14:textId="77777777" w:rsidR="00B45740" w:rsidRPr="00216965" w:rsidRDefault="00B45740" w:rsidP="008A33DA">
            <w:pPr>
              <w:spacing w:after="0" w:line="240" w:lineRule="auto"/>
              <w:jc w:val="both"/>
              <w:rPr>
                <w:sz w:val="18"/>
                <w:szCs w:val="18"/>
              </w:rPr>
            </w:pPr>
          </w:p>
        </w:tc>
        <w:tc>
          <w:tcPr>
            <w:tcW w:w="0" w:type="auto"/>
          </w:tcPr>
          <w:p w14:paraId="0C8AB53C" w14:textId="77777777" w:rsidR="00B45740" w:rsidRPr="00216965" w:rsidRDefault="00B45740" w:rsidP="008A33DA">
            <w:pPr>
              <w:spacing w:after="0" w:line="240" w:lineRule="auto"/>
              <w:jc w:val="both"/>
              <w:rPr>
                <w:sz w:val="18"/>
                <w:szCs w:val="18"/>
              </w:rPr>
            </w:pPr>
          </w:p>
        </w:tc>
      </w:tr>
      <w:tr w:rsidR="00934E33" w:rsidRPr="00216965" w14:paraId="13CD0BEB" w14:textId="77777777" w:rsidTr="00934E33">
        <w:trPr>
          <w:jc w:val="center"/>
        </w:trPr>
        <w:tc>
          <w:tcPr>
            <w:tcW w:w="0" w:type="auto"/>
          </w:tcPr>
          <w:p w14:paraId="78235DF1" w14:textId="77777777" w:rsidR="00B45740" w:rsidRPr="00216965" w:rsidRDefault="00B45740" w:rsidP="008A33DA">
            <w:pPr>
              <w:spacing w:after="0" w:line="240" w:lineRule="auto"/>
              <w:jc w:val="both"/>
              <w:rPr>
                <w:sz w:val="18"/>
                <w:szCs w:val="18"/>
              </w:rPr>
            </w:pPr>
            <w:r w:rsidRPr="00216965">
              <w:rPr>
                <w:color w:val="000000"/>
                <w:sz w:val="18"/>
                <w:szCs w:val="18"/>
              </w:rPr>
              <w:t>Sand %</w:t>
            </w:r>
          </w:p>
        </w:tc>
        <w:tc>
          <w:tcPr>
            <w:tcW w:w="0" w:type="auto"/>
          </w:tcPr>
          <w:p w14:paraId="7FD7D0DF" w14:textId="77777777" w:rsidR="00B45740" w:rsidRPr="00216965" w:rsidRDefault="00B45740" w:rsidP="008A33DA">
            <w:pPr>
              <w:spacing w:after="0" w:line="240" w:lineRule="auto"/>
              <w:jc w:val="both"/>
              <w:rPr>
                <w:sz w:val="18"/>
                <w:szCs w:val="18"/>
              </w:rPr>
            </w:pPr>
            <w:r w:rsidRPr="00216965">
              <w:rPr>
                <w:color w:val="000000"/>
                <w:sz w:val="18"/>
                <w:szCs w:val="18"/>
              </w:rPr>
              <w:t>70</w:t>
            </w:r>
          </w:p>
        </w:tc>
        <w:tc>
          <w:tcPr>
            <w:tcW w:w="0" w:type="auto"/>
          </w:tcPr>
          <w:p w14:paraId="1574F1A0" w14:textId="77777777" w:rsidR="00B45740" w:rsidRPr="00216965" w:rsidRDefault="00B45740" w:rsidP="008A33DA">
            <w:pPr>
              <w:spacing w:after="0" w:line="240" w:lineRule="auto"/>
              <w:jc w:val="both"/>
              <w:rPr>
                <w:sz w:val="18"/>
                <w:szCs w:val="18"/>
              </w:rPr>
            </w:pPr>
          </w:p>
        </w:tc>
        <w:tc>
          <w:tcPr>
            <w:tcW w:w="0" w:type="auto"/>
          </w:tcPr>
          <w:p w14:paraId="42664F48" w14:textId="77777777" w:rsidR="00B45740" w:rsidRPr="00216965" w:rsidRDefault="00B45740" w:rsidP="008A33DA">
            <w:pPr>
              <w:spacing w:after="0" w:line="240" w:lineRule="auto"/>
              <w:jc w:val="both"/>
              <w:rPr>
                <w:sz w:val="18"/>
                <w:szCs w:val="18"/>
              </w:rPr>
            </w:pPr>
          </w:p>
        </w:tc>
        <w:tc>
          <w:tcPr>
            <w:tcW w:w="1571" w:type="dxa"/>
          </w:tcPr>
          <w:p w14:paraId="69FC53EC" w14:textId="77777777" w:rsidR="00B45740" w:rsidRPr="00216965" w:rsidRDefault="00B45740" w:rsidP="008A33DA">
            <w:pPr>
              <w:spacing w:after="0" w:line="240" w:lineRule="auto"/>
              <w:jc w:val="both"/>
              <w:rPr>
                <w:sz w:val="18"/>
                <w:szCs w:val="18"/>
              </w:rPr>
            </w:pPr>
          </w:p>
        </w:tc>
        <w:tc>
          <w:tcPr>
            <w:tcW w:w="948" w:type="dxa"/>
          </w:tcPr>
          <w:p w14:paraId="102C6B9D" w14:textId="77777777" w:rsidR="00B45740" w:rsidRPr="00216965" w:rsidRDefault="00B45740" w:rsidP="008A33DA">
            <w:pPr>
              <w:spacing w:after="0" w:line="240" w:lineRule="auto"/>
              <w:jc w:val="both"/>
              <w:rPr>
                <w:sz w:val="18"/>
                <w:szCs w:val="18"/>
              </w:rPr>
            </w:pPr>
          </w:p>
        </w:tc>
        <w:tc>
          <w:tcPr>
            <w:tcW w:w="327" w:type="dxa"/>
          </w:tcPr>
          <w:p w14:paraId="13292893" w14:textId="77777777" w:rsidR="00B45740" w:rsidRPr="00216965" w:rsidRDefault="00B45740" w:rsidP="008A33DA">
            <w:pPr>
              <w:spacing w:after="0" w:line="240" w:lineRule="auto"/>
              <w:jc w:val="both"/>
              <w:rPr>
                <w:sz w:val="18"/>
                <w:szCs w:val="18"/>
              </w:rPr>
            </w:pPr>
          </w:p>
        </w:tc>
        <w:tc>
          <w:tcPr>
            <w:tcW w:w="1505" w:type="dxa"/>
          </w:tcPr>
          <w:p w14:paraId="2D064E45" w14:textId="77777777" w:rsidR="00B45740" w:rsidRPr="00216965" w:rsidRDefault="00B45740" w:rsidP="008A33DA">
            <w:pPr>
              <w:spacing w:after="0" w:line="240" w:lineRule="auto"/>
              <w:jc w:val="both"/>
              <w:rPr>
                <w:sz w:val="18"/>
                <w:szCs w:val="18"/>
              </w:rPr>
            </w:pPr>
          </w:p>
        </w:tc>
        <w:tc>
          <w:tcPr>
            <w:tcW w:w="0" w:type="auto"/>
          </w:tcPr>
          <w:p w14:paraId="65F56FC0" w14:textId="77777777" w:rsidR="00B45740" w:rsidRPr="00216965" w:rsidRDefault="00B45740" w:rsidP="008A33DA">
            <w:pPr>
              <w:spacing w:after="0" w:line="240" w:lineRule="auto"/>
              <w:jc w:val="both"/>
              <w:rPr>
                <w:sz w:val="18"/>
                <w:szCs w:val="18"/>
              </w:rPr>
            </w:pPr>
          </w:p>
        </w:tc>
      </w:tr>
      <w:tr w:rsidR="00934E33" w:rsidRPr="00216965" w14:paraId="1EF877A1" w14:textId="77777777" w:rsidTr="00934E33">
        <w:trPr>
          <w:jc w:val="center"/>
        </w:trPr>
        <w:tc>
          <w:tcPr>
            <w:tcW w:w="0" w:type="auto"/>
          </w:tcPr>
          <w:p w14:paraId="3C4EF0D1" w14:textId="77777777" w:rsidR="00B45740" w:rsidRPr="00216965" w:rsidRDefault="00B45740" w:rsidP="008A33DA">
            <w:pPr>
              <w:spacing w:after="0" w:line="240" w:lineRule="auto"/>
              <w:jc w:val="both"/>
              <w:rPr>
                <w:sz w:val="18"/>
                <w:szCs w:val="18"/>
              </w:rPr>
            </w:pPr>
            <w:r w:rsidRPr="00216965">
              <w:rPr>
                <w:color w:val="000000"/>
                <w:sz w:val="18"/>
                <w:szCs w:val="18"/>
              </w:rPr>
              <w:t>Gravel %</w:t>
            </w:r>
          </w:p>
        </w:tc>
        <w:tc>
          <w:tcPr>
            <w:tcW w:w="0" w:type="auto"/>
          </w:tcPr>
          <w:p w14:paraId="3B794F7A" w14:textId="77777777" w:rsidR="00B45740" w:rsidRPr="00216965" w:rsidRDefault="00B45740" w:rsidP="008A33DA">
            <w:pPr>
              <w:spacing w:after="0" w:line="240" w:lineRule="auto"/>
              <w:jc w:val="both"/>
              <w:rPr>
                <w:sz w:val="18"/>
                <w:szCs w:val="18"/>
              </w:rPr>
            </w:pPr>
            <w:r w:rsidRPr="00216965">
              <w:rPr>
                <w:color w:val="000000"/>
                <w:sz w:val="18"/>
                <w:szCs w:val="18"/>
              </w:rPr>
              <w:t>18</w:t>
            </w:r>
          </w:p>
        </w:tc>
        <w:tc>
          <w:tcPr>
            <w:tcW w:w="0" w:type="auto"/>
          </w:tcPr>
          <w:p w14:paraId="37EAD516" w14:textId="77777777" w:rsidR="00B45740" w:rsidRPr="00216965" w:rsidRDefault="00B45740" w:rsidP="008A33DA">
            <w:pPr>
              <w:spacing w:after="0" w:line="240" w:lineRule="auto"/>
              <w:jc w:val="both"/>
              <w:rPr>
                <w:sz w:val="18"/>
                <w:szCs w:val="18"/>
              </w:rPr>
            </w:pPr>
          </w:p>
        </w:tc>
        <w:tc>
          <w:tcPr>
            <w:tcW w:w="0" w:type="auto"/>
          </w:tcPr>
          <w:p w14:paraId="46FD77B2" w14:textId="77777777" w:rsidR="00B45740" w:rsidRPr="00216965" w:rsidRDefault="00B45740" w:rsidP="008A33DA">
            <w:pPr>
              <w:spacing w:after="0" w:line="240" w:lineRule="auto"/>
              <w:jc w:val="both"/>
              <w:rPr>
                <w:sz w:val="18"/>
                <w:szCs w:val="18"/>
              </w:rPr>
            </w:pPr>
          </w:p>
        </w:tc>
        <w:tc>
          <w:tcPr>
            <w:tcW w:w="1571" w:type="dxa"/>
          </w:tcPr>
          <w:p w14:paraId="04E5C52E" w14:textId="77777777" w:rsidR="00B45740" w:rsidRPr="00216965" w:rsidRDefault="00B45740" w:rsidP="008A33DA">
            <w:pPr>
              <w:spacing w:after="0" w:line="240" w:lineRule="auto"/>
              <w:jc w:val="both"/>
              <w:rPr>
                <w:sz w:val="18"/>
                <w:szCs w:val="18"/>
              </w:rPr>
            </w:pPr>
          </w:p>
        </w:tc>
        <w:tc>
          <w:tcPr>
            <w:tcW w:w="948" w:type="dxa"/>
          </w:tcPr>
          <w:p w14:paraId="7DCA1D32" w14:textId="77777777" w:rsidR="00B45740" w:rsidRPr="00216965" w:rsidRDefault="00B45740" w:rsidP="008A33DA">
            <w:pPr>
              <w:spacing w:after="0" w:line="240" w:lineRule="auto"/>
              <w:jc w:val="both"/>
              <w:rPr>
                <w:sz w:val="18"/>
                <w:szCs w:val="18"/>
              </w:rPr>
            </w:pPr>
          </w:p>
        </w:tc>
        <w:tc>
          <w:tcPr>
            <w:tcW w:w="327" w:type="dxa"/>
          </w:tcPr>
          <w:p w14:paraId="4DCEFCCD" w14:textId="77777777" w:rsidR="00B45740" w:rsidRPr="00216965" w:rsidRDefault="00B45740" w:rsidP="008A33DA">
            <w:pPr>
              <w:spacing w:after="0" w:line="240" w:lineRule="auto"/>
              <w:jc w:val="both"/>
              <w:rPr>
                <w:sz w:val="18"/>
                <w:szCs w:val="18"/>
              </w:rPr>
            </w:pPr>
          </w:p>
        </w:tc>
        <w:tc>
          <w:tcPr>
            <w:tcW w:w="1505" w:type="dxa"/>
          </w:tcPr>
          <w:p w14:paraId="18C52535" w14:textId="77777777" w:rsidR="00B45740" w:rsidRPr="00216965" w:rsidRDefault="00B45740" w:rsidP="008A33DA">
            <w:pPr>
              <w:spacing w:after="0" w:line="240" w:lineRule="auto"/>
              <w:jc w:val="both"/>
              <w:rPr>
                <w:sz w:val="18"/>
                <w:szCs w:val="18"/>
              </w:rPr>
            </w:pPr>
          </w:p>
        </w:tc>
        <w:tc>
          <w:tcPr>
            <w:tcW w:w="0" w:type="auto"/>
          </w:tcPr>
          <w:p w14:paraId="5E3128D6" w14:textId="77777777" w:rsidR="00B45740" w:rsidRPr="00216965" w:rsidRDefault="00B45740" w:rsidP="008A33DA">
            <w:pPr>
              <w:spacing w:after="0" w:line="240" w:lineRule="auto"/>
              <w:jc w:val="both"/>
              <w:rPr>
                <w:sz w:val="18"/>
                <w:szCs w:val="18"/>
              </w:rPr>
            </w:pPr>
          </w:p>
        </w:tc>
      </w:tr>
    </w:tbl>
    <w:p w14:paraId="3D1225D1" w14:textId="77777777" w:rsidR="00B45740" w:rsidRPr="00216965" w:rsidRDefault="00B45740" w:rsidP="008A33DA">
      <w:pPr>
        <w:spacing w:after="0" w:line="240" w:lineRule="auto"/>
        <w:ind w:left="1843" w:hanging="1843"/>
        <w:jc w:val="both"/>
        <w:rPr>
          <w:sz w:val="16"/>
          <w:szCs w:val="16"/>
        </w:rPr>
      </w:pPr>
      <w:r w:rsidRPr="00216965">
        <w:rPr>
          <w:sz w:val="16"/>
          <w:szCs w:val="16"/>
        </w:rPr>
        <w:t>Total: Aqua regia digestion</w:t>
      </w:r>
    </w:p>
    <w:p w14:paraId="7C41A3F4" w14:textId="77777777" w:rsidR="00B45740" w:rsidRPr="00216965" w:rsidRDefault="00B45740" w:rsidP="008A33DA">
      <w:pPr>
        <w:spacing w:after="0" w:line="240" w:lineRule="auto"/>
        <w:ind w:left="1843" w:hanging="1843"/>
        <w:jc w:val="both"/>
        <w:rPr>
          <w:sz w:val="16"/>
          <w:szCs w:val="16"/>
        </w:rPr>
      </w:pPr>
      <w:r w:rsidRPr="00216965">
        <w:rPr>
          <w:sz w:val="16"/>
          <w:szCs w:val="16"/>
        </w:rPr>
        <w:t>Bioavailable: NH</w:t>
      </w:r>
      <w:r w:rsidRPr="00216965">
        <w:rPr>
          <w:sz w:val="16"/>
          <w:szCs w:val="16"/>
          <w:vertAlign w:val="subscript"/>
        </w:rPr>
        <w:t>4</w:t>
      </w:r>
      <w:r w:rsidRPr="00216965">
        <w:rPr>
          <w:sz w:val="16"/>
          <w:szCs w:val="16"/>
        </w:rPr>
        <w:t>-NO</w:t>
      </w:r>
      <w:r w:rsidRPr="00216965">
        <w:rPr>
          <w:sz w:val="16"/>
          <w:szCs w:val="16"/>
          <w:vertAlign w:val="subscript"/>
        </w:rPr>
        <w:t>3</w:t>
      </w:r>
      <w:r w:rsidRPr="00216965">
        <w:rPr>
          <w:sz w:val="16"/>
          <w:szCs w:val="16"/>
        </w:rPr>
        <w:t xml:space="preserve"> extract</w:t>
      </w:r>
    </w:p>
    <w:p w14:paraId="7D3BD075" w14:textId="77777777" w:rsidR="00B45740" w:rsidRPr="00216965" w:rsidRDefault="00B45740" w:rsidP="008A33DA">
      <w:pPr>
        <w:spacing w:after="0" w:line="240" w:lineRule="auto"/>
        <w:ind w:left="1843" w:hanging="1843"/>
        <w:jc w:val="both"/>
        <w:rPr>
          <w:sz w:val="16"/>
          <w:szCs w:val="16"/>
        </w:rPr>
      </w:pPr>
      <w:r w:rsidRPr="00216965">
        <w:rPr>
          <w:sz w:val="16"/>
          <w:szCs w:val="16"/>
          <w:vertAlign w:val="superscript"/>
        </w:rPr>
        <w:t xml:space="preserve">d </w:t>
      </w:r>
      <w:r w:rsidRPr="00216965">
        <w:rPr>
          <w:sz w:val="16"/>
          <w:szCs w:val="16"/>
        </w:rPr>
        <w:t>Data reproduced from UK Biochar Research Centre, *= dry basis</w:t>
      </w:r>
    </w:p>
    <w:p w14:paraId="7AB90C6A" w14:textId="37267906" w:rsidR="00B45740" w:rsidRPr="00216965" w:rsidRDefault="00B45740" w:rsidP="008A33DA">
      <w:pPr>
        <w:spacing w:after="0" w:line="240" w:lineRule="auto"/>
        <w:rPr>
          <w:sz w:val="16"/>
          <w:szCs w:val="16"/>
          <w:lang w:val="it-IT"/>
        </w:rPr>
      </w:pPr>
      <w:r w:rsidRPr="00216965">
        <w:rPr>
          <w:sz w:val="16"/>
          <w:szCs w:val="16"/>
          <w:vertAlign w:val="superscript"/>
          <w:lang w:val="it-IT"/>
        </w:rPr>
        <w:t xml:space="preserve">b </w:t>
      </w:r>
      <w:r w:rsidRPr="00216965">
        <w:rPr>
          <w:sz w:val="16"/>
          <w:szCs w:val="16"/>
          <w:lang w:val="it-IT"/>
        </w:rPr>
        <w:t xml:space="preserve">Data from </w:t>
      </w:r>
      <w:r w:rsidRPr="00216965">
        <w:rPr>
          <w:sz w:val="16"/>
          <w:szCs w:val="16"/>
        </w:rPr>
        <w:fldChar w:fldCharType="begin" w:fldLock="1"/>
      </w:r>
      <w:r w:rsidR="006C06AA" w:rsidRPr="00216965">
        <w:rPr>
          <w:sz w:val="16"/>
          <w:szCs w:val="16"/>
          <w:lang w:val="it-IT"/>
        </w:rPr>
        <w:instrText>ADDIN CSL_CITATION {"citationItems":[{"id":"ITEM-1","itemData":{"DOI":"10.1016/j.heliyon.2020.e05388","ISSN":"24058440","abstract":"Environmental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F.","non-dropping-particle":"","parse-names":false,"suffix":""}],"container-title":"Heliyon","id":"ITEM-1","issued":{"date-parts":[["2020"]]},"page":"e05388","title":"The relationship between properties of plant-based biochars and sorption of Cd(II), Pb(II) and Zn(II) in soil model systems","type":"article-journal","volume":"6"},"uris":["http://www.mendeley.com/documents/?uuid=4cc1f56a-b6ca-4b2c-b02c-91ce5243ff75"]}],"mendeley":{"formattedCitation":"(Soria et al., 2020)","plainTextFormattedCitation":"(Soria et al., 2020)","previouslyFormattedCitation":"(Soria et al., 2020)"},"properties":{"noteIndex":0},"schema":"https://github.com/citation-style-language/schema/raw/master/csl-citation.json"}</w:instrText>
      </w:r>
      <w:r w:rsidRPr="00216965">
        <w:rPr>
          <w:sz w:val="16"/>
          <w:szCs w:val="16"/>
        </w:rPr>
        <w:fldChar w:fldCharType="separate"/>
      </w:r>
      <w:r w:rsidR="00C83E62" w:rsidRPr="00216965">
        <w:rPr>
          <w:noProof/>
          <w:sz w:val="16"/>
          <w:szCs w:val="16"/>
          <w:lang w:val="it-IT"/>
        </w:rPr>
        <w:t>(Soria et al., 2020)</w:t>
      </w:r>
      <w:r w:rsidRPr="00216965">
        <w:rPr>
          <w:sz w:val="16"/>
          <w:szCs w:val="16"/>
        </w:rPr>
        <w:fldChar w:fldCharType="end"/>
      </w:r>
    </w:p>
    <w:p w14:paraId="281E3EB6" w14:textId="77777777" w:rsidR="00B45740" w:rsidRPr="00216965" w:rsidRDefault="00B45740" w:rsidP="008A33DA">
      <w:pPr>
        <w:spacing w:after="0" w:line="240" w:lineRule="auto"/>
        <w:rPr>
          <w:sz w:val="16"/>
          <w:szCs w:val="16"/>
        </w:rPr>
      </w:pPr>
      <w:r w:rsidRPr="00216965">
        <w:rPr>
          <w:sz w:val="16"/>
          <w:szCs w:val="16"/>
        </w:rPr>
        <w:t>WHC: water holding capacity, DOC, dissolved organic carbon, OM: organic matter, EC: electric conductivity, BET: Brunauer, Emmett and Teller surface area, CEC: cation exchange capacity.</w:t>
      </w:r>
    </w:p>
    <w:p w14:paraId="2B589DDE" w14:textId="77777777" w:rsidR="00B45740" w:rsidRPr="00216965" w:rsidRDefault="00B45740" w:rsidP="008A33DA">
      <w:pPr>
        <w:spacing w:after="0" w:line="240" w:lineRule="auto"/>
        <w:rPr>
          <w:sz w:val="16"/>
          <w:szCs w:val="16"/>
        </w:rPr>
      </w:pPr>
    </w:p>
    <w:p w14:paraId="01AD07A6" w14:textId="77777777" w:rsidR="00B45740" w:rsidRPr="00216965" w:rsidRDefault="00B45740" w:rsidP="008A33DA">
      <w:pPr>
        <w:pStyle w:val="Heading3"/>
      </w:pPr>
      <w:bookmarkStart w:id="327" w:name="_Toc86504687"/>
      <w:r w:rsidRPr="00216965">
        <w:t>Outdoor pot experiment</w:t>
      </w:r>
      <w:bookmarkEnd w:id="327"/>
    </w:p>
    <w:p w14:paraId="660B0F0B" w14:textId="77777777" w:rsidR="00B45740" w:rsidRPr="00216965" w:rsidRDefault="00B45740" w:rsidP="008A33DA">
      <w:pPr>
        <w:spacing w:after="80" w:line="360" w:lineRule="auto"/>
        <w:jc w:val="both"/>
      </w:pPr>
      <w:r w:rsidRPr="00216965">
        <w:t>Soil samples were transported to the Arthur Willis Research Centre (The University of Sheffield, UK) for the outdoor experiment. Soil was dried at 20 ± 5 °C for 1 week and sieved through a 2 cm stainless sieve. Square plastic pots (width 10 cm, depth 20 cm) were lined at the bottom with fiberglass to avoid soil loss through the drainage holes. The pots were filled with soil or soil supplemented with organic amendments (biochar, compost, or both), as follows:</w:t>
      </w:r>
    </w:p>
    <w:p w14:paraId="514D0B7D" w14:textId="77777777" w:rsidR="00B45740" w:rsidRPr="00216965" w:rsidRDefault="00B45740" w:rsidP="008A33DA">
      <w:pPr>
        <w:numPr>
          <w:ilvl w:val="0"/>
          <w:numId w:val="3"/>
        </w:numPr>
        <w:spacing w:after="80" w:line="360" w:lineRule="auto"/>
        <w:ind w:left="714" w:hanging="357"/>
      </w:pPr>
      <w:r w:rsidRPr="00216965">
        <w:t>Soil (S):1.2 kg of contaminated soil</w:t>
      </w:r>
    </w:p>
    <w:p w14:paraId="13BE99DF" w14:textId="7BF9F555" w:rsidR="00B45740" w:rsidRPr="00216965" w:rsidRDefault="00B45740" w:rsidP="008A33DA">
      <w:pPr>
        <w:numPr>
          <w:ilvl w:val="0"/>
          <w:numId w:val="3"/>
        </w:numPr>
        <w:spacing w:after="80" w:line="360" w:lineRule="auto"/>
        <w:ind w:left="714" w:hanging="357"/>
      </w:pPr>
      <w:r w:rsidRPr="00216965">
        <w:t xml:space="preserve">Soil and biochar (S+B): 1.164 kg soil and 36 g biochar (3 % </w:t>
      </w:r>
      <w:r w:rsidRPr="00216965">
        <w:rPr>
          <w:i/>
        </w:rPr>
        <w:t>w/w</w:t>
      </w:r>
      <w:r w:rsidR="000D55B9" w:rsidRPr="00216965">
        <w:rPr>
          <w:i/>
        </w:rPr>
        <w:t xml:space="preserve"> </w:t>
      </w:r>
      <w:r w:rsidR="000D55B9" w:rsidRPr="00216965">
        <w:rPr>
          <w:iCs/>
        </w:rPr>
        <w:t>or</w:t>
      </w:r>
      <w:r w:rsidR="000D55B9" w:rsidRPr="00216965">
        <w:rPr>
          <w:i/>
        </w:rPr>
        <w:t xml:space="preserve"> </w:t>
      </w:r>
      <w:r w:rsidR="000D55B9" w:rsidRPr="00216965">
        <w:rPr>
          <w:iCs/>
        </w:rPr>
        <w:t>73</w:t>
      </w:r>
      <w:r w:rsidR="000D55B9" w:rsidRPr="00216965">
        <w:rPr>
          <w:i/>
        </w:rPr>
        <w:t xml:space="preserve"> </w:t>
      </w:r>
      <w:r w:rsidR="000D55B9" w:rsidRPr="00216965">
        <w:rPr>
          <w:iCs/>
        </w:rPr>
        <w:t>t.ha</w:t>
      </w:r>
      <w:r w:rsidR="000D55B9" w:rsidRPr="00216965">
        <w:rPr>
          <w:iCs/>
          <w:vertAlign w:val="superscript"/>
        </w:rPr>
        <w:t>-1</w:t>
      </w:r>
      <w:r w:rsidRPr="00216965">
        <w:t>)</w:t>
      </w:r>
    </w:p>
    <w:p w14:paraId="1221C33A" w14:textId="32B109AD" w:rsidR="00B45740" w:rsidRPr="00216965" w:rsidRDefault="00B45740" w:rsidP="008A33DA">
      <w:pPr>
        <w:numPr>
          <w:ilvl w:val="0"/>
          <w:numId w:val="3"/>
        </w:numPr>
        <w:spacing w:after="80" w:line="360" w:lineRule="auto"/>
        <w:ind w:left="714" w:hanging="357"/>
      </w:pPr>
      <w:r w:rsidRPr="00216965">
        <w:t xml:space="preserve">Soil and compost (S+C), 976 g of soil and 224 g of compost (18 % </w:t>
      </w:r>
      <w:r w:rsidRPr="00216965">
        <w:rPr>
          <w:i/>
        </w:rPr>
        <w:t>w/w</w:t>
      </w:r>
      <w:r w:rsidR="00774E58" w:rsidRPr="00216965">
        <w:rPr>
          <w:i/>
        </w:rPr>
        <w:t xml:space="preserve"> </w:t>
      </w:r>
      <w:r w:rsidR="00774E58" w:rsidRPr="00216965">
        <w:rPr>
          <w:iCs/>
        </w:rPr>
        <w:t>or</w:t>
      </w:r>
      <w:r w:rsidR="00774E58" w:rsidRPr="00216965">
        <w:rPr>
          <w:i/>
        </w:rPr>
        <w:t xml:space="preserve"> </w:t>
      </w:r>
      <w:r w:rsidR="00774E58" w:rsidRPr="00216965">
        <w:rPr>
          <w:iCs/>
        </w:rPr>
        <w:t>380</w:t>
      </w:r>
      <w:r w:rsidR="00774E58" w:rsidRPr="00216965">
        <w:rPr>
          <w:i/>
        </w:rPr>
        <w:t xml:space="preserve"> </w:t>
      </w:r>
      <w:r w:rsidR="00774E58" w:rsidRPr="00216965">
        <w:rPr>
          <w:iCs/>
        </w:rPr>
        <w:t>t.ha</w:t>
      </w:r>
      <w:r w:rsidR="00774E58" w:rsidRPr="00216965">
        <w:rPr>
          <w:iCs/>
          <w:vertAlign w:val="superscript"/>
        </w:rPr>
        <w:t>-1</w:t>
      </w:r>
      <w:r w:rsidRPr="00216965">
        <w:t xml:space="preserve">) </w:t>
      </w:r>
    </w:p>
    <w:p w14:paraId="344B38ED" w14:textId="77777777" w:rsidR="00B45740" w:rsidRPr="00216965" w:rsidRDefault="00B45740" w:rsidP="008A33DA">
      <w:pPr>
        <w:numPr>
          <w:ilvl w:val="0"/>
          <w:numId w:val="3"/>
        </w:numPr>
        <w:spacing w:after="80" w:line="360" w:lineRule="auto"/>
        <w:ind w:left="714" w:hanging="357"/>
      </w:pPr>
      <w:r w:rsidRPr="00216965">
        <w:t xml:space="preserve">Soil, compost and biochar (S+C+B): 940 g of soil, 36 g of biochar (3% </w:t>
      </w:r>
      <w:r w:rsidRPr="00216965">
        <w:rPr>
          <w:i/>
        </w:rPr>
        <w:t>w/w</w:t>
      </w:r>
      <w:r w:rsidRPr="00216965">
        <w:t xml:space="preserve">) and 224 g of compost (18 % </w:t>
      </w:r>
      <w:r w:rsidRPr="00216965">
        <w:rPr>
          <w:i/>
        </w:rPr>
        <w:t>w/w</w:t>
      </w:r>
      <w:r w:rsidRPr="00216965">
        <w:t>)</w:t>
      </w:r>
    </w:p>
    <w:p w14:paraId="4E332A17" w14:textId="44F0B580" w:rsidR="00554933" w:rsidRPr="00216965" w:rsidRDefault="00B45740" w:rsidP="008A33DA">
      <w:pPr>
        <w:spacing w:line="360" w:lineRule="auto"/>
        <w:jc w:val="both"/>
      </w:pPr>
      <w:r w:rsidRPr="00216965">
        <w:lastRenderedPageBreak/>
        <w:t xml:space="preserve">An aliquot (1.0 ± 0.1 kg) of soil from each treatment was used to characterize the physico-chemical properties, using the methods described in </w:t>
      </w:r>
      <w:r w:rsidRPr="00216965">
        <w:rPr>
          <w:b/>
        </w:rPr>
        <w:t>section</w:t>
      </w:r>
      <w:r w:rsidR="00934E33" w:rsidRPr="00216965">
        <w:rPr>
          <w:b/>
        </w:rPr>
        <w:t xml:space="preserve"> </w:t>
      </w:r>
      <w:r w:rsidR="00AE4768" w:rsidRPr="00216965">
        <w:rPr>
          <w:b/>
        </w:rPr>
        <w:fldChar w:fldCharType="begin"/>
      </w:r>
      <w:r w:rsidR="00AE4768" w:rsidRPr="00216965">
        <w:rPr>
          <w:b/>
        </w:rPr>
        <w:instrText xml:space="preserve"> REF _Ref86417924 \r \h </w:instrText>
      </w:r>
      <w:r w:rsidR="00AE4768" w:rsidRPr="00216965">
        <w:rPr>
          <w:b/>
        </w:rPr>
      </w:r>
      <w:r w:rsidR="00216965" w:rsidRPr="00216965">
        <w:rPr>
          <w:b/>
        </w:rPr>
        <w:instrText xml:space="preserve"> \* MERGEFORMAT </w:instrText>
      </w:r>
      <w:r w:rsidR="00AE4768" w:rsidRPr="00216965">
        <w:rPr>
          <w:b/>
        </w:rPr>
        <w:fldChar w:fldCharType="separate"/>
      </w:r>
      <w:r w:rsidR="006E23EA" w:rsidRPr="00216965">
        <w:rPr>
          <w:b/>
        </w:rPr>
        <w:t>5.2.2</w:t>
      </w:r>
      <w:r w:rsidR="00AE4768" w:rsidRPr="00216965">
        <w:rPr>
          <w:b/>
        </w:rPr>
        <w:fldChar w:fldCharType="end"/>
      </w:r>
      <w:r w:rsidRPr="00216965">
        <w:t>. Deionized water was added to each pot until water holding capacity was reached, then the pots were allowed to equilibrate for one week at 22 °C in the dark. After this time, the pots were perforated at 10 cm height and Rhizon soil moisture samplers (</w:t>
      </w:r>
      <w:r w:rsidRPr="00216965">
        <w:rPr>
          <w:color w:val="222222"/>
        </w:rPr>
        <w:t>Rhizon MOM, 10 cm, Eijkelkamp Agrisearch Equipment, Netherlands)</w:t>
      </w:r>
      <w:r w:rsidRPr="00216965">
        <w:rPr>
          <w:rFonts w:ascii="Arial" w:eastAsia="Arial" w:hAnsi="Arial" w:cs="Arial"/>
          <w:color w:val="222222"/>
        </w:rPr>
        <w:t xml:space="preserve"> </w:t>
      </w:r>
      <w:r w:rsidRPr="00216965">
        <w:t>were inserted through the wall. The pots were protected with insulation material (100mm GA4100</w:t>
      </w:r>
      <w:r w:rsidR="007D519F" w:rsidRPr="00216965">
        <w:t>, Celotex, UK</w:t>
      </w:r>
      <w:r w:rsidRPr="00216965">
        <w:t xml:space="preserve">) to prevent overheating in summer or freezing in winter. Half of the pots were planted (P) and the rest unplanted (U). </w:t>
      </w:r>
    </w:p>
    <w:p w14:paraId="44D3A00F" w14:textId="0CEF2A37" w:rsidR="00B45740" w:rsidRPr="00216965" w:rsidRDefault="00B45740" w:rsidP="008A33DA">
      <w:pPr>
        <w:spacing w:line="360" w:lineRule="auto"/>
        <w:jc w:val="both"/>
      </w:pPr>
      <w:r w:rsidRPr="00216965">
        <w:t>For planting, 100 seeds of perennial ryegrass (</w:t>
      </w:r>
      <w:r w:rsidRPr="00216965">
        <w:rPr>
          <w:i/>
        </w:rPr>
        <w:t>Lolium perenne</w:t>
      </w:r>
      <w:r w:rsidRPr="00216965">
        <w:t>) were added per pot. Each treatment was replicated four times giving a total of 32 pots, 16 pots with plants (S, S+C, S+C+B, S+B) and 16 unplanted (S, S+C, S+C+B, S+B). The pots were placed on a raised bed in the outdoor compound at Arthur Willis Research Centre and left for 18 months (April 2019-October 2020) under ambient environmental conditions.</w:t>
      </w:r>
      <w:r w:rsidRPr="00216965">
        <w:rPr>
          <w:b/>
          <w:sz w:val="28"/>
          <w:szCs w:val="28"/>
        </w:rPr>
        <w:t xml:space="preserve"> </w:t>
      </w:r>
      <w:r w:rsidRPr="00216965">
        <w:rPr>
          <w:b/>
          <w:sz w:val="28"/>
          <w:szCs w:val="28"/>
        </w:rPr>
        <w:fldChar w:fldCharType="begin"/>
      </w:r>
      <w:r w:rsidRPr="00216965">
        <w:rPr>
          <w:b/>
          <w:sz w:val="28"/>
          <w:szCs w:val="28"/>
        </w:rPr>
        <w:instrText xml:space="preserve"> REF _Ref83072600 \h  \* MERGEFORMAT </w:instrText>
      </w:r>
      <w:r w:rsidRPr="00216965">
        <w:rPr>
          <w:b/>
          <w:sz w:val="28"/>
          <w:szCs w:val="28"/>
        </w:rPr>
      </w:r>
      <w:r w:rsidRPr="00216965">
        <w:rPr>
          <w:b/>
          <w:sz w:val="28"/>
          <w:szCs w:val="28"/>
        </w:rPr>
        <w:fldChar w:fldCharType="separate"/>
      </w:r>
      <w:r w:rsidR="006E23EA" w:rsidRPr="00216965">
        <w:rPr>
          <w:b/>
        </w:rPr>
        <w:t>Fig. 5</w:t>
      </w:r>
      <w:r w:rsidR="006E23EA" w:rsidRPr="00216965">
        <w:rPr>
          <w:b/>
        </w:rPr>
        <w:noBreakHyphen/>
        <w:t>2</w:t>
      </w:r>
      <w:r w:rsidRPr="00216965">
        <w:rPr>
          <w:b/>
          <w:sz w:val="28"/>
          <w:szCs w:val="28"/>
        </w:rPr>
        <w:fldChar w:fldCharType="end"/>
      </w:r>
      <w:r w:rsidRPr="00216965">
        <w:rPr>
          <w:b/>
          <w:sz w:val="28"/>
          <w:szCs w:val="28"/>
        </w:rPr>
        <w:t xml:space="preserve"> </w:t>
      </w:r>
      <w:r w:rsidRPr="00216965">
        <w:t>shows the experimental set up. Deionized water (300 mL) was added to each pot from June to August if more than 2 consecutive weeks without rainfall occurred.</w:t>
      </w:r>
    </w:p>
    <w:p w14:paraId="05B02FA0" w14:textId="77777777" w:rsidR="00B45740" w:rsidRPr="00216965" w:rsidRDefault="00B45740" w:rsidP="008A33DA">
      <w:pPr>
        <w:jc w:val="center"/>
      </w:pPr>
      <w:r w:rsidRPr="00216965">
        <w:rPr>
          <w:noProof/>
        </w:rPr>
        <w:drawing>
          <wp:inline distT="0" distB="0" distL="0" distR="0" wp14:anchorId="4BADB801" wp14:editId="6278DF65">
            <wp:extent cx="4037089" cy="2200620"/>
            <wp:effectExtent l="0" t="0" r="0" b="0"/>
            <wp:docPr id="28" name="image10.png" descr="A picture containing park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parking&#10;&#10;Description automatically generated"/>
                    <pic:cNvPicPr preferRelativeResize="0"/>
                  </pic:nvPicPr>
                  <pic:blipFill>
                    <a:blip r:embed="rId57"/>
                    <a:srcRect/>
                    <a:stretch>
                      <a:fillRect/>
                    </a:stretch>
                  </pic:blipFill>
                  <pic:spPr>
                    <a:xfrm>
                      <a:off x="0" y="0"/>
                      <a:ext cx="4037089" cy="2200620"/>
                    </a:xfrm>
                    <a:prstGeom prst="rect">
                      <a:avLst/>
                    </a:prstGeom>
                    <a:ln/>
                  </pic:spPr>
                </pic:pic>
              </a:graphicData>
            </a:graphic>
          </wp:inline>
        </w:drawing>
      </w:r>
    </w:p>
    <w:p w14:paraId="531FCE3D" w14:textId="38CBF6CD" w:rsidR="00B45740" w:rsidRPr="00216965" w:rsidRDefault="00B45740" w:rsidP="0031210E">
      <w:pPr>
        <w:pBdr>
          <w:top w:val="nil"/>
          <w:left w:val="nil"/>
          <w:bottom w:val="nil"/>
          <w:right w:val="nil"/>
          <w:between w:val="nil"/>
        </w:pBdr>
        <w:spacing w:after="200" w:line="240" w:lineRule="auto"/>
        <w:jc w:val="both"/>
        <w:rPr>
          <w:b/>
          <w:color w:val="000000"/>
        </w:rPr>
      </w:pPr>
      <w:bookmarkStart w:id="328" w:name="_Ref83072600"/>
      <w:bookmarkStart w:id="329" w:name="_Toc86439383"/>
      <w:r w:rsidRPr="00216965">
        <w:rPr>
          <w:b/>
          <w:bCs/>
        </w:rPr>
        <w:t>Fig</w:t>
      </w:r>
      <w:r w:rsidR="00AE4768"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2</w:t>
      </w:r>
      <w:r w:rsidR="00BF3EBE" w:rsidRPr="00216965">
        <w:rPr>
          <w:b/>
          <w:bCs/>
        </w:rPr>
        <w:fldChar w:fldCharType="end"/>
      </w:r>
      <w:bookmarkEnd w:id="328"/>
      <w:r w:rsidRPr="00216965">
        <w:t xml:space="preserve"> </w:t>
      </w:r>
      <w:r w:rsidRPr="00216965">
        <w:rPr>
          <w:b/>
          <w:color w:val="000000"/>
        </w:rPr>
        <w:t>Outdoor pot experiment: A) individual pot with insulation cover and Rhizon sampler inserted; B) all 32 pots on the raised bed at the outdoor compound</w:t>
      </w:r>
      <w:bookmarkEnd w:id="329"/>
      <w:r w:rsidR="0031210E" w:rsidRPr="00216965">
        <w:rPr>
          <w:b/>
          <w:color w:val="000000"/>
        </w:rPr>
        <w:t>.</w:t>
      </w:r>
    </w:p>
    <w:p w14:paraId="0637CE15" w14:textId="77777777" w:rsidR="00B45740" w:rsidRPr="00216965" w:rsidRDefault="00B45740" w:rsidP="008A33DA"/>
    <w:p w14:paraId="25E9BFE4" w14:textId="77777777" w:rsidR="00B45740" w:rsidRPr="00216965" w:rsidRDefault="00B45740" w:rsidP="008A33DA">
      <w:pPr>
        <w:pStyle w:val="Heading3"/>
      </w:pPr>
      <w:bookmarkStart w:id="330" w:name="_Toc86504688"/>
      <w:r w:rsidRPr="00216965">
        <w:t>Soil pore water analysis</w:t>
      </w:r>
      <w:bookmarkEnd w:id="330"/>
    </w:p>
    <w:p w14:paraId="13735384" w14:textId="648C40A3" w:rsidR="00B45740" w:rsidRPr="00216965" w:rsidRDefault="00B45740" w:rsidP="008A33DA">
      <w:pPr>
        <w:spacing w:line="360" w:lineRule="auto"/>
        <w:jc w:val="both"/>
      </w:pPr>
      <w:r w:rsidRPr="00216965">
        <w:t xml:space="preserve">Soil pore water was collected from Rhizon samplers after 2, 6 and 18 months for chemical analysis. Electrodes were used to determine pH </w:t>
      </w:r>
      <w:r w:rsidR="007D519F" w:rsidRPr="00216965">
        <w:t xml:space="preserve">(Orion 5 star FB68800, Thermo, USA, </w:t>
      </w:r>
      <w:r w:rsidR="007D519F" w:rsidRPr="00216965">
        <w:lastRenderedPageBreak/>
        <w:t>pH meter</w:t>
      </w:r>
      <w:r w:rsidRPr="00216965">
        <w:t xml:space="preserve"> and electric conductivity</w:t>
      </w:r>
      <w:r w:rsidR="007D519F" w:rsidRPr="00216965">
        <w:t xml:space="preserve"> (470 portable conductivity/TDS meter, JENWAY, China)</w:t>
      </w:r>
      <w:r w:rsidRPr="00216965">
        <w:t>. In order to monitor HM mobility, separate aliquots of soil pore water were filtered using 0.45</w:t>
      </w:r>
      <w:r w:rsidRPr="00216965">
        <w:rPr>
          <w:color w:val="444444"/>
        </w:rPr>
        <w:t xml:space="preserve"> </w:t>
      </w:r>
      <w:r w:rsidRPr="00216965">
        <w:t>µm syringe filters (Non-sterile PTFE Syringe Filter</w:t>
      </w:r>
      <w:r w:rsidR="007D519F" w:rsidRPr="00216965">
        <w:t>, Fisherbrand™, USA</w:t>
      </w:r>
      <w:r w:rsidRPr="00216965">
        <w:t>) and acidified with 1 % trace analysis grade HNO</w:t>
      </w:r>
      <w:r w:rsidRPr="00216965">
        <w:rPr>
          <w:vertAlign w:val="subscript"/>
        </w:rPr>
        <w:t>3</w:t>
      </w:r>
      <w:r w:rsidR="00541C59" w:rsidRPr="00216965">
        <w:rPr>
          <w:vertAlign w:val="subscript"/>
        </w:rPr>
        <w:t xml:space="preserve"> </w:t>
      </w:r>
      <w:r w:rsidR="00541C59" w:rsidRPr="00216965">
        <w:t>(Primar Plus™ &gt; 68%, Thermo Fisher, Sweden)</w:t>
      </w:r>
      <w:r w:rsidRPr="00216965">
        <w:t xml:space="preserve"> for the analysis of trace elements by ICP-OES (</w:t>
      </w:r>
      <w:r w:rsidRPr="00216965">
        <w:rPr>
          <w:color w:val="222222"/>
        </w:rPr>
        <w:t>Optima 7300</w:t>
      </w:r>
      <w:r w:rsidR="007D519F" w:rsidRPr="00216965">
        <w:rPr>
          <w:color w:val="222222"/>
        </w:rPr>
        <w:t>, Perkin Elmer, USA</w:t>
      </w:r>
      <w:r w:rsidRPr="00216965">
        <w:t xml:space="preserve">). </w:t>
      </w:r>
    </w:p>
    <w:p w14:paraId="4A579F95" w14:textId="77777777" w:rsidR="00B45740" w:rsidRPr="00216965" w:rsidRDefault="00B45740" w:rsidP="008A33DA">
      <w:pPr>
        <w:pStyle w:val="Heading3"/>
      </w:pPr>
      <w:bookmarkStart w:id="331" w:name="_Toc86504689"/>
      <w:r w:rsidRPr="00216965">
        <w:t>Plant analysis</w:t>
      </w:r>
      <w:bookmarkEnd w:id="331"/>
    </w:p>
    <w:p w14:paraId="1E91EC8D" w14:textId="1AE78BD0" w:rsidR="00B45740" w:rsidRPr="00216965" w:rsidRDefault="00B45740" w:rsidP="008A33DA">
      <w:pPr>
        <w:spacing w:line="360" w:lineRule="auto"/>
        <w:jc w:val="both"/>
      </w:pPr>
      <w:r w:rsidRPr="00216965">
        <w:t>Plants were harvested in September 2019 (6 months) and at the end of the experiment in September 2020 (18 months). Plant above-ground tissue was cut 1 cm from the soil, placed in paper bags and dried at 40 °C for 10 days, then weighed. Thereafter, plant tissue was finely ground with a mortar and pestle; 200.0 ± 0.3 mg was placed into 15 ml glass tubes and digested with 5 mL HNO</w:t>
      </w:r>
      <w:r w:rsidRPr="00216965">
        <w:rPr>
          <w:vertAlign w:val="subscript"/>
        </w:rPr>
        <w:t>3</w:t>
      </w:r>
      <w:r w:rsidRPr="00216965">
        <w:t xml:space="preserve"> (</w:t>
      </w:r>
      <w:r w:rsidR="00541C59" w:rsidRPr="00216965">
        <w:t xml:space="preserve">Primar Plus™ </w:t>
      </w:r>
      <w:r w:rsidRPr="00216965">
        <w:t xml:space="preserve">&gt; 68%, </w:t>
      </w:r>
      <w:r w:rsidR="00541C59" w:rsidRPr="00216965">
        <w:t xml:space="preserve">Thermo </w:t>
      </w:r>
      <w:r w:rsidRPr="00216965">
        <w:t>Fisher</w:t>
      </w:r>
      <w:r w:rsidR="00541C59" w:rsidRPr="00216965">
        <w:t>, Sweden</w:t>
      </w:r>
      <w:r w:rsidRPr="00216965">
        <w:t xml:space="preserve">) in a heating block at 120 °C for 4 hours </w:t>
      </w:r>
      <w:r w:rsidRPr="00216965">
        <w:fldChar w:fldCharType="begin" w:fldLock="1"/>
      </w:r>
      <w:r w:rsidR="006C06AA" w:rsidRPr="00216965">
        <w:instrText>ADDIN CSL_CITATION {"citationItems":[{"id":"ITEM-1","itemData":{"DOI":"10.1016/j.scitotenv.2018.02.156","ISSN":"18791026","abstract":"In soil, mixed contamination with potentially toxic trace elements and polycyclic aromatic hydrocarbons (PAHs) may persist for a long time due to strong adsorption to the soil matrix and to its toxicity to microorganism. We conducted an incubation batch experiment to test the effect of soil amendments (biochar, gravel sludge, iron oxides) on the immobilisation of trace elements. To monitor microbial degradation, a13C-PHE (phenanthrene) label was introduced to soil for13C-PLFA (phospholipid fatty acid) analysis. Soil amendments increased soil pH, reduced mobility of NH4NO3-extractable trace elements Cd and Zn, and increased mobile Cu. A small consortium of PHE degraders was identified mainly in the microbial groups of gram-negative bacteria and actinomycetes. The degradation process of PHE peaked 9 days after incubation start. PAH concentrations remained constant in the soil within the 30-day incubation, except for the easily available13C-PHE in the amended treatment. In order to test the effect of plants and soil amendments under more realistic conditions, we also conducted an outdoor pot experiment with black locust (Robinia pseudoacacia Nyirsegi). Furthermore, soil amendments increased the mobility of soil Cu and As and decreased the mobility of Cd, Pb and Sb. The uptake of trace elements to leaves was low. Σ 16 U.S. EPA PAHs were significantly reduced only in the combined treatment of black locust and soil amendments after 12 months of plant growth. Soil amendment-assisted phytoremediation showed a high efficiency in PAH dissipation and may be a useful remediation technique for mixed contaminated soils.","author":[{"dropping-particle":"","family":"Wawra","given":"Anna","non-dropping-particle":"","parse-names":false,"suffix":""},{"dropping-particle":"","family":"Friesl-Hanl","given":"Wolfgang","non-dropping-particle":"","parse-names":false,"suffix":""},{"dropping-particle":"","family":"Puschenreiter","given":"Markus","non-dropping-particle":"","parse-names":false,"suffix":""},{"dropping-particle":"","family":"Soja","given":"Gerhard","non-dropping-particle":"","parse-names":false,"suffix":""},{"dropping-particle":"","family":"Reichenauer","given":"Thomas","non-dropping-particle":"","parse-names":false,"suffix":""},{"dropping-particle":"","family":"Roithner","given":"Caroline","non-dropping-particle":"","parse-names":false,"suffix":""},{"dropping-particle":"","family":"Watzinger","given":"Andrea","non-dropping-particle":"","parse-names":false,"suffix":""}],"container-title":"Science of the Total Environment","id":"ITEM-1","issued":{"date-parts":[["2018"]]},"page":"1287-1295","publisher":"Elsevier B.V.","title":"Degradation of polycyclic aromatic hydrocarbons in a mixed contaminated soil supported by phytostabilisation, organic and inorganic soil additives","type":"article-journal","volume":"628-629"},"uris":["http://www.mendeley.com/documents/?uuid=9c06a75b-67d7-467b-ac54-a74c5a7bb86a"]}],"mendeley":{"formattedCitation":"(Wawra et al., 2018)","plainTextFormattedCitation":"(Wawra et al., 2018)","previouslyFormattedCitation":"(Wawra et al., 2018)"},"properties":{"noteIndex":0},"schema":"https://github.com/citation-style-language/schema/raw/master/csl-citation.json"}</w:instrText>
      </w:r>
      <w:r w:rsidRPr="00216965">
        <w:fldChar w:fldCharType="separate"/>
      </w:r>
      <w:r w:rsidR="00C83E62" w:rsidRPr="00216965">
        <w:rPr>
          <w:noProof/>
        </w:rPr>
        <w:t>(Wawra et al., 2018)</w:t>
      </w:r>
      <w:r w:rsidRPr="00216965">
        <w:fldChar w:fldCharType="end"/>
      </w:r>
      <w:r w:rsidRPr="00216965">
        <w:t>. Trace elements were determined by ICP-OES</w:t>
      </w:r>
      <w:r w:rsidR="007D519F" w:rsidRPr="00216965">
        <w:t xml:space="preserve"> (</w:t>
      </w:r>
      <w:r w:rsidR="007D519F" w:rsidRPr="00216965">
        <w:rPr>
          <w:color w:val="222222"/>
        </w:rPr>
        <w:t>Optima 7300, Perkin Elmer, USA</w:t>
      </w:r>
      <w:r w:rsidR="007D519F" w:rsidRPr="00216965">
        <w:t>).</w:t>
      </w:r>
    </w:p>
    <w:p w14:paraId="5F2C9365" w14:textId="77777777" w:rsidR="00B45740" w:rsidRPr="00216965" w:rsidRDefault="00B45740" w:rsidP="008A33DA">
      <w:pPr>
        <w:pStyle w:val="Heading3"/>
      </w:pPr>
      <w:bookmarkStart w:id="332" w:name="_Toc86504690"/>
      <w:r w:rsidRPr="00216965">
        <w:t>Soil analysis</w:t>
      </w:r>
      <w:bookmarkEnd w:id="332"/>
    </w:p>
    <w:p w14:paraId="5DEEA067" w14:textId="616FB927" w:rsidR="00554933" w:rsidRPr="00216965" w:rsidRDefault="00B45740" w:rsidP="008A33DA">
      <w:pPr>
        <w:spacing w:line="360" w:lineRule="auto"/>
        <w:jc w:val="both"/>
      </w:pPr>
      <w:r w:rsidRPr="00216965">
        <w:t>At the end of the experiment after harvesting plants, soil samples were taken from each pot at ~10 cm depth. Approximately 100 g of soil was taken from three different points and mixed to create a composite sample representative of each pot. The composite sample was split in two, one aliquot for physico-chemical analysis and the other for DNA extraction (</w:t>
      </w:r>
      <w:r w:rsidRPr="00216965">
        <w:rPr>
          <w:b/>
          <w:bCs/>
        </w:rPr>
        <w:t>section</w:t>
      </w:r>
      <w:r w:rsidR="00AE4768" w:rsidRPr="00216965">
        <w:rPr>
          <w:b/>
          <w:bCs/>
        </w:rPr>
        <w:t xml:space="preserve"> </w:t>
      </w:r>
      <w:r w:rsidR="00AE4768" w:rsidRPr="00216965">
        <w:rPr>
          <w:b/>
          <w:bCs/>
        </w:rPr>
        <w:fldChar w:fldCharType="begin"/>
      </w:r>
      <w:r w:rsidR="00AE4768" w:rsidRPr="00216965">
        <w:rPr>
          <w:b/>
          <w:bCs/>
        </w:rPr>
        <w:instrText xml:space="preserve"> REF _Ref86418074 \r \h </w:instrText>
      </w:r>
      <w:r w:rsidR="00AE4768" w:rsidRPr="00216965">
        <w:rPr>
          <w:b/>
          <w:bCs/>
        </w:rPr>
      </w:r>
      <w:r w:rsidR="00216965" w:rsidRPr="00216965">
        <w:rPr>
          <w:b/>
          <w:bCs/>
        </w:rPr>
        <w:instrText xml:space="preserve"> \* MERGEFORMAT </w:instrText>
      </w:r>
      <w:r w:rsidR="00AE4768" w:rsidRPr="00216965">
        <w:rPr>
          <w:b/>
          <w:bCs/>
        </w:rPr>
        <w:fldChar w:fldCharType="separate"/>
      </w:r>
      <w:r w:rsidR="006E23EA" w:rsidRPr="00216965">
        <w:rPr>
          <w:b/>
          <w:bCs/>
        </w:rPr>
        <w:t>5.2.7</w:t>
      </w:r>
      <w:r w:rsidR="00AE4768" w:rsidRPr="00216965">
        <w:rPr>
          <w:b/>
          <w:bCs/>
        </w:rPr>
        <w:fldChar w:fldCharType="end"/>
      </w:r>
      <w:r w:rsidRPr="00216965">
        <w:t xml:space="preserve">). The soil aliquots intended for DNA extraction were stored at -80 °C until processed. Soil samples intended for physico-chemical analysis were dried at 40 °C for 10 days and sieved through a 2 mm stainless steel sieve after grinding manually with a mortar and pestle. </w:t>
      </w:r>
    </w:p>
    <w:p w14:paraId="4C1F700B" w14:textId="3DBE84CD" w:rsidR="00B45740" w:rsidRPr="00216965" w:rsidRDefault="00B45740" w:rsidP="008A33DA">
      <w:pPr>
        <w:spacing w:line="360" w:lineRule="auto"/>
        <w:jc w:val="both"/>
      </w:pPr>
      <w:r w:rsidRPr="00216965">
        <w:t>Organic matter was determined using the K</w:t>
      </w:r>
      <w:r w:rsidRPr="00216965">
        <w:rPr>
          <w:vertAlign w:val="subscript"/>
        </w:rPr>
        <w:t>2</w:t>
      </w:r>
      <w:r w:rsidRPr="00216965">
        <w:t>Cr</w:t>
      </w:r>
      <w:r w:rsidRPr="00216965">
        <w:rPr>
          <w:vertAlign w:val="subscript"/>
        </w:rPr>
        <w:t>2</w:t>
      </w:r>
      <w:r w:rsidRPr="00216965">
        <w:t>O</w:t>
      </w:r>
      <w:r w:rsidRPr="00216965">
        <w:rPr>
          <w:vertAlign w:val="subscript"/>
        </w:rPr>
        <w:t>7</w:t>
      </w:r>
      <w:r w:rsidRPr="00216965">
        <w:t xml:space="preserve"> titration method with FeSO</w:t>
      </w:r>
      <w:r w:rsidRPr="00216965">
        <w:rPr>
          <w:vertAlign w:val="subscript"/>
        </w:rPr>
        <w:t xml:space="preserve">4  </w:t>
      </w:r>
      <w:r w:rsidRPr="00216965">
        <w:t xml:space="preserve">following the British Standard BS1377 </w:t>
      </w:r>
      <w:r w:rsidRPr="00216965">
        <w:fldChar w:fldCharType="begin" w:fldLock="1"/>
      </w:r>
      <w:r w:rsidR="00F56BD7" w:rsidRPr="00216965">
        <w:instrText>ADDIN CSL_CITATION {"citationItems":[{"id":"ITEM-1","itemData":{"URL":"https://shop.bsigroup.com/ProductDetail/?pid=000000000030351284","accessed":{"date-parts":[["2021","5","10"]]},"author":[{"dropping-particle":"","family":"British Standards","given":"","non-dropping-particle":"","parse-names":false,"suffix":""}],"container-title":"European Standards","id":"ITEM-1","issued":{"date-parts":[["2018"]]},"title":"BS 1377-3:2018 Methods of test for soils for civil engineering purposes. Chemical and electro-chemical testing","type":"webpage"},"uris":["http://www.mendeley.com/documents/?uuid=276aee1e-5d16-4cf3-95db-005810ca06cb"]}],"mendeley":{"formattedCitation":"(British Standards, 2018)","plainTextFormattedCitation":"(British Standards, 2018)","previouslyFormattedCitation":"(British Standards, 2018)"},"properties":{"noteIndex":0},"schema":"https://github.com/citation-style-language/schema/raw/master/csl-citation.json"}</w:instrText>
      </w:r>
      <w:r w:rsidRPr="00216965">
        <w:fldChar w:fldCharType="separate"/>
      </w:r>
      <w:r w:rsidR="00330A4F" w:rsidRPr="00216965">
        <w:rPr>
          <w:noProof/>
        </w:rPr>
        <w:t>(British Standards, 2018)</w:t>
      </w:r>
      <w:r w:rsidRPr="00216965">
        <w:fldChar w:fldCharType="end"/>
      </w:r>
      <w:r w:rsidRPr="00216965">
        <w:t xml:space="preserve">. Plant-available phosphate and nitrate were determined by the Olsen </w:t>
      </w:r>
      <w:r w:rsidRPr="00216965">
        <w:fldChar w:fldCharType="begin" w:fldLock="1"/>
      </w:r>
      <w:r w:rsidR="006C06AA" w:rsidRPr="00216965">
        <w:instrText>ADDIN CSL_CITATION {"citationItems":[{"id":"ITEM-1","itemData":{"DOI":"10.1080/00103624.2014.911304","ISSN":"15322416","abstract":"The Mehlich 3 method for the determination of available phosphorus (P) is less laborious compared to the Olsen method and provides the advantage of multielement analysis. However, in Greece the Olsen P method is currently used because of its suitability for calcareous soils. The aims of this study were to compare (a) the Mehlich 3 and Olsen methods for 200 soils having different levels of pH and calcium carbonate and (b) Mehlich 3 colorimetric and Mehlich 3 inductively coupled plasma (ICP) analysis for 17 acidic and 23 alkaline soils. The correlation of Mehlich 3 P and Olsen P methods, excluding soils with pH less than 5 and soils with calcium carbonate levels from 10.3 to 48.3%, resulted in a linear slope of 0.24 and r2 of 0.82, and thus for this range of soils the Mehlich 3 test provided a more reliable measurement of P compared to the Olsen method. This study confirms also previous results that show that Mehlich 3 ICP test measures more P compared to Mehlich 3 colorimetry. © Taylor &amp; Francis Group, LLC.","author":[{"dropping-particle":"","family":"Iatrou","given":"M.","non-dropping-particle":"","parse-names":false,"suffix":""},{"dropping-particle":"","family":"Papadopoulos","given":"A.","non-dropping-particle":"","parse-names":false,"suffix":""},{"dropping-particle":"","family":"Papadopoulos","given":"F.","non-dropping-particle":"","parse-names":false,"suffix":""},{"dropping-particle":"","family":"Dichala","given":"O.","non-dropping-particle":"","parse-names":false,"suffix":""},{"dropping-particle":"","family":"Psoma","given":"P.","non-dropping-particle":"","parse-names":false,"suffix":""},{"dropping-particle":"","family":"Bountla","given":"A.","non-dropping-particle":"","parse-names":false,"suffix":""}],"container-title":"Communications in Soil Science and Plant Analysis","id":"ITEM-1","issue":"16","issued":{"date-parts":[["2014"]]},"page":"2207-2214","publisher":"Taylor and Francis Inc.","title":"Determination of soil available phosphorus using the Olsen and Mehlich 3 methods for Greek soils having variable amounts of calcium carbonate","type":"article-journal","volume":"45"},"uris":["http://www.mendeley.com/documents/?uuid=f6e7b641-c887-3a72-a862-ce5f41f1f28c"]}],"mendeley":{"formattedCitation":"(Iatrou et al., 2014)","plainTextFormattedCitation":"(Iatrou et al., 2014)","previouslyFormattedCitation":"(Iatrou et al., 2014)"},"properties":{"noteIndex":0},"schema":"https://github.com/citation-style-language/schema/raw/master/csl-citation.json"}</w:instrText>
      </w:r>
      <w:r w:rsidRPr="00216965">
        <w:fldChar w:fldCharType="separate"/>
      </w:r>
      <w:r w:rsidR="00C83E62" w:rsidRPr="00216965">
        <w:rPr>
          <w:noProof/>
        </w:rPr>
        <w:t>(Iatrou et al., 2014)</w:t>
      </w:r>
      <w:r w:rsidRPr="00216965">
        <w:fldChar w:fldCharType="end"/>
      </w:r>
      <w:r w:rsidRPr="00216965">
        <w:t xml:space="preserve"> and vanadium chloride </w:t>
      </w:r>
      <w:r w:rsidRPr="00216965">
        <w:fldChar w:fldCharType="begin" w:fldLock="1"/>
      </w:r>
      <w:r w:rsidR="006C06AA" w:rsidRPr="00216965">
        <w:instrText>ADDIN CSL_CITATION {"citationItems":[{"id":"ITEM-1","itemData":{"DOI":"10.1006/niox.2000.0319","ISSN":"10898603","PMID":"11178938","abstract":"Numerous methods are available for measurement of nitrate (NO3-). However, these assays can either be time consuming or require specialized equipment (e.g., nitrate reductase, chemiluminescent detector). We have developed a method for simultaneous evaluation of nitrate and nitrite concentrations in a microtiter plate format. The principle of this assay is reduction of nitrate by vanadium(III) combined with detection by the acidic Griess reaction. This assay is sensitive to 0.5 μM NO3- and is useful in a variety of fluids including cell culture media, serum, and plasma. S-Nitrosothiols and L-arginine derivatives were found to be potential interfering agents. However, these compounds are generally minor constituents of biological fluids relative to the concentration of nitrate/nitrite. This report introduces a new, convenient assay for the stable oxidation products of nitrogen oxide chemistry in biological samples. © 2001 Academic Press.","author":[{"dropping-particle":"","family":"Miranda","given":"Katrina M.","non-dropping-particle":"","parse-names":false,"suffix":""},{"dropping-particle":"","family":"Espey","given":"Michael G.","non-dropping-particle":"","parse-names":false,"suffix":""},{"dropping-particle":"","family":"Wink","given":"David A.","non-dropping-particle":"","parse-names":false,"suffix":""}],"container-title":"Nitric Oxide - Biology and Chemistry","id":"ITEM-1","issue":"1","issued":{"date-parts":[["2001"]]},"page":"62-71","title":"A rapid, simple spectrophotometric method for simultaneous detection of nitrate and nitrite","type":"article-journal","volume":"5"},"uris":["http://www.mendeley.com/documents/?uuid=71be7075-33f3-48f7-b4a7-a2334dc0442f"]}],"mendeley":{"formattedCitation":"(Miranda et al., 2001)","plainTextFormattedCitation":"(Miranda et al., 2001)","previouslyFormattedCitation":"(Miranda et al., 2001)"},"properties":{"noteIndex":0},"schema":"https://github.com/citation-style-language/schema/raw/master/csl-citation.json"}</w:instrText>
      </w:r>
      <w:r w:rsidRPr="00216965">
        <w:fldChar w:fldCharType="separate"/>
      </w:r>
      <w:r w:rsidR="001974AA" w:rsidRPr="00216965">
        <w:rPr>
          <w:noProof/>
        </w:rPr>
        <w:t>(Miranda et al., 2001)</w:t>
      </w:r>
      <w:r w:rsidRPr="00216965">
        <w:fldChar w:fldCharType="end"/>
      </w:r>
      <w:r w:rsidRPr="00216965">
        <w:t xml:space="preserve"> methods, respectively. These methods are described in detail in </w:t>
      </w:r>
      <w:r w:rsidR="00AE4768" w:rsidRPr="00216965">
        <w:rPr>
          <w:b/>
        </w:rPr>
        <w:fldChar w:fldCharType="begin"/>
      </w:r>
      <w:r w:rsidR="00AE4768" w:rsidRPr="00216965">
        <w:rPr>
          <w:b/>
        </w:rPr>
        <w:instrText xml:space="preserve"> REF _Ref86417682 \r \h </w:instrText>
      </w:r>
      <w:r w:rsidR="00AE4768" w:rsidRPr="00216965">
        <w:rPr>
          <w:b/>
        </w:rPr>
      </w:r>
      <w:r w:rsidR="00216965" w:rsidRPr="00216965">
        <w:rPr>
          <w:b/>
        </w:rPr>
        <w:instrText xml:space="preserve"> \* MERGEFORMAT </w:instrText>
      </w:r>
      <w:r w:rsidR="00AE4768" w:rsidRPr="00216965">
        <w:rPr>
          <w:b/>
        </w:rPr>
        <w:fldChar w:fldCharType="separate"/>
      </w:r>
      <w:r w:rsidR="006E23EA" w:rsidRPr="00216965">
        <w:rPr>
          <w:b/>
        </w:rPr>
        <w:t>Chapter 4</w:t>
      </w:r>
      <w:r w:rsidR="00AE4768" w:rsidRPr="00216965">
        <w:rPr>
          <w:b/>
        </w:rPr>
        <w:fldChar w:fldCharType="end"/>
      </w:r>
      <w:r w:rsidR="00AE4768" w:rsidRPr="00216965">
        <w:rPr>
          <w:b/>
        </w:rPr>
        <w:t xml:space="preserve">, section </w:t>
      </w:r>
      <w:r w:rsidR="00AE4768" w:rsidRPr="00216965">
        <w:rPr>
          <w:b/>
        </w:rPr>
        <w:fldChar w:fldCharType="begin"/>
      </w:r>
      <w:r w:rsidR="00AE4768" w:rsidRPr="00216965">
        <w:rPr>
          <w:b/>
        </w:rPr>
        <w:instrText xml:space="preserve"> REF _Ref86418047 \r \h </w:instrText>
      </w:r>
      <w:r w:rsidR="00AE4768" w:rsidRPr="00216965">
        <w:rPr>
          <w:b/>
        </w:rPr>
      </w:r>
      <w:r w:rsidR="00216965" w:rsidRPr="00216965">
        <w:rPr>
          <w:b/>
        </w:rPr>
        <w:instrText xml:space="preserve"> \* MERGEFORMAT </w:instrText>
      </w:r>
      <w:r w:rsidR="00AE4768" w:rsidRPr="00216965">
        <w:rPr>
          <w:b/>
        </w:rPr>
        <w:fldChar w:fldCharType="separate"/>
      </w:r>
      <w:r w:rsidR="006E23EA" w:rsidRPr="00216965">
        <w:rPr>
          <w:b/>
        </w:rPr>
        <w:t>4.2.4.6</w:t>
      </w:r>
      <w:r w:rsidR="00AE4768" w:rsidRPr="00216965">
        <w:rPr>
          <w:b/>
        </w:rPr>
        <w:fldChar w:fldCharType="end"/>
      </w:r>
      <w:r w:rsidRPr="00216965">
        <w:t xml:space="preserve">. Ammonium was determined according to </w:t>
      </w:r>
      <w:r w:rsidRPr="00216965">
        <w:fldChar w:fldCharType="begin" w:fldLock="1"/>
      </w:r>
      <w:r w:rsidR="00F56BD7" w:rsidRPr="00216965">
        <w:instrText>ADDIN CSL_CITATION {"citationItems":[{"id":"ITEM-1","itemData":{"author":[{"dropping-particle":"","family":"CEN","given":"","non-dropping-particle":"","parse-names":false,"suffix":""}],"container-title":"International Standard ISO 11732","id":"ITEM-1","issued":{"date-parts":[["2005"]]},"title":"Water quality – determination of ammonium nitrogen by flow analysis (CFA and FIA) and spectrometric detection","type":"report"},"uris":["http://www.mendeley.com/documents/?uuid=a011d1bb-3b77-4b1d-a459-dc22d813d0fd"]}],"mendeley":{"formattedCitation":"(CEN, 2005)","manualFormatting":"ISO, (1997)","plainTextFormattedCitation":"(CEN, 2005)","previouslyFormattedCitation":"(CEN, 2005)"},"properties":{"noteIndex":0},"schema":"https://github.com/citation-style-language/schema/raw/master/csl-citation.json"}</w:instrText>
      </w:r>
      <w:r w:rsidRPr="00216965">
        <w:fldChar w:fldCharType="separate"/>
      </w:r>
      <w:r w:rsidRPr="00216965">
        <w:rPr>
          <w:noProof/>
        </w:rPr>
        <w:t>ISO, (1997)</w:t>
      </w:r>
      <w:r w:rsidRPr="00216965">
        <w:fldChar w:fldCharType="end"/>
      </w:r>
      <w:r w:rsidRPr="00216965">
        <w:t xml:space="preserve"> by mixing 2.0 ± 0.3 g of soil with 20 mL of 2 M KCl solution for 1 hour at 120 rpm; samples were filtered through 0.45 μm syringe filters </w:t>
      </w:r>
      <w:bookmarkStart w:id="333" w:name="_Hlk98872281"/>
      <w:r w:rsidRPr="00216965">
        <w:t>(Non-sterile PTFE Syringe Filter</w:t>
      </w:r>
      <w:r w:rsidR="00541C59" w:rsidRPr="00216965">
        <w:t>, Fisherbrand™, USA</w:t>
      </w:r>
      <w:r w:rsidRPr="00216965">
        <w:t xml:space="preserve">) </w:t>
      </w:r>
      <w:bookmarkEnd w:id="333"/>
      <w:r w:rsidRPr="00216965">
        <w:t>and NH</w:t>
      </w:r>
      <w:r w:rsidRPr="00216965">
        <w:rPr>
          <w:vertAlign w:val="subscript"/>
        </w:rPr>
        <w:t>4</w:t>
      </w:r>
      <w:r w:rsidRPr="00216965">
        <w:rPr>
          <w:vertAlign w:val="superscript"/>
        </w:rPr>
        <w:t>+</w:t>
      </w:r>
      <w:r w:rsidRPr="00216965">
        <w:t xml:space="preserve"> determined with a continuous flow analyser (San+</w:t>
      </w:r>
      <w:r w:rsidR="00541C59" w:rsidRPr="00216965">
        <w:t xml:space="preserve">, Skalar Analytica, </w:t>
      </w:r>
      <w:r w:rsidR="00541C59" w:rsidRPr="00216965">
        <w:lastRenderedPageBreak/>
        <w:t>Netherlands</w:t>
      </w:r>
      <w:r w:rsidRPr="00216965">
        <w:t xml:space="preserve">). Soil pH </w:t>
      </w:r>
      <w:r w:rsidR="00541C59" w:rsidRPr="00216965">
        <w:t xml:space="preserve">(Orion 5 star FB68800, Thermo, USA, pH meter) </w:t>
      </w:r>
      <w:r w:rsidRPr="00216965">
        <w:t xml:space="preserve"> and EC </w:t>
      </w:r>
      <w:r w:rsidR="00541C59" w:rsidRPr="00216965">
        <w:t>(470 portable conductivity/TDS meter, JENWAY, China)</w:t>
      </w:r>
      <w:r w:rsidRPr="00216965">
        <w:t xml:space="preserve"> were measured in a 1:2.5 (</w:t>
      </w:r>
      <w:r w:rsidRPr="00216965">
        <w:rPr>
          <w:i/>
        </w:rPr>
        <w:t>w/v</w:t>
      </w:r>
      <w:r w:rsidRPr="00216965">
        <w:t xml:space="preserve">) suspension of soil in de-ionised water. </w:t>
      </w:r>
    </w:p>
    <w:p w14:paraId="6D1A347A" w14:textId="77777777" w:rsidR="00B45740" w:rsidRPr="00216965" w:rsidRDefault="00B45740" w:rsidP="008A33DA">
      <w:pPr>
        <w:pStyle w:val="Heading4"/>
      </w:pPr>
      <w:r w:rsidRPr="00216965">
        <w:t>Sequential extraction</w:t>
      </w:r>
    </w:p>
    <w:p w14:paraId="766C3B17" w14:textId="50F97680" w:rsidR="00554933" w:rsidRPr="00216965" w:rsidRDefault="00B45740" w:rsidP="008A33DA">
      <w:pPr>
        <w:spacing w:line="360" w:lineRule="auto"/>
        <w:jc w:val="both"/>
      </w:pPr>
      <w:r w:rsidRPr="00216965">
        <w:t xml:space="preserve">Soil samples were analysed with the Community Bureau of Reference (BCR) three-step sequential extraction procedure modified by </w:t>
      </w:r>
      <w:r w:rsidRPr="00216965">
        <w:fldChar w:fldCharType="begin" w:fldLock="1"/>
      </w:r>
      <w:r w:rsidR="006C06AA" w:rsidRPr="00216965">
        <w:instrText>ADDIN CSL_CITATION {"citationItems":[{"id":"ITEM-1","itemData":{"DOI":"10.1016/j.envpol.2007.06.020","ISSN":"02697491","PMID":"17655986","abstract":"The modified BCR three-step sequential extraction procedure was used to examine the temporal dynamics of trace elements in soils contaminated by an accidental spill from an opencast mine in south-west Spain. Soils were mainly contaminated with pyritic sludge and acidic wastewater, whereas some soils were affected only by acidic wastewater. The distributions obtained for both some major (Ca, Fe and Mn) and trace elements (As, Cd, Cu, Pb and Zn) in the sludge and soil samples taken at different times after the accident, 1-3 months and 21 months, were compared. Sequential extractions were useful in identifying different sources of contamination, and in obtaining additional information on the solubility of secondary minerals formed by pyrite oxidation. Thus, the effectiveness of the BCR procedure has proved to be a useful tool for predicting short- and long-term mobility of trace elements, even in complex environmental scenarios. © 2007 Elsevier Ltd. All rights reserved.","author":[{"dropping-particle":"","family":"Pueyo","given":"M.","non-dropping-particle":"","parse-names":false,"suffix":""},{"dropping-particle":"","family":"Mateu","given":"J.","non-dropping-particle":"","parse-names":false,"suffix":""},{"dropping-particle":"","family":"Rigol","given":"A.","non-dropping-particle":"","parse-names":false,"suffix":""},{"dropping-particle":"","family":"Vidal","given":"M.","non-dropping-particle":"","parse-names":false,"suffix":""},{"dropping-particle":"","family":"López-Sánchez","given":"J. F.","non-dropping-particle":"","parse-names":false,"suffix":""},{"dropping-particle":"","family":"Rauret","given":"G.","non-dropping-particle":"","parse-names":false,"suffix":""}],"container-title":"Environmental Pollution","id":"ITEM-1","issue":"2","issued":{"date-parts":[["2008","3","1"]]},"page":"330-341","publisher":"Elsevier","title":"Use of the modified BCR three-step sequential extraction procedure for the study of trace element dynamics in contaminated soils","type":"article-journal","volume":"152"},"uris":["http://www.mendeley.com/documents/?uuid=3dbf8e4c-d0a0-3ef9-848b-1116b8349c28"]}],"mendeley":{"formattedCitation":"(Pueyo et al., 2008)","manualFormatting":"Pueyo et al. (2008)","plainTextFormattedCitation":"(Pueyo et al., 2008)","previouslyFormattedCitation":"(Pueyo et al., 2008)"},"properties":{"noteIndex":0},"schema":"https://github.com/citation-style-language/schema/raw/master/csl-citation.json"}</w:instrText>
      </w:r>
      <w:r w:rsidRPr="00216965">
        <w:fldChar w:fldCharType="separate"/>
      </w:r>
      <w:r w:rsidRPr="00216965">
        <w:rPr>
          <w:noProof/>
        </w:rPr>
        <w:t>Pueyo</w:t>
      </w:r>
      <w:r w:rsidRPr="00216965">
        <w:rPr>
          <w:i/>
          <w:noProof/>
        </w:rPr>
        <w:t xml:space="preserve"> </w:t>
      </w:r>
      <w:r w:rsidR="009B2252" w:rsidRPr="00216965">
        <w:rPr>
          <w:noProof/>
        </w:rPr>
        <w:t>et al</w:t>
      </w:r>
      <w:r w:rsidRPr="00216965">
        <w:rPr>
          <w:noProof/>
        </w:rPr>
        <w:t>. (2008)</w:t>
      </w:r>
      <w:r w:rsidRPr="00216965">
        <w:fldChar w:fldCharType="end"/>
      </w:r>
      <w:r w:rsidRPr="00216965">
        <w:t>. Initially 1.0 ± 0.3 g of soil was placed in 50 mL plastic tubes and treated following the procedure described in</w:t>
      </w:r>
      <w:r w:rsidR="007906FC" w:rsidRPr="00216965">
        <w:t xml:space="preserve"> </w:t>
      </w:r>
      <w:r w:rsidR="007906FC" w:rsidRPr="00216965">
        <w:fldChar w:fldCharType="begin"/>
      </w:r>
      <w:r w:rsidR="007906FC" w:rsidRPr="00216965">
        <w:instrText xml:space="preserve"> REF _Ref86418167 \h </w:instrText>
      </w:r>
      <w:r w:rsidR="00216965" w:rsidRPr="00216965">
        <w:instrText xml:space="preserve"> \* MERGEFORMAT </w:instrText>
      </w:r>
      <w:r w:rsidR="007906FC" w:rsidRPr="00216965">
        <w:fldChar w:fldCharType="separate"/>
      </w:r>
      <w:r w:rsidR="006E23EA" w:rsidRPr="00216965">
        <w:rPr>
          <w:b/>
        </w:rPr>
        <w:t xml:space="preserve">Table </w:t>
      </w:r>
      <w:r w:rsidR="006E23EA" w:rsidRPr="00216965">
        <w:rPr>
          <w:b/>
          <w:bCs/>
          <w:noProof/>
        </w:rPr>
        <w:t>5</w:t>
      </w:r>
      <w:r w:rsidR="006E23EA" w:rsidRPr="00216965">
        <w:rPr>
          <w:b/>
        </w:rPr>
        <w:noBreakHyphen/>
      </w:r>
      <w:r w:rsidR="006E23EA" w:rsidRPr="00216965">
        <w:rPr>
          <w:b/>
          <w:bCs/>
          <w:noProof/>
        </w:rPr>
        <w:t>2</w:t>
      </w:r>
      <w:r w:rsidR="007906FC" w:rsidRPr="00216965">
        <w:fldChar w:fldCharType="end"/>
      </w:r>
      <w:r w:rsidRPr="00216965">
        <w:t>. The final product of each step was separated by centrifugation at 1000 g for 20 min, the supernatant filtered through 0.45 μm syringe filters</w:t>
      </w:r>
      <w:r w:rsidR="0002320E" w:rsidRPr="00216965">
        <w:t xml:space="preserve"> (Non-sterile PTFE Syringe Filter, Fisherbrand™, USA)</w:t>
      </w:r>
      <w:r w:rsidRPr="00216965">
        <w:t xml:space="preserve">, collected in 15 mL polyethylene tubes and stored at 4 °C until analysis. </w:t>
      </w:r>
    </w:p>
    <w:p w14:paraId="215C2E66" w14:textId="0D43F807" w:rsidR="00B45740" w:rsidRPr="00216965" w:rsidRDefault="00B45740" w:rsidP="008A33DA">
      <w:pPr>
        <w:spacing w:line="360" w:lineRule="auto"/>
        <w:jc w:val="both"/>
      </w:pPr>
      <w:r w:rsidRPr="00216965">
        <w:t xml:space="preserve">After the extraction of each fraction, the sediment was washed to remove the residue of reagent used in previous steps by shaking for 15 min at 30 rpm with 20 mL of deionised water and then centrifuged 1000 g for 10 min, discarding the supernatant. All extracts were filtered through 0.45 µm filters </w:t>
      </w:r>
      <w:r w:rsidR="0002320E" w:rsidRPr="00216965">
        <w:t>(Non-sterile PTFE Syringe Filter, Fisherbrand™, USA)</w:t>
      </w:r>
      <w:r w:rsidRPr="00216965">
        <w:t xml:space="preserve"> and stabilized by the addition of 1% of trace analysis grade HNO</w:t>
      </w:r>
      <w:r w:rsidRPr="00216965">
        <w:rPr>
          <w:vertAlign w:val="subscript"/>
        </w:rPr>
        <w:t>3</w:t>
      </w:r>
      <w:r w:rsidR="0002320E" w:rsidRPr="00216965">
        <w:rPr>
          <w:vertAlign w:val="subscript"/>
        </w:rPr>
        <w:t xml:space="preserve"> </w:t>
      </w:r>
      <w:r w:rsidR="0002320E" w:rsidRPr="00216965">
        <w:t>(Primar Plus™ &gt; 68%, Thermo Fisher, Sweden)</w:t>
      </w:r>
      <w:r w:rsidRPr="00216965">
        <w:t>. Samples were stored at 4°C until analysis by ICP-OES</w:t>
      </w:r>
      <w:r w:rsidR="00FF4037" w:rsidRPr="00216965">
        <w:t xml:space="preserve"> (</w:t>
      </w:r>
      <w:r w:rsidR="00FF4037" w:rsidRPr="00216965">
        <w:rPr>
          <w:color w:val="222222"/>
        </w:rPr>
        <w:t>Optima 7300, Perkin Elmer, USA</w:t>
      </w:r>
      <w:r w:rsidR="00FF4037" w:rsidRPr="00216965">
        <w:t>)</w:t>
      </w:r>
      <w:r w:rsidRPr="00216965">
        <w:t>. Major elements (K, Na, Al, Ca, Fe and Mn) and trace metals (Cd, Cr, Cu, Ni, Pb and Zn) were determined in the different extracts described in</w:t>
      </w:r>
      <w:r w:rsidR="00AE4768" w:rsidRPr="00216965">
        <w:t xml:space="preserve"> </w:t>
      </w:r>
      <w:r w:rsidR="00AE4768" w:rsidRPr="00216965">
        <w:fldChar w:fldCharType="begin"/>
      </w:r>
      <w:r w:rsidR="00AE4768" w:rsidRPr="00216965">
        <w:instrText xml:space="preserve"> REF _Ref86418167 \h </w:instrText>
      </w:r>
      <w:r w:rsidR="00216965" w:rsidRPr="00216965">
        <w:instrText xml:space="preserve"> \* MERGEFORMAT </w:instrText>
      </w:r>
      <w:r w:rsidR="00AE4768" w:rsidRPr="00216965">
        <w:fldChar w:fldCharType="separate"/>
      </w:r>
      <w:r w:rsidR="006E23EA" w:rsidRPr="00216965">
        <w:rPr>
          <w:b/>
        </w:rPr>
        <w:t xml:space="preserve">Table </w:t>
      </w:r>
      <w:r w:rsidR="006E23EA" w:rsidRPr="00216965">
        <w:rPr>
          <w:b/>
          <w:bCs/>
          <w:noProof/>
        </w:rPr>
        <w:t>5</w:t>
      </w:r>
      <w:r w:rsidR="006E23EA" w:rsidRPr="00216965">
        <w:rPr>
          <w:b/>
        </w:rPr>
        <w:noBreakHyphen/>
      </w:r>
      <w:r w:rsidR="006E23EA" w:rsidRPr="00216965">
        <w:rPr>
          <w:b/>
          <w:bCs/>
          <w:noProof/>
        </w:rPr>
        <w:t>2</w:t>
      </w:r>
      <w:r w:rsidR="00AE4768" w:rsidRPr="00216965">
        <w:fldChar w:fldCharType="end"/>
      </w:r>
      <w:r w:rsidRPr="00216965">
        <w:t xml:space="preserve">. </w:t>
      </w:r>
    </w:p>
    <w:p w14:paraId="686CBF1E" w14:textId="0230FC89" w:rsidR="00B45740" w:rsidRPr="00216965" w:rsidRDefault="00AE4768" w:rsidP="008A33DA">
      <w:pPr>
        <w:pStyle w:val="Caption"/>
        <w:rPr>
          <w:b/>
          <w:color w:val="000000"/>
        </w:rPr>
      </w:pPr>
      <w:bookmarkStart w:id="334" w:name="_Ref86418167"/>
      <w:bookmarkStart w:id="335" w:name="_Toc86440372"/>
      <w:r w:rsidRPr="00216965">
        <w:rPr>
          <w:b/>
          <w:bCs w:val="0"/>
        </w:rPr>
        <w:t xml:space="preserve">Table </w:t>
      </w:r>
      <w:r w:rsidR="00E569FA" w:rsidRPr="00216965">
        <w:rPr>
          <w:b/>
          <w:bCs w:val="0"/>
        </w:rPr>
        <w:fldChar w:fldCharType="begin"/>
      </w:r>
      <w:r w:rsidR="00E569FA" w:rsidRPr="00216965">
        <w:rPr>
          <w:b/>
          <w:bCs w:val="0"/>
        </w:rPr>
        <w:instrText xml:space="preserve"> STYLEREF 1 \s </w:instrText>
      </w:r>
      <w:r w:rsidR="00E569FA" w:rsidRPr="00216965">
        <w:rPr>
          <w:b/>
          <w:bCs w:val="0"/>
        </w:rPr>
        <w:fldChar w:fldCharType="separate"/>
      </w:r>
      <w:r w:rsidR="006E23EA" w:rsidRPr="00216965">
        <w:rPr>
          <w:b/>
          <w:bCs w:val="0"/>
          <w:noProof/>
        </w:rPr>
        <w:t>5</w:t>
      </w:r>
      <w:r w:rsidR="00E569FA" w:rsidRPr="00216965">
        <w:rPr>
          <w:b/>
          <w:bCs w:val="0"/>
        </w:rPr>
        <w:fldChar w:fldCharType="end"/>
      </w:r>
      <w:r w:rsidR="00E569FA" w:rsidRPr="00216965">
        <w:rPr>
          <w:b/>
          <w:bCs w:val="0"/>
        </w:rPr>
        <w:noBreakHyphen/>
      </w:r>
      <w:r w:rsidR="00E569FA" w:rsidRPr="00216965">
        <w:rPr>
          <w:b/>
          <w:bCs w:val="0"/>
        </w:rPr>
        <w:fldChar w:fldCharType="begin"/>
      </w:r>
      <w:r w:rsidR="00E569FA" w:rsidRPr="00216965">
        <w:rPr>
          <w:b/>
          <w:bCs w:val="0"/>
        </w:rPr>
        <w:instrText xml:space="preserve"> SEQ Table \* ARABIC \s 1 </w:instrText>
      </w:r>
      <w:r w:rsidR="00E569FA" w:rsidRPr="00216965">
        <w:rPr>
          <w:b/>
          <w:bCs w:val="0"/>
        </w:rPr>
        <w:fldChar w:fldCharType="separate"/>
      </w:r>
      <w:r w:rsidR="006E23EA" w:rsidRPr="00216965">
        <w:rPr>
          <w:b/>
          <w:bCs w:val="0"/>
          <w:noProof/>
        </w:rPr>
        <w:t>2</w:t>
      </w:r>
      <w:r w:rsidR="00E569FA" w:rsidRPr="00216965">
        <w:rPr>
          <w:b/>
          <w:bCs w:val="0"/>
        </w:rPr>
        <w:fldChar w:fldCharType="end"/>
      </w:r>
      <w:bookmarkEnd w:id="334"/>
      <w:r w:rsidRPr="00216965">
        <w:t xml:space="preserve"> </w:t>
      </w:r>
      <w:r w:rsidR="00B45740" w:rsidRPr="00216965">
        <w:rPr>
          <w:b/>
          <w:color w:val="000000"/>
        </w:rPr>
        <w:t xml:space="preserve">Three step BCR sequential extraction procedure conditions, as modified by </w:t>
      </w:r>
      <w:r w:rsidR="00B45740" w:rsidRPr="00216965">
        <w:rPr>
          <w:b/>
          <w:bCs w:val="0"/>
        </w:rPr>
        <w:fldChar w:fldCharType="begin" w:fldLock="1"/>
      </w:r>
      <w:r w:rsidR="006C06AA" w:rsidRPr="00216965">
        <w:rPr>
          <w:b/>
        </w:rPr>
        <w:instrText>ADDIN CSL_CITATION {"citationItems":[{"id":"ITEM-1","itemData":{"DOI":"10.1016/j.envpol.2007.06.020","ISSN":"02697491","PMID":"17655986","abstract":"The modified BCR three-step sequential extraction procedure was used to examine the temporal dynamics of trace elements in soils contaminated by an accidental spill from an opencast mine in south-west Spain. Soils were mainly contaminated with pyritic sludge and acidic wastewater, whereas some soils were affected only by acidic wastewater. The distributions obtained for both some major (Ca, Fe and Mn) and trace elements (As, Cd, Cu, Pb and Zn) in the sludge and soil samples taken at different times after the accident, 1-3 months and 21 months, were compared. Sequential extractions were useful in identifying different sources of contamination, and in obtaining additional information on the solubility of secondary minerals formed by pyrite oxidation. Thus, the effectiveness of the BCR procedure has proved to be a useful tool for predicting short- and long-term mobility of trace elements, even in complex environmental scenarios. © 2007 Elsevier Ltd. All rights reserved.","author":[{"dropping-particle":"","family":"Pueyo","given":"M.","non-dropping-particle":"","parse-names":false,"suffix":""},{"dropping-particle":"","family":"Mateu","given":"J.","non-dropping-particle":"","parse-names":false,"suffix":""},{"dropping-particle":"","family":"Rigol","given":"A.","non-dropping-particle":"","parse-names":false,"suffix":""},{"dropping-particle":"","family":"Vidal","given":"M.","non-dropping-particle":"","parse-names":false,"suffix":""},{"dropping-particle":"","family":"López-Sánchez","given":"J. F.","non-dropping-particle":"","parse-names":false,"suffix":""},{"dropping-particle":"","family":"Rauret","given":"G.","non-dropping-particle":"","parse-names":false,"suffix":""}],"container-title":"Environmental Pollution","id":"ITEM-1","issue":"2","issued":{"date-parts":[["2008","3","1"]]},"page":"330-341","publisher":"Elsevier","title":"Use of the modified BCR three-step sequential extraction procedure for the study of trace element dynamics in contaminated soils","type":"article-journal","volume":"152"},"uris":["http://www.mendeley.com/documents/?uuid=3dbf8e4c-d0a0-3ef9-848b-1116b8349c28"]}],"mendeley":{"formattedCitation":"(Pueyo et al., 2008)","manualFormatting":"Pueyo et al. (2008)","plainTextFormattedCitation":"(Pueyo et al., 2008)","previouslyFormattedCitation":"(Pueyo et al., 2008)"},"properties":{"noteIndex":0},"schema":"https://github.com/citation-style-language/schema/raw/master/csl-citation.json"}</w:instrText>
      </w:r>
      <w:r w:rsidR="00B45740" w:rsidRPr="00216965">
        <w:rPr>
          <w:b/>
          <w:bCs w:val="0"/>
        </w:rPr>
        <w:fldChar w:fldCharType="separate"/>
      </w:r>
      <w:r w:rsidR="00B45740" w:rsidRPr="00216965">
        <w:rPr>
          <w:b/>
          <w:noProof/>
        </w:rPr>
        <w:t xml:space="preserve">Pueyo </w:t>
      </w:r>
      <w:r w:rsidR="009B2252" w:rsidRPr="00216965">
        <w:rPr>
          <w:b/>
          <w:noProof/>
        </w:rPr>
        <w:t>et al</w:t>
      </w:r>
      <w:r w:rsidR="00B45740" w:rsidRPr="00216965">
        <w:rPr>
          <w:b/>
          <w:noProof/>
        </w:rPr>
        <w:t>. (2008)</w:t>
      </w:r>
      <w:bookmarkEnd w:id="335"/>
      <w:r w:rsidR="00B45740" w:rsidRPr="00216965">
        <w:rPr>
          <w:b/>
          <w:bCs w:val="0"/>
        </w:rPr>
        <w:fldChar w:fldCharType="end"/>
      </w:r>
    </w:p>
    <w:tbl>
      <w:tblPr>
        <w:tblW w:w="8618" w:type="dxa"/>
        <w:jc w:val="center"/>
        <w:tblBorders>
          <w:top w:val="single" w:sz="4" w:space="0" w:color="000000"/>
          <w:bottom w:val="single" w:sz="4" w:space="0" w:color="000000"/>
        </w:tblBorders>
        <w:tblLayout w:type="fixed"/>
        <w:tblLook w:val="0400" w:firstRow="0" w:lastRow="0" w:firstColumn="0" w:lastColumn="0" w:noHBand="0" w:noVBand="1"/>
      </w:tblPr>
      <w:tblGrid>
        <w:gridCol w:w="815"/>
        <w:gridCol w:w="1675"/>
        <w:gridCol w:w="3657"/>
        <w:gridCol w:w="2471"/>
      </w:tblGrid>
      <w:tr w:rsidR="00B45740" w:rsidRPr="00216965" w14:paraId="40A50545" w14:textId="77777777" w:rsidTr="00C84F12">
        <w:trPr>
          <w:jc w:val="center"/>
        </w:trPr>
        <w:tc>
          <w:tcPr>
            <w:tcW w:w="815" w:type="dxa"/>
            <w:tcBorders>
              <w:top w:val="single" w:sz="4" w:space="0" w:color="000000"/>
              <w:bottom w:val="single" w:sz="4" w:space="0" w:color="000000"/>
            </w:tcBorders>
            <w:shd w:val="clear" w:color="auto" w:fill="A8D08D" w:themeFill="accent6" w:themeFillTint="99"/>
          </w:tcPr>
          <w:p w14:paraId="2EECC75A" w14:textId="77777777" w:rsidR="00B45740" w:rsidRPr="00216965" w:rsidRDefault="00B45740" w:rsidP="008A33DA">
            <w:pPr>
              <w:spacing w:after="0"/>
              <w:jc w:val="center"/>
              <w:rPr>
                <w:b/>
                <w:sz w:val="18"/>
                <w:szCs w:val="18"/>
              </w:rPr>
            </w:pPr>
          </w:p>
        </w:tc>
        <w:tc>
          <w:tcPr>
            <w:tcW w:w="1675" w:type="dxa"/>
            <w:tcBorders>
              <w:top w:val="single" w:sz="4" w:space="0" w:color="000000"/>
              <w:bottom w:val="single" w:sz="4" w:space="0" w:color="000000"/>
            </w:tcBorders>
            <w:shd w:val="clear" w:color="auto" w:fill="A8D08D" w:themeFill="accent6" w:themeFillTint="99"/>
          </w:tcPr>
          <w:p w14:paraId="4CA89F49" w14:textId="77777777" w:rsidR="00B45740" w:rsidRPr="00216965" w:rsidRDefault="00B45740" w:rsidP="008A33DA">
            <w:pPr>
              <w:spacing w:after="0"/>
              <w:jc w:val="both"/>
              <w:rPr>
                <w:b/>
                <w:sz w:val="18"/>
                <w:szCs w:val="18"/>
              </w:rPr>
            </w:pPr>
            <w:r w:rsidRPr="00216965">
              <w:rPr>
                <w:b/>
                <w:sz w:val="18"/>
                <w:szCs w:val="18"/>
              </w:rPr>
              <w:t>Fraction</w:t>
            </w:r>
          </w:p>
        </w:tc>
        <w:tc>
          <w:tcPr>
            <w:tcW w:w="3657" w:type="dxa"/>
            <w:tcBorders>
              <w:top w:val="single" w:sz="4" w:space="0" w:color="000000"/>
              <w:bottom w:val="single" w:sz="4" w:space="0" w:color="000000"/>
            </w:tcBorders>
            <w:shd w:val="clear" w:color="auto" w:fill="A8D08D" w:themeFill="accent6" w:themeFillTint="99"/>
          </w:tcPr>
          <w:p w14:paraId="7BF39A51" w14:textId="77777777" w:rsidR="00B45740" w:rsidRPr="00216965" w:rsidRDefault="00B45740" w:rsidP="008A33DA">
            <w:pPr>
              <w:spacing w:after="0"/>
              <w:jc w:val="both"/>
              <w:rPr>
                <w:b/>
                <w:sz w:val="18"/>
                <w:szCs w:val="18"/>
              </w:rPr>
            </w:pPr>
            <w:r w:rsidRPr="00216965">
              <w:rPr>
                <w:b/>
                <w:sz w:val="18"/>
                <w:szCs w:val="18"/>
              </w:rPr>
              <w:t>Reagent</w:t>
            </w:r>
          </w:p>
        </w:tc>
        <w:tc>
          <w:tcPr>
            <w:tcW w:w="2471" w:type="dxa"/>
            <w:tcBorders>
              <w:top w:val="single" w:sz="4" w:space="0" w:color="000000"/>
              <w:bottom w:val="single" w:sz="4" w:space="0" w:color="000000"/>
            </w:tcBorders>
            <w:shd w:val="clear" w:color="auto" w:fill="A8D08D" w:themeFill="accent6" w:themeFillTint="99"/>
          </w:tcPr>
          <w:p w14:paraId="4B741DB8" w14:textId="77777777" w:rsidR="00B45740" w:rsidRPr="00216965" w:rsidRDefault="00B45740" w:rsidP="008A33DA">
            <w:pPr>
              <w:spacing w:after="0"/>
              <w:jc w:val="both"/>
              <w:rPr>
                <w:b/>
                <w:sz w:val="18"/>
                <w:szCs w:val="18"/>
              </w:rPr>
            </w:pPr>
            <w:r w:rsidRPr="00216965">
              <w:rPr>
                <w:b/>
                <w:sz w:val="18"/>
                <w:szCs w:val="18"/>
              </w:rPr>
              <w:t>Shaking time</w:t>
            </w:r>
          </w:p>
        </w:tc>
      </w:tr>
      <w:tr w:rsidR="00B45740" w:rsidRPr="00216965" w14:paraId="1988488F" w14:textId="77777777" w:rsidTr="00A0457B">
        <w:trPr>
          <w:jc w:val="center"/>
        </w:trPr>
        <w:tc>
          <w:tcPr>
            <w:tcW w:w="815" w:type="dxa"/>
            <w:tcBorders>
              <w:top w:val="single" w:sz="4" w:space="0" w:color="000000"/>
            </w:tcBorders>
            <w:shd w:val="clear" w:color="auto" w:fill="auto"/>
          </w:tcPr>
          <w:p w14:paraId="15C7F159" w14:textId="77777777" w:rsidR="00B45740" w:rsidRPr="00216965" w:rsidRDefault="00B45740" w:rsidP="008A33DA">
            <w:pPr>
              <w:spacing w:after="0"/>
              <w:jc w:val="center"/>
              <w:rPr>
                <w:sz w:val="18"/>
                <w:szCs w:val="18"/>
              </w:rPr>
            </w:pPr>
            <w:r w:rsidRPr="00216965">
              <w:rPr>
                <w:sz w:val="18"/>
                <w:szCs w:val="18"/>
              </w:rPr>
              <w:t>AS</w:t>
            </w:r>
          </w:p>
        </w:tc>
        <w:tc>
          <w:tcPr>
            <w:tcW w:w="1675" w:type="dxa"/>
            <w:tcBorders>
              <w:top w:val="single" w:sz="4" w:space="0" w:color="000000"/>
            </w:tcBorders>
            <w:shd w:val="clear" w:color="auto" w:fill="auto"/>
          </w:tcPr>
          <w:p w14:paraId="3282AF89" w14:textId="77777777" w:rsidR="00B45740" w:rsidRPr="00216965" w:rsidRDefault="00B45740" w:rsidP="008A33DA">
            <w:pPr>
              <w:spacing w:after="0"/>
              <w:jc w:val="both"/>
              <w:rPr>
                <w:sz w:val="18"/>
                <w:szCs w:val="18"/>
              </w:rPr>
            </w:pPr>
            <w:r w:rsidRPr="00216965">
              <w:rPr>
                <w:sz w:val="18"/>
                <w:szCs w:val="18"/>
              </w:rPr>
              <w:t>Exchangeable and weak acid soluble</w:t>
            </w:r>
          </w:p>
        </w:tc>
        <w:tc>
          <w:tcPr>
            <w:tcW w:w="3657" w:type="dxa"/>
            <w:tcBorders>
              <w:top w:val="single" w:sz="4" w:space="0" w:color="000000"/>
            </w:tcBorders>
            <w:shd w:val="clear" w:color="auto" w:fill="auto"/>
          </w:tcPr>
          <w:p w14:paraId="5A94EA31" w14:textId="77777777" w:rsidR="00B45740" w:rsidRPr="00216965" w:rsidRDefault="00B45740" w:rsidP="008A33DA">
            <w:pPr>
              <w:spacing w:after="0"/>
              <w:jc w:val="both"/>
              <w:rPr>
                <w:sz w:val="18"/>
                <w:szCs w:val="18"/>
              </w:rPr>
            </w:pPr>
            <w:r w:rsidRPr="00216965">
              <w:rPr>
                <w:sz w:val="18"/>
                <w:szCs w:val="18"/>
              </w:rPr>
              <w:t>40 mL of 0.11 mol.L</w:t>
            </w:r>
            <w:r w:rsidRPr="00216965">
              <w:rPr>
                <w:sz w:val="18"/>
                <w:szCs w:val="18"/>
                <w:vertAlign w:val="superscript"/>
              </w:rPr>
              <w:t>-1</w:t>
            </w:r>
            <w:r w:rsidRPr="00216965">
              <w:rPr>
                <w:sz w:val="18"/>
                <w:szCs w:val="18"/>
              </w:rPr>
              <w:t xml:space="preserve"> acetic acid</w:t>
            </w:r>
          </w:p>
        </w:tc>
        <w:tc>
          <w:tcPr>
            <w:tcW w:w="2471" w:type="dxa"/>
            <w:tcBorders>
              <w:top w:val="single" w:sz="4" w:space="0" w:color="000000"/>
            </w:tcBorders>
            <w:shd w:val="clear" w:color="auto" w:fill="auto"/>
          </w:tcPr>
          <w:p w14:paraId="1DE94853" w14:textId="77777777" w:rsidR="00B45740" w:rsidRPr="00216965" w:rsidRDefault="00B45740" w:rsidP="008A33DA">
            <w:pPr>
              <w:spacing w:after="0"/>
              <w:jc w:val="both"/>
              <w:rPr>
                <w:sz w:val="18"/>
                <w:szCs w:val="18"/>
              </w:rPr>
            </w:pPr>
            <w:r w:rsidRPr="00216965">
              <w:rPr>
                <w:sz w:val="18"/>
                <w:szCs w:val="18"/>
              </w:rPr>
              <w:t>30 ± 10 rpm at 22 ± 5 °C for 16 h</w:t>
            </w:r>
          </w:p>
        </w:tc>
      </w:tr>
      <w:tr w:rsidR="00B45740" w:rsidRPr="00216965" w14:paraId="48217DE4" w14:textId="77777777" w:rsidTr="00A0457B">
        <w:trPr>
          <w:jc w:val="center"/>
        </w:trPr>
        <w:tc>
          <w:tcPr>
            <w:tcW w:w="815" w:type="dxa"/>
            <w:shd w:val="clear" w:color="auto" w:fill="auto"/>
          </w:tcPr>
          <w:p w14:paraId="1C545677" w14:textId="77777777" w:rsidR="00B45740" w:rsidRPr="00216965" w:rsidRDefault="00B45740" w:rsidP="008A33DA">
            <w:pPr>
              <w:spacing w:after="0"/>
              <w:jc w:val="center"/>
              <w:rPr>
                <w:sz w:val="18"/>
                <w:szCs w:val="18"/>
              </w:rPr>
            </w:pPr>
            <w:r w:rsidRPr="00216965">
              <w:rPr>
                <w:sz w:val="18"/>
                <w:szCs w:val="18"/>
              </w:rPr>
              <w:t>RD</w:t>
            </w:r>
          </w:p>
        </w:tc>
        <w:tc>
          <w:tcPr>
            <w:tcW w:w="1675" w:type="dxa"/>
            <w:shd w:val="clear" w:color="auto" w:fill="auto"/>
          </w:tcPr>
          <w:p w14:paraId="6A85D5C4" w14:textId="77777777" w:rsidR="00B45740" w:rsidRPr="00216965" w:rsidRDefault="00B45740" w:rsidP="008A33DA">
            <w:pPr>
              <w:spacing w:after="0"/>
              <w:jc w:val="both"/>
              <w:rPr>
                <w:sz w:val="18"/>
                <w:szCs w:val="18"/>
              </w:rPr>
            </w:pPr>
            <w:r w:rsidRPr="00216965">
              <w:rPr>
                <w:sz w:val="18"/>
                <w:szCs w:val="18"/>
              </w:rPr>
              <w:t>Reducible fraction</w:t>
            </w:r>
          </w:p>
        </w:tc>
        <w:tc>
          <w:tcPr>
            <w:tcW w:w="3657" w:type="dxa"/>
            <w:shd w:val="clear" w:color="auto" w:fill="auto"/>
          </w:tcPr>
          <w:p w14:paraId="2B66A56F" w14:textId="77777777" w:rsidR="00B45740" w:rsidRPr="00216965" w:rsidRDefault="00B45740" w:rsidP="008A33DA">
            <w:pPr>
              <w:spacing w:after="0"/>
              <w:jc w:val="both"/>
              <w:rPr>
                <w:sz w:val="18"/>
                <w:szCs w:val="18"/>
              </w:rPr>
            </w:pPr>
            <w:r w:rsidRPr="00216965">
              <w:rPr>
                <w:sz w:val="18"/>
                <w:szCs w:val="18"/>
              </w:rPr>
              <w:t>40 mL of 0.5 mol.L</w:t>
            </w:r>
            <w:r w:rsidRPr="00216965">
              <w:rPr>
                <w:sz w:val="18"/>
                <w:szCs w:val="18"/>
                <w:vertAlign w:val="superscript"/>
              </w:rPr>
              <w:t>-1</w:t>
            </w:r>
            <w:r w:rsidRPr="00216965">
              <w:rPr>
                <w:sz w:val="18"/>
                <w:szCs w:val="18"/>
              </w:rPr>
              <w:t xml:space="preserve"> hydroxylammonium chloride (Merck pro-analysis) acidified 2.5 % v/v with 2 M HNO</w:t>
            </w:r>
            <w:r w:rsidRPr="00216965">
              <w:rPr>
                <w:sz w:val="18"/>
                <w:szCs w:val="18"/>
                <w:vertAlign w:val="subscript"/>
              </w:rPr>
              <w:t>3</w:t>
            </w:r>
          </w:p>
        </w:tc>
        <w:tc>
          <w:tcPr>
            <w:tcW w:w="2471" w:type="dxa"/>
            <w:shd w:val="clear" w:color="auto" w:fill="auto"/>
          </w:tcPr>
          <w:p w14:paraId="1BE55603" w14:textId="77777777" w:rsidR="00B45740" w:rsidRPr="00216965" w:rsidRDefault="00B45740" w:rsidP="008A33DA">
            <w:pPr>
              <w:spacing w:after="0"/>
              <w:jc w:val="both"/>
              <w:rPr>
                <w:sz w:val="18"/>
                <w:szCs w:val="18"/>
              </w:rPr>
            </w:pPr>
            <w:r w:rsidRPr="00216965">
              <w:rPr>
                <w:sz w:val="18"/>
                <w:szCs w:val="18"/>
              </w:rPr>
              <w:t>30 ± 10 rpm at 22 ± 5 °C for 16 h</w:t>
            </w:r>
          </w:p>
        </w:tc>
      </w:tr>
      <w:tr w:rsidR="00B45740" w:rsidRPr="00216965" w14:paraId="46FB0196" w14:textId="77777777" w:rsidTr="00A0457B">
        <w:trPr>
          <w:jc w:val="center"/>
        </w:trPr>
        <w:tc>
          <w:tcPr>
            <w:tcW w:w="815" w:type="dxa"/>
            <w:shd w:val="clear" w:color="auto" w:fill="auto"/>
          </w:tcPr>
          <w:p w14:paraId="47E774A3" w14:textId="77777777" w:rsidR="00B45740" w:rsidRPr="00216965" w:rsidRDefault="00B45740" w:rsidP="008A33DA">
            <w:pPr>
              <w:spacing w:after="0"/>
              <w:jc w:val="center"/>
              <w:rPr>
                <w:sz w:val="18"/>
                <w:szCs w:val="18"/>
              </w:rPr>
            </w:pPr>
            <w:r w:rsidRPr="00216965">
              <w:rPr>
                <w:sz w:val="18"/>
                <w:szCs w:val="18"/>
              </w:rPr>
              <w:t>OX</w:t>
            </w:r>
          </w:p>
        </w:tc>
        <w:tc>
          <w:tcPr>
            <w:tcW w:w="1675" w:type="dxa"/>
            <w:shd w:val="clear" w:color="auto" w:fill="auto"/>
          </w:tcPr>
          <w:p w14:paraId="15725EC5" w14:textId="77777777" w:rsidR="00B45740" w:rsidRPr="00216965" w:rsidRDefault="00B45740" w:rsidP="008A33DA">
            <w:pPr>
              <w:spacing w:after="0"/>
              <w:jc w:val="both"/>
              <w:rPr>
                <w:sz w:val="18"/>
                <w:szCs w:val="18"/>
              </w:rPr>
            </w:pPr>
            <w:r w:rsidRPr="00216965">
              <w:rPr>
                <w:sz w:val="18"/>
                <w:szCs w:val="18"/>
              </w:rPr>
              <w:t>Oxidisable fraction</w:t>
            </w:r>
          </w:p>
        </w:tc>
        <w:tc>
          <w:tcPr>
            <w:tcW w:w="3657" w:type="dxa"/>
            <w:shd w:val="clear" w:color="auto" w:fill="auto"/>
          </w:tcPr>
          <w:p w14:paraId="5FAA5EF7" w14:textId="77777777" w:rsidR="00B45740" w:rsidRPr="00216965" w:rsidRDefault="00B45740" w:rsidP="008A33DA">
            <w:pPr>
              <w:spacing w:after="0"/>
              <w:jc w:val="both"/>
              <w:rPr>
                <w:sz w:val="18"/>
                <w:szCs w:val="18"/>
              </w:rPr>
            </w:pPr>
            <w:r w:rsidRPr="00216965">
              <w:rPr>
                <w:sz w:val="18"/>
                <w:szCs w:val="18"/>
              </w:rPr>
              <w:t>-10 mL of 8.8 mol.L</w:t>
            </w:r>
            <w:r w:rsidRPr="00216965">
              <w:rPr>
                <w:sz w:val="18"/>
                <w:szCs w:val="18"/>
                <w:vertAlign w:val="superscript"/>
              </w:rPr>
              <w:t>-1</w:t>
            </w:r>
            <w:r w:rsidRPr="00216965">
              <w:rPr>
                <w:sz w:val="18"/>
                <w:szCs w:val="18"/>
              </w:rPr>
              <w:t xml:space="preserve"> hydrogen peroxide </w:t>
            </w:r>
          </w:p>
          <w:p w14:paraId="260A1ACD" w14:textId="77777777" w:rsidR="00B45740" w:rsidRPr="00216965" w:rsidRDefault="00B45740" w:rsidP="008A33DA">
            <w:pPr>
              <w:spacing w:after="0"/>
              <w:jc w:val="both"/>
              <w:rPr>
                <w:sz w:val="18"/>
                <w:szCs w:val="18"/>
              </w:rPr>
            </w:pPr>
            <w:r w:rsidRPr="00216965">
              <w:rPr>
                <w:sz w:val="18"/>
                <w:szCs w:val="18"/>
              </w:rPr>
              <w:t>30% solution  (Perhydrol™)</w:t>
            </w:r>
          </w:p>
          <w:p w14:paraId="6CB2E19E" w14:textId="77777777" w:rsidR="00B45740" w:rsidRPr="00216965" w:rsidRDefault="00B45740" w:rsidP="008A33DA">
            <w:pPr>
              <w:spacing w:after="0"/>
              <w:jc w:val="both"/>
              <w:rPr>
                <w:sz w:val="18"/>
                <w:szCs w:val="18"/>
              </w:rPr>
            </w:pPr>
            <w:r w:rsidRPr="00216965">
              <w:rPr>
                <w:sz w:val="18"/>
                <w:szCs w:val="18"/>
              </w:rPr>
              <w:t>-10 mL of H2O2</w:t>
            </w:r>
          </w:p>
          <w:p w14:paraId="25865E9D" w14:textId="77777777" w:rsidR="00B45740" w:rsidRPr="00216965" w:rsidRDefault="00B45740" w:rsidP="008A33DA">
            <w:pPr>
              <w:spacing w:after="0"/>
              <w:jc w:val="both"/>
              <w:rPr>
                <w:sz w:val="18"/>
                <w:szCs w:val="18"/>
              </w:rPr>
            </w:pPr>
            <w:r w:rsidRPr="00216965">
              <w:rPr>
                <w:sz w:val="18"/>
                <w:szCs w:val="18"/>
              </w:rPr>
              <w:t>-50 mL of 1 M ammonium acetate (pH2)</w:t>
            </w:r>
          </w:p>
        </w:tc>
        <w:tc>
          <w:tcPr>
            <w:tcW w:w="2471" w:type="dxa"/>
            <w:shd w:val="clear" w:color="auto" w:fill="auto"/>
          </w:tcPr>
          <w:p w14:paraId="2EE87C63" w14:textId="77777777" w:rsidR="00B45740" w:rsidRPr="00216965" w:rsidRDefault="00B45740" w:rsidP="008A33DA">
            <w:pPr>
              <w:spacing w:after="0"/>
              <w:jc w:val="both"/>
              <w:rPr>
                <w:sz w:val="18"/>
                <w:szCs w:val="18"/>
              </w:rPr>
            </w:pPr>
            <w:r w:rsidRPr="00216965">
              <w:rPr>
                <w:sz w:val="18"/>
                <w:szCs w:val="18"/>
              </w:rPr>
              <w:t>-1 h at 22 ±5 °C + 1 h at 85  ±2 °C (water bath)</w:t>
            </w:r>
          </w:p>
          <w:p w14:paraId="27F8A327" w14:textId="77777777" w:rsidR="00B45740" w:rsidRPr="00216965" w:rsidRDefault="00B45740" w:rsidP="008A33DA">
            <w:pPr>
              <w:spacing w:after="0"/>
              <w:jc w:val="both"/>
              <w:rPr>
                <w:sz w:val="18"/>
                <w:szCs w:val="18"/>
              </w:rPr>
            </w:pPr>
            <w:r w:rsidRPr="00216965">
              <w:rPr>
                <w:sz w:val="18"/>
                <w:szCs w:val="18"/>
              </w:rPr>
              <w:t>- 1 hour  85  ±2 °C</w:t>
            </w:r>
          </w:p>
          <w:p w14:paraId="0897EA0F" w14:textId="77777777" w:rsidR="00B45740" w:rsidRPr="00216965" w:rsidRDefault="00B45740" w:rsidP="008A33DA">
            <w:pPr>
              <w:spacing w:after="0"/>
              <w:jc w:val="both"/>
              <w:rPr>
                <w:sz w:val="18"/>
                <w:szCs w:val="18"/>
              </w:rPr>
            </w:pPr>
            <w:r w:rsidRPr="00216965">
              <w:rPr>
                <w:sz w:val="18"/>
                <w:szCs w:val="18"/>
              </w:rPr>
              <w:t>- 30 ± 10 rpm at 22 ± 5 °C for 16 hours</w:t>
            </w:r>
          </w:p>
        </w:tc>
      </w:tr>
      <w:tr w:rsidR="00B45740" w:rsidRPr="00216965" w14:paraId="512702AE" w14:textId="77777777" w:rsidTr="00A0457B">
        <w:trPr>
          <w:jc w:val="center"/>
        </w:trPr>
        <w:tc>
          <w:tcPr>
            <w:tcW w:w="815" w:type="dxa"/>
            <w:shd w:val="clear" w:color="auto" w:fill="auto"/>
          </w:tcPr>
          <w:p w14:paraId="2678C3EA" w14:textId="77777777" w:rsidR="00B45740" w:rsidRPr="00216965" w:rsidRDefault="00B45740" w:rsidP="008A33DA">
            <w:pPr>
              <w:spacing w:after="0"/>
              <w:jc w:val="center"/>
              <w:rPr>
                <w:sz w:val="18"/>
                <w:szCs w:val="18"/>
              </w:rPr>
            </w:pPr>
            <w:r w:rsidRPr="00216965">
              <w:rPr>
                <w:sz w:val="18"/>
                <w:szCs w:val="18"/>
              </w:rPr>
              <w:t>RES</w:t>
            </w:r>
          </w:p>
        </w:tc>
        <w:tc>
          <w:tcPr>
            <w:tcW w:w="1675" w:type="dxa"/>
            <w:shd w:val="clear" w:color="auto" w:fill="auto"/>
          </w:tcPr>
          <w:p w14:paraId="0200BB7B" w14:textId="77777777" w:rsidR="00B45740" w:rsidRPr="00216965" w:rsidRDefault="00B45740" w:rsidP="008A33DA">
            <w:pPr>
              <w:spacing w:after="0"/>
              <w:jc w:val="both"/>
              <w:rPr>
                <w:sz w:val="18"/>
                <w:szCs w:val="18"/>
              </w:rPr>
            </w:pPr>
            <w:r w:rsidRPr="00216965">
              <w:rPr>
                <w:sz w:val="18"/>
                <w:szCs w:val="18"/>
              </w:rPr>
              <w:t>Residual</w:t>
            </w:r>
          </w:p>
        </w:tc>
        <w:tc>
          <w:tcPr>
            <w:tcW w:w="3657" w:type="dxa"/>
            <w:shd w:val="clear" w:color="auto" w:fill="auto"/>
          </w:tcPr>
          <w:p w14:paraId="71251E7E" w14:textId="77777777" w:rsidR="00B45740" w:rsidRPr="00216965" w:rsidRDefault="00B45740" w:rsidP="008A33DA">
            <w:pPr>
              <w:spacing w:after="0"/>
              <w:jc w:val="both"/>
              <w:rPr>
                <w:sz w:val="18"/>
                <w:szCs w:val="18"/>
              </w:rPr>
            </w:pPr>
            <w:r w:rsidRPr="00216965">
              <w:rPr>
                <w:sz w:val="18"/>
                <w:szCs w:val="18"/>
              </w:rPr>
              <w:t>Aqua regia (7 mL of HNO</w:t>
            </w:r>
            <w:r w:rsidRPr="00216965">
              <w:rPr>
                <w:sz w:val="18"/>
                <w:szCs w:val="18"/>
                <w:vertAlign w:val="subscript"/>
              </w:rPr>
              <w:t>3</w:t>
            </w:r>
            <w:r w:rsidRPr="00216965">
              <w:rPr>
                <w:sz w:val="18"/>
                <w:szCs w:val="18"/>
              </w:rPr>
              <w:t xml:space="preserve"> 37% + 2.3 mL HNO</w:t>
            </w:r>
            <w:r w:rsidRPr="00216965">
              <w:rPr>
                <w:sz w:val="18"/>
                <w:szCs w:val="18"/>
                <w:vertAlign w:val="subscript"/>
              </w:rPr>
              <w:t>3</w:t>
            </w:r>
            <w:r w:rsidRPr="00216965">
              <w:rPr>
                <w:sz w:val="18"/>
                <w:szCs w:val="18"/>
              </w:rPr>
              <w:t xml:space="preserve"> &gt;68 %)</w:t>
            </w:r>
          </w:p>
        </w:tc>
        <w:tc>
          <w:tcPr>
            <w:tcW w:w="2471" w:type="dxa"/>
            <w:shd w:val="clear" w:color="auto" w:fill="auto"/>
          </w:tcPr>
          <w:p w14:paraId="380FCC8D" w14:textId="77777777" w:rsidR="00B45740" w:rsidRPr="00216965" w:rsidRDefault="00B45740" w:rsidP="008A33DA">
            <w:pPr>
              <w:spacing w:after="0"/>
              <w:jc w:val="both"/>
              <w:rPr>
                <w:sz w:val="18"/>
                <w:szCs w:val="18"/>
              </w:rPr>
            </w:pPr>
            <w:r w:rsidRPr="00216965">
              <w:rPr>
                <w:sz w:val="18"/>
                <w:szCs w:val="18"/>
              </w:rPr>
              <w:t>4 hours at 120 ⁰C</w:t>
            </w:r>
          </w:p>
        </w:tc>
      </w:tr>
    </w:tbl>
    <w:p w14:paraId="609EB5A9" w14:textId="77777777" w:rsidR="00B45740" w:rsidRPr="00216965" w:rsidRDefault="00B45740" w:rsidP="008A33DA">
      <w:pPr>
        <w:spacing w:line="360" w:lineRule="auto"/>
        <w:jc w:val="both"/>
      </w:pPr>
    </w:p>
    <w:p w14:paraId="43ABF62D" w14:textId="77777777" w:rsidR="00B45740" w:rsidRPr="00216965" w:rsidRDefault="00B45740" w:rsidP="008A33DA">
      <w:pPr>
        <w:pStyle w:val="Heading3"/>
      </w:pPr>
      <w:bookmarkStart w:id="336" w:name="_Ref86418074"/>
      <w:bookmarkStart w:id="337" w:name="_Toc86504691"/>
      <w:r w:rsidRPr="00216965">
        <w:lastRenderedPageBreak/>
        <w:t>DNA extraction</w:t>
      </w:r>
      <w:bookmarkEnd w:id="336"/>
      <w:bookmarkEnd w:id="337"/>
      <w:r w:rsidRPr="00216965">
        <w:t xml:space="preserve"> </w:t>
      </w:r>
    </w:p>
    <w:p w14:paraId="370FF7C3" w14:textId="0564B400" w:rsidR="00B45740" w:rsidRPr="00216965" w:rsidRDefault="00B45740" w:rsidP="008A33DA">
      <w:pPr>
        <w:pBdr>
          <w:top w:val="nil"/>
          <w:left w:val="nil"/>
          <w:bottom w:val="nil"/>
          <w:right w:val="nil"/>
          <w:between w:val="nil"/>
        </w:pBdr>
        <w:spacing w:after="0" w:line="360" w:lineRule="auto"/>
        <w:jc w:val="both"/>
        <w:rPr>
          <w:color w:val="000000"/>
        </w:rPr>
      </w:pPr>
      <w:r w:rsidRPr="00216965">
        <w:rPr>
          <w:color w:val="000000"/>
        </w:rPr>
        <w:t xml:space="preserve">Frozen soil samples (-80 °C) were </w:t>
      </w:r>
      <w:r w:rsidRPr="00216965">
        <w:rPr>
          <w:color w:val="202124"/>
        </w:rPr>
        <w:t xml:space="preserve">thawed at 22 °C for 3 minutes </w:t>
      </w:r>
      <w:r w:rsidRPr="00216965">
        <w:rPr>
          <w:color w:val="000000"/>
        </w:rPr>
        <w:t xml:space="preserve">and DNA was extracted using a DNeasy PowerSoil Pro Kit extraction kit (Qiagen, Germany). Approximately 250 ± 10 mg of soil from each pot was used; the extraction followed the manufacturer’s instructions </w:t>
      </w:r>
      <w:r w:rsidRPr="00216965">
        <w:fldChar w:fldCharType="begin" w:fldLock="1"/>
      </w:r>
      <w:r w:rsidR="00F56BD7" w:rsidRPr="00216965">
        <w:instrText>ADDIN CSL_CITATION {"citationItems":[{"id":"ITEM-1","itemData":{"author":[{"dropping-particle":"","family":"Qiagen","given":"","non-dropping-particle":"","parse-names":false,"suffix":""}],"id":"ITEM-1","issued":{"date-parts":[["2021"]]},"page":"1-52","publisher":"Qiagen","title":"DNeasy® PowerSoil® Pro Kit Handbook","type":"article"},"uris":["http://www.mendeley.com/documents/?uuid=2c90b1fe-d047-456d-942f-c02095728248"]}],"mendeley":{"formattedCitation":"(Qiagen, 2021)","plainTextFormattedCitation":"(Qiagen, 2021)","previouslyFormattedCitation":"(Qiagen, 2021)"},"properties":{"noteIndex":0},"schema":"https://github.com/citation-style-language/schema/raw/master/csl-citation.json"}</w:instrText>
      </w:r>
      <w:r w:rsidRPr="00216965">
        <w:fldChar w:fldCharType="separate"/>
      </w:r>
      <w:r w:rsidR="00330A4F" w:rsidRPr="00216965">
        <w:rPr>
          <w:noProof/>
        </w:rPr>
        <w:t>(Qiagen, 2021)</w:t>
      </w:r>
      <w:r w:rsidRPr="00216965">
        <w:fldChar w:fldCharType="end"/>
      </w:r>
      <w:r w:rsidRPr="00216965">
        <w:rPr>
          <w:color w:val="000000"/>
        </w:rPr>
        <w:t>. The protocol is illustrated in</w:t>
      </w:r>
      <w:r w:rsidR="003A7BA9" w:rsidRPr="00216965">
        <w:rPr>
          <w:color w:val="000000"/>
        </w:rPr>
        <w:t xml:space="preserve"> </w:t>
      </w:r>
      <w:r w:rsidR="003A7BA9" w:rsidRPr="00216965">
        <w:rPr>
          <w:b/>
          <w:bCs/>
          <w:color w:val="000000"/>
        </w:rPr>
        <w:fldChar w:fldCharType="begin"/>
      </w:r>
      <w:r w:rsidR="003A7BA9" w:rsidRPr="00216965">
        <w:rPr>
          <w:b/>
          <w:bCs/>
          <w:color w:val="000000"/>
        </w:rPr>
        <w:instrText xml:space="preserve"> REF _Ref86438635 \h  \* MERGEFORMAT </w:instrText>
      </w:r>
      <w:r w:rsidR="003A7BA9" w:rsidRPr="00216965">
        <w:rPr>
          <w:b/>
          <w:bCs/>
          <w:color w:val="000000"/>
        </w:rPr>
      </w:r>
      <w:r w:rsidR="003A7BA9" w:rsidRPr="00216965">
        <w:rPr>
          <w:b/>
          <w:bCs/>
          <w:color w:val="000000"/>
        </w:rPr>
        <w:fldChar w:fldCharType="separate"/>
      </w:r>
      <w:r w:rsidR="006E23EA" w:rsidRPr="00216965">
        <w:rPr>
          <w:b/>
          <w:bCs/>
        </w:rPr>
        <w:t>Appendix 4</w:t>
      </w:r>
      <w:r w:rsidR="003A7BA9" w:rsidRPr="00216965">
        <w:rPr>
          <w:b/>
          <w:bCs/>
          <w:color w:val="000000"/>
        </w:rPr>
        <w:fldChar w:fldCharType="end"/>
      </w:r>
      <w:r w:rsidRPr="00216965">
        <w:rPr>
          <w:b/>
          <w:color w:val="000000"/>
        </w:rPr>
        <w:t xml:space="preserve">. </w:t>
      </w:r>
      <w:r w:rsidRPr="00216965">
        <w:rPr>
          <w:color w:val="000000"/>
        </w:rPr>
        <w:t>The final DNA extract was diluted to 70 μL and stored at -20 °C. Two μL of DNA were used to determine the concentration of DNA in the extracts using a Qubit™ dsDNA HS Assay Kit and benchtop fluorometer Qubit® 3.0 (Thermo Fisher Scientific</w:t>
      </w:r>
      <w:r w:rsidR="00580641" w:rsidRPr="00216965">
        <w:rPr>
          <w:color w:val="000000"/>
        </w:rPr>
        <w:t>, Malasya</w:t>
      </w:r>
      <w:r w:rsidRPr="00216965">
        <w:rPr>
          <w:color w:val="000000"/>
        </w:rPr>
        <w:t xml:space="preserve">). </w:t>
      </w:r>
    </w:p>
    <w:p w14:paraId="7AA0BE64" w14:textId="77777777" w:rsidR="00B45740" w:rsidRPr="00216965" w:rsidRDefault="00B45740" w:rsidP="008A33DA">
      <w:pPr>
        <w:pStyle w:val="Heading3"/>
      </w:pPr>
      <w:bookmarkStart w:id="338" w:name="_Toc86504692"/>
      <w:r w:rsidRPr="00216965">
        <w:t>Relative quantitation q-PRC</w:t>
      </w:r>
      <w:bookmarkEnd w:id="338"/>
    </w:p>
    <w:p w14:paraId="47494B70" w14:textId="77777777" w:rsidR="00554933" w:rsidRPr="00216965" w:rsidRDefault="00B45740" w:rsidP="008A33DA">
      <w:pPr>
        <w:spacing w:line="360" w:lineRule="auto"/>
        <w:jc w:val="both"/>
      </w:pPr>
      <w:r w:rsidRPr="00216965">
        <w:t>Soil bacterial and fungal DNA was quantified using Real-Time Quantitative Reverse Transcription PCR (qRT-PCR) to estimate bacterial and fungal total abundance per gram of soil, based on gene copy numbers. Aliquots of DNA were normalized to 1 ng μL</w:t>
      </w:r>
      <w:r w:rsidRPr="00216965">
        <w:rPr>
          <w:vertAlign w:val="superscript"/>
        </w:rPr>
        <w:t>-1</w:t>
      </w:r>
      <w:r w:rsidRPr="00216965">
        <w:t xml:space="preserve">. Soil DNA was amplified in the same run with the DNA of either </w:t>
      </w:r>
      <w:r w:rsidRPr="00216965">
        <w:rPr>
          <w:i/>
        </w:rPr>
        <w:t>E. coli</w:t>
      </w:r>
      <w:r w:rsidRPr="00216965">
        <w:t xml:space="preserve"> or </w:t>
      </w:r>
      <w:r w:rsidRPr="00216965">
        <w:rPr>
          <w:i/>
        </w:rPr>
        <w:t>C. tropicalis</w:t>
      </w:r>
      <w:r w:rsidRPr="00216965">
        <w:t xml:space="preserve"> as standards for bacterial and fungal DNA, respectively. </w:t>
      </w:r>
    </w:p>
    <w:p w14:paraId="67400E2B" w14:textId="3A38C471" w:rsidR="00554933" w:rsidRPr="00216965" w:rsidRDefault="00B45740" w:rsidP="008A33DA">
      <w:pPr>
        <w:spacing w:line="360" w:lineRule="auto"/>
        <w:jc w:val="both"/>
      </w:pPr>
      <w:r w:rsidRPr="00216965">
        <w:t xml:space="preserve">Bacterial DNA was amplified using the primer pair 799F (5′-AACMGGATTAGATACCCKG-3′) and 1193R (5′-ACGTCATCCCCACCTTCC-3′) that targets the 16S rRNA gene (regions V5V6V7), while fungal DNA was amplified using primer ITS3 F (5′-GCATCGATGAAGAACGCAGC-3′) and ITS4 R (5′-TCCTCCGCTTATTGATATGC-3′) that target the ITS2 sequence located between the 5.8S and 28S rRNA genes. The following assumptions were made: the genome of </w:t>
      </w:r>
      <w:r w:rsidRPr="00216965">
        <w:rPr>
          <w:i/>
        </w:rPr>
        <w:t>E.coli</w:t>
      </w:r>
      <w:r w:rsidRPr="00216965">
        <w:t xml:space="preserve"> is 4.7 Mbp </w:t>
      </w:r>
      <w:r w:rsidRPr="00216965">
        <w:fldChar w:fldCharType="begin" w:fldLock="1"/>
      </w:r>
      <w:r w:rsidR="006C06AA" w:rsidRPr="00216965">
        <w:instrText>ADDIN CSL_CITATION {"citationItems":[{"id":"ITEM-1","itemData":{"DOI":"10.1126/SCIENCE.277.5331.1453","abstract":"The 4,639,221-base pair sequence of Escherichia coli K-12 is presented. Of 4288 protein-coding genes annotated, 38 percent have no attributed function. Comparison with five other sequenced microbes reveals ubiquitous as well as narrowly distributed gene families; many families of similar genes within E. coli are also evident. The largest family of paralogous proteins contains 80 ABC transporters. The genome as a whole is strikingly organized with respect to the local direction of replication; guanines, oligonucleotides possibly related to replication and recombination, and most genes are so oriented. The genome also contains insertion sequence (IS) elements, phage remnants, and many other patches of unusual composition indicating genome plasticity through horizontal transfer.","author":[{"dropping-particle":"","family":"Blattner","given":"Frederick R.","non-dropping-particle":"","parse-names":false,"suffix":""},{"dropping-particle":"","family":"Plunkett","given":"Guy","non-dropping-particle":"","parse-names":false,"suffix":""},{"dropping-particle":"","family":"Bloch","given":"Craig A.","non-dropping-particle":"","parse-names":false,"suffix":""},{"dropping-particle":"","family":"Perna","given":"Nicole T.","non-dropping-particle":"","parse-names":false,"suffix":""},{"dropping-particle":"","family":"Burland","given":"Valerie","non-dropping-particle":"","parse-names":false,"suffix":""},{"dropping-particle":"","family":"Riley","given":"Monica","non-dropping-particle":"","parse-names":false,"suffix":""},{"dropping-particle":"","family":"Collado-Vides","given":"Julio","non-dropping-particle":"","parse-names":false,"suffix":""},{"dropping-particle":"","family":"Glasner","given":"Jeremy D.","non-dropping-particle":"","parse-names":false,"suffix":""},{"dropping-particle":"","family":"Rode","given":"Christopher K.","non-dropping-particle":"","parse-names":false,"suffix":""},{"dropping-particle":"","family":"Mayhew","given":"George F.","non-dropping-particle":"","parse-names":false,"suffix":""},{"dropping-particle":"","family":"Gregor","given":"Jason","non-dropping-particle":"","parse-names":false,"suffix":""},{"dropping-particle":"","family":"Davis","given":"Nelson Wayne","non-dropping-particle":"","parse-names":false,"suffix":""},{"dropping-particle":"","family":"Kirkpatrick","given":"Heather A.","non-dropping-particle":"","parse-names":false,"suffix":""},{"dropping-particle":"","family":"Goeden","given":"Michael A.","non-dropping-particle":"","parse-names":false,"suffix":""},{"dropping-particle":"","family":"Rose","given":"Debra J.","non-dropping-particle":"","parse-names":false,"suffix":""},{"dropping-particle":"","family":"Mau","given":"Bob","non-dropping-particle":"","parse-names":false,"suffix":""},{"dropping-particle":"","family":"Shao","given":"Ying","non-dropping-particle":"","parse-names":false,"suffix":""}],"container-title":"Science","id":"ITEM-1","issue":"5331","issued":{"date-parts":[["1997","9","5"]]},"page":"1453-1462","publisher":"American Association for the Advancement of Science","title":"The complete genome sequence of Escherichia coli K-12","type":"article-journal","volume":"277"},"uris":["http://www.mendeley.com/documents/?uuid=f9008ab7-dd9e-35bb-8ced-9f2f68ea9986"]}],"mendeley":{"formattedCitation":"(Blattner et al., 1997)","plainTextFormattedCitation":"(Blattner et al., 1997)","previouslyFormattedCitation":"(Blattner et al., 1997)"},"properties":{"noteIndex":0},"schema":"https://github.com/citation-style-language/schema/raw/master/csl-citation.json"}</w:instrText>
      </w:r>
      <w:r w:rsidRPr="00216965">
        <w:fldChar w:fldCharType="separate"/>
      </w:r>
      <w:r w:rsidR="00C83E62" w:rsidRPr="00216965">
        <w:rPr>
          <w:noProof/>
        </w:rPr>
        <w:t>(Blattner et al., 1997)</w:t>
      </w:r>
      <w:r w:rsidRPr="00216965">
        <w:fldChar w:fldCharType="end"/>
      </w:r>
      <w:r w:rsidRPr="00216965">
        <w:t xml:space="preserve">, therefore 1 ng of DNA of </w:t>
      </w:r>
      <w:r w:rsidRPr="00216965">
        <w:rPr>
          <w:i/>
        </w:rPr>
        <w:t>E.coli</w:t>
      </w:r>
      <w:r w:rsidRPr="00216965">
        <w:t xml:space="preserve"> contained 1.941 </w:t>
      </w:r>
      <m:oMath>
        <m:r>
          <w:rPr>
            <w:rFonts w:ascii="Cambria Math" w:hAnsi="Cambria Math"/>
          </w:rPr>
          <m:t>×</m:t>
        </m:r>
      </m:oMath>
      <w:r w:rsidRPr="00216965">
        <w:t xml:space="preserve"> 10</w:t>
      </w:r>
      <w:r w:rsidRPr="00216965">
        <w:rPr>
          <w:vertAlign w:val="superscript"/>
        </w:rPr>
        <w:t>5</w:t>
      </w:r>
      <w:r w:rsidRPr="00216965">
        <w:t xml:space="preserve"> copies of the genome. Each genome contains seven 16S gene copies </w:t>
      </w:r>
      <w:r w:rsidRPr="00216965">
        <w:rPr>
          <w:rFonts w:eastAsiaTheme="minorEastAsia"/>
        </w:rPr>
        <w:fldChar w:fldCharType="begin" w:fldLock="1"/>
      </w:r>
      <w:r w:rsidR="006C06AA" w:rsidRPr="00216965">
        <w:rPr>
          <w:rFonts w:eastAsiaTheme="minorEastAsia"/>
        </w:rPr>
        <w:instrText>ADDIN CSL_CITATION {"citationItems":[{"id":"ITEM-1","itemData":{"DOI":"10.1038/s41467-019-13036-1","ISSN":"2041-1723","abstract":"The 16S rRNA gene has been a mainstay of sequence-based bacterial analysis for decades. However, high-throughput sequencing of the full gene has only recently become a realistic prospect. Here, we use in silico and sequence-based experiments to critically re-evaluate the potential of the 16S gene to provide taxonomic resolution at species and strain level. We demonstrate that targeting of 16S variable regions with short-read sequencing platforms cannot achieve the taxonomic resolution afforded by sequencing the entire (~1500 bp) gene. We further demonstrate that full-length sequencing platforms are sufficiently accurate to resolve subtle nucleotide substitutions (but not insertions/deletions) that exist between intragenomic copies of the 16S gene. In consequence, we argue that modern analysis approaches must necessarily account for intragenomic variation between 16S gene copies. In particular, we demonstrate that appropriate treatment of full-length 16S intragenomic copy variants has the potential to provide taxonomic resolution of bacterial communities at species and strain level. Here, the authors explore the potential of the 16S gene for discriminating bacterial taxa and show that full-length sequencing combined with appropriate clustering of intragenomic sequence variation can provide accurate representation of bacterial species in microbiome datasets.","author":[{"dropping-particle":"","family":"Johnson","given":"Jethro S.","non-dropping-particle":"","parse-names":false,"suffix":""},{"dropping-particle":"","family":"Spakowicz","given":"Daniel J.","non-dropping-particle":"","parse-names":false,"suffix":""},{"dropping-particle":"","family":"Hong","given":"Bo-Young","non-dropping-particle":"","parse-names":false,"suffix":""},{"dropping-particle":"","family":"Petersen","given":"Lauren M.","non-dropping-particle":"","parse-names":false,"suffix":""},{"dropping-particle":"","family":"Demkowicz","given":"Patrick","non-dropping-particle":"","parse-names":false,"suffix":""},{"dropping-particle":"","family":"Chen","given":"Lei","non-dropping-particle":"","parse-names":false,"suffix":""},{"dropping-particle":"","family":"Leopold","given":"Shana R.","non-dropping-particle":"","parse-names":false,"suffix":""},{"dropping-particle":"","family":"Hanson","given":"Blake M.","non-dropping-particle":"","parse-names":false,"suffix":""},{"dropping-particle":"","family":"Agresta","given":"Hanako O.","non-dropping-particle":"","parse-names":false,"suffix":""},{"dropping-particle":"","family":"Gerstein","given":"Mark","non-dropping-particle":"","parse-names":false,"suffix":""},{"dropping-particle":"","family":"Sodergren","given":"Erica","non-dropping-particle":"","parse-names":false,"suffix":""},{"dropping-particle":"","family":"Weinstock","given":"George M.","non-dropping-particle":"","parse-names":false,"suffix":""}],"container-title":"Nature communications","id":"ITEM-1","issue":"5029","issued":{"date-parts":[["2019","11","6"]]},"page":"1-11","publisher":"Nature Publishing Group","title":"Evaluation of 16S rRNA gene sequencing for species and strain-level microbiome analysis","type":"article-journal","volume":"10"},"uris":["http://www.mendeley.com/documents/?uuid=a8e3ad38-4499-31e3-87cf-0e8abb803903"]}],"mendeley":{"formattedCitation":"(Johnson et al., 2019)","plainTextFormattedCitation":"(Johnson et al., 2019)","previouslyFormattedCitation":"(Johnson et al., 2019)"},"properties":{"noteIndex":0},"schema":"https://github.com/citation-style-language/schema/raw/master/csl-citation.json"}</w:instrText>
      </w:r>
      <w:r w:rsidRPr="00216965">
        <w:rPr>
          <w:rFonts w:eastAsiaTheme="minorEastAsia"/>
        </w:rPr>
        <w:fldChar w:fldCharType="separate"/>
      </w:r>
      <w:r w:rsidR="00C83E62" w:rsidRPr="00216965">
        <w:rPr>
          <w:rFonts w:eastAsiaTheme="minorEastAsia"/>
          <w:noProof/>
        </w:rPr>
        <w:t>(Johnson et al., 2019)</w:t>
      </w:r>
      <w:r w:rsidRPr="00216965">
        <w:rPr>
          <w:rFonts w:eastAsiaTheme="minorEastAsia"/>
        </w:rPr>
        <w:fldChar w:fldCharType="end"/>
      </w:r>
      <w:r w:rsidRPr="00216965">
        <w:t xml:space="preserve">, hence 1 ng of </w:t>
      </w:r>
      <w:r w:rsidRPr="00216965">
        <w:rPr>
          <w:i/>
        </w:rPr>
        <w:t>E.coli</w:t>
      </w:r>
      <w:r w:rsidRPr="00216965">
        <w:t xml:space="preserve"> DNA would contain 1.36 </w:t>
      </w:r>
      <m:oMath>
        <m:r>
          <w:rPr>
            <w:rFonts w:ascii="Cambria Math" w:hAnsi="Cambria Math"/>
          </w:rPr>
          <m:t>×</m:t>
        </m:r>
      </m:oMath>
      <w:r w:rsidRPr="00216965">
        <w:t xml:space="preserve"> 10</w:t>
      </w:r>
      <w:r w:rsidRPr="00216965">
        <w:rPr>
          <w:vertAlign w:val="superscript"/>
        </w:rPr>
        <w:t>6</w:t>
      </w:r>
      <w:r w:rsidRPr="00216965">
        <w:t xml:space="preserve"> 16S gene copies. </w:t>
      </w:r>
    </w:p>
    <w:p w14:paraId="03B4F845" w14:textId="57D2E050" w:rsidR="00B45740" w:rsidRPr="00216965" w:rsidRDefault="00B45740" w:rsidP="008A33DA">
      <w:pPr>
        <w:spacing w:line="360" w:lineRule="auto"/>
        <w:jc w:val="both"/>
      </w:pPr>
      <w:r w:rsidRPr="00216965">
        <w:t xml:space="preserve">Similarly, </w:t>
      </w:r>
      <w:r w:rsidRPr="00216965">
        <w:rPr>
          <w:i/>
        </w:rPr>
        <w:t>C. tropicalis</w:t>
      </w:r>
      <w:r w:rsidRPr="00216965">
        <w:t xml:space="preserve"> genome is 14.5 Mbp </w:t>
      </w:r>
      <w:r w:rsidRPr="00216965">
        <w:rPr>
          <w:rFonts w:eastAsiaTheme="minorEastAsia"/>
        </w:rPr>
        <w:fldChar w:fldCharType="begin" w:fldLock="1"/>
      </w:r>
      <w:r w:rsidR="006C06AA" w:rsidRPr="00216965">
        <w:rPr>
          <w:rFonts w:eastAsiaTheme="minorEastAsia"/>
        </w:rPr>
        <w:instrText>ADDIN CSL_CITATION {"citationItems":[{"id":"ITEM-1","itemData":{"DOI":"10.3389/FMICB.2017.01927","ISSN":"1664-302X","abstract":"Candida tropicalis has emerged as one of the most important Candida spp. It has been widely considered the second most virulent Candida species, only preceded by C. albicans. Besides, this species has been recognized as a very strong biofilm producer, surpassing C. albicans in most of the studies. In addition, it produces a wide range of other virulence factors, including: adhesion to buccal epithelial and endothelial cells; the secretion of lytic enzymes, such as proteinases, phospholipases and hemolysins, bud-to-hyphae transition (also called morphogenesis) and the phenomenon called phenotypic switching. This is a species very closely related to C. albicans and has been easily identified with both phenotypic and molecular methods. In addition, no cryptic sibling species were yet described in the literature, what is contradictory to some other medically important Candida species. C. tropicalis a high clinical importance and may be the second or third etiological agent of candidemia, specifically in Latin American Countries and Asia. Resistance to the azoles, polyenes and echinocandins has already been described. Apart from all these characteristics, C. tropicalis has been considered an osmotolerant microorganism and this ability to survive to high cells concentration may be important for fungal persistence in saline environments. This physiological characteristic makes this species suitable for use in biotechnology processes. Here we describe an update of C. tropicalis, focusing on all these previously mentioned subjects.","author":[{"dropping-particle":"","family":"Zuza-Alves","given":"Diana L.","non-dropping-particle":"","parse-names":false,"suffix":""},{"dropping-particle":"","family":"Silva-Rocha","given":"Walicyranison P.","non-dropping-particle":"","parse-names":false,"suffix":""},{"dropping-particle":"","family":"Chaves","given":"Guilherme M.","non-dropping-particle":"","parse-names":false,"suffix":""}],"container-title":"Frontiers in Microbiology","id":"ITEM-1","issued":{"date-parts":[["2017","10","13"]]},"page":"1927","publisher":"Frontiers","title":"An update on Candida tropicalis based on basic and clinical approaches","type":"article-journal","volume":"8"},"uris":["http://www.mendeley.com/documents/?uuid=f99182fe-879f-3457-b7b7-0b3db108aed2"]}],"mendeley":{"formattedCitation":"(Zuza-Alves et al., 2017)","plainTextFormattedCitation":"(Zuza-Alves et al., 2017)","previouslyFormattedCitation":"(Zuza-Alves et al., 2017)"},"properties":{"noteIndex":0},"schema":"https://github.com/citation-style-language/schema/raw/master/csl-citation.json"}</w:instrText>
      </w:r>
      <w:r w:rsidRPr="00216965">
        <w:rPr>
          <w:rFonts w:eastAsiaTheme="minorEastAsia"/>
        </w:rPr>
        <w:fldChar w:fldCharType="separate"/>
      </w:r>
      <w:r w:rsidR="001974AA" w:rsidRPr="00216965">
        <w:rPr>
          <w:rFonts w:eastAsiaTheme="minorEastAsia"/>
          <w:noProof/>
        </w:rPr>
        <w:t>(Zuza-Alves et al., 2017)</w:t>
      </w:r>
      <w:r w:rsidRPr="00216965">
        <w:rPr>
          <w:rFonts w:eastAsiaTheme="minorEastAsia"/>
        </w:rPr>
        <w:fldChar w:fldCharType="end"/>
      </w:r>
      <w:r w:rsidRPr="00216965">
        <w:t xml:space="preserve">, therefore 1 ng of </w:t>
      </w:r>
      <w:r w:rsidRPr="00216965">
        <w:rPr>
          <w:i/>
        </w:rPr>
        <w:t>C. tropicalis</w:t>
      </w:r>
      <w:r w:rsidRPr="00216965">
        <w:t xml:space="preserve"> DNA contains 6.39 </w:t>
      </w:r>
      <m:oMath>
        <m:r>
          <w:rPr>
            <w:rFonts w:ascii="Cambria Math" w:hAnsi="Cambria Math"/>
          </w:rPr>
          <m:t>×</m:t>
        </m:r>
      </m:oMath>
      <w:r w:rsidRPr="00216965">
        <w:t xml:space="preserve">  10</w:t>
      </w:r>
      <w:r w:rsidRPr="00216965">
        <w:rPr>
          <w:vertAlign w:val="superscript"/>
        </w:rPr>
        <w:t>4</w:t>
      </w:r>
      <w:r w:rsidRPr="00216965">
        <w:t xml:space="preserve"> copies of the genome. The </w:t>
      </w:r>
      <w:r w:rsidRPr="00216965">
        <w:rPr>
          <w:i/>
        </w:rPr>
        <w:t>C. tropicalis</w:t>
      </w:r>
      <w:r w:rsidRPr="00216965">
        <w:t xml:space="preserve"> genome has 55 copies of the unit that encodes the 18S gene and each unit encodes a single copy of the 18S gene </w:t>
      </w:r>
      <w:r w:rsidRPr="00216965">
        <w:rPr>
          <w:rFonts w:eastAsiaTheme="minorEastAsia"/>
        </w:rPr>
        <w:fldChar w:fldCharType="begin" w:fldLock="1"/>
      </w:r>
      <w:r w:rsidR="006C06AA" w:rsidRPr="00216965">
        <w:rPr>
          <w:rFonts w:eastAsiaTheme="minorEastAsia"/>
        </w:rPr>
        <w:instrText>ADDIN CSL_CITATION {"citationItems":[{"id":"ITEM-1","itemData":{"DOI":"10.1073/PNAS.0401648101","ISSN":"0027-8424","PMID":"15123810","abstract":"We present the diploid genome sequence of the fungal pathogen Candida albicans . Because C. albicans has no known haploid or homozygous form, sequencing was performed as a whole-genome shotgun of the heterozygous diploid genome in strain SC5314, a clinical isolate that is the parent of strains widely used for molecular analysis. We developed computational methods to assemble a diploid genome sequence in good agreement with available physical mapping data. We provide a whole-genome description of heterozygosity in the organism. Comparative genomic analyses provide important clues about the evolution of the species and its mechanisms of pathogenesis.","author":[{"dropping-particle":"","family":"Jones","given":"Ted","non-dropping-particle":"","parse-names":false,"suffix":""},{"dropping-particle":"","family":"Federspiel","given":"Nancy A.","non-dropping-particle":"","parse-names":false,"suffix":""},{"dropping-particle":"","family":"Chibana","given":"Hiroji","non-dropping-particle":"","parse-names":false,"suffix":""},{"dropping-particle":"","family":"Dungan","given":"Jan","non-dropping-particle":"","parse-names":false,"suffix":""},{"dropping-particle":"","family":"Kalman","given":"Sue","non-dropping-particle":"","parse-names":false,"suffix":""},{"dropping-particle":"","family":"Magee","given":"B. B.","non-dropping-particle":"","parse-names":false,"suffix":""},{"dropping-particle":"","family":"Newport","given":"George","non-dropping-particle":"","parse-names":false,"suffix":""},{"dropping-particle":"","family":"Thorstenson","given":"Yvonne R.","non-dropping-particle":"","parse-names":false,"suffix":""},{"dropping-particle":"","family":"Agabian","given":"Nina","non-dropping-particle":"","parse-names":false,"suffix":""},{"dropping-particle":"","family":"Magee","given":"P. T.","non-dropping-particle":"","parse-names":false,"suffix":""},{"dropping-particle":"","family":"Davis","given":"Ronald W.","non-dropping-particle":"","parse-names":false,"suffix":""},{"dropping-particle":"","family":"Scherer","given":"Stewart","non-dropping-particle":"","parse-names":false,"suffix":""}],"container-title":"Proceedings of the National Academy of Sciences","id":"ITEM-1","issue":"19","issued":{"date-parts":[["2004","5","11"]]},"page":"7329-7334","publisher":"National Academy of Sciences","title":"The diploid genome sequence of Candida albicans","type":"article-journal","volume":"101"},"uris":["http://www.mendeley.com/documents/?uuid=18f99855-016c-3b18-9226-f3f4876d4661"]}],"mendeley":{"formattedCitation":"(Jones et al., 2004)","plainTextFormattedCitation":"(Jones et al., 2004)","previouslyFormattedCitation":"(Jones et al., 2004)"},"properties":{"noteIndex":0},"schema":"https://github.com/citation-style-language/schema/raw/master/csl-citation.json"}</w:instrText>
      </w:r>
      <w:r w:rsidRPr="00216965">
        <w:rPr>
          <w:rFonts w:eastAsiaTheme="minorEastAsia"/>
        </w:rPr>
        <w:fldChar w:fldCharType="separate"/>
      </w:r>
      <w:r w:rsidR="00C83E62" w:rsidRPr="00216965">
        <w:rPr>
          <w:rFonts w:eastAsiaTheme="minorEastAsia"/>
          <w:noProof/>
        </w:rPr>
        <w:t>(Jones et al., 2004)</w:t>
      </w:r>
      <w:r w:rsidRPr="00216965">
        <w:rPr>
          <w:rFonts w:eastAsiaTheme="minorEastAsia"/>
        </w:rPr>
        <w:fldChar w:fldCharType="end"/>
      </w:r>
      <w:r w:rsidRPr="00216965">
        <w:t xml:space="preserve">. Therefore, 1 ng of </w:t>
      </w:r>
      <w:r w:rsidRPr="00216965">
        <w:rPr>
          <w:i/>
        </w:rPr>
        <w:t>C. tropicalis</w:t>
      </w:r>
      <w:r w:rsidRPr="00216965">
        <w:t xml:space="preserve"> DNA would contain 3.5 </w:t>
      </w:r>
      <m:oMath>
        <m:r>
          <w:rPr>
            <w:rFonts w:ascii="Cambria Math" w:hAnsi="Cambria Math"/>
          </w:rPr>
          <m:t>×</m:t>
        </m:r>
      </m:oMath>
      <w:r w:rsidRPr="00216965">
        <w:t>10</w:t>
      </w:r>
      <w:r w:rsidRPr="00216965">
        <w:rPr>
          <w:vertAlign w:val="superscript"/>
        </w:rPr>
        <w:t xml:space="preserve">6 </w:t>
      </w:r>
      <w:r w:rsidRPr="00216965">
        <w:t xml:space="preserve">18S gene copies. The DNA of </w:t>
      </w:r>
      <w:r w:rsidRPr="00216965">
        <w:rPr>
          <w:i/>
        </w:rPr>
        <w:t>E.coli</w:t>
      </w:r>
      <w:r w:rsidRPr="00216965">
        <w:t xml:space="preserve"> was serially diluted from 1 ng.μL</w:t>
      </w:r>
      <w:r w:rsidRPr="00216965">
        <w:rPr>
          <w:vertAlign w:val="superscript"/>
        </w:rPr>
        <w:t>-1</w:t>
      </w:r>
      <w:r w:rsidRPr="00216965">
        <w:t xml:space="preserve"> to 0.00001 ng.μL</w:t>
      </w:r>
      <w:r w:rsidRPr="00216965">
        <w:rPr>
          <w:vertAlign w:val="superscript"/>
        </w:rPr>
        <w:t>-1</w:t>
      </w:r>
      <w:r w:rsidRPr="00216965">
        <w:t xml:space="preserve"> (1.36 </w:t>
      </w:r>
      <m:oMath>
        <m:r>
          <w:rPr>
            <w:rFonts w:ascii="Cambria Math" w:hAnsi="Cambria Math"/>
          </w:rPr>
          <m:t>×</m:t>
        </m:r>
      </m:oMath>
      <w:r w:rsidRPr="00216965">
        <w:t xml:space="preserve"> 10</w:t>
      </w:r>
      <w:r w:rsidRPr="00216965">
        <w:rPr>
          <w:vertAlign w:val="superscript"/>
        </w:rPr>
        <w:t>6</w:t>
      </w:r>
      <w:r w:rsidRPr="00216965">
        <w:t xml:space="preserve"> to 1.36 16S gene copies) and DNA from </w:t>
      </w:r>
      <w:r w:rsidRPr="00216965">
        <w:rPr>
          <w:i/>
        </w:rPr>
        <w:t>C. tropicalis</w:t>
      </w:r>
      <w:r w:rsidRPr="00216965">
        <w:t xml:space="preserve"> was diluted from 1 ng.μL</w:t>
      </w:r>
      <w:r w:rsidRPr="00216965">
        <w:rPr>
          <w:vertAlign w:val="superscript"/>
        </w:rPr>
        <w:t>-1</w:t>
      </w:r>
      <w:r w:rsidRPr="00216965">
        <w:t xml:space="preserve"> to 0.00001 ng.μL</w:t>
      </w:r>
      <w:r w:rsidRPr="00216965">
        <w:rPr>
          <w:vertAlign w:val="superscript"/>
        </w:rPr>
        <w:t xml:space="preserve">-1 </w:t>
      </w:r>
      <w:r w:rsidRPr="00216965">
        <w:t xml:space="preserve">(3.5 </w:t>
      </w:r>
      <m:oMath>
        <m:r>
          <w:rPr>
            <w:rFonts w:ascii="Cambria Math" w:hAnsi="Cambria Math"/>
          </w:rPr>
          <m:t>×</m:t>
        </m:r>
      </m:oMath>
      <w:r w:rsidRPr="00216965">
        <w:t>10</w:t>
      </w:r>
      <w:r w:rsidRPr="00216965">
        <w:rPr>
          <w:vertAlign w:val="superscript"/>
        </w:rPr>
        <w:t xml:space="preserve">6 </w:t>
      </w:r>
      <w:r w:rsidRPr="00216965">
        <w:t xml:space="preserve"> to 3.5 18S gene copies) to serve as </w:t>
      </w:r>
      <w:r w:rsidRPr="00216965">
        <w:lastRenderedPageBreak/>
        <w:t>standards. The 10 μL reactions contained 1 μL of input DNA, 5 μL of mastermix, 0.4 μL of each primer (10 μM) and 3.2 μL of nuclease-free water. The master mix used was  SensiFast™ SYBR® No-ROX Kit (Bioline</w:t>
      </w:r>
      <w:r w:rsidR="009243E8" w:rsidRPr="00216965">
        <w:t>, Germany</w:t>
      </w:r>
      <w:r w:rsidRPr="00216965">
        <w:t>). All standards were amplified in triplicate and the samples in duplicates. Amplification was performed using a real-time PCR Thermocycler (RG-6000,</w:t>
      </w:r>
      <w:r w:rsidR="00EC59E7" w:rsidRPr="00216965">
        <w:t xml:space="preserve"> Corbett Research, UK</w:t>
      </w:r>
      <w:r w:rsidRPr="00216965">
        <w:t>). The conditions used for the amplification were: hold at 95 °C for 3 min followed by 40 cycles of 95 °C for 3 min + 62 °C for 10 s + 72  °C for 10 s, the temperature ramp was from 61 °C to 95 °C.</w:t>
      </w:r>
    </w:p>
    <w:p w14:paraId="50A51EF2" w14:textId="77777777" w:rsidR="00B45740" w:rsidRPr="00216965" w:rsidRDefault="00B45740" w:rsidP="008A33DA">
      <w:pPr>
        <w:pStyle w:val="Heading3"/>
      </w:pPr>
      <w:bookmarkStart w:id="339" w:name="_Toc86504693"/>
      <w:r w:rsidRPr="00216965">
        <w:t>rRNA gene fragment library preparation</w:t>
      </w:r>
      <w:bookmarkEnd w:id="339"/>
    </w:p>
    <w:p w14:paraId="1C81D66E" w14:textId="038ECAC3" w:rsidR="00554933" w:rsidRPr="00216965" w:rsidRDefault="00B45740" w:rsidP="008A33DA">
      <w:pPr>
        <w:pBdr>
          <w:top w:val="nil"/>
          <w:left w:val="nil"/>
          <w:bottom w:val="nil"/>
          <w:right w:val="nil"/>
          <w:between w:val="nil"/>
        </w:pBdr>
        <w:spacing w:after="0" w:line="360" w:lineRule="auto"/>
        <w:jc w:val="both"/>
        <w:rPr>
          <w:color w:val="000000"/>
        </w:rPr>
      </w:pPr>
      <w:r w:rsidRPr="00216965">
        <w:rPr>
          <w:color w:val="000000"/>
        </w:rPr>
        <w:t xml:space="preserve">Based on the DNA concentrations measured with Qubit </w:t>
      </w:r>
      <w:r w:rsidRPr="00216965">
        <w:t>(</w:t>
      </w:r>
      <w:r w:rsidRPr="00216965">
        <w:rPr>
          <w:b/>
          <w:bCs/>
        </w:rPr>
        <w:t>section</w:t>
      </w:r>
      <w:r w:rsidR="00AE4768" w:rsidRPr="00216965">
        <w:rPr>
          <w:b/>
          <w:bCs/>
        </w:rPr>
        <w:t xml:space="preserve"> </w:t>
      </w:r>
      <w:r w:rsidR="00AE4768" w:rsidRPr="00216965">
        <w:rPr>
          <w:b/>
          <w:bCs/>
        </w:rPr>
        <w:fldChar w:fldCharType="begin"/>
      </w:r>
      <w:r w:rsidR="00AE4768" w:rsidRPr="00216965">
        <w:rPr>
          <w:b/>
          <w:bCs/>
        </w:rPr>
        <w:instrText xml:space="preserve"> REF _Ref86418074 \r \h </w:instrText>
      </w:r>
      <w:r w:rsidR="00AE4768" w:rsidRPr="00216965">
        <w:rPr>
          <w:b/>
          <w:bCs/>
        </w:rPr>
      </w:r>
      <w:r w:rsidR="00216965" w:rsidRPr="00216965">
        <w:rPr>
          <w:b/>
          <w:bCs/>
        </w:rPr>
        <w:instrText xml:space="preserve"> \* MERGEFORMAT </w:instrText>
      </w:r>
      <w:r w:rsidR="00AE4768" w:rsidRPr="00216965">
        <w:rPr>
          <w:b/>
          <w:bCs/>
        </w:rPr>
        <w:fldChar w:fldCharType="separate"/>
      </w:r>
      <w:r w:rsidR="006E23EA" w:rsidRPr="00216965">
        <w:rPr>
          <w:b/>
          <w:bCs/>
        </w:rPr>
        <w:t>5.2.7</w:t>
      </w:r>
      <w:r w:rsidR="00AE4768" w:rsidRPr="00216965">
        <w:rPr>
          <w:b/>
          <w:bCs/>
        </w:rPr>
        <w:fldChar w:fldCharType="end"/>
      </w:r>
      <w:r w:rsidRPr="00216965">
        <w:t>)</w:t>
      </w:r>
      <w:r w:rsidRPr="00216965">
        <w:rPr>
          <w:color w:val="000000"/>
        </w:rPr>
        <w:t>, DNA aliquots from each sample were normalized to 5 ng.μL</w:t>
      </w:r>
      <w:r w:rsidRPr="00216965">
        <w:rPr>
          <w:color w:val="000000"/>
          <w:vertAlign w:val="superscript"/>
        </w:rPr>
        <w:t>-1</w:t>
      </w:r>
      <w:r w:rsidRPr="00216965">
        <w:rPr>
          <w:color w:val="000000"/>
        </w:rPr>
        <w:t xml:space="preserve"> and used for DNA amplification. Three replicates from each sample were amplified in separate PCR reactions using different primers for bacterial and fungal DNA. For bacterial DNA amplification the primer pair bact-0341 F (5′ CCTACGGGNGGCWGCAG -3′) and bact-805 R (5′- GACTACHVGGGTATCTAATCC -3′) </w:t>
      </w:r>
      <w:r w:rsidRPr="00216965">
        <w:fldChar w:fldCharType="begin" w:fldLock="1"/>
      </w:r>
      <w:r w:rsidR="006C06AA" w:rsidRPr="00216965">
        <w:instrText>ADDIN CSL_CITATION {"citationItems":[{"id":"ITEM-1","itemData":{"DOI":"10.1093/nar/gks808","ISSN":"03051048","PMID":"22933715","abstract":"16S ribosomal RNA gene (rDNA) amplicon analysis remains the standard approach for the cultivation-independent investigation of microbial diversity. The accuracy of these analyses depends strongly on the choice of primers. The overall coverage and phylum spectrum of 175 primers and 512 primer pairs were evaluated in silico with respect to the SILVA 16S/18S rDNA non-redundant reference dataset (SSURef 108 NR). Based on this evaluation a selection of 'best available' primer pairs for Bacteria and Archaea for three amplicon size classes (100-400, 400-1000, ≥1000 bp) is provided. The most promising bacterial primer pair (S-D-Bact-0341-b-S-17/S-D-Bact-0785-a-A-21), with an amplicon size of 464 bp, was experimentally evaluated by comparing the taxonomic distribution of the 16S rDNA amplicons with 16S rDNA fragments from directly sequenced metagenomes. The results of this study may be used as a guideline for selecting primer pairs with the best overall coverage and phylum spectrum for specific applications, therefore reducing the bias in PCR-based microbial diversity studies. © 2012 The Author(s). Published by Oxford University Press.","author":[{"dropping-particle":"","family":"Klindworth","given":"Anna","non-dropping-particle":"","parse-names":false,"suffix":""},{"dropping-particle":"","family":"Pruesse","given":"Elmar","non-dropping-particle":"","parse-names":false,"suffix":""},{"dropping-particle":"","family":"Schweer","given":"Timmy","non-dropping-particle":"","parse-names":false,"suffix":""},{"dropping-particle":"","family":"Peplies","given":"Jörg","non-dropping-particle":"","parse-names":false,"suffix":""},{"dropping-particle":"","family":"Quast","given":"Christian","non-dropping-particle":"","parse-names":false,"suffix":""},{"dropping-particle":"","family":"Horn","given":"Matthias","non-dropping-particle":"","parse-names":false,"suffix":""},{"dropping-particle":"","family":"Glöckner","given":"Frank Oliver","non-dropping-particle":"","parse-names":false,"suffix":""}],"container-title":"Nucleic Acids Research","id":"ITEM-1","issue":"1","issued":{"date-parts":[["2013"]]},"page":"1-11","title":"Evaluation of general 16S ribosomal RNA gene PCR primers for classical and next-generation sequencing-based diversity studies","type":"article-journal","volume":"41"},"uris":["http://www.mendeley.com/documents/?uuid=24b866ac-44e3-4e04-b84b-b342fed4ba58"]}],"mendeley":{"formattedCitation":"(Klindworth et al., 2013)","plainTextFormattedCitation":"(Klindworth et al., 2013)","previouslyFormattedCitation":"(Klindworth et al., 2013)"},"properties":{"noteIndex":0},"schema":"https://github.com/citation-style-language/schema/raw/master/csl-citation.json"}</w:instrText>
      </w:r>
      <w:r w:rsidRPr="00216965">
        <w:fldChar w:fldCharType="separate"/>
      </w:r>
      <w:r w:rsidR="00C83E62" w:rsidRPr="00216965">
        <w:rPr>
          <w:noProof/>
        </w:rPr>
        <w:t>(Klindworth et al., 2013)</w:t>
      </w:r>
      <w:r w:rsidRPr="00216965">
        <w:fldChar w:fldCharType="end"/>
      </w:r>
      <w:r w:rsidRPr="00216965">
        <w:rPr>
          <w:color w:val="000000"/>
        </w:rPr>
        <w:t xml:space="preserve"> were used. </w:t>
      </w:r>
    </w:p>
    <w:p w14:paraId="31168E0F" w14:textId="260455ED" w:rsidR="00554933"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 xml:space="preserve">For fungal DNA amplification, the primer pair 5.8S_Fun F (5′- TCGTCGGCAGCGTCAGATGTGTATAAGAGACAG -3′) and ITS4_Fun R (5′-  GTCTCGTGGGCTCGGAGATGTGTATAAGAGACAG -3′) were used </w:t>
      </w:r>
      <w:r w:rsidRPr="00216965">
        <w:fldChar w:fldCharType="begin" w:fldLock="1"/>
      </w:r>
      <w:r w:rsidR="006C06AA" w:rsidRPr="00216965">
        <w:instrText>ADDIN CSL_CITATION {"citationItems":[{"id":"ITEM-1","itemData":{"DOI":"10.1128/AEM.02576-16","ISBN":"82:72177226","abstract":"While high-throughput sequencing methods are revolutionizing fungal ecology, recovering accurate estimates of species richness and abundance has proven elusive. We sought to design internal transcribed spacer (ITS) primers and an Illumina protocol that would maximize coverage of the kingdom Fungi while minimizing nontarget eukaryotes. We inspected alignments of the 5.8S and large subunit (LSU) ribosomal genes and evaluated potential primers using PrimerProspector. We tested the resulting primers using tiered-abundance mock communities and five previously characterized soil samples. We recovered operational taxonomic units (OTUs) belonging to all 8 members in both mock communities, despite DNA abundances spanning 3 orders of magnitude. The expected and observed read counts were strongly correlated (r 0.94 to 0.97). However, several taxa were consistently over-or underrepresented, likely due to variation in rRNA gene copy numbers. The Illumina data resulted in clustering of soil samples identical to that obtained with Sanger sequence clone library data using different primers. Furthermore, the two methods produced distance matrices with a Mantel correlation of 0.92. Nonfungal sequences comprised less than 0.5% of the soil data set, with most attributable to vascular plants. Our results suggest that high-throughput methods can produce fairly accurate estimates of fungal abundances in complex communities. Further improvements might be achieved through corrections for rRNA copy number and utilization of standardized mock communities. IMPORTANCE Fungi play numerous important roles in the environment. Improvements in sequencing methods are providing revolutionary insights into fungal biodiversity, yet accurate estimates of the number of fungal species (i.e., richness) and their relative abundances in an environmental sample (e.g., soil, roots, water, etc.) remain difficult to obtain. We present improved methods for high-throughput Illumina sequencing of the species-diagnostic fungal ribosomal marker gene that improve the accuracy of richness and abundance estimates. The improvements include new PCR primers and library preparation, validation using a known mock community, and bioinformatic parameter tuning.","author":[{"dropping-particle":"","family":"Lee Taylor","given":"D","non-dropping-particle":"","parse-names":false,"suffix":""},{"dropping-particle":"","family":"Walters","given":"William A","non-dropping-particle":"","parse-names":false,"suffix":""},{"dropping-particle":"","family":"Lennon","given":"Niall J","non-dropping-particle":"","parse-names":false,"suffix":""},{"dropping-particle":"","family":"Bochicchio","given":"James","non-dropping-particle":"","parse-names":false,"suffix":""},{"dropping-particle":"","family":"Krohn","given":"Andrew","non-dropping-particle":"","parse-names":false,"suffix":""},{"dropping-particle":"","family":"Caporaso","given":"J Gregory","non-dropping-particle":"","parse-names":false,"suffix":""},{"dropping-particle":"","family":"Pennanen","given":"Taina","non-dropping-particle":"","parse-names":false,"suffix":""}],"container-title":"Applied and Environmental Microbiology","id":"ITEM-1","issue":"24","issued":{"date-parts":[["2016"]]},"page":"7217-7226","title":"Accurate estimation of fungal diversity and abundance through improved lineage-specific primers optimized for Illumina amplicon sequencing","type":"article-journal","volume":"82"},"uris":["http://www.mendeley.com/documents/?uuid=3725fd67-a331-3826-91de-8f151dd70379"]}],"mendeley":{"formattedCitation":"(Lee Taylor et al., 2016)","plainTextFormattedCitation":"(Lee Taylor et al., 2016)","previouslyFormattedCitation":"(Lee Taylor et al., 2016)"},"properties":{"noteIndex":0},"schema":"https://github.com/citation-style-language/schema/raw/master/csl-citation.json"}</w:instrText>
      </w:r>
      <w:r w:rsidRPr="00216965">
        <w:fldChar w:fldCharType="separate"/>
      </w:r>
      <w:r w:rsidR="00C83E62" w:rsidRPr="00216965">
        <w:rPr>
          <w:noProof/>
        </w:rPr>
        <w:t>(Lee Taylor et al., 2016)</w:t>
      </w:r>
      <w:r w:rsidRPr="00216965">
        <w:fldChar w:fldCharType="end"/>
      </w:r>
      <w:r w:rsidRPr="00216965">
        <w:rPr>
          <w:color w:val="000000"/>
        </w:rPr>
        <w:t xml:space="preserve">. Primers had the Illumina overhang adapter sequences F (5′- TCGTCGGCAGCGTCAGATGTGTATAAGAGACAG-[locus-specific sequence] -3′) and F (5′-GTCTCGTGGGCTCGGAGATGTGTATAAGAGACAG-[locus-specific sequence] -3′) </w:t>
      </w:r>
      <w:r w:rsidRPr="00216965">
        <w:fldChar w:fldCharType="begin" w:fldLock="1"/>
      </w:r>
      <w:r w:rsidR="00F56BD7" w:rsidRPr="00216965">
        <w:instrText>ADDIN CSL_CITATION {"citationItems":[{"id":"ITEM-1","itemData":{"author":[{"dropping-particle":"","family":"Illumina","given":"","non-dropping-particle":"","parse-names":false,"suffix":""}],"id":"ITEM-1","issued":{"date-parts":[["2013"]]},"title":"16S Metagenomic Sequencing Library Preparation","type":"article-journal"},"uris":["http://www.mendeley.com/documents/?uuid=3c74da53-e408-372e-8410-1798bee22ebc"]}],"mendeley":{"formattedCitation":"(Illumina, 2013)","plainTextFormattedCitation":"(Illumina, 2013)","previouslyFormattedCitation":"(Illumina, 2013)"},"properties":{"noteIndex":0},"schema":"https://github.com/citation-style-language/schema/raw/master/csl-citation.json"}</w:instrText>
      </w:r>
      <w:r w:rsidRPr="00216965">
        <w:fldChar w:fldCharType="separate"/>
      </w:r>
      <w:r w:rsidR="00330A4F" w:rsidRPr="00216965">
        <w:rPr>
          <w:noProof/>
        </w:rPr>
        <w:t>(Illumina, 2013)</w:t>
      </w:r>
      <w:r w:rsidRPr="00216965">
        <w:fldChar w:fldCharType="end"/>
      </w:r>
      <w:r w:rsidRPr="00216965">
        <w:rPr>
          <w:color w:val="000000"/>
        </w:rPr>
        <w:t xml:space="preserve">. </w:t>
      </w:r>
    </w:p>
    <w:p w14:paraId="01073EF6" w14:textId="77777777" w:rsidR="00554933"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The 20 μL reactions contained 11.8 μL of nuclease-free water, 4 μL of MyTaq buffer (Meridian</w:t>
      </w:r>
      <w:r w:rsidR="00EC59E7" w:rsidRPr="00216965">
        <w:rPr>
          <w:color w:val="000000"/>
        </w:rPr>
        <w:t xml:space="preserve"> B</w:t>
      </w:r>
      <w:r w:rsidRPr="00216965">
        <w:rPr>
          <w:color w:val="000000"/>
        </w:rPr>
        <w:t>ioscience</w:t>
      </w:r>
      <w:r w:rsidR="00EC59E7" w:rsidRPr="00216965">
        <w:rPr>
          <w:color w:val="000000"/>
        </w:rPr>
        <w:t>, USA</w:t>
      </w:r>
      <w:r w:rsidRPr="00216965">
        <w:rPr>
          <w:color w:val="000000"/>
        </w:rPr>
        <w:t>), 0.4 μL of forward primer (10 μM), 0.4 μL (10 μM) of reverse primer, 0.5 μL of MyTaq™ DNA Polymerase (</w:t>
      </w:r>
      <w:r w:rsidR="00EC59E7" w:rsidRPr="00216965">
        <w:rPr>
          <w:color w:val="000000"/>
        </w:rPr>
        <w:t>Meridian Bioscience, USA</w:t>
      </w:r>
      <w:r w:rsidRPr="00216965">
        <w:rPr>
          <w:color w:val="000000"/>
        </w:rPr>
        <w:t>) and 2 μL of DNA. The thermal cycler (5 Prime G</w:t>
      </w:r>
      <w:r w:rsidR="00B22F32" w:rsidRPr="00216965">
        <w:rPr>
          <w:color w:val="000000"/>
        </w:rPr>
        <w:t>, Techne, UK</w:t>
      </w:r>
      <w:r w:rsidRPr="00216965">
        <w:rPr>
          <w:color w:val="000000"/>
        </w:rPr>
        <w:t xml:space="preserve">) was programmed as follows: for amplification of bacterial DNA the conditions were 95 C for 5 min, 22 cycles of 95 C for 40 s + 55 C for 60 s + 72 C for 60 s and a final step of 72 C for 7 min. The PCR conditions for fungal DNA amplification were 95 C for 2 min, 27 cycles of 95 C for 30 s + 55 C for 30 s + 72 C for 30 s and then a final step of 72 C for 10 min. </w:t>
      </w:r>
    </w:p>
    <w:p w14:paraId="41FB6305" w14:textId="77777777" w:rsidR="00554933"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Afterwards, amplicons were visualized in 1% (</w:t>
      </w:r>
      <w:r w:rsidRPr="00216965">
        <w:rPr>
          <w:i/>
          <w:color w:val="000000"/>
        </w:rPr>
        <w:t>w/v</w:t>
      </w:r>
      <w:r w:rsidRPr="00216965">
        <w:rPr>
          <w:color w:val="000000"/>
        </w:rPr>
        <w:t xml:space="preserve">) agarose gels. Amplification conditions were chosen to produce bands of low-to-mid intensity, as suggested by </w:t>
      </w:r>
      <w:r w:rsidRPr="00216965">
        <w:lastRenderedPageBreak/>
        <w:fldChar w:fldCharType="begin" w:fldLock="1"/>
      </w:r>
      <w:r w:rsidR="00F56BD7" w:rsidRPr="00216965">
        <w:instrText>ADDIN CSL_CITATION {"citationItems":[{"id":"ITEM-1","itemData":{"author":[{"dropping-particle":"","family":"Illumina","given":"","non-dropping-particle":"","parse-names":false,"suffix":""}],"id":"ITEM-1","issued":{"date-parts":[["2013"]]},"title":"16S Metagenomic Sequencing Library Preparation","type":"article-journal"},"uris":["http://www.mendeley.com/documents/?uuid=3c74da53-e408-372e-8410-1798bee22ebc"]}],"mendeley":{"formattedCitation":"(Illumina, 2013)","manualFormatting":"Illumina (2013)","plainTextFormattedCitation":"(Illumina, 2013)","previouslyFormattedCitation":"(Illumina, 2013)"},"properties":{"noteIndex":0},"schema":"https://github.com/citation-style-language/schema/raw/master/csl-citation.json"}</w:instrText>
      </w:r>
      <w:r w:rsidRPr="00216965">
        <w:fldChar w:fldCharType="separate"/>
      </w:r>
      <w:r w:rsidRPr="00216965">
        <w:rPr>
          <w:noProof/>
        </w:rPr>
        <w:t>Illumina (2013)</w:t>
      </w:r>
      <w:r w:rsidRPr="00216965">
        <w:fldChar w:fldCharType="end"/>
      </w:r>
      <w:r w:rsidRPr="00216965">
        <w:rPr>
          <w:color w:val="000000"/>
        </w:rPr>
        <w:t>. If high intensity bands were obtained, input DNA samples were reduced to 1 ng.μL</w:t>
      </w:r>
      <w:r w:rsidRPr="00216965">
        <w:rPr>
          <w:color w:val="000000"/>
          <w:vertAlign w:val="superscript"/>
        </w:rPr>
        <w:t>-1</w:t>
      </w:r>
      <w:r w:rsidRPr="00216965">
        <w:rPr>
          <w:color w:val="000000"/>
        </w:rPr>
        <w:t>. The PCR products (triplicates) from each sample were pooled and purified using AMPure XP PCR (Beckman Coulter</w:t>
      </w:r>
      <w:r w:rsidR="00B22F32" w:rsidRPr="00216965">
        <w:rPr>
          <w:color w:val="000000"/>
        </w:rPr>
        <w:t>, USA</w:t>
      </w:r>
      <w:r w:rsidRPr="00216965">
        <w:rPr>
          <w:color w:val="000000"/>
        </w:rPr>
        <w:t xml:space="preserve">) purification beads in a ratio of 0.75:1 (beads:PCR product) according to the manufacturer’s instructions </w:t>
      </w:r>
      <w:r w:rsidRPr="00216965">
        <w:fldChar w:fldCharType="begin" w:fldLock="1"/>
      </w:r>
      <w:r w:rsidR="00F56BD7" w:rsidRPr="00216965">
        <w:instrText>ADDIN CSL_CITATION {"citationItems":[{"id":"ITEM-1","itemData":{"author":[{"dropping-particle":"","family":"Beckman Coulter","given":"","non-dropping-particle":"","parse-names":false,"suffix":""}],"id":"ITEM-1","issued":{"date-parts":[["2016"]]},"title":"Instructions For Use Agencourt AMPure XP","type":"article-journal"},"uris":["http://www.mendeley.com/documents/?uuid=b43d36df-1d33-3b1c-9118-13f9823162b8"]}],"mendeley":{"formattedCitation":"(Beckman Coulter, 2016)","plainTextFormattedCitation":"(Beckman Coulter, 2016)","previouslyFormattedCitation":"(Beckman Coulter, 2016)"},"properties":{"noteIndex":0},"schema":"https://github.com/citation-style-language/schema/raw/master/csl-citation.json"}</w:instrText>
      </w:r>
      <w:r w:rsidRPr="00216965">
        <w:fldChar w:fldCharType="separate"/>
      </w:r>
      <w:r w:rsidR="00330A4F" w:rsidRPr="00216965">
        <w:rPr>
          <w:noProof/>
        </w:rPr>
        <w:t>(Beckman Coulter, 2016)</w:t>
      </w:r>
      <w:r w:rsidRPr="00216965">
        <w:fldChar w:fldCharType="end"/>
      </w:r>
      <w:r w:rsidRPr="00216965">
        <w:rPr>
          <w:color w:val="000000"/>
        </w:rPr>
        <w:t xml:space="preserve">. </w:t>
      </w:r>
    </w:p>
    <w:p w14:paraId="31428100" w14:textId="77777777" w:rsidR="00554933"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DNA libraries were prepared by Index-PCR, the 50 μL reactions contained 5 µL of DNA, 21.5 μL of nuclease-free water, 5 µL of each index primer (Nextera XT Index kit v2 set A, Illumina</w:t>
      </w:r>
      <w:r w:rsidR="00B22F32" w:rsidRPr="00216965">
        <w:rPr>
          <w:color w:val="000000"/>
        </w:rPr>
        <w:t>, USA</w:t>
      </w:r>
      <w:r w:rsidRPr="00216965">
        <w:rPr>
          <w:color w:val="000000"/>
        </w:rPr>
        <w:t>), 10 μL of KAPA HiFidelity buffer, 1 μL of MgCl</w:t>
      </w:r>
      <w:r w:rsidRPr="00216965">
        <w:rPr>
          <w:color w:val="000000"/>
          <w:vertAlign w:val="subscript"/>
        </w:rPr>
        <w:t xml:space="preserve">2 </w:t>
      </w:r>
      <w:r w:rsidRPr="00216965">
        <w:rPr>
          <w:color w:val="000000"/>
        </w:rPr>
        <w:t>(25 mM), 1.5 μL of KAPA dNTP Mix (10 mM), 1 μL KAPA HiFi HotStart DNA Polymerase (1U/ µL) from the KAPA HiFi PCR Kit (Kapa Biosystems</w:t>
      </w:r>
      <w:r w:rsidR="00A76888" w:rsidRPr="00216965">
        <w:rPr>
          <w:color w:val="000000"/>
        </w:rPr>
        <w:t>, Germany</w:t>
      </w:r>
      <w:r w:rsidRPr="00216965">
        <w:rPr>
          <w:color w:val="000000"/>
        </w:rPr>
        <w:t xml:space="preserve">). The Index-PCR conditions were 95 C for 3 min, 12 cycles of 95 C for 30 s + 55 C for 30 s + 72 C for 30 s, and then a final step of 72 C for 5 min. The purification step with AMPure beads was repeated. </w:t>
      </w:r>
    </w:p>
    <w:p w14:paraId="69A10660" w14:textId="4E9124ED" w:rsidR="00B45740"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Quantification of the final indexed samples was made using the fluorometer Qubit 3.0 and Qubit™ dsDNA HS Assay Kit. Bacterial DNA samples were diluted to a final concentration of 8 nM while fungal DNA samples were diluted to 11 nM. A final pool of 30 μL containing 90% bacterial DNA (8 nM) and 10 % fungal DNA (11 nM) was sent for sequencing. Samples were sequenced by synthesis using an Illumina</w:t>
      </w:r>
      <w:r w:rsidRPr="00216965">
        <w:rPr>
          <w:color w:val="000000"/>
          <w:sz w:val="20"/>
          <w:szCs w:val="20"/>
          <w:vertAlign w:val="superscript"/>
        </w:rPr>
        <w:t>R</w:t>
      </w:r>
      <w:r w:rsidRPr="00216965">
        <w:rPr>
          <w:color w:val="000000"/>
        </w:rPr>
        <w:t>MiSeq instrument, on a V3 chemistry flow cell with 300 bp paired end reads at the Sheffield Diagnostic Genetics Service of the Sheffield’s Children NHS Foundation Trust.</w:t>
      </w:r>
    </w:p>
    <w:p w14:paraId="617E7042" w14:textId="77777777" w:rsidR="00B45740" w:rsidRPr="00216965" w:rsidRDefault="00B45740" w:rsidP="008A33DA">
      <w:pPr>
        <w:pBdr>
          <w:top w:val="nil"/>
          <w:left w:val="nil"/>
          <w:bottom w:val="nil"/>
          <w:right w:val="nil"/>
          <w:between w:val="nil"/>
        </w:pBdr>
        <w:spacing w:after="0" w:line="240" w:lineRule="auto"/>
        <w:rPr>
          <w:color w:val="000000"/>
        </w:rPr>
      </w:pPr>
    </w:p>
    <w:p w14:paraId="4AA57695" w14:textId="77777777" w:rsidR="00B45740" w:rsidRPr="00216965" w:rsidRDefault="00B45740" w:rsidP="008A33DA">
      <w:pPr>
        <w:pStyle w:val="Heading3"/>
      </w:pPr>
      <w:bookmarkStart w:id="340" w:name="_Toc86504694"/>
      <w:r w:rsidRPr="00216965">
        <w:t>Bioinformatic analysis</w:t>
      </w:r>
      <w:bookmarkEnd w:id="340"/>
    </w:p>
    <w:p w14:paraId="58775655" w14:textId="77777777" w:rsidR="00554933" w:rsidRPr="00216965" w:rsidRDefault="00B45740" w:rsidP="008A33DA">
      <w:pPr>
        <w:pBdr>
          <w:top w:val="nil"/>
          <w:left w:val="nil"/>
          <w:bottom w:val="nil"/>
          <w:right w:val="nil"/>
          <w:between w:val="nil"/>
        </w:pBdr>
        <w:spacing w:after="0" w:line="360" w:lineRule="auto"/>
        <w:jc w:val="both"/>
        <w:rPr>
          <w:color w:val="000000"/>
        </w:rPr>
      </w:pPr>
      <w:r w:rsidRPr="00216965">
        <w:rPr>
          <w:color w:val="000000"/>
        </w:rPr>
        <w:t xml:space="preserve">Sequencing data was received as forward (F) and reverse (R) reads in FASTQ format. For quality checks FastQC version 0.119 was used. Samples (paired-end fastq files) were demultiplexed based on the sample-specific multiplex identifier and further processed with DADA2 v1.18 in R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rPr>
          <w:color w:val="000000"/>
        </w:rPr>
        <w:t xml:space="preserve">. All reads were quality-filtered with maxEE = (2, 5) (maximum 2 expected errors in a read in the Forward sequence and maximum 5 errors in the Reverse sequence). Primer sequences were trimmed from bacterial samples (17 bp from 5′ and 21 bp from 3′ ends respectively) and for fungal samples (33 bp from 5′ and 34 bp from 3′ ends). </w:t>
      </w:r>
    </w:p>
    <w:p w14:paraId="2AC8E015" w14:textId="77777777" w:rsidR="00554933"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 xml:space="preserve">The forward and reverse reads were merged and an amplicon sequence variant table (ASV) created; </w:t>
      </w:r>
      <w:r w:rsidRPr="00216965">
        <w:rPr>
          <w:i/>
          <w:color w:val="000000"/>
        </w:rPr>
        <w:t>de novo</w:t>
      </w:r>
      <w:r w:rsidRPr="00216965">
        <w:rPr>
          <w:color w:val="000000"/>
        </w:rPr>
        <w:t xml:space="preserve"> chimera sequence detection and removal was performed using </w:t>
      </w:r>
      <w:r w:rsidRPr="00216965">
        <w:rPr>
          <w:color w:val="000000"/>
        </w:rPr>
        <w:lastRenderedPageBreak/>
        <w:t xml:space="preserve">removeBimeraDenovo function (method= “consensus”). The distribution of sequences was inspected and sequences were trimmed to &gt; 400 bp. Taxonomy was assigned using the assignTaxonomy function from DADA2, the unknown sequences were compared with Silva 138.1 prokaryotic SSU taxonomic training data formatted for DADA2 </w:t>
      </w:r>
      <w:r w:rsidRPr="00216965">
        <w:fldChar w:fldCharType="begin" w:fldLock="1"/>
      </w:r>
      <w:r w:rsidR="00F56BD7" w:rsidRPr="00216965">
        <w:instrText>ADDIN CSL_CITATION {"citationItems":[{"id":"ITEM-1","itemData":{"DOI":"10.5281/ZENODO.4587955","URL":"https://zenodo.org/record/4587955","accessed":{"date-parts":[["2021","9","21"]]},"author":[{"dropping-particle":"","family":"McLaren","given":"Michael R.","non-dropping-particle":"","parse-names":false,"suffix":""},{"dropping-particle":"","family":"Callahan","given":"Benjamin J.","non-dropping-particle":"","parse-names":false,"suffix":""}],"container-title":"Zenodo","id":"ITEM-1","issued":{"date-parts":[["2021","3","7"]]},"title":"Silva 138.1 prokaryotic SSU taxonomic training data formatted for DADA2","type":"webpage"},"uris":["http://www.mendeley.com/documents/?uuid=868c0c3a-629b-3bd2-b0e9-55c238eb2126"]}],"mendeley":{"formattedCitation":"(McLaren and Callahan, 2021)","plainTextFormattedCitation":"(McLaren and Callahan, 2021)","previouslyFormattedCitation":"(McLaren and Callahan, 2021)"},"properties":{"noteIndex":0},"schema":"https://github.com/citation-style-language/schema/raw/master/csl-citation.json"}</w:instrText>
      </w:r>
      <w:r w:rsidRPr="00216965">
        <w:fldChar w:fldCharType="separate"/>
      </w:r>
      <w:r w:rsidR="00330A4F" w:rsidRPr="00216965">
        <w:rPr>
          <w:noProof/>
        </w:rPr>
        <w:t>(McLaren and Callahan, 2021)</w:t>
      </w:r>
      <w:r w:rsidRPr="00216965">
        <w:fldChar w:fldCharType="end"/>
      </w:r>
      <w:r w:rsidRPr="00216965">
        <w:rPr>
          <w:color w:val="000000"/>
        </w:rPr>
        <w:t xml:space="preserve">. </w:t>
      </w:r>
    </w:p>
    <w:p w14:paraId="48C30D77" w14:textId="31382BD0" w:rsidR="00B45740"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 xml:space="preserve">Sequences were aligned using library DECIPHER </w:t>
      </w:r>
      <w:r w:rsidRPr="00216965">
        <w:fldChar w:fldCharType="begin" w:fldLock="1"/>
      </w:r>
      <w:r w:rsidR="00F56BD7" w:rsidRPr="00216965">
        <w:instrText>ADDIN CSL_CITATION {"citationItems":[{"id":"ITEM-1","itemData":{"DOI":"10.1261/RNA.073015.119","ISSN":"1355-8382","PMID":"32005745","abstract":"The importance of noncoding RNA sequences has become increasingly clear over the past decade. New RNA families are often detected and analyzed using comparative methods based on multiple sequence alignments. Accordingly, a number of programs have been developed for aligning and deriving secondary structures from sets of RNA sequences. Yet, the best tools for these tasks remain unclear because existing benchmarks contain too few sequences belonging to only a small number of RNA families. RNAconTest (RNA consistency test) is a new benchmarking approach relying on the observation that secondary structure is often conserved across highly divergent RNA sequences from the same family. RNAconTest scores multiple sequence alignments based on the level of consistency among known secondary structures belonging to reference sequences in their output alignment. Similarly, consensus secondary structure predictions are scored according to their agreement with one or more known structures in a family. Comparing the performance of 10 popular alignment programs using RNAconTest revealed that DAFS, DECIPHER, LocARNA, and MAFFT created the most structurally consistent alignments. The best consensus secondary structure predictions were generated by DAFS and LocARNA (via RNAalifold). Many of the methods specific to noncoding RNAs exhibited poor scalability as the number or length of input sequences increased, and several programs displayed substantial declines in score as more sequences were aligned. Overall, RNAconTest provides a means of testing and improving tools for comparative RNA analysis, as well as highlighting the best available approaches. RNAconTest is available from the DECIPHER website (http://DECIPHER.codes/Downloads.html).","author":[{"dropping-particle":"","family":"Wright","given":"Erik S.","non-dropping-particle":"","parse-names":false,"suffix":""}],"container-title":"RNA","id":"ITEM-1","issue":"5","issued":{"date-parts":[["2020","5","1"]]},"page":"531-540","publisher":"Cold Spring Harbor Laboratory Press","title":"RNAconTest: comparing tools for noncoding RNA multiple sequence alignment based on structural consistency","type":"article-journal","volume":"26"},"uris":["http://www.mendeley.com/documents/?uuid=c3ecca06-dec8-3b2d-ae16-8bb4ec8406a7"]}],"mendeley":{"formattedCitation":"(Wright, 2020)","plainTextFormattedCitation":"(Wright, 2020)","previouslyFormattedCitation":"(Wright, 2020)"},"properties":{"noteIndex":0},"schema":"https://github.com/citation-style-language/schema/raw/master/csl-citation.json"}</w:instrText>
      </w:r>
      <w:r w:rsidRPr="00216965">
        <w:fldChar w:fldCharType="separate"/>
      </w:r>
      <w:r w:rsidR="00330A4F" w:rsidRPr="00216965">
        <w:rPr>
          <w:noProof/>
        </w:rPr>
        <w:t>(Wright, 2020)</w:t>
      </w:r>
      <w:r w:rsidRPr="00216965">
        <w:fldChar w:fldCharType="end"/>
      </w:r>
      <w:r w:rsidRPr="00216965">
        <w:rPr>
          <w:color w:val="000000"/>
        </w:rPr>
        <w:t xml:space="preserve">. A phylogenetic tree was created for bacterial samples using the Neighbor joining (NJ) function from library phangorn </w:t>
      </w:r>
      <w:r w:rsidRPr="00216965">
        <w:fldChar w:fldCharType="begin" w:fldLock="1"/>
      </w:r>
      <w:r w:rsidR="00F56BD7" w:rsidRPr="00216965">
        <w:instrText>ADDIN CSL_CITATION {"citationItems":[{"id":"ITEM-1","itemData":{"DOI":"10.1093/BIOINFORMATICS/BTQ706","ISSN":"1367-4803","abstract":"Summary: phangorn is a package for phylogenetic reconstruction and analysis in the R language. Previously it was only possible to estimate phylogenetic trees with distance methods in R. phangorn, now offers the possibility of reconstructing phylogenies with distance based methods, maximum parsimony or maximum likelihood (ML) and performing Hadamard conjugation. Extending the general ML framework, this package provides the possibility of estimating mixture and partition models. Furthermore, phangorn offers several functions for comparing trees, phylogenetic models or splits, simulating character data and performing congruence analyses. © The Author(s) 2010. Published by Oxford University Press.","author":[{"dropping-particle":"","family":"Schliep","given":"Klaus Peter","non-dropping-particle":"","parse-names":false,"suffix":""}],"container-title":"Bioinformatics Application Note","id":"ITEM-1","issue":"4","issued":{"date-parts":[["2011","2","15"]]},"page":"592-593","publisher":"Oxford Academic","title":"phangorn: phylogenetic analysis in R","type":"article-journal","volume":"27"},"uris":["http://www.mendeley.com/documents/?uuid=042f4fd4-0f8f-3ecb-aaf6-53f1c4c83587"]}],"mendeley":{"formattedCitation":"(Schliep, 2011)","plainTextFormattedCitation":"(Schliep, 2011)","previouslyFormattedCitation":"(Schliep, 2011)"},"properties":{"noteIndex":0},"schema":"https://github.com/citation-style-language/schema/raw/master/csl-citation.json"}</w:instrText>
      </w:r>
      <w:r w:rsidRPr="00216965">
        <w:fldChar w:fldCharType="separate"/>
      </w:r>
      <w:r w:rsidR="00330A4F" w:rsidRPr="00216965">
        <w:rPr>
          <w:noProof/>
        </w:rPr>
        <w:t>(Schliep, 2011)</w:t>
      </w:r>
      <w:r w:rsidRPr="00216965">
        <w:fldChar w:fldCharType="end"/>
      </w:r>
      <w:r w:rsidRPr="00216965">
        <w:rPr>
          <w:color w:val="000000"/>
        </w:rPr>
        <w:t xml:space="preserve">; the tree was rooted. Further processing was performed using the phyloseq package </w:t>
      </w:r>
      <w:r w:rsidRPr="00216965">
        <w:fldChar w:fldCharType="begin" w:fldLock="1"/>
      </w:r>
      <w:r w:rsidR="00F56BD7" w:rsidRPr="00216965">
        <w:instrText>ADDIN CSL_CITATION {"citationItems":[{"id":"ITEM-1","itemData":{"DOI":"10.1371/JOURNAL.PONE.0061217","ISSN":"1932-6203","abstract":"Background 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 Results 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 Conclusions The phyloseq project for R is a new open-source software package, freely available on the web from both GitHub and Bioconductor.","author":[{"dropping-particle":"","family":"McMurdie","given":"Paul J.","non-dropping-particle":"","parse-names":false,"suffix":""},{"dropping-particle":"","family":"Holmes","given":"Susan","non-dropping-particle":"","parse-names":false,"suffix":""}],"container-title":"PLOS ONE","id":"ITEM-1","issue":"4","issued":{"date-parts":[["2013","4","22"]]},"page":"e61217","publisher":"Public Library of Science","title":"Phyloseq: An R package for reproducible interactive analysis and graphics of microbiome census data","type":"article-journal","volume":"8"},"uris":["http://www.mendeley.com/documents/?uuid=268ca6f0-b99c-3d43-ae04-362507be2889"]}],"mendeley":{"formattedCitation":"(McMurdie and Holmes, 2013)","plainTextFormattedCitation":"(McMurdie and Holmes, 2013)","previouslyFormattedCitation":"(McMurdie and Holmes, 2013)"},"properties":{"noteIndex":0},"schema":"https://github.com/citation-style-language/schema/raw/master/csl-citation.json"}</w:instrText>
      </w:r>
      <w:r w:rsidRPr="00216965">
        <w:fldChar w:fldCharType="separate"/>
      </w:r>
      <w:r w:rsidR="00330A4F" w:rsidRPr="00216965">
        <w:rPr>
          <w:noProof/>
        </w:rPr>
        <w:t>(McMurdie and Holmes, 2013)</w:t>
      </w:r>
      <w:r w:rsidRPr="00216965">
        <w:fldChar w:fldCharType="end"/>
      </w:r>
      <w:r w:rsidRPr="00216965">
        <w:rPr>
          <w:color w:val="000000"/>
        </w:rPr>
        <w:t xml:space="preserve">. Rarefaction curves were performed with the vegan package </w:t>
      </w:r>
      <w:r w:rsidRPr="00216965">
        <w:fldChar w:fldCharType="begin" w:fldLock="1"/>
      </w:r>
      <w:r w:rsidR="006C06AA" w:rsidRPr="00216965">
        <w:instrText>ADDIN CSL_CITATION {"citationItems":[{"id":"ITEM-1","itemData":{"abstract":"Depends permute (&gt;= 0.9-0), lattice, R (&gt;= 3.4.0) Suggests parallel, tcltk, knitr, markdown Imports MASS, cluster, mgcv VignetteBuilder utils, knitr Description Ordination methods, diversity analysis and other functions for community and vegetation ecologists. License GPL-2","author":[{"dropping-particle":"","family":"Oksanen","given":"Jari","non-dropping-particle":"","parse-names":false,"suffix":""},{"dropping-particle":"","family":"Blanchet","given":"F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 R","non-dropping-particle":"","parse-names":false,"suffix":""},{"dropping-particle":"","family":"O'hara","given":"R B","non-dropping-particle":"","parse-names":false,"suffix":""},{"dropping-particle":"","family":"Simpson","given":"Gavin L","non-dropping-particle":"","parse-names":false,"suffix":""},{"dropping-particle":"","family":"Solymos","given":"Peter","non-dropping-particle":"","parse-names":false,"suffix":""},{"dropping-particle":"","family":"Henry","given":"M","non-dropping-particle":"","parse-names":false,"suffix":""},{"dropping-particle":"","family":"Stevens","given":"H","non-dropping-particle":"","parse-names":false,"suffix":""},{"dropping-particle":"","family":"Szoecs","given":"Eduard","non-dropping-particle":"","parse-names":false,"suffix":""},{"dropping-particle":"","family":"Maintainer","given":"Helene Wagner","non-dropping-particle":"","parse-names":false,"suffix":""}],"id":"ITEM-1","issued":{"date-parts":[["2020"]]},"page":"1-297","title":"Package 'vegan'","type":"article"},"uris":["http://www.mendeley.com/documents/?uuid=91fbe4a8-44c2-39c8-814a-26fc3c20c898"]}],"mendeley":{"formattedCitation":"(Oksanen et al., 2020)","plainTextFormattedCitation":"(Oksanen et al., 2020)","previouslyFormattedCitation":"(Oksanen et al., 2020)"},"properties":{"noteIndex":0},"schema":"https://github.com/citation-style-language/schema/raw/master/csl-citation.json"}</w:instrText>
      </w:r>
      <w:r w:rsidRPr="00216965">
        <w:fldChar w:fldCharType="separate"/>
      </w:r>
      <w:r w:rsidR="00C83E62" w:rsidRPr="00216965">
        <w:rPr>
          <w:noProof/>
        </w:rPr>
        <w:t>(Oksanen et al., 2020)</w:t>
      </w:r>
      <w:r w:rsidRPr="00216965">
        <w:fldChar w:fldCharType="end"/>
      </w:r>
      <w:r w:rsidRPr="00216965">
        <w:t xml:space="preserve"> </w:t>
      </w:r>
      <w:r w:rsidRPr="00216965">
        <w:rPr>
          <w:color w:val="000000"/>
        </w:rPr>
        <w:t>and samples with a minimum of 1000 reads were selected. Alpha diversity indexes, such as Richness, Shannon and Inverse Simpson, were calculated. All samples were made a proportion out of 100% to estimate relative abundances. The change in composition of species among the different treatments was estimated by principal components analysis (PCoA) using weighted Unifrac and Bray distance for bacterial and fungal samples, respectively.</w:t>
      </w:r>
    </w:p>
    <w:p w14:paraId="5A575068" w14:textId="7465526F" w:rsidR="00B45740" w:rsidRPr="00216965" w:rsidRDefault="00B45740" w:rsidP="00554933">
      <w:pPr>
        <w:pBdr>
          <w:top w:val="nil"/>
          <w:left w:val="nil"/>
          <w:bottom w:val="nil"/>
          <w:right w:val="nil"/>
          <w:between w:val="nil"/>
        </w:pBdr>
        <w:spacing w:before="120" w:after="0" w:line="360" w:lineRule="auto"/>
        <w:jc w:val="both"/>
        <w:rPr>
          <w:color w:val="000000"/>
        </w:rPr>
      </w:pPr>
      <w:r w:rsidRPr="00216965">
        <w:rPr>
          <w:color w:val="000000"/>
        </w:rPr>
        <w:t xml:space="preserve">Statistical analysis of samples was performed by Permanova using the ‘pairwiseAdonis’ function. Differential </w:t>
      </w:r>
      <w:r w:rsidRPr="00216965">
        <w:t>ASV</w:t>
      </w:r>
      <w:r w:rsidRPr="00216965">
        <w:rPr>
          <w:color w:val="000000"/>
        </w:rPr>
        <w:t xml:space="preserve"> abundance was determined with DESeq2 </w:t>
      </w:r>
      <w:r w:rsidRPr="00216965">
        <w:fldChar w:fldCharType="begin" w:fldLock="1"/>
      </w:r>
      <w:r w:rsidR="006C06AA" w:rsidRPr="00216965">
        <w:instrText>ADDIN CSL_CITATION {"citationItems":[{"id":"ITEM-1","itemData":{"DOI":"10.1186/S13059-014-0550-8","ISSN":"1474-760X","abstract":"In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\n                  http://www.bioconductor.org/packages/release/bioc/html/DESeq2.html\n                  \n                .","author":[{"dropping-particle":"","family":"Love","given":"Michael I","non-dropping-particle":"","parse-names":false,"suffix":""},{"dropping-particle":"","family":"Huber","given":"Wolfgang","non-dropping-particle":"","parse-names":false,"suffix":""},{"dropping-particle":"","family":"Anders","given":"Simon","non-dropping-particle":"","parse-names":false,"suffix":""}],"container-title":"Genome Biology 2014 15:12","id":"ITEM-1","issue":"12","issued":{"date-parts":[["2014","12","5"]]},"page":"1-21","publisher":"BioMed Central","title":"Moderated estimation of fold change and dispersion for RNA-seq data with DESeq2","type":"article-journal","volume":"15"},"uris":["http://www.mendeley.com/documents/?uuid=f5d05a0a-c62c-3393-9d81-25cf6a7fc6d6"]}],"mendeley":{"formattedCitation":"(Love et al., 2014)","plainTextFormattedCitation":"(Love et al., 2014)","previouslyFormattedCitation":"(Love et al., 2014)"},"properties":{"noteIndex":0},"schema":"https://github.com/citation-style-language/schema/raw/master/csl-citation.json"}</w:instrText>
      </w:r>
      <w:r w:rsidRPr="00216965">
        <w:fldChar w:fldCharType="separate"/>
      </w:r>
      <w:r w:rsidR="001974AA" w:rsidRPr="00216965">
        <w:rPr>
          <w:noProof/>
        </w:rPr>
        <w:t>(Love et al., 2014)</w:t>
      </w:r>
      <w:r w:rsidRPr="00216965">
        <w:fldChar w:fldCharType="end"/>
      </w:r>
      <w:r w:rsidRPr="00216965">
        <w:rPr>
          <w:color w:val="000000"/>
        </w:rPr>
        <w:t xml:space="preserve"> using unrarefied data and parametric estimation of the count-variance relationship </w:t>
      </w:r>
      <w:r w:rsidRPr="00216965">
        <w:fldChar w:fldCharType="begin" w:fldLock="1"/>
      </w:r>
      <w:r w:rsidR="006C06AA" w:rsidRPr="00216965">
        <w:instrText>ADDIN CSL_CITATION {"citationItems":[{"id":"ITEM-1","itemData":{"DOI":"10.1016/J.ENVPOL.2021.116765","ISSN":"0269-7491","abstract":"Biodegradation is responsible for most contaminant removal in plumes of organic compounds and is fastest at the plume fringe where microbial cell numbers and activity are highest. As the plume migrates from the source, groundwater containing the contaminants and planktonic microbial community encounters uncontaminated substrata on which an attached community subsequently develops. While attached microbial communities are important for biodegradation, the time needed for their establishment, their relationship with the planktonic community and the processes controlling their development are not well understood. We compare the dynamics of development of attached microbial communities on sterile substrata in the field and laboratory microcosms, sampled simultaneously at intervals over two years. We show that attached microbial cell numbers increased rapidly and stabilised after similar periods of incubation (</w:instrText>
      </w:r>
      <w:r w:rsidR="006C06AA" w:rsidRPr="00216965">
        <w:rPr>
          <w:rFonts w:ascii="Cambria Math" w:hAnsi="Cambria Math" w:cs="Cambria Math"/>
        </w:rPr>
        <w:instrText>∼</w:instrText>
      </w:r>
      <w:r w:rsidR="006C06AA" w:rsidRPr="00216965">
        <w:instrText>100 days) in both field and microcosm experiments. These timescales were similar even though variation in the contaminant source evident in the field was absent in microcosm studies, implying that this period was an emergent property of the attached microbial community. 16S rRNA gene sequencing showed that attached and planktonic communities differed markedly, with many attached organisms strongly preferring attachment. Successional processes were evident, both in community diversity indices and from community network analysis. Community development was governed by both deterministic and stochastic processes and was related to the predilection of community members for different lifestyles and the geochemical environment.","author":[{"dropping-particle":"","family":"Mujica-Alarcon","given":"Juan F.","non-dropping-particle":"","parse-names":false,"suffix":""},{"dropping-particle":"","family":"Thornton","given":"Steven F.","non-dropping-particle":"","parse-names":false,"suffix":""},{"dropping-particle":"","family":"Rolfe","given":"Stephen A.","non-dropping-particle":"","parse-names":false,"suffix":""}],"container-title":"Environmental Pollution","id":"ITEM-1","issued":{"date-parts":[["2021","5","15"]]},"page":"116765","publisher":"Elsevier","title":"Long-term dynamic changes in attached and planktonic microbial communities in a contaminated aquifer","type":"article-journal","volume":"277"},"uris":["http://www.mendeley.com/documents/?uuid=0f65afc3-2d01-337f-bf54-d747db73c93c"]}],"mendeley":{"formattedCitation":"(Mujica-Alarcon et al., 2021)","plainTextFormattedCitation":"(Mujica-Alarcon et al., 2021)","previouslyFormattedCitation":"(Mujica-Alarcon et al., 2021)"},"properties":{"noteIndex":0},"schema":"https://github.com/citation-style-language/schema/raw/master/csl-citation.json"}</w:instrText>
      </w:r>
      <w:r w:rsidRPr="00216965">
        <w:fldChar w:fldCharType="separate"/>
      </w:r>
      <w:r w:rsidR="001974AA" w:rsidRPr="00216965">
        <w:rPr>
          <w:noProof/>
        </w:rPr>
        <w:t>(Mujica-Alarcon et al., 2021)</w:t>
      </w:r>
      <w:r w:rsidRPr="00216965">
        <w:fldChar w:fldCharType="end"/>
      </w:r>
      <w:r w:rsidRPr="00216965">
        <w:rPr>
          <w:color w:val="000000"/>
        </w:rPr>
        <w:t xml:space="preserve">. Contrasts between planted/unplanted and amended/unamended treatments were conducted; changes in ASVs were considered significant when they appeared at least 10 times in a read and the p value from the contrast was &lt; 0.05. Venn diagrams were performed to visualize the ASVs shared between treatments with the </w:t>
      </w:r>
      <w:r w:rsidRPr="00216965">
        <w:rPr>
          <w:i/>
          <w:color w:val="000000"/>
        </w:rPr>
        <w:t>ggvenn</w:t>
      </w:r>
      <w:r w:rsidRPr="00216965">
        <w:rPr>
          <w:color w:val="000000"/>
        </w:rPr>
        <w:t xml:space="preserve"> package </w:t>
      </w:r>
      <w:r w:rsidRPr="00216965">
        <w:fldChar w:fldCharType="begin" w:fldLock="1"/>
      </w:r>
      <w:r w:rsidR="00F56BD7" w:rsidRPr="00216965">
        <w:instrText>ADDIN CSL_CITATION {"citationItems":[{"id":"ITEM-1","itemData":{"URL":"https://cran.r-project.org/package=ggvenn","accessed":{"date-parts":[["2021","10","5"]]},"author":[{"dropping-particle":"","family":"Yan","given":"Linlin","non-dropping-particle":"","parse-names":false,"suffix":""}],"id":"ITEM-1","issued":{"date-parts":[["2021","6","29"]]},"publisher":"Comprehensive R Archive Network (CRAN)","title":"Draw Venn Diagram by 'ggplot2' [R package ggvenn version 0.1.9]","type":"webpage"},"uris":["http://www.mendeley.com/documents/?uuid=93d30c5b-dfff-3157-a8ee-43d528d87dab"]}],"mendeley":{"formattedCitation":"(Yan, 2021)","plainTextFormattedCitation":"(Yan, 2021)","previouslyFormattedCitation":"(Yan, 2021)"},"properties":{"noteIndex":0},"schema":"https://github.com/citation-style-language/schema/raw/master/csl-citation.json"}</w:instrText>
      </w:r>
      <w:r w:rsidRPr="00216965">
        <w:fldChar w:fldCharType="separate"/>
      </w:r>
      <w:r w:rsidR="00330A4F" w:rsidRPr="00216965">
        <w:rPr>
          <w:noProof/>
        </w:rPr>
        <w:t>(Yan, 2021)</w:t>
      </w:r>
      <w:r w:rsidRPr="00216965">
        <w:fldChar w:fldCharType="end"/>
      </w:r>
      <w:r w:rsidRPr="00216965">
        <w:rPr>
          <w:color w:val="000000"/>
        </w:rPr>
        <w:t xml:space="preserve">. Finally a canonical correspondence analysis (CCA) was performed with the package </w:t>
      </w:r>
      <w:r w:rsidRPr="00216965">
        <w:rPr>
          <w:i/>
          <w:color w:val="000000"/>
        </w:rPr>
        <w:t xml:space="preserve">vegan </w:t>
      </w:r>
      <w:r w:rsidRPr="00216965">
        <w:fldChar w:fldCharType="begin" w:fldLock="1"/>
      </w:r>
      <w:r w:rsidR="006C06AA" w:rsidRPr="00216965">
        <w:instrText>ADDIN CSL_CITATION {"citationItems":[{"id":"ITEM-1","itemData":{"abstract":"Depends permute (&gt;= 0.9-0), lattice, R (&gt;= 3.4.0) Suggests parallel, tcltk, knitr, markdown Imports MASS, cluster, mgcv VignetteBuilder utils, knitr Description Ordination methods, diversity analysis and other functions for community and vegetation ecologists. License GPL-2","author":[{"dropping-particle":"","family":"Oksanen","given":"Jari","non-dropping-particle":"","parse-names":false,"suffix":""},{"dropping-particle":"","family":"Blanchet","given":"F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 R","non-dropping-particle":"","parse-names":false,"suffix":""},{"dropping-particle":"","family":"O'hara","given":"R B","non-dropping-particle":"","parse-names":false,"suffix":""},{"dropping-particle":"","family":"Simpson","given":"Gavin L","non-dropping-particle":"","parse-names":false,"suffix":""},{"dropping-particle":"","family":"Solymos","given":"Peter","non-dropping-particle":"","parse-names":false,"suffix":""},{"dropping-particle":"","family":"Henry","given":"M","non-dropping-particle":"","parse-names":false,"suffix":""},{"dropping-particle":"","family":"Stevens","given":"H","non-dropping-particle":"","parse-names":false,"suffix":""},{"dropping-particle":"","family":"Szoecs","given":"Eduard","non-dropping-particle":"","parse-names":false,"suffix":""},{"dropping-particle":"","family":"Maintainer","given":"Helene Wagner","non-dropping-particle":"","parse-names":false,"suffix":""}],"id":"ITEM-1","issued":{"date-parts":[["2020"]]},"page":"1-297","title":"Package 'vegan'","type":"article"},"uris":["http://www.mendeley.com/documents/?uuid=91fbe4a8-44c2-39c8-814a-26fc3c20c898"]}],"mendeley":{"formattedCitation":"(Oksanen et al., 2020)","plainTextFormattedCitation":"(Oksanen et al., 2020)","previouslyFormattedCitation":"(Oksanen et al., 2020)"},"properties":{"noteIndex":0},"schema":"https://github.com/citation-style-language/schema/raw/master/csl-citation.json"}</w:instrText>
      </w:r>
      <w:r w:rsidRPr="00216965">
        <w:fldChar w:fldCharType="separate"/>
      </w:r>
      <w:r w:rsidR="00C83E62" w:rsidRPr="00216965">
        <w:rPr>
          <w:noProof/>
        </w:rPr>
        <w:t>(Oksanen et al., 2020)</w:t>
      </w:r>
      <w:r w:rsidRPr="00216965">
        <w:fldChar w:fldCharType="end"/>
      </w:r>
      <w:r w:rsidRPr="00216965">
        <w:rPr>
          <w:color w:val="000000"/>
        </w:rPr>
        <w:t xml:space="preserve"> to </w:t>
      </w:r>
      <w:r w:rsidR="002C3A64" w:rsidRPr="00216965">
        <w:rPr>
          <w:color w:val="000000"/>
        </w:rPr>
        <w:t>ellucidate</w:t>
      </w:r>
      <w:r w:rsidRPr="00216965">
        <w:rPr>
          <w:color w:val="000000"/>
        </w:rPr>
        <w:t xml:space="preserve"> the relationships between biological assemblages of species and the environment. The soil properties used in the CCA were the ones used for the cross correlation matrix </w:t>
      </w:r>
      <w:r w:rsidRPr="00216965">
        <w:rPr>
          <w:b/>
          <w:bCs/>
        </w:rPr>
        <w:fldChar w:fldCharType="begin"/>
      </w:r>
      <w:r w:rsidRPr="00216965">
        <w:rPr>
          <w:b/>
          <w:bCs/>
        </w:rPr>
        <w:instrText xml:space="preserve"> REF _Ref84093285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5</w:t>
      </w:r>
      <w:r w:rsidR="006E23EA" w:rsidRPr="00216965">
        <w:rPr>
          <w:b/>
          <w:bCs/>
          <w:noProof/>
        </w:rPr>
        <w:noBreakHyphen/>
        <w:t>8</w:t>
      </w:r>
      <w:r w:rsidRPr="00216965">
        <w:rPr>
          <w:b/>
          <w:bCs/>
        </w:rPr>
        <w:fldChar w:fldCharType="end"/>
      </w:r>
      <w:r w:rsidRPr="00216965">
        <w:rPr>
          <w:b/>
          <w:color w:val="000000"/>
        </w:rPr>
        <w:t>.</w:t>
      </w:r>
    </w:p>
    <w:p w14:paraId="62B47B93" w14:textId="77777777" w:rsidR="00B45740" w:rsidRPr="00216965" w:rsidRDefault="00B45740" w:rsidP="008A33DA">
      <w:pPr>
        <w:pStyle w:val="Heading3"/>
      </w:pPr>
      <w:bookmarkStart w:id="341" w:name="_Toc86504695"/>
      <w:r w:rsidRPr="00216965">
        <w:t>Microbial activity: soil respiration and PLFA analysis</w:t>
      </w:r>
      <w:bookmarkEnd w:id="341"/>
    </w:p>
    <w:p w14:paraId="40F58F6B" w14:textId="77777777" w:rsidR="00B45740" w:rsidRPr="00216965" w:rsidRDefault="00B45740" w:rsidP="008A33DA">
      <w:pPr>
        <w:spacing w:line="360" w:lineRule="auto"/>
        <w:jc w:val="both"/>
      </w:pPr>
      <w:r w:rsidRPr="00216965">
        <w:t xml:space="preserve">The effect of biochar on the long-term microbial activity of Wemyss soil was examined within a secondment undertaken at The University of Natural Resources and Applied Life Sciences (BOKU), Austria. The secondment was conducted in two separate stays. During </w:t>
      </w:r>
      <w:r w:rsidRPr="00216965">
        <w:lastRenderedPageBreak/>
        <w:t xml:space="preserve">the first visit in 2019 the experiments were undertaken with another research student (Bastian Saputra), while during the second visit (2020) I conducted the experimentation alone. Microbial activity was studied by monitoring soil respiration (C mineralization) as a parameter directly related to soil functioning. Changes in soil microbial community composition were studied from phospholipid fatty acid (PLFA) profiles. </w:t>
      </w:r>
    </w:p>
    <w:p w14:paraId="278BCD9F" w14:textId="77777777" w:rsidR="00B45740" w:rsidRPr="00216965" w:rsidRDefault="00B45740" w:rsidP="008A33DA">
      <w:pPr>
        <w:pStyle w:val="Heading4"/>
      </w:pPr>
      <w:r w:rsidRPr="00216965">
        <w:t>Experiment set-up</w:t>
      </w:r>
    </w:p>
    <w:p w14:paraId="6EFDA7B5" w14:textId="77777777" w:rsidR="00554933" w:rsidRPr="00216965" w:rsidRDefault="00B45740" w:rsidP="008A33DA">
      <w:pPr>
        <w:spacing w:after="0" w:line="360" w:lineRule="auto"/>
        <w:jc w:val="both"/>
      </w:pPr>
      <w:r w:rsidRPr="00216965">
        <w:t>Wemyss soil was dried at 40 °C, ground manually with a mortar and pestle and sieved through a 2 mm stainless steel sieve. Thereafter, 4 kg of soil was sent to the Soil Institute-BOKU (Austria). A 1.0 ± 0.1 kg sample of soil was mixed with biochar WSP550 at 3 % (</w:t>
      </w:r>
      <w:r w:rsidRPr="00216965">
        <w:rPr>
          <w:i/>
        </w:rPr>
        <w:t>w/w</w:t>
      </w:r>
      <w:r w:rsidRPr="00216965">
        <w:t xml:space="preserve">) in a plastic pot (15 cm square, 10 cm depth), with a second pot containing 1.0 ± 0.1 kg without biochar addition used as a control. Deionized water was added to reach 60 % water holding capacity (WHC) and the pots were incubated at 20 °C for 4 weeks, keeping the soil moisture constant at 60%. </w:t>
      </w:r>
    </w:p>
    <w:p w14:paraId="395C06C2" w14:textId="76712DF9" w:rsidR="00B45740" w:rsidRPr="00216965" w:rsidRDefault="00B45740" w:rsidP="00554933">
      <w:pPr>
        <w:spacing w:before="120" w:after="0" w:line="360" w:lineRule="auto"/>
        <w:jc w:val="both"/>
      </w:pPr>
      <w:r w:rsidRPr="00216965">
        <w:t>The soil was then used to measure substrate-induced respiration and for PLFA analysis, after which it was transported to Sheffield and left to age in the out-door compound at the Arthur Willis Research Centre. To assess long term changes in microbial community composition, 12 months later 1 ± 0.1 kg of the soil from each treatment (Soil+biochar and control soil) were taken to BOKU and analysed again for mineralization and PLFA.</w:t>
      </w:r>
    </w:p>
    <w:p w14:paraId="1A7C0A95" w14:textId="77777777" w:rsidR="00B45740" w:rsidRPr="00216965" w:rsidRDefault="00B45740" w:rsidP="008A33DA">
      <w:pPr>
        <w:pStyle w:val="Heading4"/>
      </w:pPr>
      <w:r w:rsidRPr="00216965">
        <w:t>Substrate-induced respiration</w:t>
      </w:r>
    </w:p>
    <w:p w14:paraId="1BCD8DFB" w14:textId="51408E38" w:rsidR="00554933" w:rsidRPr="00216965" w:rsidRDefault="00B45740" w:rsidP="008A33DA">
      <w:pPr>
        <w:spacing w:line="360" w:lineRule="auto"/>
        <w:jc w:val="both"/>
      </w:pPr>
      <w:r w:rsidRPr="00216965">
        <w:t xml:space="preserve">Substrate-induced respiration (SIR) was used to measure active microbial biomass in the soil treated with biochar and the untreated soil (control). This was evaluated according to the ability of the soil to mineralize </w:t>
      </w:r>
      <w:r w:rsidRPr="00216965">
        <w:rPr>
          <w:vertAlign w:val="superscript"/>
        </w:rPr>
        <w:t>13</w:t>
      </w:r>
      <w:r w:rsidRPr="00216965">
        <w:t xml:space="preserve">C-labelled glucose as a substrate (Sigma Aldrich 99% </w:t>
      </w:r>
      <w:r w:rsidRPr="00216965">
        <w:rPr>
          <w:vertAlign w:val="superscript"/>
        </w:rPr>
        <w:t>13</w:t>
      </w:r>
      <w:r w:rsidRPr="00216965">
        <w:t xml:space="preserve">C atom). A 2.0 ± 0.3 g sample of soil from each treatment was placed into 20.5 mL glass vials and then substrate was added in solution (100 μL </w:t>
      </w:r>
      <w:r w:rsidR="002C3A64" w:rsidRPr="00216965">
        <w:t>solution</w:t>
      </w:r>
      <w:r w:rsidR="008563DC" w:rsidRPr="00216965">
        <w:t xml:space="preserve"> </w:t>
      </w:r>
      <w:r w:rsidR="002C3A64" w:rsidRPr="00216965">
        <w:t xml:space="preserve"> </w:t>
      </w:r>
      <w:r w:rsidRPr="00216965">
        <w:t xml:space="preserve">of </w:t>
      </w:r>
      <w:r w:rsidR="008563DC" w:rsidRPr="00216965">
        <w:t xml:space="preserve"> </w:t>
      </w:r>
      <w:r w:rsidRPr="00216965">
        <w:t xml:space="preserve">500 µg </w:t>
      </w:r>
      <w:r w:rsidR="008563DC" w:rsidRPr="00216965">
        <w:t xml:space="preserve"> </w:t>
      </w:r>
      <w:r w:rsidRPr="00216965">
        <w:rPr>
          <w:vertAlign w:val="superscript"/>
        </w:rPr>
        <w:t>13</w:t>
      </w:r>
      <w:r w:rsidRPr="00216965">
        <w:t>C.g</w:t>
      </w:r>
      <w:r w:rsidRPr="00216965">
        <w:rPr>
          <w:vertAlign w:val="superscript"/>
        </w:rPr>
        <w:t>-1</w:t>
      </w:r>
      <w:r w:rsidRPr="00216965">
        <w:t>). Five replicate vials were prepared for each treatment, giving a total of 10 vials. The vials were closed with aluminium crimp caps fitted with rubber septum and flushed with synthetic air (free of CO</w:t>
      </w:r>
      <w:r w:rsidRPr="00216965">
        <w:rPr>
          <w:vertAlign w:val="subscript"/>
        </w:rPr>
        <w:t>2</w:t>
      </w:r>
      <w:r w:rsidRPr="00216965">
        <w:t xml:space="preserve">). </w:t>
      </w:r>
    </w:p>
    <w:p w14:paraId="23AEC242" w14:textId="18054062" w:rsidR="00B45740" w:rsidRPr="00216965" w:rsidRDefault="00B45740" w:rsidP="008A33DA">
      <w:pPr>
        <w:spacing w:line="360" w:lineRule="auto"/>
        <w:jc w:val="both"/>
      </w:pPr>
      <w:r w:rsidRPr="00216965">
        <w:t>Measurements of CO</w:t>
      </w:r>
      <w:r w:rsidRPr="00216965">
        <w:rPr>
          <w:vertAlign w:val="subscript"/>
        </w:rPr>
        <w:t>2</w:t>
      </w:r>
      <w:r w:rsidRPr="00216965">
        <w:t xml:space="preserve"> evolution inside the vials were carried out for 3 consecutive days by EA-IRMS (Elemental Analysis-Isotopic Ratio Mass Spectrometry coupled with Delta </w:t>
      </w:r>
      <w:r w:rsidRPr="00216965">
        <w:lastRenderedPageBreak/>
        <w:t>V Advantage, Thermo Scientific, Germany). The production of CO</w:t>
      </w:r>
      <w:r w:rsidRPr="00216965">
        <w:rPr>
          <w:vertAlign w:val="subscript"/>
        </w:rPr>
        <w:t xml:space="preserve">2 </w:t>
      </w:r>
      <w:r w:rsidRPr="00216965">
        <w:t>over time was studied with the logistic model</w:t>
      </w:r>
      <w:r w:rsidR="00554933" w:rsidRPr="00216965">
        <w:t xml:space="preserve"> </w:t>
      </w:r>
      <w:r w:rsidR="00851E24" w:rsidRPr="00216965">
        <w:t xml:space="preserve">presented in </w:t>
      </w:r>
      <w:r w:rsidR="00851E24" w:rsidRPr="00216965">
        <w:fldChar w:fldCharType="begin"/>
      </w:r>
      <w:r w:rsidR="00851E24" w:rsidRPr="00216965">
        <w:instrText xml:space="preserve"> REF _Ref99568457 \h </w:instrText>
      </w:r>
      <w:r w:rsidR="00216965" w:rsidRPr="00216965">
        <w:instrText xml:space="preserve"> \* MERGEFORMAT </w:instrText>
      </w:r>
      <w:r w:rsidR="00851E24" w:rsidRPr="00216965">
        <w:fldChar w:fldCharType="separate"/>
      </w:r>
      <w:r w:rsidR="00851E24" w:rsidRPr="00216965">
        <w:rPr>
          <w:b/>
          <w:bCs/>
        </w:rPr>
        <w:t xml:space="preserve">Eq. </w:t>
      </w:r>
      <w:r w:rsidR="00851E24" w:rsidRPr="00216965">
        <w:rPr>
          <w:b/>
          <w:bCs/>
          <w:noProof/>
        </w:rPr>
        <w:t>13</w:t>
      </w:r>
      <w:r w:rsidR="00851E24" w:rsidRPr="00216965">
        <w:fldChar w:fldCharType="end"/>
      </w:r>
      <w:r w:rsidRPr="00216965">
        <w:t>:</w:t>
      </w:r>
    </w:p>
    <w:p w14:paraId="20DAB742" w14:textId="7E9973DC" w:rsidR="00AE4768" w:rsidRPr="00216965" w:rsidRDefault="00AE4768" w:rsidP="008A33DA">
      <w:pPr>
        <w:pStyle w:val="Caption"/>
        <w:keepNext/>
      </w:pPr>
    </w:p>
    <w:tbl>
      <w:tblPr>
        <w:tblW w:w="9026" w:type="dxa"/>
        <w:jc w:val="right"/>
        <w:tblLayout w:type="fixed"/>
        <w:tblLook w:val="0400" w:firstRow="0" w:lastRow="0" w:firstColumn="0" w:lastColumn="0" w:noHBand="0" w:noVBand="1"/>
      </w:tblPr>
      <w:tblGrid>
        <w:gridCol w:w="5812"/>
        <w:gridCol w:w="3214"/>
      </w:tblGrid>
      <w:tr w:rsidR="00B45740" w:rsidRPr="00216965" w14:paraId="48EBB657" w14:textId="77777777" w:rsidTr="00AE4768">
        <w:trPr>
          <w:jc w:val="right"/>
        </w:trPr>
        <w:tc>
          <w:tcPr>
            <w:tcW w:w="5812" w:type="dxa"/>
          </w:tcPr>
          <w:p w14:paraId="025F2670" w14:textId="39DF4879" w:rsidR="00B45740" w:rsidRPr="00216965" w:rsidRDefault="00BB30F1" w:rsidP="008A33DA">
            <w:pPr>
              <w:jc w:val="right"/>
              <w:rPr>
                <w:rFonts w:ascii="Cambria Math" w:eastAsia="Cambria Math" w:hAnsi="Cambria Math" w:cs="Cambria Math"/>
              </w:rPr>
            </w:pPr>
            <m:oMathPara>
              <m:oMathParaPr>
                <m:jc m:val="right"/>
              </m:oMathParaP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t</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max</m:t>
                        </m:r>
                      </m:sub>
                    </m:sSub>
                  </m:num>
                  <m:den>
                    <m:r>
                      <w:rPr>
                        <w:rFonts w:ascii="Cambria Math" w:eastAsia="Cambria Math" w:hAnsi="Cambria Math" w:cs="Cambria Math"/>
                      </w:rPr>
                      <m:t xml:space="preserve">1+ </m:t>
                    </m:r>
                    <m:d>
                      <m:dPr>
                        <m:ctrlPr>
                          <w:rPr>
                            <w:rFonts w:ascii="Cambria Math" w:eastAsia="Cambria Math" w:hAnsi="Cambria Math" w:cs="Cambria Math"/>
                          </w:rPr>
                        </m:ctrlPr>
                      </m:dPr>
                      <m:e>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max</m:t>
                                </m:r>
                              </m:sub>
                            </m:sSub>
                          </m:num>
                          <m:den>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o</m:t>
                                </m:r>
                              </m:sub>
                            </m:sSub>
                          </m:den>
                        </m:f>
                        <m:r>
                          <w:rPr>
                            <w:rFonts w:ascii="Cambria Math" w:eastAsia="Cambria Math" w:hAnsi="Cambria Math" w:cs="Cambria Math"/>
                          </w:rPr>
                          <m:t xml:space="preserve"> -1</m:t>
                        </m:r>
                      </m:e>
                    </m:d>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e</m:t>
                        </m:r>
                      </m:e>
                      <m:sup>
                        <m:r>
                          <w:rPr>
                            <w:rFonts w:ascii="Cambria Math" w:eastAsia="Cambria Math" w:hAnsi="Cambria Math" w:cs="Cambria Math"/>
                          </w:rPr>
                          <m:t>-kt</m:t>
                        </m:r>
                      </m:sup>
                    </m:sSup>
                  </m:den>
                </m:f>
              </m:oMath>
            </m:oMathPara>
          </w:p>
        </w:tc>
        <w:tc>
          <w:tcPr>
            <w:tcW w:w="3214" w:type="dxa"/>
          </w:tcPr>
          <w:p w14:paraId="17523C9B" w14:textId="2390575C" w:rsidR="00B45740" w:rsidRPr="00216965" w:rsidRDefault="00AE4768" w:rsidP="008A33DA">
            <w:pPr>
              <w:spacing w:line="360" w:lineRule="auto"/>
              <w:rPr>
                <w:b/>
                <w:bCs/>
              </w:rPr>
            </w:pPr>
            <w:r w:rsidRPr="00216965">
              <w:rPr>
                <w:b/>
                <w:bCs/>
              </w:rPr>
              <w:t xml:space="preserve">     </w:t>
            </w:r>
            <w:bookmarkStart w:id="342" w:name="_Ref99568457"/>
            <w:r w:rsidRPr="00216965">
              <w:rPr>
                <w:b/>
                <w:bCs/>
              </w:rPr>
              <w:t xml:space="preserve">Eq. </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13</w:t>
            </w:r>
            <w:r w:rsidRPr="00216965">
              <w:rPr>
                <w:b/>
                <w:bCs/>
              </w:rPr>
              <w:fldChar w:fldCharType="end"/>
            </w:r>
            <w:bookmarkEnd w:id="342"/>
          </w:p>
        </w:tc>
      </w:tr>
    </w:tbl>
    <w:p w14:paraId="5BD54204" w14:textId="43A3DB28" w:rsidR="00B45740" w:rsidRPr="00216965" w:rsidRDefault="00B45740" w:rsidP="008A33DA">
      <w:pPr>
        <w:spacing w:line="360" w:lineRule="auto"/>
        <w:jc w:val="both"/>
      </w:pPr>
      <w:r w:rsidRPr="00216965">
        <w:t xml:space="preserve">where </w:t>
      </w:r>
      <w:r w:rsidRPr="00216965">
        <w:rPr>
          <w:i/>
        </w:rPr>
        <w:t>C</w:t>
      </w:r>
      <w:r w:rsidRPr="00216965">
        <w:rPr>
          <w:i/>
          <w:vertAlign w:val="subscript"/>
        </w:rPr>
        <w:t>t</w:t>
      </w:r>
      <w:r w:rsidRPr="00216965">
        <w:t xml:space="preserve"> is the cumulative CO</w:t>
      </w:r>
      <w:r w:rsidRPr="00216965">
        <w:rPr>
          <w:vertAlign w:val="subscript"/>
        </w:rPr>
        <w:t>2</w:t>
      </w:r>
      <w:r w:rsidRPr="00216965">
        <w:t xml:space="preserve"> evolved at time t (mg</w:t>
      </w:r>
      <w:r w:rsidR="00851E24" w:rsidRPr="00216965">
        <w:t>.</w:t>
      </w:r>
      <w:r w:rsidRPr="00216965">
        <w:t>g</w:t>
      </w:r>
      <w:r w:rsidR="00851E24" w:rsidRPr="00216965">
        <w:rPr>
          <w:rFonts w:eastAsia="Gungsuh" w:cs="Times New Roman"/>
          <w:vertAlign w:val="superscript"/>
        </w:rPr>
        <w:t>-1</w:t>
      </w:r>
      <w:r w:rsidRPr="00216965">
        <w:t xml:space="preserve">), </w:t>
      </w:r>
      <w:r w:rsidRPr="00216965">
        <w:rPr>
          <w:i/>
        </w:rPr>
        <w:t>C</w:t>
      </w:r>
      <w:r w:rsidRPr="00216965">
        <w:rPr>
          <w:i/>
          <w:vertAlign w:val="subscript"/>
        </w:rPr>
        <w:t>max</w:t>
      </w:r>
      <w:r w:rsidRPr="00216965">
        <w:t xml:space="preserve"> is the constant indicating the upper limit of the concentration of CO</w:t>
      </w:r>
      <w:r w:rsidRPr="00216965">
        <w:rPr>
          <w:vertAlign w:val="subscript"/>
        </w:rPr>
        <w:t>2</w:t>
      </w:r>
      <w:r w:rsidRPr="00216965">
        <w:t xml:space="preserve"> production, </w:t>
      </w:r>
      <w:r w:rsidRPr="00216965">
        <w:rPr>
          <w:i/>
        </w:rPr>
        <w:t>C</w:t>
      </w:r>
      <w:r w:rsidRPr="00216965">
        <w:rPr>
          <w:i/>
          <w:vertAlign w:val="subscript"/>
        </w:rPr>
        <w:t>o</w:t>
      </w:r>
      <w:r w:rsidRPr="00216965">
        <w:t xml:space="preserve"> is the concentration of CO</w:t>
      </w:r>
      <w:r w:rsidRPr="00216965">
        <w:rPr>
          <w:vertAlign w:val="subscript"/>
        </w:rPr>
        <w:t>2</w:t>
      </w:r>
      <w:r w:rsidRPr="00216965">
        <w:t xml:space="preserve"> at zero time, and </w:t>
      </w:r>
      <w:r w:rsidRPr="00216965">
        <w:rPr>
          <w:i/>
        </w:rPr>
        <w:t>k</w:t>
      </w:r>
      <w:r w:rsidRPr="00216965">
        <w:t xml:space="preserve"> is the rate constant (min</w:t>
      </w:r>
      <w:r w:rsidRPr="00216965">
        <w:rPr>
          <w:vertAlign w:val="superscript"/>
        </w:rPr>
        <w:t>-1</w:t>
      </w:r>
      <w:r w:rsidRPr="00216965">
        <w:t xml:space="preserve">). The parametrization of the logistic model was taken from </w:t>
      </w:r>
      <w:r w:rsidRPr="00216965">
        <w:rPr>
          <w:rFonts w:eastAsiaTheme="minorEastAsia"/>
          <w:bCs/>
        </w:rPr>
        <w:fldChar w:fldCharType="begin" w:fldLock="1"/>
      </w:r>
      <w:r w:rsidR="00F56BD7" w:rsidRPr="00216965">
        <w:rPr>
          <w:rFonts w:eastAsiaTheme="minorEastAsia"/>
          <w:bCs/>
        </w:rPr>
        <w:instrText>ADDIN CSL_CITATION {"citationItems":[{"id":"ITEM-1","itemData":{"DOI":"10.1080/00380768.1986.10557521","ISSN":"1747-0765","author":[{"dropping-particle":"","family":"Yonebayashi","given":"Koyo","non-dropping-particle":"","parse-names":false,"suffix":""},{"dropping-particle":"","family":"Hattori","given":"Tomoo","non-dropping-particle":"","parse-names":false,"suffix":""}],"container-title":"Soil Science and Plant Nutrition","id":"ITEM-1","issue":"3","issued":{"date-parts":[["1986"]]},"page":"407-420","title":"Patterns and factors controlling nitrogen mineralization in paddy soils in tropical and temperate regions","type":"article-journal","volume":"32"},"uris":["http://www.mendeley.com/documents/?uuid=ea605883-da45-3310-b241-dc6f8a3f29be"]}],"mendeley":{"formattedCitation":"(Yonebayashi and Hattori, 1986)","manualFormatting":"Yonebayashi and Hattori (2012)","plainTextFormattedCitation":"(Yonebayashi and Hattori, 1986)","previouslyFormattedCitation":"(Yonebayashi and Hattori, 1986)"},"properties":{"noteIndex":0},"schema":"https://github.com/citation-style-language/schema/raw/master/csl-citation.json"}</w:instrText>
      </w:r>
      <w:r w:rsidRPr="00216965">
        <w:rPr>
          <w:rFonts w:eastAsiaTheme="minorEastAsia"/>
          <w:bCs/>
        </w:rPr>
        <w:fldChar w:fldCharType="separate"/>
      </w:r>
      <w:r w:rsidRPr="00216965">
        <w:rPr>
          <w:rFonts w:eastAsiaTheme="minorEastAsia"/>
          <w:bCs/>
          <w:noProof/>
        </w:rPr>
        <w:t>Yonebayashi and Hattori (2012)</w:t>
      </w:r>
      <w:r w:rsidRPr="00216965">
        <w:rPr>
          <w:rFonts w:eastAsiaTheme="minorEastAsia"/>
          <w:bCs/>
        </w:rPr>
        <w:fldChar w:fldCharType="end"/>
      </w:r>
    </w:p>
    <w:p w14:paraId="1F5277A2" w14:textId="77777777" w:rsidR="00B45740" w:rsidRPr="00216965" w:rsidRDefault="00B45740" w:rsidP="008A33DA">
      <w:pPr>
        <w:pStyle w:val="Heading4"/>
      </w:pPr>
      <w:r w:rsidRPr="00216965">
        <w:t>PLFA analysis</w:t>
      </w:r>
    </w:p>
    <w:p w14:paraId="39A9A44B" w14:textId="77777777" w:rsidR="00851E24" w:rsidRPr="00216965" w:rsidRDefault="00B45740" w:rsidP="008A33DA">
      <w:pPr>
        <w:spacing w:after="0" w:line="360" w:lineRule="auto"/>
        <w:jc w:val="both"/>
      </w:pPr>
      <w:r w:rsidRPr="00216965">
        <w:t>Once CO</w:t>
      </w:r>
      <w:r w:rsidRPr="00216965">
        <w:rPr>
          <w:vertAlign w:val="subscript"/>
        </w:rPr>
        <w:t>2</w:t>
      </w:r>
      <w:r w:rsidRPr="00216965">
        <w:t xml:space="preserve"> measurements were finished soil samples were frozen (-20°C) prior to PLFA extraction. Thawed soil samples were recovered from the glass vials, weighed and transferred to a 12 ml glass tube. Phospholipid fatty acids (PLFA) were extracted and analysed according to </w:t>
      </w:r>
      <w:r w:rsidRPr="00216965">
        <w:rPr>
          <w:bCs/>
        </w:rPr>
        <w:fldChar w:fldCharType="begin" w:fldLock="1"/>
      </w:r>
      <w:r w:rsidR="00F56BD7" w:rsidRPr="00216965">
        <w:rPr>
          <w:bCs/>
        </w:rPr>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2015)","manualFormatting":"Watzinger (2015)","plainTextFormattedCitation":"(Watzinger, 2015)","previouslyFormattedCitation":"(Watzinger, 2015)"},"properties":{"noteIndex":0},"schema":"https://github.com/citation-style-language/schema/raw/master/csl-citation.json"}</w:instrText>
      </w:r>
      <w:r w:rsidRPr="00216965">
        <w:rPr>
          <w:bCs/>
        </w:rPr>
        <w:fldChar w:fldCharType="separate"/>
      </w:r>
      <w:r w:rsidRPr="00216965">
        <w:rPr>
          <w:bCs/>
          <w:noProof/>
        </w:rPr>
        <w:t>Watzinger (2015)</w:t>
      </w:r>
      <w:r w:rsidRPr="00216965">
        <w:rPr>
          <w:bCs/>
        </w:rPr>
        <w:fldChar w:fldCharType="end"/>
      </w:r>
      <w:r w:rsidRPr="00216965">
        <w:t xml:space="preserve">. Approximately 2 grams of soil (recovered from the mineralization experiment) were mixed with 1.7 mL citric buffer (0.085 M citric acid, 0.065 M tri-potassium citrate adjusted at pH 4), 2.1 mL chloroform, 3.2 mL methanol and 1.0 mL of the PLFA standard 19:00 (15 nmol); the mixture was incubated overnight at 20 °C. </w:t>
      </w:r>
    </w:p>
    <w:p w14:paraId="6DDF9868" w14:textId="77777777" w:rsidR="00851E24" w:rsidRPr="00216965" w:rsidRDefault="00B45740" w:rsidP="00851E24">
      <w:pPr>
        <w:spacing w:before="120" w:after="0" w:line="360" w:lineRule="auto"/>
        <w:jc w:val="both"/>
      </w:pPr>
      <w:r w:rsidRPr="00216965">
        <w:t>The next day the mixture was centrifuged at 2000 g for 1 minute and the supernatant recovered. The supernatant was passed through solid phase extraction columns (</w:t>
      </w:r>
      <w:r w:rsidR="00635072" w:rsidRPr="00216965">
        <w:t xml:space="preserve">Biotage, </w:t>
      </w:r>
      <w:r w:rsidRPr="00216965">
        <w:t>Isolute SI</w:t>
      </w:r>
      <w:r w:rsidR="00635072" w:rsidRPr="00216965">
        <w:t>, Fisher Scientific, USA</w:t>
      </w:r>
      <w:r w:rsidRPr="00216965">
        <w:t xml:space="preserve">) filled with 500 mg unbonded silica, 50 μm in diameter and 60 Å pore size. Lipids retained in the solid phase were eluted with methanol. Methanolic KOH was used to start a mild alkaline transmethylation to transform phospholipids into fatty acid methyl esters (FAMEs), and methylated samples were concentrated by incubation at 40°C for 20 min. </w:t>
      </w:r>
    </w:p>
    <w:p w14:paraId="3820320C" w14:textId="1C83A328" w:rsidR="00B45740" w:rsidRPr="00216965" w:rsidRDefault="00B45740" w:rsidP="00851E24">
      <w:pPr>
        <w:spacing w:before="120" w:after="0" w:line="360" w:lineRule="auto"/>
        <w:jc w:val="both"/>
      </w:pPr>
      <w:r w:rsidRPr="00216965">
        <w:t xml:space="preserve">Finally, samples were collected in GC vials and stored in darkness at -20 °C. Isotopic ratios and areas were measured as described by </w:t>
      </w:r>
      <w:r w:rsidRPr="00216965">
        <w:rPr>
          <w:bCs/>
        </w:rPr>
        <w:fldChar w:fldCharType="begin" w:fldLock="1"/>
      </w:r>
      <w:r w:rsidR="00F56BD7" w:rsidRPr="00216965">
        <w:rPr>
          <w:bCs/>
        </w:rPr>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2015)","manualFormatting":"Watzinger (2015)","plainTextFormattedCitation":"(Watzinger, 2015)","previouslyFormattedCitation":"(Watzinger, 2015)"},"properties":{"noteIndex":0},"schema":"https://github.com/citation-style-language/schema/raw/master/csl-citation.json"}</w:instrText>
      </w:r>
      <w:r w:rsidRPr="00216965">
        <w:rPr>
          <w:bCs/>
        </w:rPr>
        <w:fldChar w:fldCharType="separate"/>
      </w:r>
      <w:r w:rsidRPr="00216965">
        <w:rPr>
          <w:bCs/>
          <w:noProof/>
        </w:rPr>
        <w:t>Watzinger (2015)</w:t>
      </w:r>
      <w:r w:rsidRPr="00216965">
        <w:rPr>
          <w:bCs/>
        </w:rPr>
        <w:fldChar w:fldCharType="end"/>
      </w:r>
      <w:r w:rsidRPr="00216965">
        <w:rPr>
          <w:bCs/>
        </w:rPr>
        <w:t xml:space="preserve"> </w:t>
      </w:r>
      <w:r w:rsidRPr="00216965">
        <w:t xml:space="preserve">using GC-c-IRMS (gas chromatography-combustion-isotopic ratio mass spectrometry) with a HP5890 Series II (Agilent, Santa Clara, USA) connected to a Delta S via a Combustion II Interface </w:t>
      </w:r>
      <w:r w:rsidRPr="00216965">
        <w:lastRenderedPageBreak/>
        <w:t xml:space="preserve">(Finnigan, Bremen, Germany). Uptake of added </w:t>
      </w:r>
      <w:r w:rsidRPr="00216965">
        <w:rPr>
          <w:vertAlign w:val="superscript"/>
        </w:rPr>
        <w:t>13</w:t>
      </w:r>
      <w:r w:rsidRPr="00216965">
        <w:t xml:space="preserve">C-label into PLFAs was determined in an isotopic mass balance calculation </w:t>
      </w:r>
      <w:r w:rsidR="00851E24" w:rsidRPr="00216965">
        <w:t xml:space="preserve">presented in </w:t>
      </w:r>
      <w:r w:rsidR="00851E24" w:rsidRPr="00216965">
        <w:fldChar w:fldCharType="begin"/>
      </w:r>
      <w:r w:rsidR="00851E24" w:rsidRPr="00216965">
        <w:instrText xml:space="preserve"> REF _Ref99568736 \h </w:instrText>
      </w:r>
      <w:r w:rsidR="00216965" w:rsidRPr="00216965">
        <w:instrText xml:space="preserve"> \* MERGEFORMAT </w:instrText>
      </w:r>
      <w:r w:rsidR="00851E24" w:rsidRPr="00216965">
        <w:fldChar w:fldCharType="separate"/>
      </w:r>
      <w:r w:rsidR="00851E24" w:rsidRPr="00216965">
        <w:rPr>
          <w:b/>
          <w:bCs/>
        </w:rPr>
        <w:t>Eq.</w:t>
      </w:r>
      <w:r w:rsidR="00851E24" w:rsidRPr="00216965">
        <w:rPr>
          <w:b/>
          <w:bCs/>
          <w:noProof/>
        </w:rPr>
        <w:t>14</w:t>
      </w:r>
      <w:r w:rsidR="00851E24" w:rsidRPr="00216965">
        <w:fldChar w:fldCharType="end"/>
      </w:r>
      <w:r w:rsidR="00851E24" w:rsidRPr="00216965">
        <w:t xml:space="preserve"> </w:t>
      </w:r>
      <w:r w:rsidRPr="00216965">
        <w:t>according to</w:t>
      </w:r>
      <w:r w:rsidR="00851E24" w:rsidRPr="00216965">
        <w:t xml:space="preserve"> </w:t>
      </w:r>
      <w:r w:rsidR="00851E24" w:rsidRPr="00216965">
        <w:rPr>
          <w:bCs/>
        </w:rPr>
        <w:fldChar w:fldCharType="begin" w:fldLock="1"/>
      </w:r>
      <w:r w:rsidR="00851E24" w:rsidRPr="00216965">
        <w:rPr>
          <w:bCs/>
        </w:rPr>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2015)","manualFormatting":"Watzinger (2015)","plainTextFormattedCitation":"(Watzinger, 2015)","previouslyFormattedCitation":"(Watzinger, 2015)"},"properties":{"noteIndex":0},"schema":"https://github.com/citation-style-language/schema/raw/master/csl-citation.json"}</w:instrText>
      </w:r>
      <w:r w:rsidR="00851E24" w:rsidRPr="00216965">
        <w:rPr>
          <w:bCs/>
        </w:rPr>
        <w:fldChar w:fldCharType="separate"/>
      </w:r>
      <w:r w:rsidR="00851E24" w:rsidRPr="00216965">
        <w:rPr>
          <w:bCs/>
          <w:noProof/>
        </w:rPr>
        <w:t>Watzinger (2015)</w:t>
      </w:r>
      <w:r w:rsidR="00851E24" w:rsidRPr="00216965">
        <w:rPr>
          <w:bCs/>
        </w:rPr>
        <w:fldChar w:fldCharType="end"/>
      </w:r>
      <w:r w:rsidRPr="00216965">
        <w:rPr>
          <w:bCs/>
        </w:rPr>
        <w:t>:</w:t>
      </w:r>
    </w:p>
    <w:p w14:paraId="6F26CABF" w14:textId="036CD943" w:rsidR="00AE4768" w:rsidRPr="00216965" w:rsidRDefault="00AE4768" w:rsidP="008A33DA">
      <w:pPr>
        <w:pStyle w:val="Caption"/>
        <w:keepNext/>
      </w:pPr>
    </w:p>
    <w:tbl>
      <w:tblPr>
        <w:tblW w:w="9026" w:type="dxa"/>
        <w:tblLayout w:type="fixed"/>
        <w:tblLook w:val="0400" w:firstRow="0" w:lastRow="0" w:firstColumn="0" w:lastColumn="0" w:noHBand="0" w:noVBand="1"/>
      </w:tblPr>
      <w:tblGrid>
        <w:gridCol w:w="7850"/>
        <w:gridCol w:w="1176"/>
      </w:tblGrid>
      <w:tr w:rsidR="00B45740" w:rsidRPr="00216965" w14:paraId="18D339E3" w14:textId="77777777" w:rsidTr="00AE4768">
        <w:tc>
          <w:tcPr>
            <w:tcW w:w="7850" w:type="dxa"/>
          </w:tcPr>
          <w:p w14:paraId="462CCEDA" w14:textId="77777777" w:rsidR="00B45740" w:rsidRPr="00216965" w:rsidRDefault="00BB30F1" w:rsidP="008A33DA">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labelFA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label+soilFA</m:t>
                    </m:r>
                  </m:sub>
                </m:sSub>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label+soil FA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soil FA</m:t>
                        </m:r>
                      </m:sub>
                    </m:sSub>
                  </m:e>
                </m:d>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label FA</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soil FA</m:t>
                        </m:r>
                      </m:sub>
                    </m:sSub>
                  </m:e>
                </m:d>
              </m:oMath>
            </m:oMathPara>
          </w:p>
        </w:tc>
        <w:tc>
          <w:tcPr>
            <w:tcW w:w="1176" w:type="dxa"/>
          </w:tcPr>
          <w:p w14:paraId="40084887" w14:textId="58C5EAC2" w:rsidR="00B45740" w:rsidRPr="00216965" w:rsidRDefault="00AE4768" w:rsidP="008A33DA">
            <w:pPr>
              <w:spacing w:line="360" w:lineRule="auto"/>
              <w:jc w:val="both"/>
              <w:rPr>
                <w:b/>
                <w:bCs/>
              </w:rPr>
            </w:pPr>
            <w:bookmarkStart w:id="343" w:name="_Ref99568736"/>
            <w:r w:rsidRPr="00216965">
              <w:rPr>
                <w:b/>
                <w:bCs/>
              </w:rPr>
              <w:t>Eq.</w:t>
            </w:r>
            <w:r w:rsidRPr="00216965">
              <w:rPr>
                <w:b/>
                <w:bCs/>
              </w:rPr>
              <w:fldChar w:fldCharType="begin"/>
            </w:r>
            <w:r w:rsidRPr="00216965">
              <w:rPr>
                <w:b/>
                <w:bCs/>
              </w:rPr>
              <w:instrText xml:space="preserve"> SEQ Equation \* ARABIC </w:instrText>
            </w:r>
            <w:r w:rsidRPr="00216965">
              <w:rPr>
                <w:b/>
                <w:bCs/>
              </w:rPr>
              <w:fldChar w:fldCharType="separate"/>
            </w:r>
            <w:r w:rsidR="006E23EA" w:rsidRPr="00216965">
              <w:rPr>
                <w:b/>
                <w:bCs/>
                <w:noProof/>
              </w:rPr>
              <w:t>14</w:t>
            </w:r>
            <w:r w:rsidRPr="00216965">
              <w:rPr>
                <w:b/>
                <w:bCs/>
              </w:rPr>
              <w:fldChar w:fldCharType="end"/>
            </w:r>
            <w:bookmarkEnd w:id="343"/>
          </w:p>
        </w:tc>
      </w:tr>
    </w:tbl>
    <w:p w14:paraId="037ED702" w14:textId="77777777" w:rsidR="00851E24" w:rsidRPr="00216965" w:rsidRDefault="00851E24" w:rsidP="008A33DA">
      <w:pPr>
        <w:spacing w:after="0" w:line="360" w:lineRule="auto"/>
        <w:jc w:val="both"/>
      </w:pPr>
    </w:p>
    <w:p w14:paraId="633FA8B1" w14:textId="2B497366" w:rsidR="00B45740" w:rsidRPr="00216965" w:rsidRDefault="00B45740" w:rsidP="008A33DA">
      <w:pPr>
        <w:spacing w:after="0" w:line="360" w:lineRule="auto"/>
        <w:jc w:val="both"/>
      </w:pPr>
      <w:r w:rsidRPr="00216965">
        <w:t xml:space="preserve">where </w:t>
      </w:r>
      <w:r w:rsidRPr="00216965">
        <w:rPr>
          <w:i/>
        </w:rPr>
        <w:t>m</w:t>
      </w:r>
      <w:r w:rsidRPr="00216965">
        <w:rPr>
          <w:i/>
          <w:vertAlign w:val="subscript"/>
        </w:rPr>
        <w:t>label+soil FA</w:t>
      </w:r>
      <w:r w:rsidRPr="00216965">
        <w:t xml:space="preserve"> and </w:t>
      </w:r>
      <w:r w:rsidRPr="00216965">
        <w:rPr>
          <w:i/>
        </w:rPr>
        <w:t>F</w:t>
      </w:r>
      <w:r w:rsidRPr="00216965">
        <w:rPr>
          <w:i/>
          <w:vertAlign w:val="subscript"/>
        </w:rPr>
        <w:t xml:space="preserve">label+soil </w:t>
      </w:r>
      <w:r w:rsidRPr="00216965">
        <w:rPr>
          <w:vertAlign w:val="subscript"/>
        </w:rPr>
        <w:t>FA</w:t>
      </w:r>
      <w:r w:rsidRPr="00216965">
        <w:t xml:space="preserve"> represent the mass (mol carbon) and fractional abundance of fatty acids (FA) in the soil after adding labelled material, </w:t>
      </w:r>
      <w:r w:rsidRPr="00216965">
        <w:rPr>
          <w:i/>
        </w:rPr>
        <w:t>m</w:t>
      </w:r>
      <w:r w:rsidRPr="00216965">
        <w:rPr>
          <w:i/>
          <w:vertAlign w:val="subscript"/>
        </w:rPr>
        <w:t>label FA</w:t>
      </w:r>
      <w:r w:rsidRPr="00216965">
        <w:rPr>
          <w:vertAlign w:val="subscript"/>
        </w:rPr>
        <w:t xml:space="preserve"> </w:t>
      </w:r>
      <w:r w:rsidRPr="00216965">
        <w:t xml:space="preserve">and </w:t>
      </w:r>
      <w:r w:rsidRPr="00216965">
        <w:rPr>
          <w:i/>
        </w:rPr>
        <w:t>F</w:t>
      </w:r>
      <w:r w:rsidRPr="00216965">
        <w:rPr>
          <w:i/>
          <w:vertAlign w:val="subscript"/>
        </w:rPr>
        <w:t>label FA</w:t>
      </w:r>
      <w:r w:rsidRPr="00216965">
        <w:t xml:space="preserve"> represent the mass (mol carbon) and fractional abundance of the FA exclusively using the labelled material, and </w:t>
      </w:r>
      <w:r w:rsidRPr="00216965">
        <w:rPr>
          <w:i/>
        </w:rPr>
        <w:t>m</w:t>
      </w:r>
      <w:r w:rsidRPr="00216965">
        <w:rPr>
          <w:i/>
          <w:vertAlign w:val="subscript"/>
        </w:rPr>
        <w:t>soil FA</w:t>
      </w:r>
      <w:r w:rsidRPr="00216965">
        <w:rPr>
          <w:vertAlign w:val="subscript"/>
        </w:rPr>
        <w:t xml:space="preserve"> </w:t>
      </w:r>
      <w:r w:rsidRPr="00216965">
        <w:t xml:space="preserve">and </w:t>
      </w:r>
      <w:r w:rsidRPr="00216965">
        <w:rPr>
          <w:i/>
        </w:rPr>
        <w:t>F</w:t>
      </w:r>
      <w:r w:rsidRPr="00216965">
        <w:rPr>
          <w:i/>
          <w:vertAlign w:val="subscript"/>
        </w:rPr>
        <w:t>soil FA</w:t>
      </w:r>
      <w:r w:rsidRPr="00216965">
        <w:rPr>
          <w:vertAlign w:val="subscript"/>
        </w:rPr>
        <w:t xml:space="preserve"> </w:t>
      </w:r>
      <w:r w:rsidRPr="00216965">
        <w:t xml:space="preserve">represent the mass (mol carbon) and fractional abundance of the FA exclusively using native soil organic matter </w:t>
      </w:r>
      <w:r w:rsidRPr="00216965">
        <w:rPr>
          <w:bCs/>
        </w:rPr>
        <w:fldChar w:fldCharType="begin" w:fldLock="1"/>
      </w:r>
      <w:r w:rsidR="00F56BD7" w:rsidRPr="00216965">
        <w:rPr>
          <w:bCs/>
        </w:rPr>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2015)","plainTextFormattedCitation":"(Watzinger, 2015)","previouslyFormattedCitation":"(Watzinger, 2015)"},"properties":{"noteIndex":0},"schema":"https://github.com/citation-style-language/schema/raw/master/csl-citation.json"}</w:instrText>
      </w:r>
      <w:r w:rsidRPr="00216965">
        <w:rPr>
          <w:bCs/>
        </w:rPr>
        <w:fldChar w:fldCharType="separate"/>
      </w:r>
      <w:r w:rsidR="00330A4F" w:rsidRPr="00216965">
        <w:rPr>
          <w:bCs/>
          <w:noProof/>
        </w:rPr>
        <w:t>(Watzinger, 2015)</w:t>
      </w:r>
      <w:r w:rsidRPr="00216965">
        <w:rPr>
          <w:bCs/>
        </w:rPr>
        <w:fldChar w:fldCharType="end"/>
      </w:r>
      <w:r w:rsidRPr="00216965">
        <w:t>. As individual microorganisms show distinctively different isotope fractionation between the carbon substrates and their PLFAs, changes in the microbial community as a consequence of the soil treatments was studied with a principal component analysis (PCoA) using the Δ</w:t>
      </w:r>
      <w:r w:rsidRPr="00216965">
        <w:rPr>
          <w:vertAlign w:val="superscript"/>
        </w:rPr>
        <w:t>13</w:t>
      </w:r>
      <w:r w:rsidRPr="00216965">
        <w:t xml:space="preserve">C values of individual fatty acids. Microbial groups were linked to PLFAs according to </w:t>
      </w:r>
      <w:r w:rsidRPr="00216965">
        <w:rPr>
          <w:bCs/>
        </w:rPr>
        <w:fldChar w:fldCharType="begin" w:fldLock="1"/>
      </w:r>
      <w:r w:rsidR="006C06AA" w:rsidRPr="00216965">
        <w:rPr>
          <w:bCs/>
        </w:rPr>
        <w:instrText>ADDIN CSL_CITATION {"citationItems":[{"id":"ITEM-1","itemData":{"DOI":"10.1111/jam.12902","ISSN":"13645072","abstract":"Profiling of microbial communities in environmental samples often utilizes phospholipid fatty acid (PLFA) analysis. This method has been used for more than 35 years and is still popular as a means to characterize microbial communities in a diverse range of environmental matrices. This review examines the various recent applications of PLFA analysis in environmental studies with specific reference to the interpretation of the PLFA results. It is evident that interpretations of PLFA results do not always correlate between different investigations. These discrepancies in interpretation and their subsequent applications to environmental studies are discussed. However, in spite of limitations to the manner in which PLFA data are applied, the approach remains one with great potential for improving our understanding of the relationship between microbial populations and the environment. This review highlights the caveats and provides suggestions towards the practicable application of PLFA data interpretation.","author":[{"dropping-particle":"","family":"Willers","given":"C.","non-dropping-particle":"","parse-names":false,"suffix":""},{"dropping-particle":"","family":"Jansen","given":"P.","non-dropping-particle":"","parse-names":false,"suffix":""},{"dropping-particle":"","family":"Claassens","given":"S.","non-dropping-particle":"","parse-names":false,"suffix":""}],"container-title":"Journal of Applied Microbiology","id":"ITEM-1","issue":"5","issued":{"date-parts":[["2015","11","1"]]},"page":"1207-1218","publisher":"Blackwell Publishing Ltd","title":"Phospholipid fatty acid profiling of microbial communities-a review of interpretations and recent applications","type":"article-journal","volume":"119"},"uris":["http://www.mendeley.com/documents/?uuid=9aad93e4-e852-3a4e-84eb-3ab7f0ba257b"]}],"mendeley":{"formattedCitation":"(Willers et al., 2015)","manualFormatting":"Willers et al. (2015)","plainTextFormattedCitation":"(Willers et al., 2015)","previouslyFormattedCitation":"(Willers et al., 2015)"},"properties":{"noteIndex":0},"schema":"https://github.com/citation-style-language/schema/raw/master/csl-citation.json"}</w:instrText>
      </w:r>
      <w:r w:rsidRPr="00216965">
        <w:rPr>
          <w:bCs/>
        </w:rPr>
        <w:fldChar w:fldCharType="separate"/>
      </w:r>
      <w:r w:rsidRPr="00216965">
        <w:rPr>
          <w:bCs/>
          <w:noProof/>
        </w:rPr>
        <w:t xml:space="preserve">Willers </w:t>
      </w:r>
      <w:r w:rsidR="009B2252" w:rsidRPr="00216965">
        <w:rPr>
          <w:bCs/>
          <w:noProof/>
        </w:rPr>
        <w:t>et al</w:t>
      </w:r>
      <w:r w:rsidRPr="00216965">
        <w:rPr>
          <w:bCs/>
          <w:i/>
          <w:noProof/>
        </w:rPr>
        <w:t>.</w:t>
      </w:r>
      <w:r w:rsidRPr="00216965">
        <w:rPr>
          <w:bCs/>
          <w:noProof/>
        </w:rPr>
        <w:t xml:space="preserve"> (2015)</w:t>
      </w:r>
      <w:r w:rsidRPr="00216965">
        <w:rPr>
          <w:bCs/>
        </w:rPr>
        <w:fldChar w:fldCharType="end"/>
      </w:r>
      <w:r w:rsidRPr="00216965">
        <w:t>.</w:t>
      </w:r>
    </w:p>
    <w:p w14:paraId="1C3773FB" w14:textId="77777777" w:rsidR="00B45740" w:rsidRPr="00216965" w:rsidRDefault="00B45740" w:rsidP="008A33DA">
      <w:pPr>
        <w:pStyle w:val="Heading3"/>
      </w:pPr>
      <w:bookmarkStart w:id="344" w:name="_Toc86504696"/>
      <w:r w:rsidRPr="00216965">
        <w:t>Statistical analysis</w:t>
      </w:r>
      <w:bookmarkEnd w:id="344"/>
    </w:p>
    <w:p w14:paraId="2DA8A85E" w14:textId="77777777" w:rsidR="00AB2390" w:rsidRPr="00216965" w:rsidRDefault="00B45740" w:rsidP="008A33DA">
      <w:pPr>
        <w:spacing w:line="360" w:lineRule="auto"/>
        <w:jc w:val="both"/>
      </w:pPr>
      <w:r w:rsidRPr="00216965">
        <w:t xml:space="preserve">Soil pore water parameters, dry above-ground biomass, plant tissue concentrations, bioavailable and total HM concentrations were analysed by linear regression followed by a </w:t>
      </w:r>
      <w:r w:rsidR="00A76888" w:rsidRPr="00216965">
        <w:t>two</w:t>
      </w:r>
      <w:r w:rsidRPr="00216965">
        <w:t>-</w:t>
      </w:r>
      <w:r w:rsidR="00A76888" w:rsidRPr="00216965">
        <w:t>way</w:t>
      </w:r>
      <w:r w:rsidRPr="00216965">
        <w:t xml:space="preserve"> ANOVA. The analysis of the coefficients obtained from fitting the logistic model to the CO</w:t>
      </w:r>
      <w:r w:rsidRPr="00216965">
        <w:rPr>
          <w:vertAlign w:val="subscript"/>
        </w:rPr>
        <w:t>2</w:t>
      </w:r>
      <w:r w:rsidRPr="00216965">
        <w:t xml:space="preserve"> production over time was conducted by linear regression followed by </w:t>
      </w:r>
      <w:r w:rsidR="00A76888" w:rsidRPr="00216965">
        <w:t>one</w:t>
      </w:r>
      <w:r w:rsidRPr="00216965">
        <w:t>-</w:t>
      </w:r>
      <w:r w:rsidR="00A76888" w:rsidRPr="00216965">
        <w:t>way</w:t>
      </w:r>
      <w:r w:rsidRPr="00216965">
        <w:t xml:space="preserve"> ANOVA. The homogeneity of variances was verified with Levene’s test and the normality with the Shapiro-Wilk’s test. Tukey's honestly significant difference (HSD) post hoc test was used to determine significant differences between groups. The correlation between soil properties was performed using the Pearson correlation method with corrplot package (α=0.05). </w:t>
      </w:r>
    </w:p>
    <w:p w14:paraId="16692A52" w14:textId="717842D4" w:rsidR="00B45740" w:rsidRPr="00216965" w:rsidRDefault="00B45740" w:rsidP="008A33DA">
      <w:pPr>
        <w:spacing w:line="360" w:lineRule="auto"/>
        <w:jc w:val="both"/>
      </w:pPr>
      <w:r w:rsidRPr="00216965">
        <w:t xml:space="preserve">The analysis of total mass of PLFA and </w:t>
      </w:r>
      <w:r w:rsidRPr="00216965">
        <w:rPr>
          <w:vertAlign w:val="superscript"/>
        </w:rPr>
        <w:t>13</w:t>
      </w:r>
      <w:r w:rsidRPr="00216965">
        <w:t xml:space="preserve">C PLFA was conducted by linear regression. When data were not normally distributed, differences between treatments were calculated using a non-parametric Kruskal-Wallis test followed by pairwise comparison with the Dunn test. The significance level in all analyses was set at 95 %. All analyses were performed in R studio </w:t>
      </w:r>
      <w:r w:rsidRPr="00216965">
        <w:fldChar w:fldCharType="begin" w:fldLock="1"/>
      </w:r>
      <w:r w:rsidR="00F56BD7" w:rsidRPr="00216965">
        <w:instrText>ADDIN CSL_CITATION {"citationItems":[{"id":"ITEM-1","itemData":{"author":[{"dropping-particle":"","family":"R Core Team","given":"","non-dropping-particle":"","parse-names":false,"suffix":""}],"id":"ITEM-1","issued":{"date-parts":[["2020"]]},"publisher":"R Foundation for Statistical Computing","publisher-place":"Vienna, Austria","title":"R: A language and environment for statistical computing","type":"article"},"uris":["http://www.mendeley.com/documents/?uuid=69de8d61-0878-4bbd-9461-f42d591254c4"]}],"mendeley":{"formattedCitation":"(R Core Team, 2020)","plainTextFormattedCitation":"(R Core Team, 2020)","previouslyFormattedCitation":"(R Core Team, 2020)"},"properties":{"noteIndex":0},"schema":"https://github.com/citation-style-language/schema/raw/master/csl-citation.json"}</w:instrText>
      </w:r>
      <w:r w:rsidRPr="00216965">
        <w:fldChar w:fldCharType="separate"/>
      </w:r>
      <w:r w:rsidR="00330A4F" w:rsidRPr="00216965">
        <w:rPr>
          <w:noProof/>
        </w:rPr>
        <w:t>(R Core Team, 2020)</w:t>
      </w:r>
      <w:r w:rsidRPr="00216965">
        <w:fldChar w:fldCharType="end"/>
      </w:r>
      <w:r w:rsidRPr="00216965">
        <w:t>.</w:t>
      </w:r>
    </w:p>
    <w:p w14:paraId="5B893FDD" w14:textId="77777777" w:rsidR="00B45740" w:rsidRPr="00216965" w:rsidRDefault="00B45740" w:rsidP="008A33DA">
      <w:pPr>
        <w:pStyle w:val="Heading2"/>
        <w:rPr>
          <w:rFonts w:cs="Times New Roman"/>
        </w:rPr>
      </w:pPr>
      <w:bookmarkStart w:id="345" w:name="_Toc86504697"/>
      <w:r w:rsidRPr="00216965">
        <w:lastRenderedPageBreak/>
        <w:t>Results</w:t>
      </w:r>
      <w:bookmarkEnd w:id="345"/>
    </w:p>
    <w:p w14:paraId="3B63E457" w14:textId="77777777" w:rsidR="00B45740" w:rsidRPr="00216965" w:rsidRDefault="00B45740" w:rsidP="008A33DA">
      <w:pPr>
        <w:pStyle w:val="Heading3"/>
      </w:pPr>
      <w:bookmarkStart w:id="346" w:name="_Toc86504698"/>
      <w:r w:rsidRPr="00216965">
        <w:t>Soil treatment characteristics</w:t>
      </w:r>
      <w:bookmarkEnd w:id="346"/>
    </w:p>
    <w:p w14:paraId="023BBC65" w14:textId="36C0001F" w:rsidR="00B45740" w:rsidRPr="00216965" w:rsidRDefault="00B45740" w:rsidP="008A33DA">
      <w:pPr>
        <w:spacing w:line="360" w:lineRule="auto"/>
        <w:rPr>
          <w:b/>
        </w:rPr>
      </w:pPr>
      <w:r w:rsidRPr="00216965">
        <w:t xml:space="preserve">The characteristics of the four soil treatments at the beginning of the experiment are presented in </w:t>
      </w:r>
      <w:r w:rsidRPr="00216965">
        <w:rPr>
          <w:b/>
          <w:bCs/>
        </w:rPr>
        <w:fldChar w:fldCharType="begin"/>
      </w:r>
      <w:r w:rsidRPr="00216965">
        <w:rPr>
          <w:b/>
          <w:bCs/>
        </w:rPr>
        <w:instrText xml:space="preserve"> REF _Ref83294969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5</w:t>
      </w:r>
      <w:r w:rsidR="006E23EA" w:rsidRPr="00216965">
        <w:rPr>
          <w:b/>
          <w:bCs/>
          <w:noProof/>
        </w:rPr>
        <w:noBreakHyphen/>
        <w:t>3</w:t>
      </w:r>
      <w:r w:rsidRPr="00216965">
        <w:rPr>
          <w:b/>
          <w:bCs/>
        </w:rPr>
        <w:fldChar w:fldCharType="end"/>
      </w:r>
      <w:r w:rsidRPr="00216965">
        <w:rPr>
          <w:b/>
        </w:rPr>
        <w:t xml:space="preserve">. </w:t>
      </w:r>
    </w:p>
    <w:p w14:paraId="3E5F42F7" w14:textId="173516C2" w:rsidR="00B45740" w:rsidRPr="00216965" w:rsidRDefault="00B45740" w:rsidP="008A33DA">
      <w:pPr>
        <w:pBdr>
          <w:top w:val="nil"/>
          <w:left w:val="nil"/>
          <w:bottom w:val="nil"/>
          <w:right w:val="nil"/>
          <w:between w:val="nil"/>
        </w:pBdr>
        <w:spacing w:after="200" w:line="240" w:lineRule="auto"/>
        <w:rPr>
          <w:b/>
          <w:color w:val="000000"/>
        </w:rPr>
      </w:pPr>
      <w:bookmarkStart w:id="347" w:name="_Ref83294969"/>
      <w:bookmarkStart w:id="348" w:name="_Toc86440373"/>
      <w:r w:rsidRPr="00216965">
        <w:rPr>
          <w:b/>
          <w:bCs/>
        </w:rPr>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5</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3</w:t>
      </w:r>
      <w:r w:rsidR="00E569FA" w:rsidRPr="00216965">
        <w:rPr>
          <w:b/>
          <w:bCs/>
        </w:rPr>
        <w:fldChar w:fldCharType="end"/>
      </w:r>
      <w:bookmarkEnd w:id="347"/>
      <w:r w:rsidRPr="00216965">
        <w:t xml:space="preserve"> </w:t>
      </w:r>
      <w:r w:rsidRPr="00216965">
        <w:rPr>
          <w:b/>
          <w:color w:val="000000"/>
        </w:rPr>
        <w:t>Characteristics of soil treatments before outdoor incubation (time zero). Values are means ± standard deviation; n =3</w:t>
      </w:r>
      <w:bookmarkEnd w:id="348"/>
    </w:p>
    <w:tbl>
      <w:tblPr>
        <w:tblW w:w="8504" w:type="dxa"/>
        <w:tblInd w:w="250" w:type="dxa"/>
        <w:tblBorders>
          <w:top w:val="nil"/>
          <w:left w:val="nil"/>
          <w:bottom w:val="nil"/>
          <w:right w:val="nil"/>
          <w:insideH w:val="nil"/>
          <w:insideV w:val="nil"/>
        </w:tblBorders>
        <w:tblLayout w:type="fixed"/>
        <w:tblLook w:val="0400" w:firstRow="0" w:lastRow="0" w:firstColumn="0" w:lastColumn="0" w:noHBand="0" w:noVBand="1"/>
      </w:tblPr>
      <w:tblGrid>
        <w:gridCol w:w="2834"/>
        <w:gridCol w:w="1418"/>
        <w:gridCol w:w="1275"/>
        <w:gridCol w:w="1418"/>
        <w:gridCol w:w="1559"/>
      </w:tblGrid>
      <w:tr w:rsidR="00B45740" w:rsidRPr="00216965" w14:paraId="02C72018" w14:textId="77777777" w:rsidTr="008A33DA">
        <w:trPr>
          <w:trHeight w:val="638"/>
        </w:trPr>
        <w:tc>
          <w:tcPr>
            <w:tcW w:w="2834" w:type="dxa"/>
            <w:tcBorders>
              <w:top w:val="single" w:sz="4" w:space="0" w:color="000000"/>
              <w:bottom w:val="single" w:sz="4" w:space="0" w:color="000000"/>
              <w:tl2br w:val="single" w:sz="4" w:space="0" w:color="auto"/>
            </w:tcBorders>
            <w:shd w:val="clear" w:color="auto" w:fill="A8D08D" w:themeFill="accent6" w:themeFillTint="99"/>
            <w:vAlign w:val="center"/>
          </w:tcPr>
          <w:p w14:paraId="6798CE0D" w14:textId="77777777" w:rsidR="00B45740" w:rsidRPr="00216965" w:rsidRDefault="00B45740" w:rsidP="008A33DA">
            <w:pPr>
              <w:spacing w:after="0" w:line="240" w:lineRule="auto"/>
              <w:jc w:val="center"/>
              <w:rPr>
                <w:b/>
              </w:rPr>
            </w:pPr>
            <w:r w:rsidRPr="00216965">
              <w:rPr>
                <w:b/>
                <w:sz w:val="22"/>
              </w:rPr>
              <w:t>Treatments</w:t>
            </w:r>
          </w:p>
          <w:p w14:paraId="6C25BE22" w14:textId="77777777" w:rsidR="00B45740" w:rsidRPr="00216965" w:rsidRDefault="00B45740" w:rsidP="008A33DA">
            <w:pPr>
              <w:spacing w:after="0" w:line="240" w:lineRule="auto"/>
              <w:jc w:val="center"/>
              <w:rPr>
                <w:b/>
              </w:rPr>
            </w:pPr>
          </w:p>
          <w:p w14:paraId="7EFC1064" w14:textId="77777777" w:rsidR="00B45740" w:rsidRPr="00216965" w:rsidRDefault="00B45740" w:rsidP="008A33DA">
            <w:pPr>
              <w:spacing w:after="0" w:line="240" w:lineRule="auto"/>
              <w:rPr>
                <w:b/>
              </w:rPr>
            </w:pPr>
            <w:r w:rsidRPr="00216965">
              <w:rPr>
                <w:b/>
                <w:sz w:val="22"/>
              </w:rPr>
              <w:t>Characteristics</w:t>
            </w:r>
          </w:p>
        </w:tc>
        <w:tc>
          <w:tcPr>
            <w:tcW w:w="1418" w:type="dxa"/>
            <w:tcBorders>
              <w:top w:val="single" w:sz="4" w:space="0" w:color="000000"/>
              <w:bottom w:val="single" w:sz="4" w:space="0" w:color="000000"/>
            </w:tcBorders>
            <w:shd w:val="clear" w:color="auto" w:fill="A8D08D" w:themeFill="accent6" w:themeFillTint="99"/>
            <w:vAlign w:val="center"/>
          </w:tcPr>
          <w:p w14:paraId="270DB7DA" w14:textId="77777777" w:rsidR="00B45740" w:rsidRPr="00216965" w:rsidRDefault="00B45740" w:rsidP="008A33DA">
            <w:pPr>
              <w:spacing w:after="0" w:line="240" w:lineRule="auto"/>
              <w:rPr>
                <w:b/>
              </w:rPr>
            </w:pPr>
            <w:r w:rsidRPr="00216965">
              <w:rPr>
                <w:b/>
                <w:sz w:val="22"/>
              </w:rPr>
              <w:t>S</w:t>
            </w:r>
          </w:p>
        </w:tc>
        <w:tc>
          <w:tcPr>
            <w:tcW w:w="1275" w:type="dxa"/>
            <w:tcBorders>
              <w:top w:val="single" w:sz="4" w:space="0" w:color="000000"/>
              <w:bottom w:val="single" w:sz="4" w:space="0" w:color="000000"/>
            </w:tcBorders>
            <w:shd w:val="clear" w:color="auto" w:fill="A8D08D" w:themeFill="accent6" w:themeFillTint="99"/>
            <w:vAlign w:val="center"/>
          </w:tcPr>
          <w:p w14:paraId="5452F2D9" w14:textId="77777777" w:rsidR="00B45740" w:rsidRPr="00216965" w:rsidRDefault="00B45740" w:rsidP="008A33DA">
            <w:pPr>
              <w:spacing w:after="0" w:line="240" w:lineRule="auto"/>
              <w:rPr>
                <w:b/>
              </w:rPr>
            </w:pPr>
            <w:r w:rsidRPr="00216965">
              <w:rPr>
                <w:b/>
                <w:sz w:val="22"/>
              </w:rPr>
              <w:t>S+B</w:t>
            </w:r>
          </w:p>
        </w:tc>
        <w:tc>
          <w:tcPr>
            <w:tcW w:w="1418" w:type="dxa"/>
            <w:tcBorders>
              <w:top w:val="single" w:sz="4" w:space="0" w:color="000000"/>
              <w:bottom w:val="single" w:sz="4" w:space="0" w:color="000000"/>
            </w:tcBorders>
            <w:shd w:val="clear" w:color="auto" w:fill="A8D08D" w:themeFill="accent6" w:themeFillTint="99"/>
            <w:vAlign w:val="center"/>
          </w:tcPr>
          <w:p w14:paraId="0D3B41B5" w14:textId="77777777" w:rsidR="00B45740" w:rsidRPr="00216965" w:rsidRDefault="00B45740" w:rsidP="008A33DA">
            <w:pPr>
              <w:spacing w:after="0" w:line="240" w:lineRule="auto"/>
              <w:rPr>
                <w:b/>
              </w:rPr>
            </w:pPr>
            <w:r w:rsidRPr="00216965">
              <w:rPr>
                <w:b/>
                <w:sz w:val="22"/>
              </w:rPr>
              <w:t>S+C</w:t>
            </w:r>
          </w:p>
        </w:tc>
        <w:tc>
          <w:tcPr>
            <w:tcW w:w="1559" w:type="dxa"/>
            <w:tcBorders>
              <w:top w:val="single" w:sz="4" w:space="0" w:color="000000"/>
              <w:bottom w:val="single" w:sz="4" w:space="0" w:color="000000"/>
            </w:tcBorders>
            <w:shd w:val="clear" w:color="auto" w:fill="A8D08D" w:themeFill="accent6" w:themeFillTint="99"/>
            <w:vAlign w:val="center"/>
          </w:tcPr>
          <w:p w14:paraId="35546C2F" w14:textId="77777777" w:rsidR="00B45740" w:rsidRPr="00216965" w:rsidRDefault="00B45740" w:rsidP="008A33DA">
            <w:pPr>
              <w:spacing w:after="0" w:line="240" w:lineRule="auto"/>
              <w:rPr>
                <w:b/>
              </w:rPr>
            </w:pPr>
            <w:r w:rsidRPr="00216965">
              <w:rPr>
                <w:b/>
                <w:sz w:val="22"/>
              </w:rPr>
              <w:t>S+C+B</w:t>
            </w:r>
          </w:p>
        </w:tc>
      </w:tr>
      <w:tr w:rsidR="00B45740" w:rsidRPr="00216965" w14:paraId="78354BA5" w14:textId="77777777" w:rsidTr="008A33DA">
        <w:tc>
          <w:tcPr>
            <w:tcW w:w="2834" w:type="dxa"/>
            <w:tcBorders>
              <w:top w:val="single" w:sz="4" w:space="0" w:color="000000"/>
            </w:tcBorders>
          </w:tcPr>
          <w:p w14:paraId="2C26E41B" w14:textId="77777777" w:rsidR="00B45740" w:rsidRPr="00216965" w:rsidRDefault="00B45740" w:rsidP="008A33DA">
            <w:pPr>
              <w:spacing w:after="0" w:line="240" w:lineRule="auto"/>
            </w:pPr>
            <w:r w:rsidRPr="00216965">
              <w:rPr>
                <w:sz w:val="22"/>
              </w:rPr>
              <w:t>OM %</w:t>
            </w:r>
          </w:p>
        </w:tc>
        <w:tc>
          <w:tcPr>
            <w:tcW w:w="1418" w:type="dxa"/>
            <w:tcBorders>
              <w:top w:val="single" w:sz="4" w:space="0" w:color="000000"/>
            </w:tcBorders>
          </w:tcPr>
          <w:p w14:paraId="6B0999CE" w14:textId="77777777" w:rsidR="00B45740" w:rsidRPr="00216965" w:rsidRDefault="00B45740" w:rsidP="008A33DA">
            <w:pPr>
              <w:spacing w:after="0" w:line="240" w:lineRule="auto"/>
            </w:pPr>
            <w:r w:rsidRPr="00216965">
              <w:rPr>
                <w:sz w:val="22"/>
              </w:rPr>
              <w:t>3.1 ± 0.1</w:t>
            </w:r>
          </w:p>
        </w:tc>
        <w:tc>
          <w:tcPr>
            <w:tcW w:w="1275" w:type="dxa"/>
            <w:tcBorders>
              <w:top w:val="single" w:sz="4" w:space="0" w:color="000000"/>
            </w:tcBorders>
          </w:tcPr>
          <w:p w14:paraId="6A5E54F1" w14:textId="77777777" w:rsidR="00B45740" w:rsidRPr="00216965" w:rsidRDefault="00B45740" w:rsidP="008A33DA">
            <w:pPr>
              <w:spacing w:after="0" w:line="240" w:lineRule="auto"/>
            </w:pPr>
            <w:r w:rsidRPr="00216965">
              <w:rPr>
                <w:sz w:val="22"/>
              </w:rPr>
              <w:t>3.0 ± 0.1</w:t>
            </w:r>
          </w:p>
        </w:tc>
        <w:tc>
          <w:tcPr>
            <w:tcW w:w="1418" w:type="dxa"/>
            <w:tcBorders>
              <w:top w:val="single" w:sz="4" w:space="0" w:color="000000"/>
            </w:tcBorders>
          </w:tcPr>
          <w:p w14:paraId="3FED8AFA" w14:textId="77777777" w:rsidR="00B45740" w:rsidRPr="00216965" w:rsidRDefault="00B45740" w:rsidP="008A33DA">
            <w:pPr>
              <w:spacing w:after="0" w:line="240" w:lineRule="auto"/>
            </w:pPr>
            <w:r w:rsidRPr="00216965">
              <w:rPr>
                <w:sz w:val="22"/>
              </w:rPr>
              <w:t>11.9 ± 0.6</w:t>
            </w:r>
          </w:p>
        </w:tc>
        <w:tc>
          <w:tcPr>
            <w:tcW w:w="1559" w:type="dxa"/>
            <w:tcBorders>
              <w:top w:val="single" w:sz="4" w:space="0" w:color="000000"/>
            </w:tcBorders>
          </w:tcPr>
          <w:p w14:paraId="16F9621A" w14:textId="77777777" w:rsidR="00B45740" w:rsidRPr="00216965" w:rsidRDefault="00B45740" w:rsidP="008A33DA">
            <w:pPr>
              <w:spacing w:after="0" w:line="240" w:lineRule="auto"/>
            </w:pPr>
            <w:r w:rsidRPr="00216965">
              <w:rPr>
                <w:sz w:val="22"/>
              </w:rPr>
              <w:t>11.9 ± 0.4</w:t>
            </w:r>
          </w:p>
        </w:tc>
      </w:tr>
      <w:tr w:rsidR="00B45740" w:rsidRPr="00216965" w14:paraId="4FC07443" w14:textId="77777777" w:rsidTr="008A33DA">
        <w:tc>
          <w:tcPr>
            <w:tcW w:w="2834" w:type="dxa"/>
          </w:tcPr>
          <w:p w14:paraId="2FA3EEBB" w14:textId="77777777" w:rsidR="00B45740" w:rsidRPr="00216965" w:rsidRDefault="00B45740" w:rsidP="008A33DA">
            <w:pPr>
              <w:spacing w:after="0" w:line="240" w:lineRule="auto"/>
            </w:pPr>
            <w:r w:rsidRPr="00216965">
              <w:rPr>
                <w:sz w:val="22"/>
              </w:rPr>
              <w:t>Olsen phosphate (mg.kg</w:t>
            </w:r>
            <w:r w:rsidRPr="00216965">
              <w:rPr>
                <w:sz w:val="22"/>
                <w:vertAlign w:val="superscript"/>
              </w:rPr>
              <w:t>-1</w:t>
            </w:r>
            <w:r w:rsidRPr="00216965">
              <w:rPr>
                <w:sz w:val="22"/>
              </w:rPr>
              <w:t>)</w:t>
            </w:r>
          </w:p>
        </w:tc>
        <w:tc>
          <w:tcPr>
            <w:tcW w:w="1418" w:type="dxa"/>
          </w:tcPr>
          <w:p w14:paraId="3F0A4417" w14:textId="77777777" w:rsidR="00B45740" w:rsidRPr="00216965" w:rsidRDefault="00B45740" w:rsidP="008A33DA">
            <w:pPr>
              <w:spacing w:after="0" w:line="240" w:lineRule="auto"/>
            </w:pPr>
            <w:r w:rsidRPr="00216965">
              <w:rPr>
                <w:sz w:val="22"/>
              </w:rPr>
              <w:t>9.4 ± 2.0</w:t>
            </w:r>
          </w:p>
        </w:tc>
        <w:tc>
          <w:tcPr>
            <w:tcW w:w="1275" w:type="dxa"/>
          </w:tcPr>
          <w:p w14:paraId="07E2FD20" w14:textId="77777777" w:rsidR="00B45740" w:rsidRPr="00216965" w:rsidRDefault="00B45740" w:rsidP="008A33DA">
            <w:pPr>
              <w:spacing w:after="0" w:line="240" w:lineRule="auto"/>
            </w:pPr>
            <w:r w:rsidRPr="00216965">
              <w:rPr>
                <w:sz w:val="22"/>
              </w:rPr>
              <w:t>16.5 ± 0.4</w:t>
            </w:r>
          </w:p>
        </w:tc>
        <w:tc>
          <w:tcPr>
            <w:tcW w:w="1418" w:type="dxa"/>
          </w:tcPr>
          <w:p w14:paraId="2A157524" w14:textId="77777777" w:rsidR="00B45740" w:rsidRPr="00216965" w:rsidRDefault="00B45740" w:rsidP="008A33DA">
            <w:pPr>
              <w:spacing w:after="0" w:line="240" w:lineRule="auto"/>
            </w:pPr>
            <w:r w:rsidRPr="00216965">
              <w:rPr>
                <w:sz w:val="22"/>
              </w:rPr>
              <w:t>60 ± 2</w:t>
            </w:r>
          </w:p>
        </w:tc>
        <w:tc>
          <w:tcPr>
            <w:tcW w:w="1559" w:type="dxa"/>
          </w:tcPr>
          <w:p w14:paraId="143BA89E" w14:textId="77777777" w:rsidR="00B45740" w:rsidRPr="00216965" w:rsidRDefault="00B45740" w:rsidP="008A33DA">
            <w:pPr>
              <w:spacing w:after="0" w:line="240" w:lineRule="auto"/>
            </w:pPr>
            <w:r w:rsidRPr="00216965">
              <w:rPr>
                <w:sz w:val="22"/>
              </w:rPr>
              <w:t>70 ± 2</w:t>
            </w:r>
          </w:p>
        </w:tc>
      </w:tr>
      <w:tr w:rsidR="00B45740" w:rsidRPr="00216965" w14:paraId="5B855D99" w14:textId="77777777" w:rsidTr="008A33DA">
        <w:tc>
          <w:tcPr>
            <w:tcW w:w="2834" w:type="dxa"/>
          </w:tcPr>
          <w:p w14:paraId="25391764" w14:textId="77777777" w:rsidR="00B45740" w:rsidRPr="00216965" w:rsidRDefault="00B45740" w:rsidP="008A33DA">
            <w:pPr>
              <w:spacing w:after="0" w:line="240" w:lineRule="auto"/>
            </w:pPr>
            <w:r w:rsidRPr="00216965">
              <w:rPr>
                <w:sz w:val="22"/>
              </w:rPr>
              <w:t>Nitrate (mg.kg</w:t>
            </w:r>
            <w:r w:rsidRPr="00216965">
              <w:rPr>
                <w:sz w:val="22"/>
                <w:vertAlign w:val="superscript"/>
              </w:rPr>
              <w:t>-1</w:t>
            </w:r>
            <w:r w:rsidRPr="00216965">
              <w:rPr>
                <w:sz w:val="22"/>
              </w:rPr>
              <w:t>)</w:t>
            </w:r>
          </w:p>
        </w:tc>
        <w:tc>
          <w:tcPr>
            <w:tcW w:w="1418" w:type="dxa"/>
          </w:tcPr>
          <w:p w14:paraId="1A432422" w14:textId="77777777" w:rsidR="00B45740" w:rsidRPr="00216965" w:rsidRDefault="00B45740" w:rsidP="008A33DA">
            <w:pPr>
              <w:spacing w:after="0" w:line="240" w:lineRule="auto"/>
            </w:pPr>
            <w:r w:rsidRPr="00216965">
              <w:rPr>
                <w:sz w:val="22"/>
              </w:rPr>
              <w:t>98 ± 4</w:t>
            </w:r>
          </w:p>
        </w:tc>
        <w:tc>
          <w:tcPr>
            <w:tcW w:w="1275" w:type="dxa"/>
          </w:tcPr>
          <w:p w14:paraId="1CCDE6CC" w14:textId="77777777" w:rsidR="00B45740" w:rsidRPr="00216965" w:rsidRDefault="00B45740" w:rsidP="008A33DA">
            <w:pPr>
              <w:spacing w:after="0" w:line="240" w:lineRule="auto"/>
            </w:pPr>
            <w:r w:rsidRPr="00216965">
              <w:rPr>
                <w:sz w:val="22"/>
              </w:rPr>
              <w:t>271 ± 7</w:t>
            </w:r>
          </w:p>
        </w:tc>
        <w:tc>
          <w:tcPr>
            <w:tcW w:w="1418" w:type="dxa"/>
          </w:tcPr>
          <w:p w14:paraId="221BEDAA" w14:textId="77777777" w:rsidR="00B45740" w:rsidRPr="00216965" w:rsidRDefault="00B45740" w:rsidP="008A33DA">
            <w:pPr>
              <w:spacing w:after="0" w:line="240" w:lineRule="auto"/>
            </w:pPr>
            <w:r w:rsidRPr="00216965">
              <w:rPr>
                <w:sz w:val="22"/>
              </w:rPr>
              <w:t>50 ± 3</w:t>
            </w:r>
          </w:p>
        </w:tc>
        <w:tc>
          <w:tcPr>
            <w:tcW w:w="1559" w:type="dxa"/>
          </w:tcPr>
          <w:p w14:paraId="24794629" w14:textId="77777777" w:rsidR="00B45740" w:rsidRPr="00216965" w:rsidRDefault="00B45740" w:rsidP="008A33DA">
            <w:pPr>
              <w:spacing w:after="0" w:line="240" w:lineRule="auto"/>
            </w:pPr>
            <w:r w:rsidRPr="00216965">
              <w:rPr>
                <w:sz w:val="22"/>
              </w:rPr>
              <w:t>178 ± 14</w:t>
            </w:r>
          </w:p>
        </w:tc>
      </w:tr>
      <w:tr w:rsidR="00B45740" w:rsidRPr="00216965" w14:paraId="100C9B30" w14:textId="77777777" w:rsidTr="008A33DA">
        <w:tc>
          <w:tcPr>
            <w:tcW w:w="2834" w:type="dxa"/>
          </w:tcPr>
          <w:p w14:paraId="26649418" w14:textId="77777777" w:rsidR="00B45740" w:rsidRPr="00216965" w:rsidRDefault="00B45740" w:rsidP="008A33DA">
            <w:pPr>
              <w:spacing w:after="0" w:line="240" w:lineRule="auto"/>
            </w:pPr>
            <w:r w:rsidRPr="00216965">
              <w:rPr>
                <w:sz w:val="22"/>
              </w:rPr>
              <w:t>Ammonium (mg.kg</w:t>
            </w:r>
            <w:r w:rsidRPr="00216965">
              <w:rPr>
                <w:sz w:val="22"/>
                <w:vertAlign w:val="superscript"/>
              </w:rPr>
              <w:t>-1</w:t>
            </w:r>
            <w:r w:rsidRPr="00216965">
              <w:rPr>
                <w:sz w:val="22"/>
              </w:rPr>
              <w:t>)</w:t>
            </w:r>
          </w:p>
        </w:tc>
        <w:tc>
          <w:tcPr>
            <w:tcW w:w="1418" w:type="dxa"/>
          </w:tcPr>
          <w:p w14:paraId="7B922A91" w14:textId="77777777" w:rsidR="00B45740" w:rsidRPr="00216965" w:rsidRDefault="00B45740" w:rsidP="008A33DA">
            <w:pPr>
              <w:spacing w:after="0" w:line="240" w:lineRule="auto"/>
            </w:pPr>
            <w:r w:rsidRPr="00216965">
              <w:rPr>
                <w:sz w:val="22"/>
              </w:rPr>
              <w:t>53 ± 1</w:t>
            </w:r>
          </w:p>
        </w:tc>
        <w:tc>
          <w:tcPr>
            <w:tcW w:w="1275" w:type="dxa"/>
          </w:tcPr>
          <w:p w14:paraId="3177F250" w14:textId="77777777" w:rsidR="00B45740" w:rsidRPr="00216965" w:rsidRDefault="00B45740" w:rsidP="008A33DA">
            <w:pPr>
              <w:spacing w:after="0" w:line="240" w:lineRule="auto"/>
            </w:pPr>
            <w:r w:rsidRPr="00216965">
              <w:rPr>
                <w:sz w:val="22"/>
              </w:rPr>
              <w:t>65 ± 1</w:t>
            </w:r>
          </w:p>
        </w:tc>
        <w:tc>
          <w:tcPr>
            <w:tcW w:w="1418" w:type="dxa"/>
          </w:tcPr>
          <w:p w14:paraId="6197C7CB" w14:textId="77777777" w:rsidR="00B45740" w:rsidRPr="00216965" w:rsidRDefault="00B45740" w:rsidP="008A33DA">
            <w:pPr>
              <w:spacing w:after="0" w:line="240" w:lineRule="auto"/>
            </w:pPr>
            <w:r w:rsidRPr="00216965">
              <w:rPr>
                <w:sz w:val="22"/>
              </w:rPr>
              <w:t>33.0 ± 0.3</w:t>
            </w:r>
          </w:p>
        </w:tc>
        <w:tc>
          <w:tcPr>
            <w:tcW w:w="1559" w:type="dxa"/>
          </w:tcPr>
          <w:p w14:paraId="16D8A3B2" w14:textId="77777777" w:rsidR="00B45740" w:rsidRPr="00216965" w:rsidRDefault="00B45740" w:rsidP="008A33DA">
            <w:pPr>
              <w:spacing w:after="0" w:line="240" w:lineRule="auto"/>
            </w:pPr>
            <w:r w:rsidRPr="00216965">
              <w:rPr>
                <w:sz w:val="22"/>
              </w:rPr>
              <w:t>33.1 ± 0.1</w:t>
            </w:r>
          </w:p>
        </w:tc>
      </w:tr>
      <w:tr w:rsidR="00B45740" w:rsidRPr="00216965" w14:paraId="007F46C2" w14:textId="77777777" w:rsidTr="008A33DA">
        <w:tc>
          <w:tcPr>
            <w:tcW w:w="2834" w:type="dxa"/>
          </w:tcPr>
          <w:p w14:paraId="4EAA4AC4" w14:textId="77777777" w:rsidR="00B45740" w:rsidRPr="00216965" w:rsidRDefault="00B45740" w:rsidP="008A33DA">
            <w:pPr>
              <w:spacing w:after="0" w:line="240" w:lineRule="auto"/>
            </w:pPr>
            <w:r w:rsidRPr="00216965">
              <w:rPr>
                <w:sz w:val="22"/>
              </w:rPr>
              <w:t>pH</w:t>
            </w:r>
          </w:p>
        </w:tc>
        <w:tc>
          <w:tcPr>
            <w:tcW w:w="1418" w:type="dxa"/>
          </w:tcPr>
          <w:p w14:paraId="7603223B" w14:textId="77777777" w:rsidR="00B45740" w:rsidRPr="00216965" w:rsidRDefault="00B45740" w:rsidP="008A33DA">
            <w:pPr>
              <w:spacing w:after="0" w:line="240" w:lineRule="auto"/>
            </w:pPr>
            <w:r w:rsidRPr="00216965">
              <w:rPr>
                <w:sz w:val="22"/>
              </w:rPr>
              <w:t>5.3 ± 0.1</w:t>
            </w:r>
          </w:p>
        </w:tc>
        <w:tc>
          <w:tcPr>
            <w:tcW w:w="1275" w:type="dxa"/>
          </w:tcPr>
          <w:p w14:paraId="71453A40" w14:textId="77777777" w:rsidR="00B45740" w:rsidRPr="00216965" w:rsidRDefault="00B45740" w:rsidP="008A33DA">
            <w:pPr>
              <w:spacing w:after="0" w:line="240" w:lineRule="auto"/>
            </w:pPr>
            <w:r w:rsidRPr="00216965">
              <w:rPr>
                <w:sz w:val="22"/>
              </w:rPr>
              <w:t>5.8 ± 0.1</w:t>
            </w:r>
          </w:p>
        </w:tc>
        <w:tc>
          <w:tcPr>
            <w:tcW w:w="1418" w:type="dxa"/>
          </w:tcPr>
          <w:p w14:paraId="07D89D2B" w14:textId="77777777" w:rsidR="00B45740" w:rsidRPr="00216965" w:rsidRDefault="00B45740" w:rsidP="008A33DA">
            <w:pPr>
              <w:spacing w:after="0" w:line="240" w:lineRule="auto"/>
            </w:pPr>
            <w:r w:rsidRPr="00216965">
              <w:rPr>
                <w:sz w:val="22"/>
              </w:rPr>
              <w:t>7.3 ± 0.1</w:t>
            </w:r>
          </w:p>
        </w:tc>
        <w:tc>
          <w:tcPr>
            <w:tcW w:w="1559" w:type="dxa"/>
          </w:tcPr>
          <w:p w14:paraId="1C122E19" w14:textId="77777777" w:rsidR="00B45740" w:rsidRPr="00216965" w:rsidRDefault="00B45740" w:rsidP="008A33DA">
            <w:pPr>
              <w:spacing w:after="0" w:line="240" w:lineRule="auto"/>
            </w:pPr>
            <w:r w:rsidRPr="00216965">
              <w:rPr>
                <w:sz w:val="22"/>
              </w:rPr>
              <w:t>7.2 ± 0.0</w:t>
            </w:r>
          </w:p>
        </w:tc>
      </w:tr>
      <w:tr w:rsidR="00B45740" w:rsidRPr="00216965" w14:paraId="428CF887" w14:textId="77777777" w:rsidTr="008A33DA">
        <w:tc>
          <w:tcPr>
            <w:tcW w:w="2834" w:type="dxa"/>
          </w:tcPr>
          <w:p w14:paraId="2DCA3381" w14:textId="5571F3F8" w:rsidR="00B45740" w:rsidRPr="00216965" w:rsidRDefault="00B45740" w:rsidP="008A33DA">
            <w:pPr>
              <w:spacing w:after="0" w:line="240" w:lineRule="auto"/>
            </w:pPr>
            <w:r w:rsidRPr="00216965">
              <w:rPr>
                <w:sz w:val="22"/>
              </w:rPr>
              <w:t>EC (μS</w:t>
            </w:r>
            <w:r w:rsidR="008563DC" w:rsidRPr="00216965">
              <w:rPr>
                <w:sz w:val="22"/>
              </w:rPr>
              <w:t>.cm</w:t>
            </w:r>
            <w:r w:rsidR="008563DC" w:rsidRPr="00216965">
              <w:rPr>
                <w:sz w:val="22"/>
                <w:vertAlign w:val="superscript"/>
              </w:rPr>
              <w:t>-1</w:t>
            </w:r>
            <w:r w:rsidRPr="00216965">
              <w:rPr>
                <w:sz w:val="22"/>
              </w:rPr>
              <w:t>)</w:t>
            </w:r>
          </w:p>
        </w:tc>
        <w:tc>
          <w:tcPr>
            <w:tcW w:w="1418" w:type="dxa"/>
          </w:tcPr>
          <w:p w14:paraId="4126AA17" w14:textId="77777777" w:rsidR="00B45740" w:rsidRPr="00216965" w:rsidRDefault="00B45740" w:rsidP="008A33DA">
            <w:pPr>
              <w:spacing w:after="0" w:line="240" w:lineRule="auto"/>
            </w:pPr>
            <w:r w:rsidRPr="00216965">
              <w:rPr>
                <w:sz w:val="22"/>
              </w:rPr>
              <w:t>59 ± 10</w:t>
            </w:r>
          </w:p>
        </w:tc>
        <w:tc>
          <w:tcPr>
            <w:tcW w:w="1275" w:type="dxa"/>
          </w:tcPr>
          <w:p w14:paraId="03580B9D" w14:textId="77777777" w:rsidR="00B45740" w:rsidRPr="00216965" w:rsidRDefault="00B45740" w:rsidP="008A33DA">
            <w:pPr>
              <w:spacing w:after="0" w:line="240" w:lineRule="auto"/>
            </w:pPr>
            <w:r w:rsidRPr="00216965">
              <w:rPr>
                <w:sz w:val="22"/>
              </w:rPr>
              <w:t>162 ± 3</w:t>
            </w:r>
          </w:p>
        </w:tc>
        <w:tc>
          <w:tcPr>
            <w:tcW w:w="1418" w:type="dxa"/>
          </w:tcPr>
          <w:p w14:paraId="63C23A55" w14:textId="77777777" w:rsidR="00B45740" w:rsidRPr="00216965" w:rsidRDefault="00B45740" w:rsidP="008A33DA">
            <w:pPr>
              <w:spacing w:after="0" w:line="240" w:lineRule="auto"/>
            </w:pPr>
            <w:r w:rsidRPr="00216965">
              <w:rPr>
                <w:sz w:val="22"/>
              </w:rPr>
              <w:t>831 ± 39</w:t>
            </w:r>
          </w:p>
        </w:tc>
        <w:tc>
          <w:tcPr>
            <w:tcW w:w="1559" w:type="dxa"/>
          </w:tcPr>
          <w:p w14:paraId="2D44C6D7" w14:textId="77777777" w:rsidR="00B45740" w:rsidRPr="00216965" w:rsidRDefault="00B45740" w:rsidP="008A33DA">
            <w:pPr>
              <w:spacing w:after="0" w:line="240" w:lineRule="auto"/>
            </w:pPr>
            <w:r w:rsidRPr="00216965">
              <w:rPr>
                <w:sz w:val="22"/>
              </w:rPr>
              <w:t>824 ± 64</w:t>
            </w:r>
          </w:p>
        </w:tc>
      </w:tr>
      <w:tr w:rsidR="00B45740" w:rsidRPr="00216965" w14:paraId="73405796" w14:textId="77777777" w:rsidTr="008A33DA">
        <w:tc>
          <w:tcPr>
            <w:tcW w:w="2834" w:type="dxa"/>
          </w:tcPr>
          <w:p w14:paraId="35272564" w14:textId="77777777" w:rsidR="00B45740" w:rsidRPr="00216965" w:rsidRDefault="00B45740" w:rsidP="008A33DA">
            <w:pPr>
              <w:spacing w:after="0" w:line="240" w:lineRule="auto"/>
            </w:pPr>
            <w:r w:rsidRPr="00216965">
              <w:rPr>
                <w:sz w:val="22"/>
              </w:rPr>
              <w:t>Total Ca (g.kg</w:t>
            </w:r>
            <w:r w:rsidRPr="00216965">
              <w:rPr>
                <w:sz w:val="22"/>
                <w:vertAlign w:val="superscript"/>
              </w:rPr>
              <w:t>-1</w:t>
            </w:r>
            <w:r w:rsidRPr="00216965">
              <w:rPr>
                <w:sz w:val="22"/>
              </w:rPr>
              <w:t>)</w:t>
            </w:r>
          </w:p>
        </w:tc>
        <w:tc>
          <w:tcPr>
            <w:tcW w:w="1418" w:type="dxa"/>
          </w:tcPr>
          <w:p w14:paraId="39D238B5" w14:textId="77777777" w:rsidR="00B45740" w:rsidRPr="00216965" w:rsidRDefault="00B45740" w:rsidP="008A33DA">
            <w:pPr>
              <w:spacing w:after="0" w:line="240" w:lineRule="auto"/>
            </w:pPr>
            <w:r w:rsidRPr="00216965">
              <w:rPr>
                <w:sz w:val="22"/>
              </w:rPr>
              <w:t>1.3 ± 0.1</w:t>
            </w:r>
          </w:p>
        </w:tc>
        <w:tc>
          <w:tcPr>
            <w:tcW w:w="1275" w:type="dxa"/>
          </w:tcPr>
          <w:p w14:paraId="50D64741" w14:textId="77777777" w:rsidR="00B45740" w:rsidRPr="00216965" w:rsidRDefault="00B45740" w:rsidP="008A33DA">
            <w:pPr>
              <w:spacing w:after="0" w:line="240" w:lineRule="auto"/>
            </w:pPr>
            <w:r w:rsidRPr="00216965">
              <w:rPr>
                <w:sz w:val="22"/>
              </w:rPr>
              <w:t>2.9 ± 0.2</w:t>
            </w:r>
          </w:p>
        </w:tc>
        <w:tc>
          <w:tcPr>
            <w:tcW w:w="1418" w:type="dxa"/>
          </w:tcPr>
          <w:p w14:paraId="477857BD" w14:textId="77777777" w:rsidR="00B45740" w:rsidRPr="00216965" w:rsidRDefault="00B45740" w:rsidP="008A33DA">
            <w:pPr>
              <w:spacing w:after="0" w:line="240" w:lineRule="auto"/>
            </w:pPr>
            <w:r w:rsidRPr="00216965">
              <w:rPr>
                <w:sz w:val="22"/>
              </w:rPr>
              <w:t>46 ± 3</w:t>
            </w:r>
          </w:p>
        </w:tc>
        <w:tc>
          <w:tcPr>
            <w:tcW w:w="1559" w:type="dxa"/>
          </w:tcPr>
          <w:p w14:paraId="6ECAC04E" w14:textId="77777777" w:rsidR="00B45740" w:rsidRPr="00216965" w:rsidRDefault="00B45740" w:rsidP="008A33DA">
            <w:pPr>
              <w:spacing w:after="0" w:line="240" w:lineRule="auto"/>
            </w:pPr>
            <w:r w:rsidRPr="00216965">
              <w:rPr>
                <w:sz w:val="22"/>
              </w:rPr>
              <w:t>44 ± 1</w:t>
            </w:r>
          </w:p>
        </w:tc>
      </w:tr>
      <w:tr w:rsidR="00B45740" w:rsidRPr="00216965" w14:paraId="35AF8F79" w14:textId="77777777" w:rsidTr="008A33DA">
        <w:tc>
          <w:tcPr>
            <w:tcW w:w="2834" w:type="dxa"/>
          </w:tcPr>
          <w:p w14:paraId="066CFB06" w14:textId="77777777" w:rsidR="00B45740" w:rsidRPr="00216965" w:rsidRDefault="00B45740" w:rsidP="008A33DA">
            <w:pPr>
              <w:spacing w:after="0" w:line="240" w:lineRule="auto"/>
            </w:pPr>
            <w:r w:rsidRPr="00216965">
              <w:rPr>
                <w:sz w:val="22"/>
              </w:rPr>
              <w:t>Total Mg (g.kg</w:t>
            </w:r>
            <w:r w:rsidRPr="00216965">
              <w:rPr>
                <w:sz w:val="22"/>
                <w:vertAlign w:val="superscript"/>
              </w:rPr>
              <w:t>-1</w:t>
            </w:r>
            <w:r w:rsidRPr="00216965">
              <w:rPr>
                <w:sz w:val="22"/>
              </w:rPr>
              <w:t>)</w:t>
            </w:r>
          </w:p>
        </w:tc>
        <w:tc>
          <w:tcPr>
            <w:tcW w:w="1418" w:type="dxa"/>
          </w:tcPr>
          <w:p w14:paraId="1DE6CD74" w14:textId="77777777" w:rsidR="00B45740" w:rsidRPr="00216965" w:rsidRDefault="00B45740" w:rsidP="008A33DA">
            <w:pPr>
              <w:spacing w:after="0" w:line="240" w:lineRule="auto"/>
            </w:pPr>
            <w:r w:rsidRPr="00216965">
              <w:rPr>
                <w:sz w:val="22"/>
              </w:rPr>
              <w:t>20.9 ± 0.0</w:t>
            </w:r>
          </w:p>
        </w:tc>
        <w:tc>
          <w:tcPr>
            <w:tcW w:w="1275" w:type="dxa"/>
          </w:tcPr>
          <w:p w14:paraId="3A649E6D" w14:textId="77777777" w:rsidR="00B45740" w:rsidRPr="00216965" w:rsidRDefault="00B45740" w:rsidP="008A33DA">
            <w:pPr>
              <w:spacing w:after="0" w:line="240" w:lineRule="auto"/>
            </w:pPr>
            <w:r w:rsidRPr="00216965">
              <w:rPr>
                <w:sz w:val="22"/>
              </w:rPr>
              <w:t>21.2 ± 0.3</w:t>
            </w:r>
          </w:p>
        </w:tc>
        <w:tc>
          <w:tcPr>
            <w:tcW w:w="1418" w:type="dxa"/>
          </w:tcPr>
          <w:p w14:paraId="411E99C8" w14:textId="77777777" w:rsidR="00B45740" w:rsidRPr="00216965" w:rsidRDefault="00B45740" w:rsidP="008A33DA">
            <w:pPr>
              <w:spacing w:after="0" w:line="240" w:lineRule="auto"/>
            </w:pPr>
            <w:r w:rsidRPr="00216965">
              <w:rPr>
                <w:sz w:val="22"/>
              </w:rPr>
              <w:t>23. ± 1.4</w:t>
            </w:r>
          </w:p>
        </w:tc>
        <w:tc>
          <w:tcPr>
            <w:tcW w:w="1559" w:type="dxa"/>
          </w:tcPr>
          <w:p w14:paraId="4DFE73DC" w14:textId="77777777" w:rsidR="00B45740" w:rsidRPr="00216965" w:rsidRDefault="00B45740" w:rsidP="008A33DA">
            <w:pPr>
              <w:spacing w:after="0" w:line="240" w:lineRule="auto"/>
            </w:pPr>
            <w:r w:rsidRPr="00216965">
              <w:rPr>
                <w:sz w:val="22"/>
              </w:rPr>
              <w:t xml:space="preserve"> 21.4 ± 0.5</w:t>
            </w:r>
          </w:p>
        </w:tc>
      </w:tr>
      <w:tr w:rsidR="00B45740" w:rsidRPr="00216965" w14:paraId="39595023" w14:textId="77777777" w:rsidTr="008A33DA">
        <w:tc>
          <w:tcPr>
            <w:tcW w:w="2834" w:type="dxa"/>
          </w:tcPr>
          <w:p w14:paraId="2B1FD28D" w14:textId="77777777" w:rsidR="00B45740" w:rsidRPr="00216965" w:rsidRDefault="00B45740" w:rsidP="008A33DA">
            <w:pPr>
              <w:spacing w:after="0" w:line="240" w:lineRule="auto"/>
            </w:pPr>
            <w:r w:rsidRPr="00216965">
              <w:rPr>
                <w:sz w:val="22"/>
              </w:rPr>
              <w:t>Total Mn (g.kg</w:t>
            </w:r>
            <w:r w:rsidRPr="00216965">
              <w:rPr>
                <w:sz w:val="22"/>
                <w:vertAlign w:val="superscript"/>
              </w:rPr>
              <w:t>-1</w:t>
            </w:r>
            <w:r w:rsidRPr="00216965">
              <w:rPr>
                <w:sz w:val="22"/>
              </w:rPr>
              <w:t>)</w:t>
            </w:r>
          </w:p>
        </w:tc>
        <w:tc>
          <w:tcPr>
            <w:tcW w:w="1418" w:type="dxa"/>
          </w:tcPr>
          <w:p w14:paraId="7EDD2A89" w14:textId="77777777" w:rsidR="00B45740" w:rsidRPr="00216965" w:rsidRDefault="00B45740" w:rsidP="008A33DA">
            <w:pPr>
              <w:spacing w:after="0" w:line="240" w:lineRule="auto"/>
            </w:pPr>
            <w:r w:rsidRPr="00216965">
              <w:rPr>
                <w:sz w:val="22"/>
              </w:rPr>
              <w:t>6.1 ± 0.2</w:t>
            </w:r>
          </w:p>
        </w:tc>
        <w:tc>
          <w:tcPr>
            <w:tcW w:w="1275" w:type="dxa"/>
          </w:tcPr>
          <w:p w14:paraId="05B5B645" w14:textId="77777777" w:rsidR="00B45740" w:rsidRPr="00216965" w:rsidRDefault="00B45740" w:rsidP="008A33DA">
            <w:pPr>
              <w:spacing w:after="0" w:line="240" w:lineRule="auto"/>
            </w:pPr>
            <w:r w:rsidRPr="00216965">
              <w:rPr>
                <w:sz w:val="22"/>
              </w:rPr>
              <w:t>6.4 ± 0.1</w:t>
            </w:r>
          </w:p>
        </w:tc>
        <w:tc>
          <w:tcPr>
            <w:tcW w:w="1418" w:type="dxa"/>
          </w:tcPr>
          <w:p w14:paraId="271E2925" w14:textId="77777777" w:rsidR="00B45740" w:rsidRPr="00216965" w:rsidRDefault="00B45740" w:rsidP="008A33DA">
            <w:pPr>
              <w:spacing w:after="0" w:line="240" w:lineRule="auto"/>
            </w:pPr>
            <w:r w:rsidRPr="00216965">
              <w:rPr>
                <w:sz w:val="22"/>
              </w:rPr>
              <w:t>6.7 ± 0.5</w:t>
            </w:r>
          </w:p>
        </w:tc>
        <w:tc>
          <w:tcPr>
            <w:tcW w:w="1559" w:type="dxa"/>
          </w:tcPr>
          <w:p w14:paraId="4B1D2D22" w14:textId="77777777" w:rsidR="00B45740" w:rsidRPr="00216965" w:rsidRDefault="00B45740" w:rsidP="008A33DA">
            <w:pPr>
              <w:spacing w:after="0" w:line="240" w:lineRule="auto"/>
            </w:pPr>
            <w:r w:rsidRPr="00216965">
              <w:rPr>
                <w:sz w:val="22"/>
              </w:rPr>
              <w:t>5.8 ± 0.2</w:t>
            </w:r>
          </w:p>
        </w:tc>
      </w:tr>
      <w:tr w:rsidR="00B45740" w:rsidRPr="00216965" w14:paraId="2A71BA3A" w14:textId="77777777" w:rsidTr="008A33DA">
        <w:tc>
          <w:tcPr>
            <w:tcW w:w="2834" w:type="dxa"/>
          </w:tcPr>
          <w:p w14:paraId="32641FF0" w14:textId="77777777" w:rsidR="00B45740" w:rsidRPr="00216965" w:rsidRDefault="00B45740" w:rsidP="008A33DA">
            <w:pPr>
              <w:spacing w:after="0" w:line="240" w:lineRule="auto"/>
            </w:pPr>
            <w:r w:rsidRPr="00216965">
              <w:rPr>
                <w:sz w:val="22"/>
              </w:rPr>
              <w:t>Total Na (g.kg</w:t>
            </w:r>
            <w:r w:rsidRPr="00216965">
              <w:rPr>
                <w:sz w:val="22"/>
                <w:vertAlign w:val="superscript"/>
              </w:rPr>
              <w:t>-1</w:t>
            </w:r>
            <w:r w:rsidRPr="00216965">
              <w:rPr>
                <w:sz w:val="22"/>
              </w:rPr>
              <w:t>)</w:t>
            </w:r>
          </w:p>
        </w:tc>
        <w:tc>
          <w:tcPr>
            <w:tcW w:w="1418" w:type="dxa"/>
          </w:tcPr>
          <w:p w14:paraId="462A1021" w14:textId="77777777" w:rsidR="00B45740" w:rsidRPr="00216965" w:rsidRDefault="00B45740" w:rsidP="008A33DA">
            <w:pPr>
              <w:spacing w:after="0" w:line="240" w:lineRule="auto"/>
            </w:pPr>
            <w:r w:rsidRPr="00216965">
              <w:rPr>
                <w:sz w:val="22"/>
              </w:rPr>
              <w:t>1.8 ± 0.1</w:t>
            </w:r>
          </w:p>
        </w:tc>
        <w:tc>
          <w:tcPr>
            <w:tcW w:w="1275" w:type="dxa"/>
          </w:tcPr>
          <w:p w14:paraId="56B9A8F0" w14:textId="77777777" w:rsidR="00B45740" w:rsidRPr="00216965" w:rsidRDefault="00B45740" w:rsidP="008A33DA">
            <w:pPr>
              <w:spacing w:after="0" w:line="240" w:lineRule="auto"/>
            </w:pPr>
            <w:r w:rsidRPr="00216965">
              <w:rPr>
                <w:sz w:val="22"/>
              </w:rPr>
              <w:t>1.8 ± 0.0</w:t>
            </w:r>
          </w:p>
        </w:tc>
        <w:tc>
          <w:tcPr>
            <w:tcW w:w="1418" w:type="dxa"/>
          </w:tcPr>
          <w:p w14:paraId="2B92EF0F" w14:textId="77777777" w:rsidR="00B45740" w:rsidRPr="00216965" w:rsidRDefault="00B45740" w:rsidP="008A33DA">
            <w:pPr>
              <w:spacing w:after="0" w:line="240" w:lineRule="auto"/>
            </w:pPr>
            <w:r w:rsidRPr="00216965">
              <w:rPr>
                <w:sz w:val="22"/>
              </w:rPr>
              <w:t>2.0 ± 0.1</w:t>
            </w:r>
          </w:p>
        </w:tc>
        <w:tc>
          <w:tcPr>
            <w:tcW w:w="1559" w:type="dxa"/>
          </w:tcPr>
          <w:p w14:paraId="3EE9CD32" w14:textId="77777777" w:rsidR="00B45740" w:rsidRPr="00216965" w:rsidRDefault="00B45740" w:rsidP="008A33DA">
            <w:pPr>
              <w:spacing w:after="0" w:line="240" w:lineRule="auto"/>
            </w:pPr>
            <w:r w:rsidRPr="00216965">
              <w:rPr>
                <w:sz w:val="22"/>
              </w:rPr>
              <w:t>2.3 ± 0.4</w:t>
            </w:r>
          </w:p>
        </w:tc>
      </w:tr>
      <w:tr w:rsidR="00B45740" w:rsidRPr="00216965" w14:paraId="03A4F256" w14:textId="77777777" w:rsidTr="008A33DA">
        <w:tc>
          <w:tcPr>
            <w:tcW w:w="2834" w:type="dxa"/>
          </w:tcPr>
          <w:p w14:paraId="68020C59" w14:textId="77777777" w:rsidR="00B45740" w:rsidRPr="00216965" w:rsidRDefault="00B45740" w:rsidP="008A33DA">
            <w:pPr>
              <w:spacing w:after="0" w:line="240" w:lineRule="auto"/>
            </w:pPr>
            <w:r w:rsidRPr="00216965">
              <w:rPr>
                <w:sz w:val="22"/>
              </w:rPr>
              <w:t>Total Fe (g.kg</w:t>
            </w:r>
            <w:r w:rsidRPr="00216965">
              <w:rPr>
                <w:sz w:val="22"/>
                <w:vertAlign w:val="superscript"/>
              </w:rPr>
              <w:t>-1</w:t>
            </w:r>
            <w:r w:rsidRPr="00216965">
              <w:rPr>
                <w:sz w:val="22"/>
              </w:rPr>
              <w:t>)</w:t>
            </w:r>
          </w:p>
        </w:tc>
        <w:tc>
          <w:tcPr>
            <w:tcW w:w="1418" w:type="dxa"/>
          </w:tcPr>
          <w:p w14:paraId="31A0A4E6" w14:textId="77777777" w:rsidR="00B45740" w:rsidRPr="00216965" w:rsidRDefault="00B45740" w:rsidP="008A33DA">
            <w:pPr>
              <w:spacing w:after="0" w:line="240" w:lineRule="auto"/>
            </w:pPr>
            <w:r w:rsidRPr="00216965">
              <w:rPr>
                <w:sz w:val="22"/>
              </w:rPr>
              <w:t>20.4 ± 2.4</w:t>
            </w:r>
          </w:p>
        </w:tc>
        <w:tc>
          <w:tcPr>
            <w:tcW w:w="1275" w:type="dxa"/>
          </w:tcPr>
          <w:p w14:paraId="7AE2DAFA" w14:textId="77777777" w:rsidR="00B45740" w:rsidRPr="00216965" w:rsidRDefault="00B45740" w:rsidP="008A33DA">
            <w:pPr>
              <w:spacing w:after="0" w:line="240" w:lineRule="auto"/>
            </w:pPr>
            <w:r w:rsidRPr="00216965">
              <w:rPr>
                <w:sz w:val="22"/>
              </w:rPr>
              <w:t>205 ± 1</w:t>
            </w:r>
          </w:p>
        </w:tc>
        <w:tc>
          <w:tcPr>
            <w:tcW w:w="1418" w:type="dxa"/>
          </w:tcPr>
          <w:p w14:paraId="6BF79756" w14:textId="77777777" w:rsidR="00B45740" w:rsidRPr="00216965" w:rsidRDefault="00B45740" w:rsidP="008A33DA">
            <w:pPr>
              <w:spacing w:after="0" w:line="240" w:lineRule="auto"/>
            </w:pPr>
            <w:r w:rsidRPr="00216965">
              <w:rPr>
                <w:sz w:val="22"/>
              </w:rPr>
              <w:t>185 ± 12</w:t>
            </w:r>
          </w:p>
        </w:tc>
        <w:tc>
          <w:tcPr>
            <w:tcW w:w="1559" w:type="dxa"/>
          </w:tcPr>
          <w:p w14:paraId="1475BB73" w14:textId="77777777" w:rsidR="00B45740" w:rsidRPr="00216965" w:rsidRDefault="00B45740" w:rsidP="008A33DA">
            <w:pPr>
              <w:spacing w:after="0" w:line="240" w:lineRule="auto"/>
            </w:pPr>
            <w:r w:rsidRPr="00216965">
              <w:rPr>
                <w:sz w:val="22"/>
              </w:rPr>
              <w:t>166 ± 6</w:t>
            </w:r>
          </w:p>
        </w:tc>
      </w:tr>
      <w:tr w:rsidR="00B45740" w:rsidRPr="00216965" w14:paraId="18FFB5FE" w14:textId="77777777" w:rsidTr="008A33DA">
        <w:tc>
          <w:tcPr>
            <w:tcW w:w="2834" w:type="dxa"/>
          </w:tcPr>
          <w:p w14:paraId="69F192A0" w14:textId="77777777" w:rsidR="00B45740" w:rsidRPr="00216965" w:rsidRDefault="00B45740" w:rsidP="008A33DA">
            <w:pPr>
              <w:spacing w:after="0" w:line="240" w:lineRule="auto"/>
            </w:pPr>
            <w:r w:rsidRPr="00216965">
              <w:rPr>
                <w:sz w:val="22"/>
              </w:rPr>
              <w:t>Total Pb (g.kg</w:t>
            </w:r>
            <w:r w:rsidRPr="00216965">
              <w:rPr>
                <w:sz w:val="22"/>
                <w:vertAlign w:val="superscript"/>
              </w:rPr>
              <w:t>-1</w:t>
            </w:r>
            <w:r w:rsidRPr="00216965">
              <w:rPr>
                <w:sz w:val="22"/>
              </w:rPr>
              <w:t>)</w:t>
            </w:r>
          </w:p>
        </w:tc>
        <w:tc>
          <w:tcPr>
            <w:tcW w:w="1418" w:type="dxa"/>
          </w:tcPr>
          <w:p w14:paraId="7392E59B" w14:textId="77777777" w:rsidR="00B45740" w:rsidRPr="00216965" w:rsidRDefault="00B45740" w:rsidP="008A33DA">
            <w:pPr>
              <w:spacing w:after="0" w:line="240" w:lineRule="auto"/>
            </w:pPr>
            <w:r w:rsidRPr="00216965">
              <w:rPr>
                <w:sz w:val="22"/>
              </w:rPr>
              <w:t>3.4 ± 0.2</w:t>
            </w:r>
          </w:p>
        </w:tc>
        <w:tc>
          <w:tcPr>
            <w:tcW w:w="1275" w:type="dxa"/>
          </w:tcPr>
          <w:p w14:paraId="657F5136" w14:textId="77777777" w:rsidR="00B45740" w:rsidRPr="00216965" w:rsidRDefault="00B45740" w:rsidP="008A33DA">
            <w:pPr>
              <w:spacing w:after="0" w:line="240" w:lineRule="auto"/>
            </w:pPr>
            <w:r w:rsidRPr="00216965">
              <w:rPr>
                <w:sz w:val="22"/>
              </w:rPr>
              <w:t xml:space="preserve">3.4 ± 0.2 </w:t>
            </w:r>
          </w:p>
        </w:tc>
        <w:tc>
          <w:tcPr>
            <w:tcW w:w="1418" w:type="dxa"/>
          </w:tcPr>
          <w:p w14:paraId="605B5FA7" w14:textId="77777777" w:rsidR="00B45740" w:rsidRPr="00216965" w:rsidRDefault="00B45740" w:rsidP="008A33DA">
            <w:pPr>
              <w:spacing w:after="0" w:line="240" w:lineRule="auto"/>
            </w:pPr>
            <w:r w:rsidRPr="00216965">
              <w:rPr>
                <w:sz w:val="22"/>
              </w:rPr>
              <w:t xml:space="preserve">2.4 ± 0.2 </w:t>
            </w:r>
          </w:p>
        </w:tc>
        <w:tc>
          <w:tcPr>
            <w:tcW w:w="1559" w:type="dxa"/>
          </w:tcPr>
          <w:p w14:paraId="2C717E1C" w14:textId="77777777" w:rsidR="00B45740" w:rsidRPr="00216965" w:rsidRDefault="00B45740" w:rsidP="008A33DA">
            <w:pPr>
              <w:spacing w:after="0" w:line="240" w:lineRule="auto"/>
            </w:pPr>
            <w:r w:rsidRPr="00216965">
              <w:rPr>
                <w:sz w:val="22"/>
              </w:rPr>
              <w:t>2.3 ± 0.0</w:t>
            </w:r>
          </w:p>
        </w:tc>
      </w:tr>
      <w:tr w:rsidR="00B45740" w:rsidRPr="00216965" w14:paraId="033C148F" w14:textId="77777777" w:rsidTr="008A33DA">
        <w:tc>
          <w:tcPr>
            <w:tcW w:w="2834" w:type="dxa"/>
          </w:tcPr>
          <w:p w14:paraId="24F57F22" w14:textId="77777777" w:rsidR="00B45740" w:rsidRPr="00216965" w:rsidRDefault="00B45740" w:rsidP="008A33DA">
            <w:pPr>
              <w:spacing w:after="0" w:line="240" w:lineRule="auto"/>
            </w:pPr>
            <w:r w:rsidRPr="00216965">
              <w:rPr>
                <w:sz w:val="22"/>
              </w:rPr>
              <w:t>Bioavailable Pb (mg.kg</w:t>
            </w:r>
            <w:r w:rsidRPr="00216965">
              <w:rPr>
                <w:sz w:val="22"/>
                <w:vertAlign w:val="superscript"/>
              </w:rPr>
              <w:t>-1</w:t>
            </w:r>
            <w:r w:rsidRPr="00216965">
              <w:rPr>
                <w:sz w:val="22"/>
              </w:rPr>
              <w:t>)</w:t>
            </w:r>
          </w:p>
        </w:tc>
        <w:tc>
          <w:tcPr>
            <w:tcW w:w="1418" w:type="dxa"/>
          </w:tcPr>
          <w:p w14:paraId="791AF51E" w14:textId="77777777" w:rsidR="00B45740" w:rsidRPr="00216965" w:rsidRDefault="00B45740" w:rsidP="008A33DA">
            <w:pPr>
              <w:spacing w:after="0" w:line="240" w:lineRule="auto"/>
            </w:pPr>
            <w:r w:rsidRPr="00216965">
              <w:rPr>
                <w:sz w:val="22"/>
              </w:rPr>
              <w:t>135 ± 25</w:t>
            </w:r>
          </w:p>
        </w:tc>
        <w:tc>
          <w:tcPr>
            <w:tcW w:w="1275" w:type="dxa"/>
          </w:tcPr>
          <w:p w14:paraId="1A3A81D4" w14:textId="77777777" w:rsidR="00B45740" w:rsidRPr="00216965" w:rsidRDefault="00B45740" w:rsidP="008A33DA">
            <w:pPr>
              <w:spacing w:after="0" w:line="240" w:lineRule="auto"/>
            </w:pPr>
            <w:r w:rsidRPr="00216965">
              <w:rPr>
                <w:sz w:val="22"/>
              </w:rPr>
              <w:t>24.5 ± 0.0</w:t>
            </w:r>
          </w:p>
        </w:tc>
        <w:tc>
          <w:tcPr>
            <w:tcW w:w="1418" w:type="dxa"/>
          </w:tcPr>
          <w:p w14:paraId="5193544B" w14:textId="77777777" w:rsidR="00B45740" w:rsidRPr="00216965" w:rsidRDefault="00B45740" w:rsidP="008A33DA">
            <w:pPr>
              <w:spacing w:after="0" w:line="240" w:lineRule="auto"/>
            </w:pPr>
            <w:r w:rsidRPr="00216965">
              <w:rPr>
                <w:sz w:val="22"/>
              </w:rPr>
              <w:t>1.2 ± 0.0</w:t>
            </w:r>
          </w:p>
        </w:tc>
        <w:tc>
          <w:tcPr>
            <w:tcW w:w="1559" w:type="dxa"/>
          </w:tcPr>
          <w:p w14:paraId="1C159684" w14:textId="77777777" w:rsidR="00B45740" w:rsidRPr="00216965" w:rsidRDefault="00B45740" w:rsidP="008A33DA">
            <w:pPr>
              <w:spacing w:after="0" w:line="240" w:lineRule="auto"/>
            </w:pPr>
            <w:r w:rsidRPr="00216965">
              <w:rPr>
                <w:sz w:val="22"/>
              </w:rPr>
              <w:t>1.1  ± 0.0</w:t>
            </w:r>
          </w:p>
        </w:tc>
      </w:tr>
      <w:tr w:rsidR="00B45740" w:rsidRPr="00216965" w14:paraId="7559AA39" w14:textId="77777777" w:rsidTr="008A33DA">
        <w:tc>
          <w:tcPr>
            <w:tcW w:w="2834" w:type="dxa"/>
          </w:tcPr>
          <w:p w14:paraId="32ED53D1" w14:textId="77777777" w:rsidR="00B45740" w:rsidRPr="00216965" w:rsidRDefault="00B45740" w:rsidP="008A33DA">
            <w:pPr>
              <w:spacing w:after="0" w:line="240" w:lineRule="auto"/>
            </w:pPr>
            <w:r w:rsidRPr="00216965">
              <w:rPr>
                <w:sz w:val="22"/>
              </w:rPr>
              <w:t>Total Zn (g.kg</w:t>
            </w:r>
            <w:r w:rsidRPr="00216965">
              <w:rPr>
                <w:sz w:val="22"/>
                <w:vertAlign w:val="superscript"/>
              </w:rPr>
              <w:t>-1</w:t>
            </w:r>
            <w:r w:rsidRPr="00216965">
              <w:rPr>
                <w:sz w:val="22"/>
              </w:rPr>
              <w:t>)</w:t>
            </w:r>
          </w:p>
        </w:tc>
        <w:tc>
          <w:tcPr>
            <w:tcW w:w="1418" w:type="dxa"/>
          </w:tcPr>
          <w:p w14:paraId="55B556AA" w14:textId="77777777" w:rsidR="00B45740" w:rsidRPr="00216965" w:rsidRDefault="00B45740" w:rsidP="008A33DA">
            <w:pPr>
              <w:spacing w:after="0" w:line="240" w:lineRule="auto"/>
            </w:pPr>
            <w:r w:rsidRPr="00216965">
              <w:rPr>
                <w:sz w:val="22"/>
              </w:rPr>
              <w:t>1.6 ± 0.0</w:t>
            </w:r>
          </w:p>
        </w:tc>
        <w:tc>
          <w:tcPr>
            <w:tcW w:w="1275" w:type="dxa"/>
          </w:tcPr>
          <w:p w14:paraId="28CA8B28" w14:textId="77777777" w:rsidR="00B45740" w:rsidRPr="00216965" w:rsidRDefault="00B45740" w:rsidP="008A33DA">
            <w:pPr>
              <w:spacing w:after="0" w:line="240" w:lineRule="auto"/>
            </w:pPr>
            <w:r w:rsidRPr="00216965">
              <w:rPr>
                <w:sz w:val="22"/>
              </w:rPr>
              <w:t xml:space="preserve">1.7 ± 0.0 </w:t>
            </w:r>
          </w:p>
        </w:tc>
        <w:tc>
          <w:tcPr>
            <w:tcW w:w="1418" w:type="dxa"/>
          </w:tcPr>
          <w:p w14:paraId="7D49375F" w14:textId="77777777" w:rsidR="00B45740" w:rsidRPr="00216965" w:rsidRDefault="00B45740" w:rsidP="008A33DA">
            <w:pPr>
              <w:spacing w:after="0" w:line="240" w:lineRule="auto"/>
            </w:pPr>
            <w:r w:rsidRPr="00216965">
              <w:rPr>
                <w:sz w:val="22"/>
              </w:rPr>
              <w:t>1.5 ± 0.0</w:t>
            </w:r>
          </w:p>
        </w:tc>
        <w:tc>
          <w:tcPr>
            <w:tcW w:w="1559" w:type="dxa"/>
          </w:tcPr>
          <w:p w14:paraId="7CDE4067" w14:textId="77777777" w:rsidR="00B45740" w:rsidRPr="00216965" w:rsidRDefault="00B45740" w:rsidP="008A33DA">
            <w:pPr>
              <w:spacing w:after="0" w:line="240" w:lineRule="auto"/>
            </w:pPr>
            <w:r w:rsidRPr="00216965">
              <w:rPr>
                <w:sz w:val="22"/>
              </w:rPr>
              <w:t>1.4 ± 0.0</w:t>
            </w:r>
          </w:p>
        </w:tc>
      </w:tr>
      <w:tr w:rsidR="00B45740" w:rsidRPr="00216965" w14:paraId="23126DEE" w14:textId="77777777" w:rsidTr="008A33DA">
        <w:tc>
          <w:tcPr>
            <w:tcW w:w="2834" w:type="dxa"/>
          </w:tcPr>
          <w:p w14:paraId="0BE441D3" w14:textId="77777777" w:rsidR="00B45740" w:rsidRPr="00216965" w:rsidRDefault="00B45740" w:rsidP="008A33DA">
            <w:pPr>
              <w:spacing w:after="0" w:line="240" w:lineRule="auto"/>
            </w:pPr>
            <w:r w:rsidRPr="00216965">
              <w:rPr>
                <w:sz w:val="22"/>
              </w:rPr>
              <w:t>Bioavailable Zn (mg.kg</w:t>
            </w:r>
            <w:r w:rsidRPr="00216965">
              <w:rPr>
                <w:sz w:val="22"/>
                <w:vertAlign w:val="superscript"/>
              </w:rPr>
              <w:t>-1</w:t>
            </w:r>
            <w:r w:rsidRPr="00216965">
              <w:rPr>
                <w:sz w:val="22"/>
              </w:rPr>
              <w:t>)</w:t>
            </w:r>
          </w:p>
        </w:tc>
        <w:tc>
          <w:tcPr>
            <w:tcW w:w="1418" w:type="dxa"/>
          </w:tcPr>
          <w:p w14:paraId="4EBDEB88" w14:textId="77777777" w:rsidR="00B45740" w:rsidRPr="00216965" w:rsidRDefault="00B45740" w:rsidP="008A33DA">
            <w:pPr>
              <w:spacing w:after="0" w:line="240" w:lineRule="auto"/>
            </w:pPr>
            <w:r w:rsidRPr="00216965">
              <w:rPr>
                <w:sz w:val="22"/>
              </w:rPr>
              <w:t>21.3 ± 0.2</w:t>
            </w:r>
          </w:p>
        </w:tc>
        <w:tc>
          <w:tcPr>
            <w:tcW w:w="1275" w:type="dxa"/>
          </w:tcPr>
          <w:p w14:paraId="67019CDE" w14:textId="77777777" w:rsidR="00B45740" w:rsidRPr="00216965" w:rsidRDefault="00B45740" w:rsidP="008A33DA">
            <w:pPr>
              <w:spacing w:after="0" w:line="240" w:lineRule="auto"/>
            </w:pPr>
            <w:r w:rsidRPr="00216965">
              <w:rPr>
                <w:sz w:val="22"/>
              </w:rPr>
              <w:t>13.4 ± 0.3</w:t>
            </w:r>
          </w:p>
        </w:tc>
        <w:tc>
          <w:tcPr>
            <w:tcW w:w="1418" w:type="dxa"/>
          </w:tcPr>
          <w:p w14:paraId="43EBD008" w14:textId="77777777" w:rsidR="00B45740" w:rsidRPr="00216965" w:rsidRDefault="00B45740" w:rsidP="008A33DA">
            <w:pPr>
              <w:spacing w:after="0" w:line="240" w:lineRule="auto"/>
            </w:pPr>
            <w:r w:rsidRPr="00216965">
              <w:rPr>
                <w:sz w:val="22"/>
              </w:rPr>
              <w:t>1.2 + 0.1</w:t>
            </w:r>
          </w:p>
        </w:tc>
        <w:tc>
          <w:tcPr>
            <w:tcW w:w="1559" w:type="dxa"/>
          </w:tcPr>
          <w:p w14:paraId="4898A583" w14:textId="77777777" w:rsidR="00B45740" w:rsidRPr="00216965" w:rsidRDefault="00B45740" w:rsidP="008A33DA">
            <w:pPr>
              <w:spacing w:after="0" w:line="240" w:lineRule="auto"/>
            </w:pPr>
            <w:r w:rsidRPr="00216965">
              <w:rPr>
                <w:sz w:val="22"/>
              </w:rPr>
              <w:t>1.1 ± 0.2</w:t>
            </w:r>
          </w:p>
        </w:tc>
      </w:tr>
      <w:tr w:rsidR="00B45740" w:rsidRPr="00216965" w14:paraId="2B7E0214" w14:textId="77777777" w:rsidTr="008A33DA">
        <w:tc>
          <w:tcPr>
            <w:tcW w:w="2834" w:type="dxa"/>
          </w:tcPr>
          <w:p w14:paraId="1510070D" w14:textId="77777777" w:rsidR="00B45740" w:rsidRPr="00216965" w:rsidRDefault="00B45740" w:rsidP="008A33DA">
            <w:pPr>
              <w:spacing w:after="0" w:line="240" w:lineRule="auto"/>
            </w:pPr>
            <w:r w:rsidRPr="00216965">
              <w:rPr>
                <w:sz w:val="22"/>
              </w:rPr>
              <w:t>Total Cd (mg.kg</w:t>
            </w:r>
            <w:r w:rsidRPr="00216965">
              <w:rPr>
                <w:sz w:val="22"/>
                <w:vertAlign w:val="superscript"/>
              </w:rPr>
              <w:t>-1</w:t>
            </w:r>
            <w:r w:rsidRPr="00216965">
              <w:rPr>
                <w:sz w:val="22"/>
              </w:rPr>
              <w:t>)</w:t>
            </w:r>
          </w:p>
        </w:tc>
        <w:tc>
          <w:tcPr>
            <w:tcW w:w="1418" w:type="dxa"/>
          </w:tcPr>
          <w:p w14:paraId="22EB2B0E" w14:textId="77777777" w:rsidR="00B45740" w:rsidRPr="00216965" w:rsidRDefault="00B45740" w:rsidP="008A33DA">
            <w:pPr>
              <w:spacing w:after="0" w:line="240" w:lineRule="auto"/>
            </w:pPr>
            <w:r w:rsidRPr="00216965">
              <w:rPr>
                <w:sz w:val="22"/>
              </w:rPr>
              <w:t xml:space="preserve">16.6 ± 0.2 </w:t>
            </w:r>
          </w:p>
        </w:tc>
        <w:tc>
          <w:tcPr>
            <w:tcW w:w="1275" w:type="dxa"/>
          </w:tcPr>
          <w:p w14:paraId="32DF8DCE" w14:textId="77777777" w:rsidR="00B45740" w:rsidRPr="00216965" w:rsidRDefault="00B45740" w:rsidP="008A33DA">
            <w:pPr>
              <w:spacing w:after="0" w:line="240" w:lineRule="auto"/>
            </w:pPr>
            <w:r w:rsidRPr="00216965">
              <w:rPr>
                <w:sz w:val="22"/>
              </w:rPr>
              <w:t>16.5 ± 0.1</w:t>
            </w:r>
          </w:p>
        </w:tc>
        <w:tc>
          <w:tcPr>
            <w:tcW w:w="1418" w:type="dxa"/>
          </w:tcPr>
          <w:p w14:paraId="454FE9E2" w14:textId="77777777" w:rsidR="00B45740" w:rsidRPr="00216965" w:rsidRDefault="00B45740" w:rsidP="008A33DA">
            <w:pPr>
              <w:spacing w:after="0" w:line="240" w:lineRule="auto"/>
            </w:pPr>
            <w:r w:rsidRPr="00216965">
              <w:rPr>
                <w:sz w:val="22"/>
              </w:rPr>
              <w:t>15.0 ± 0.3</w:t>
            </w:r>
          </w:p>
        </w:tc>
        <w:tc>
          <w:tcPr>
            <w:tcW w:w="1559" w:type="dxa"/>
          </w:tcPr>
          <w:p w14:paraId="25CC58F9" w14:textId="77777777" w:rsidR="00B45740" w:rsidRPr="00216965" w:rsidRDefault="00B45740" w:rsidP="008A33DA">
            <w:pPr>
              <w:spacing w:after="0" w:line="240" w:lineRule="auto"/>
            </w:pPr>
            <w:r w:rsidRPr="00216965">
              <w:rPr>
                <w:sz w:val="22"/>
              </w:rPr>
              <w:t>14.5 ± 0.3</w:t>
            </w:r>
          </w:p>
        </w:tc>
      </w:tr>
      <w:tr w:rsidR="00B45740" w:rsidRPr="00216965" w14:paraId="68303308" w14:textId="77777777" w:rsidTr="008A33DA">
        <w:tc>
          <w:tcPr>
            <w:tcW w:w="2834" w:type="dxa"/>
            <w:tcBorders>
              <w:bottom w:val="single" w:sz="4" w:space="0" w:color="000000"/>
            </w:tcBorders>
          </w:tcPr>
          <w:p w14:paraId="1C2286E5" w14:textId="77777777" w:rsidR="00B45740" w:rsidRPr="00216965" w:rsidRDefault="00B45740" w:rsidP="008A33DA">
            <w:pPr>
              <w:spacing w:after="0" w:line="240" w:lineRule="auto"/>
            </w:pPr>
            <w:r w:rsidRPr="00216965">
              <w:rPr>
                <w:sz w:val="22"/>
              </w:rPr>
              <w:t>Bioavailable Cd (mg.kg</w:t>
            </w:r>
            <w:r w:rsidRPr="00216965">
              <w:rPr>
                <w:sz w:val="22"/>
                <w:vertAlign w:val="superscript"/>
              </w:rPr>
              <w:t>-1</w:t>
            </w:r>
            <w:r w:rsidRPr="00216965">
              <w:rPr>
                <w:sz w:val="22"/>
              </w:rPr>
              <w:t>)</w:t>
            </w:r>
          </w:p>
        </w:tc>
        <w:tc>
          <w:tcPr>
            <w:tcW w:w="1418" w:type="dxa"/>
            <w:tcBorders>
              <w:bottom w:val="single" w:sz="4" w:space="0" w:color="000000"/>
            </w:tcBorders>
          </w:tcPr>
          <w:p w14:paraId="739DB98F" w14:textId="77777777" w:rsidR="00B45740" w:rsidRPr="00216965" w:rsidRDefault="00B45740" w:rsidP="008A33DA">
            <w:pPr>
              <w:spacing w:after="0" w:line="240" w:lineRule="auto"/>
            </w:pPr>
            <w:r w:rsidRPr="00216965">
              <w:rPr>
                <w:sz w:val="22"/>
              </w:rPr>
              <w:t xml:space="preserve">&lt; 0.01 </w:t>
            </w:r>
          </w:p>
        </w:tc>
        <w:tc>
          <w:tcPr>
            <w:tcW w:w="1275" w:type="dxa"/>
            <w:tcBorders>
              <w:bottom w:val="single" w:sz="4" w:space="0" w:color="000000"/>
            </w:tcBorders>
          </w:tcPr>
          <w:p w14:paraId="04E48FE6" w14:textId="77777777" w:rsidR="00B45740" w:rsidRPr="00216965" w:rsidRDefault="00B45740" w:rsidP="008A33DA">
            <w:pPr>
              <w:spacing w:after="0" w:line="240" w:lineRule="auto"/>
            </w:pPr>
            <w:r w:rsidRPr="00216965">
              <w:rPr>
                <w:sz w:val="22"/>
              </w:rPr>
              <w:t>&lt; 0.01</w:t>
            </w:r>
          </w:p>
        </w:tc>
        <w:tc>
          <w:tcPr>
            <w:tcW w:w="1418" w:type="dxa"/>
            <w:tcBorders>
              <w:bottom w:val="single" w:sz="4" w:space="0" w:color="000000"/>
            </w:tcBorders>
          </w:tcPr>
          <w:p w14:paraId="4F71223A" w14:textId="77777777" w:rsidR="00B45740" w:rsidRPr="00216965" w:rsidRDefault="00B45740" w:rsidP="008A33DA">
            <w:pPr>
              <w:spacing w:after="0" w:line="240" w:lineRule="auto"/>
            </w:pPr>
            <w:r w:rsidRPr="00216965">
              <w:rPr>
                <w:sz w:val="22"/>
              </w:rPr>
              <w:t>&lt; 0.01</w:t>
            </w:r>
          </w:p>
        </w:tc>
        <w:tc>
          <w:tcPr>
            <w:tcW w:w="1559" w:type="dxa"/>
            <w:tcBorders>
              <w:bottom w:val="single" w:sz="4" w:space="0" w:color="000000"/>
            </w:tcBorders>
          </w:tcPr>
          <w:p w14:paraId="423AE356" w14:textId="77777777" w:rsidR="00B45740" w:rsidRPr="00216965" w:rsidRDefault="00B45740" w:rsidP="008A33DA">
            <w:pPr>
              <w:spacing w:after="0" w:line="240" w:lineRule="auto"/>
            </w:pPr>
            <w:r w:rsidRPr="00216965">
              <w:rPr>
                <w:sz w:val="22"/>
              </w:rPr>
              <w:t>&lt; 0.01</w:t>
            </w:r>
          </w:p>
        </w:tc>
      </w:tr>
    </w:tbl>
    <w:p w14:paraId="1C229D1D" w14:textId="77777777" w:rsidR="00B45740" w:rsidRPr="00216965" w:rsidRDefault="00B45740" w:rsidP="008A33DA">
      <w:pPr>
        <w:spacing w:after="0" w:line="240" w:lineRule="auto"/>
        <w:rPr>
          <w:sz w:val="22"/>
        </w:rPr>
      </w:pPr>
      <w:r w:rsidRPr="00216965">
        <w:rPr>
          <w:sz w:val="22"/>
        </w:rPr>
        <w:t xml:space="preserve">Total: extracted with aqua regia </w:t>
      </w:r>
    </w:p>
    <w:p w14:paraId="76F227E4" w14:textId="77777777" w:rsidR="00B45740" w:rsidRPr="00216965" w:rsidRDefault="00B45740" w:rsidP="008A33DA">
      <w:pPr>
        <w:spacing w:after="0" w:line="240" w:lineRule="auto"/>
        <w:rPr>
          <w:sz w:val="22"/>
        </w:rPr>
      </w:pPr>
      <w:r w:rsidRPr="00216965">
        <w:rPr>
          <w:sz w:val="22"/>
        </w:rPr>
        <w:t>Bioavailable: extracted with 1 M NH</w:t>
      </w:r>
      <w:r w:rsidRPr="00216965">
        <w:rPr>
          <w:sz w:val="22"/>
          <w:vertAlign w:val="subscript"/>
        </w:rPr>
        <w:t>4</w:t>
      </w:r>
      <w:r w:rsidRPr="00216965">
        <w:rPr>
          <w:sz w:val="22"/>
        </w:rPr>
        <w:t>-NO</w:t>
      </w:r>
      <w:r w:rsidRPr="00216965">
        <w:rPr>
          <w:sz w:val="22"/>
          <w:vertAlign w:val="subscript"/>
        </w:rPr>
        <w:t>3</w:t>
      </w:r>
    </w:p>
    <w:p w14:paraId="42F1452C" w14:textId="77777777" w:rsidR="00B45740" w:rsidRPr="00216965" w:rsidRDefault="00B45740" w:rsidP="008A33DA"/>
    <w:p w14:paraId="3CF77FD4" w14:textId="77777777" w:rsidR="00B45740" w:rsidRPr="00216965" w:rsidRDefault="00B45740" w:rsidP="008A33DA">
      <w:pPr>
        <w:pStyle w:val="Heading3"/>
      </w:pPr>
      <w:bookmarkStart w:id="349" w:name="_Ref86419271"/>
      <w:bookmarkStart w:id="350" w:name="_Toc86504699"/>
      <w:r w:rsidRPr="00216965">
        <w:t>Effect of organic amendments on soil properties</w:t>
      </w:r>
      <w:bookmarkEnd w:id="349"/>
      <w:bookmarkEnd w:id="350"/>
    </w:p>
    <w:p w14:paraId="7DEFAF7E" w14:textId="0116E7D0" w:rsidR="00B45740" w:rsidRPr="00216965" w:rsidRDefault="00B45740" w:rsidP="008A33DA">
      <w:pPr>
        <w:spacing w:line="360" w:lineRule="auto"/>
        <w:jc w:val="both"/>
      </w:pPr>
      <w:r w:rsidRPr="00216965">
        <w:t>Selected properties of the soil analysed at the end (18 months) of the outdoor pot experiment are presented in</w:t>
      </w:r>
      <w:r w:rsidR="00334127" w:rsidRPr="00216965">
        <w:t xml:space="preserve"> </w:t>
      </w:r>
      <w:r w:rsidR="00334127" w:rsidRPr="00216965">
        <w:fldChar w:fldCharType="begin"/>
      </w:r>
      <w:r w:rsidR="00334127" w:rsidRPr="00216965">
        <w:instrText xml:space="preserve"> REF _Ref86418474 \h </w:instrText>
      </w:r>
      <w:r w:rsidR="00216965" w:rsidRPr="00216965">
        <w:instrText xml:space="preserve"> \* MERGEFORMAT </w:instrText>
      </w:r>
      <w:r w:rsidR="00334127" w:rsidRPr="00216965">
        <w:fldChar w:fldCharType="separate"/>
      </w:r>
      <w:r w:rsidR="006E23EA" w:rsidRPr="00216965">
        <w:rPr>
          <w:b/>
        </w:rPr>
        <w:t xml:space="preserve">Fig. </w:t>
      </w:r>
      <w:r w:rsidR="006E23EA" w:rsidRPr="00216965">
        <w:rPr>
          <w:b/>
          <w:bCs/>
          <w:noProof/>
        </w:rPr>
        <w:t>5</w:t>
      </w:r>
      <w:r w:rsidR="006E23EA" w:rsidRPr="00216965">
        <w:rPr>
          <w:b/>
        </w:rPr>
        <w:noBreakHyphen/>
      </w:r>
      <w:r w:rsidR="006E23EA" w:rsidRPr="00216965">
        <w:rPr>
          <w:b/>
          <w:bCs/>
          <w:noProof/>
        </w:rPr>
        <w:t>3</w:t>
      </w:r>
      <w:r w:rsidR="00334127" w:rsidRPr="00216965">
        <w:fldChar w:fldCharType="end"/>
      </w:r>
      <w:r w:rsidRPr="00216965">
        <w:t xml:space="preserve">. Soil pH increased with the addition of the organic amendments tested. In the soil amended with biochar (S+B) the pH was significantly greater by 0.3-0.5 units compared to the untreated soil and the pH was 2 units greater in S+C and S+C+B treatments (p &lt; 0.05). </w:t>
      </w:r>
    </w:p>
    <w:p w14:paraId="6F2C7FEA" w14:textId="77777777" w:rsidR="00B45740" w:rsidRPr="00216965" w:rsidRDefault="00B45740" w:rsidP="008A33DA">
      <w:pPr>
        <w:jc w:val="center"/>
      </w:pPr>
      <w:r w:rsidRPr="00216965">
        <w:rPr>
          <w:noProof/>
        </w:rPr>
        <w:lastRenderedPageBreak/>
        <w:drawing>
          <wp:inline distT="0" distB="0" distL="0" distR="0" wp14:anchorId="521F0825" wp14:editId="0B886736">
            <wp:extent cx="5037656" cy="5630156"/>
            <wp:effectExtent l="0" t="0" r="0" b="0"/>
            <wp:docPr id="58" name="image13.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A screenshot of a computer&#10;&#10;Description automatically generated with medium confidence"/>
                    <pic:cNvPicPr preferRelativeResize="0"/>
                  </pic:nvPicPr>
                  <pic:blipFill>
                    <a:blip r:embed="rId58"/>
                    <a:srcRect/>
                    <a:stretch>
                      <a:fillRect/>
                    </a:stretch>
                  </pic:blipFill>
                  <pic:spPr>
                    <a:xfrm>
                      <a:off x="0" y="0"/>
                      <a:ext cx="5037656" cy="5630156"/>
                    </a:xfrm>
                    <a:prstGeom prst="rect">
                      <a:avLst/>
                    </a:prstGeom>
                    <a:ln/>
                  </pic:spPr>
                </pic:pic>
              </a:graphicData>
            </a:graphic>
          </wp:inline>
        </w:drawing>
      </w:r>
    </w:p>
    <w:p w14:paraId="7ECA3B24" w14:textId="5F111863" w:rsidR="00B45740" w:rsidRPr="00216965" w:rsidRDefault="00334127" w:rsidP="008A33DA">
      <w:pPr>
        <w:pStyle w:val="Caption"/>
        <w:jc w:val="both"/>
        <w:rPr>
          <w:b/>
          <w:color w:val="000000"/>
        </w:rPr>
      </w:pPr>
      <w:bookmarkStart w:id="351" w:name="_Ref86418474"/>
      <w:bookmarkStart w:id="352" w:name="_Toc86439384"/>
      <w:r w:rsidRPr="00216965">
        <w:rPr>
          <w:b/>
          <w:bCs w:val="0"/>
        </w:rPr>
        <w:t xml:space="preserve">Fig. </w:t>
      </w:r>
      <w:r w:rsidR="00BF3EBE" w:rsidRPr="00216965">
        <w:rPr>
          <w:b/>
          <w:bCs w:val="0"/>
        </w:rPr>
        <w:fldChar w:fldCharType="begin"/>
      </w:r>
      <w:r w:rsidR="00BF3EBE" w:rsidRPr="00216965">
        <w:rPr>
          <w:b/>
          <w:bCs w:val="0"/>
        </w:rPr>
        <w:instrText xml:space="preserve"> STYLEREF 1 \s </w:instrText>
      </w:r>
      <w:r w:rsidR="00BF3EBE" w:rsidRPr="00216965">
        <w:rPr>
          <w:b/>
          <w:bCs w:val="0"/>
        </w:rPr>
        <w:fldChar w:fldCharType="separate"/>
      </w:r>
      <w:r w:rsidR="006E23EA" w:rsidRPr="00216965">
        <w:rPr>
          <w:b/>
          <w:bCs w:val="0"/>
          <w:noProof/>
        </w:rPr>
        <w:t>5</w:t>
      </w:r>
      <w:r w:rsidR="00BF3EBE" w:rsidRPr="00216965">
        <w:rPr>
          <w:b/>
          <w:bCs w:val="0"/>
        </w:rPr>
        <w:fldChar w:fldCharType="end"/>
      </w:r>
      <w:r w:rsidR="00BF3EBE" w:rsidRPr="00216965">
        <w:rPr>
          <w:b/>
          <w:bCs w:val="0"/>
        </w:rPr>
        <w:noBreakHyphen/>
      </w:r>
      <w:r w:rsidR="00BF3EBE" w:rsidRPr="00216965">
        <w:rPr>
          <w:b/>
          <w:bCs w:val="0"/>
        </w:rPr>
        <w:fldChar w:fldCharType="begin"/>
      </w:r>
      <w:r w:rsidR="00BF3EBE" w:rsidRPr="00216965">
        <w:rPr>
          <w:b/>
          <w:bCs w:val="0"/>
        </w:rPr>
        <w:instrText xml:space="preserve"> SEQ Figure \* ARABIC \s 1 </w:instrText>
      </w:r>
      <w:r w:rsidR="00BF3EBE" w:rsidRPr="00216965">
        <w:rPr>
          <w:b/>
          <w:bCs w:val="0"/>
        </w:rPr>
        <w:fldChar w:fldCharType="separate"/>
      </w:r>
      <w:r w:rsidR="006E23EA" w:rsidRPr="00216965">
        <w:rPr>
          <w:b/>
          <w:bCs w:val="0"/>
          <w:noProof/>
        </w:rPr>
        <w:t>3</w:t>
      </w:r>
      <w:r w:rsidR="00BF3EBE" w:rsidRPr="00216965">
        <w:rPr>
          <w:b/>
          <w:bCs w:val="0"/>
        </w:rPr>
        <w:fldChar w:fldCharType="end"/>
      </w:r>
      <w:bookmarkEnd w:id="351"/>
      <w:r w:rsidRPr="00216965">
        <w:t xml:space="preserve"> </w:t>
      </w:r>
      <w:r w:rsidR="00B45740" w:rsidRPr="00216965">
        <w:rPr>
          <w:b/>
          <w:bCs w:val="0"/>
          <w:color w:val="000000"/>
        </w:rPr>
        <w:t>Box plot of properties of Wemyss soil treated with different organic amendments after 18 months of incubation at field conditions.</w:t>
      </w:r>
      <w:r w:rsidR="00B45740" w:rsidRPr="00216965">
        <w:rPr>
          <w:color w:val="000000"/>
        </w:rPr>
        <w:t xml:space="preserve"> Soil treatments: control soil (S), soil with biochar (S+B), soil with compost (S+C), soil with compost and biochar (S+C+B). Treatments with the same letter do not differ significantly according to Tukey post hoc test (α</w:t>
      </w:r>
      <w:r w:rsidR="00166E47" w:rsidRPr="00216965">
        <w:rPr>
          <w:color w:val="000000"/>
        </w:rPr>
        <w:t xml:space="preserve"> </w:t>
      </w:r>
      <w:r w:rsidR="00B45740" w:rsidRPr="00216965">
        <w:rPr>
          <w:color w:val="000000"/>
        </w:rPr>
        <w:t>=</w:t>
      </w:r>
      <w:r w:rsidR="00166E47" w:rsidRPr="00216965">
        <w:rPr>
          <w:color w:val="000000"/>
        </w:rPr>
        <w:t xml:space="preserve"> </w:t>
      </w:r>
      <w:r w:rsidR="00B45740" w:rsidRPr="00216965">
        <w:rPr>
          <w:color w:val="000000"/>
        </w:rPr>
        <w:t>0.05), n</w:t>
      </w:r>
      <w:r w:rsidR="00166E47" w:rsidRPr="00216965">
        <w:rPr>
          <w:color w:val="000000"/>
        </w:rPr>
        <w:t xml:space="preserve"> </w:t>
      </w:r>
      <w:r w:rsidR="00B45740" w:rsidRPr="00216965">
        <w:rPr>
          <w:color w:val="000000"/>
        </w:rPr>
        <w:t>=</w:t>
      </w:r>
      <w:r w:rsidR="00166E47" w:rsidRPr="00216965">
        <w:rPr>
          <w:color w:val="000000"/>
        </w:rPr>
        <w:t xml:space="preserve"> </w:t>
      </w:r>
      <w:r w:rsidR="00B45740" w:rsidRPr="00216965">
        <w:rPr>
          <w:color w:val="000000"/>
        </w:rPr>
        <w:t>4, ns</w:t>
      </w:r>
      <w:r w:rsidR="00166E47" w:rsidRPr="00216965">
        <w:rPr>
          <w:color w:val="000000"/>
        </w:rPr>
        <w:t xml:space="preserve"> </w:t>
      </w:r>
      <w:r w:rsidR="00B45740" w:rsidRPr="00216965">
        <w:rPr>
          <w:color w:val="000000"/>
        </w:rPr>
        <w:t>= no significant differences.</w:t>
      </w:r>
      <w:bookmarkEnd w:id="352"/>
    </w:p>
    <w:p w14:paraId="2F4BDBD9" w14:textId="66C7C577" w:rsidR="00B45740" w:rsidRPr="00216965" w:rsidRDefault="00B45740" w:rsidP="008A33DA">
      <w:pPr>
        <w:spacing w:line="360" w:lineRule="auto"/>
        <w:jc w:val="both"/>
      </w:pPr>
      <w:r w:rsidRPr="00216965">
        <w:t xml:space="preserve">Soil organic matter (OM), EC and </w:t>
      </w:r>
      <w:r w:rsidR="002C3A64" w:rsidRPr="00216965">
        <w:t xml:space="preserve">bioavailable </w:t>
      </w:r>
      <w:r w:rsidRPr="00216965">
        <w:t xml:space="preserve">phosphate </w:t>
      </w:r>
      <w:r w:rsidR="002C3A64" w:rsidRPr="00216965">
        <w:t xml:space="preserve">(Olsen) </w:t>
      </w:r>
      <w:r w:rsidRPr="00216965">
        <w:t>increased significantly in the treatments containing compost (S+C and S+C+B) compared with the untreated soil (p &lt; 0.05) (</w:t>
      </w:r>
      <w:r w:rsidR="00825C72" w:rsidRPr="00216965">
        <w:fldChar w:fldCharType="begin"/>
      </w:r>
      <w:r w:rsidR="00825C72" w:rsidRPr="00216965">
        <w:instrText xml:space="preserve"> REF _Ref86418474 \h </w:instrText>
      </w:r>
      <w:r w:rsidR="00216965" w:rsidRPr="00216965">
        <w:instrText xml:space="preserve"> \* MERGEFORMAT </w:instrText>
      </w:r>
      <w:r w:rsidR="00825C72" w:rsidRPr="00216965">
        <w:fldChar w:fldCharType="separate"/>
      </w:r>
      <w:r w:rsidR="006E23EA" w:rsidRPr="00216965">
        <w:rPr>
          <w:b/>
        </w:rPr>
        <w:t xml:space="preserve">Fig. </w:t>
      </w:r>
      <w:r w:rsidR="006E23EA" w:rsidRPr="00216965">
        <w:rPr>
          <w:b/>
          <w:bCs/>
          <w:noProof/>
        </w:rPr>
        <w:t>5</w:t>
      </w:r>
      <w:r w:rsidR="006E23EA" w:rsidRPr="00216965">
        <w:rPr>
          <w:b/>
        </w:rPr>
        <w:noBreakHyphen/>
      </w:r>
      <w:r w:rsidR="006E23EA" w:rsidRPr="00216965">
        <w:rPr>
          <w:b/>
          <w:bCs/>
          <w:noProof/>
        </w:rPr>
        <w:t>3</w:t>
      </w:r>
      <w:r w:rsidR="00825C72" w:rsidRPr="00216965">
        <w:fldChar w:fldCharType="end"/>
      </w:r>
      <w:r w:rsidRPr="00216965">
        <w:rPr>
          <w:b/>
        </w:rPr>
        <w:t>)</w:t>
      </w:r>
      <w:r w:rsidRPr="00216965">
        <w:t>; increments of 8.5-10 % in OM, 82-85 % in bioavailable phosphate and 73-76 % in EC were observed. The soil amended with biochar (S+B) was not different from the untreated soil (S) (p &lt; 0.05) for OM, EC and phosphate. No significant differences between treatments were observed for ammonium or nitrate (p &lt; 0.05).</w:t>
      </w:r>
    </w:p>
    <w:p w14:paraId="0C3DF2C5" w14:textId="77777777" w:rsidR="00B45740" w:rsidRPr="00216965" w:rsidRDefault="00B45740" w:rsidP="008A33DA">
      <w:pPr>
        <w:pStyle w:val="Heading3"/>
      </w:pPr>
      <w:bookmarkStart w:id="353" w:name="_Ref86418555"/>
      <w:bookmarkStart w:id="354" w:name="_Toc86504700"/>
      <w:r w:rsidRPr="00216965">
        <w:lastRenderedPageBreak/>
        <w:t>Effect of organic amendments on soil pore water parameters</w:t>
      </w:r>
      <w:bookmarkEnd w:id="353"/>
      <w:bookmarkEnd w:id="354"/>
    </w:p>
    <w:p w14:paraId="3F97285D" w14:textId="78F0758E" w:rsidR="00B45740" w:rsidRPr="00216965" w:rsidRDefault="00B45740" w:rsidP="008A33DA">
      <w:pPr>
        <w:spacing w:line="360" w:lineRule="auto"/>
        <w:jc w:val="both"/>
      </w:pPr>
      <w:r w:rsidRPr="00216965">
        <w:t xml:space="preserve">Selected characteristics of soil pore water are presented in </w:t>
      </w:r>
      <w:r w:rsidRPr="00216965">
        <w:rPr>
          <w:b/>
          <w:bCs/>
        </w:rPr>
        <w:fldChar w:fldCharType="begin"/>
      </w:r>
      <w:r w:rsidRPr="00216965">
        <w:rPr>
          <w:b/>
          <w:bCs/>
        </w:rPr>
        <w:instrText xml:space="preserve"> REF _Ref83402624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4</w:t>
      </w:r>
      <w:r w:rsidRPr="00216965">
        <w:rPr>
          <w:b/>
          <w:bCs/>
        </w:rPr>
        <w:fldChar w:fldCharType="end"/>
      </w:r>
      <w:r w:rsidRPr="00216965">
        <w:t>. Overall, the concentration of Pb and Zn in the soil pore water decreased with the addition of the organic amendments. With exception of S+B (6 months, planted) and S+C (6 months, unplanted), the concentration of Pb in the pore water decreased to the detection limit. Similarly, the concentration of Zn in the soil pore water of the amended soils was significantly reduced relative to the unamended soils (except for unplanted samples after 6 months), in some cases to the detection limit. In the S treatment (control), the pots with plants tended to have lower concentrations of heavy metals than the unplanted pots, but the difference was significant only after 6 months for Pb and at all times for Zn (p &lt; 0.05).</w:t>
      </w:r>
    </w:p>
    <w:p w14:paraId="24F4457D" w14:textId="77777777" w:rsidR="00B45740" w:rsidRPr="00216965" w:rsidRDefault="00B45740" w:rsidP="008A33DA">
      <w:pPr>
        <w:spacing w:line="360" w:lineRule="auto"/>
        <w:jc w:val="both"/>
      </w:pPr>
      <w:r w:rsidRPr="00216965">
        <w:t xml:space="preserve">The soil pore water of the planted pots from the S and S+B treatments sampled after 2 and 6 months showed a rise in pH of at least 1.5 and 0.5 units, respectively, relative to the unplanted pots, but only the S treatment was significantly different (p &lt; 0.05). The pH of the soil pore water from planted pots with S+C and S+C+B treatments was ~8.2 and comparable to the pH of S treatment sampled at 2 months (planted). The pH of unplanted pots with S+C and S+C+B treatments (pH 8.2) was higher than the unplanted pots in the S (pH 5.1 - 5.9) and S+B (pH 5.4 -7.1) treatments at the same sampling times. All treatments tended to show a decrease in the pH of the soil pore water with time, which became significant in samples taken at 18 months (p &lt; 0.05). This decrease was more pronounced in the S+B treatment, in which the pH of the soil pore water dropped 2 units in the last sampling relative to the samples taken at 6 months. </w:t>
      </w:r>
    </w:p>
    <w:p w14:paraId="4A1A8DBF" w14:textId="77777777" w:rsidR="00B45740" w:rsidRPr="00216965" w:rsidRDefault="00B45740" w:rsidP="008A33DA">
      <w:pPr>
        <w:spacing w:line="360" w:lineRule="auto"/>
        <w:jc w:val="both"/>
      </w:pPr>
      <w:r w:rsidRPr="00216965">
        <w:t xml:space="preserve">Overall, the EC of the S+C and S+C+B treatments was significantly higher than that for S and S+B treatments, except for S+C+B sampled at 18 months, which was not significantly different. The EC of treatments containing compost tended to decrease with time, but remained constant for S and S+B. No differences were observed between planted or unplanted pots. </w:t>
      </w:r>
    </w:p>
    <w:p w14:paraId="77BCC135" w14:textId="2DFE13EA" w:rsidR="00B45740" w:rsidRPr="00216965" w:rsidRDefault="00B45740" w:rsidP="008A33DA">
      <w:pPr>
        <w:spacing w:line="360" w:lineRule="auto"/>
        <w:jc w:val="both"/>
      </w:pPr>
      <w:r w:rsidRPr="00216965">
        <w:t>The concentration of K, Ca, Mg and B and Na in the soil pore water increased in the treatments containing compost compared with the untreated soil (S) and soil amended with biochar (S+B) (data is shown in</w:t>
      </w:r>
      <w:r w:rsidR="003A7BA9" w:rsidRPr="00216965">
        <w:t xml:space="preserve"> </w:t>
      </w:r>
      <w:r w:rsidR="003A7BA9" w:rsidRPr="00216965">
        <w:rPr>
          <w:b/>
          <w:bCs/>
        </w:rPr>
        <w:fldChar w:fldCharType="begin"/>
      </w:r>
      <w:r w:rsidR="003A7BA9" w:rsidRPr="00216965">
        <w:rPr>
          <w:b/>
          <w:bCs/>
        </w:rPr>
        <w:instrText xml:space="preserve"> REF _Ref86438709 \h  \* MERGEFORMAT </w:instrText>
      </w:r>
      <w:r w:rsidR="003A7BA9" w:rsidRPr="00216965">
        <w:rPr>
          <w:b/>
          <w:bCs/>
        </w:rPr>
      </w:r>
      <w:r w:rsidR="003A7BA9" w:rsidRPr="00216965">
        <w:rPr>
          <w:b/>
          <w:bCs/>
        </w:rPr>
        <w:fldChar w:fldCharType="separate"/>
      </w:r>
      <w:r w:rsidR="006E23EA" w:rsidRPr="00216965">
        <w:rPr>
          <w:b/>
          <w:bCs/>
        </w:rPr>
        <w:t>Appendix 5</w:t>
      </w:r>
      <w:r w:rsidR="003A7BA9" w:rsidRPr="00216965">
        <w:rPr>
          <w:b/>
          <w:bCs/>
        </w:rPr>
        <w:fldChar w:fldCharType="end"/>
      </w:r>
      <w:r w:rsidRPr="00216965">
        <w:t>). These elements had a high concentration in the first sampling and decreased with time. The concentration of other elements, such as Cd, As, Al, Cu, Co, Ni, Mo and Fe, were below the detection limit.</w:t>
      </w:r>
    </w:p>
    <w:p w14:paraId="1F4D12E1" w14:textId="490BCDE5" w:rsidR="00B45740" w:rsidRPr="00216965" w:rsidRDefault="00BA156B" w:rsidP="008A33DA">
      <w:r w:rsidRPr="00216965">
        <w:rPr>
          <w:noProof/>
        </w:rPr>
        <w:lastRenderedPageBreak/>
        <w:drawing>
          <wp:inline distT="0" distB="0" distL="0" distR="0" wp14:anchorId="54FA7F00" wp14:editId="7539998C">
            <wp:extent cx="5638800" cy="5522098"/>
            <wp:effectExtent l="0" t="0" r="0" b="2540"/>
            <wp:docPr id="17" name="Picture 1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41419" cy="5524663"/>
                    </a:xfrm>
                    <a:prstGeom prst="rect">
                      <a:avLst/>
                    </a:prstGeom>
                    <a:noFill/>
                    <a:ln>
                      <a:noFill/>
                    </a:ln>
                  </pic:spPr>
                </pic:pic>
              </a:graphicData>
            </a:graphic>
          </wp:inline>
        </w:drawing>
      </w:r>
    </w:p>
    <w:p w14:paraId="6ADA08B1" w14:textId="1B648AEB" w:rsidR="00B45740" w:rsidRPr="00216965" w:rsidRDefault="00B45740" w:rsidP="008A33DA">
      <w:pPr>
        <w:pBdr>
          <w:top w:val="nil"/>
          <w:left w:val="nil"/>
          <w:bottom w:val="nil"/>
          <w:right w:val="nil"/>
          <w:between w:val="nil"/>
        </w:pBdr>
        <w:spacing w:after="200" w:line="240" w:lineRule="auto"/>
        <w:jc w:val="both"/>
        <w:rPr>
          <w:b/>
          <w:color w:val="000000"/>
        </w:rPr>
      </w:pPr>
      <w:bookmarkStart w:id="355" w:name="_Ref83402624"/>
      <w:bookmarkStart w:id="356" w:name="_Toc86439385"/>
      <w:r w:rsidRPr="00216965">
        <w:rPr>
          <w:b/>
          <w:bCs/>
        </w:rPr>
        <w:t>Fig</w:t>
      </w:r>
      <w:r w:rsidR="00334127"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4</w:t>
      </w:r>
      <w:r w:rsidR="00BF3EBE" w:rsidRPr="00216965">
        <w:rPr>
          <w:b/>
          <w:bCs/>
        </w:rPr>
        <w:fldChar w:fldCharType="end"/>
      </w:r>
      <w:bookmarkEnd w:id="355"/>
      <w:r w:rsidRPr="00216965">
        <w:rPr>
          <w:noProof/>
        </w:rPr>
        <w:t xml:space="preserve"> </w:t>
      </w:r>
      <w:r w:rsidRPr="00216965">
        <w:rPr>
          <w:b/>
          <w:bCs/>
          <w:color w:val="000000"/>
        </w:rPr>
        <w:t>Box plot of selected properties of soil pore water. Collections were at 2, 6 and 18 months after the establishment of the pot experiment.</w:t>
      </w:r>
      <w:r w:rsidRPr="00216965">
        <w:rPr>
          <w:color w:val="000000"/>
        </w:rPr>
        <w:t xml:space="preserve"> Soil treatments: control soil (S), soil with biochar (S+B), soil with compost (S+C), soil with compost and biochar (S+C+B). Treatments with the same letter do not differ significantly according to Tukey post hoc test (α</w:t>
      </w:r>
      <w:r w:rsidR="00166E47" w:rsidRPr="00216965">
        <w:rPr>
          <w:color w:val="000000"/>
        </w:rPr>
        <w:t xml:space="preserve"> </w:t>
      </w:r>
      <w:r w:rsidRPr="00216965">
        <w:rPr>
          <w:color w:val="000000"/>
        </w:rPr>
        <w:t>=</w:t>
      </w:r>
      <w:r w:rsidR="00166E47" w:rsidRPr="00216965">
        <w:rPr>
          <w:color w:val="000000"/>
        </w:rPr>
        <w:t xml:space="preserve"> </w:t>
      </w:r>
      <w:r w:rsidRPr="00216965">
        <w:rPr>
          <w:color w:val="000000"/>
        </w:rPr>
        <w:t>0.05), n</w:t>
      </w:r>
      <w:r w:rsidR="00166E47" w:rsidRPr="00216965">
        <w:rPr>
          <w:color w:val="000000"/>
        </w:rPr>
        <w:t xml:space="preserve"> </w:t>
      </w:r>
      <w:r w:rsidRPr="00216965">
        <w:rPr>
          <w:color w:val="000000"/>
        </w:rPr>
        <w:t>=</w:t>
      </w:r>
      <w:r w:rsidR="00166E47" w:rsidRPr="00216965">
        <w:rPr>
          <w:color w:val="000000"/>
        </w:rPr>
        <w:t xml:space="preserve"> </w:t>
      </w:r>
      <w:r w:rsidRPr="00216965">
        <w:rPr>
          <w:color w:val="000000"/>
        </w:rPr>
        <w:t>4, ns</w:t>
      </w:r>
      <w:r w:rsidR="00166E47" w:rsidRPr="00216965">
        <w:rPr>
          <w:color w:val="000000"/>
        </w:rPr>
        <w:t xml:space="preserve"> </w:t>
      </w:r>
      <w:r w:rsidRPr="00216965">
        <w:rPr>
          <w:color w:val="000000"/>
        </w:rPr>
        <w:t>= no significant differences. The red line represents the detection limit of the instrument for each element.</w:t>
      </w:r>
      <w:bookmarkEnd w:id="356"/>
    </w:p>
    <w:p w14:paraId="498C6F07" w14:textId="77777777" w:rsidR="00B45740" w:rsidRPr="00216965" w:rsidRDefault="00B45740" w:rsidP="008A33DA">
      <w:pPr>
        <w:pStyle w:val="Heading3"/>
      </w:pPr>
      <w:bookmarkStart w:id="357" w:name="_Ref86418573"/>
      <w:bookmarkStart w:id="358" w:name="_Toc86504701"/>
      <w:r w:rsidRPr="00216965">
        <w:t>Bioavailability of heavy metals</w:t>
      </w:r>
      <w:bookmarkEnd w:id="357"/>
      <w:bookmarkEnd w:id="358"/>
    </w:p>
    <w:p w14:paraId="2B8C3BC8" w14:textId="0B50B225" w:rsidR="00B45740" w:rsidRPr="00216965" w:rsidRDefault="00B45740" w:rsidP="008A33DA">
      <w:pPr>
        <w:spacing w:line="360" w:lineRule="auto"/>
        <w:jc w:val="both"/>
      </w:pPr>
      <w:r w:rsidRPr="00216965">
        <w:t xml:space="preserve">The total and bioavailable (acid-soluble fraction) concentrations of Pb and Zn at the end of the 18 months outdoor experiment are presented in </w:t>
      </w:r>
      <w:r w:rsidRPr="00216965">
        <w:rPr>
          <w:b/>
          <w:bCs/>
        </w:rPr>
        <w:fldChar w:fldCharType="begin"/>
      </w:r>
      <w:r w:rsidRPr="00216965">
        <w:rPr>
          <w:b/>
          <w:bCs/>
        </w:rPr>
        <w:instrText xml:space="preserve"> REF _Ref84191784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5</w:t>
      </w:r>
      <w:r w:rsidRPr="00216965">
        <w:rPr>
          <w:b/>
          <w:bCs/>
        </w:rPr>
        <w:fldChar w:fldCharType="end"/>
      </w:r>
      <w:r w:rsidRPr="00216965">
        <w:rPr>
          <w:b/>
        </w:rPr>
        <w:t xml:space="preserve">. </w:t>
      </w:r>
      <w:r w:rsidRPr="00216965">
        <w:t xml:space="preserve">Total Pb concentration in the biochar treatment (S+B) was not significantly different from the untreated soil (S). Overall, the concentration of total Pb in treatments containing compost (S+C and S+C+B) was lower than that of the untreated soil (S), but not in S+C (unplanted). The total Pb </w:t>
      </w:r>
      <w:r w:rsidRPr="00216965">
        <w:lastRenderedPageBreak/>
        <w:t xml:space="preserve">concentration tended to be lower in the planted S+C and S+C+B treatments relative to the unplanted ones, but in S+C the difference was significant (p &lt; 0.05). The total concentration of Zn did not show any significant difference between samples. </w:t>
      </w:r>
    </w:p>
    <w:p w14:paraId="3DDE3223" w14:textId="77777777" w:rsidR="00B45740" w:rsidRPr="00216965" w:rsidRDefault="00B45740" w:rsidP="008A33DA">
      <w:pPr>
        <w:jc w:val="center"/>
      </w:pPr>
      <w:r w:rsidRPr="00216965">
        <w:rPr>
          <w:noProof/>
        </w:rPr>
        <w:drawing>
          <wp:inline distT="0" distB="0" distL="0" distR="0" wp14:anchorId="13B3642B" wp14:editId="42212DD2">
            <wp:extent cx="5394722" cy="4396740"/>
            <wp:effectExtent l="0" t="0" r="0" b="0"/>
            <wp:docPr id="29" name="image16.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Chart, scatter chart&#10;&#10;Description automatically generated"/>
                    <pic:cNvPicPr preferRelativeResize="0"/>
                  </pic:nvPicPr>
                  <pic:blipFill>
                    <a:blip r:embed="rId60"/>
                    <a:srcRect/>
                    <a:stretch>
                      <a:fillRect/>
                    </a:stretch>
                  </pic:blipFill>
                  <pic:spPr>
                    <a:xfrm>
                      <a:off x="0" y="0"/>
                      <a:ext cx="5394722" cy="4396740"/>
                    </a:xfrm>
                    <a:prstGeom prst="rect">
                      <a:avLst/>
                    </a:prstGeom>
                    <a:ln/>
                  </pic:spPr>
                </pic:pic>
              </a:graphicData>
            </a:graphic>
          </wp:inline>
        </w:drawing>
      </w:r>
    </w:p>
    <w:p w14:paraId="10363153" w14:textId="3727CFD4" w:rsidR="00B45740" w:rsidRPr="00216965" w:rsidRDefault="00B45740" w:rsidP="008A33DA">
      <w:pPr>
        <w:pBdr>
          <w:top w:val="nil"/>
          <w:left w:val="nil"/>
          <w:bottom w:val="nil"/>
          <w:right w:val="nil"/>
          <w:between w:val="nil"/>
        </w:pBdr>
        <w:spacing w:after="200" w:line="240" w:lineRule="auto"/>
        <w:jc w:val="both"/>
        <w:rPr>
          <w:color w:val="000000"/>
        </w:rPr>
      </w:pPr>
      <w:bookmarkStart w:id="359" w:name="_Ref84191784"/>
      <w:bookmarkStart w:id="360" w:name="_Toc86439386"/>
      <w:r w:rsidRPr="00216965">
        <w:rPr>
          <w:b/>
        </w:rPr>
        <w:t>Fig</w:t>
      </w:r>
      <w:r w:rsidR="00334127" w:rsidRPr="00216965">
        <w:rPr>
          <w:b/>
        </w:rPr>
        <w:t>.</w:t>
      </w:r>
      <w:r w:rsidRPr="00216965">
        <w:rPr>
          <w:b/>
        </w:rPr>
        <w:t xml:space="preserve"> </w:t>
      </w:r>
      <w:r w:rsidR="00BF3EBE" w:rsidRPr="00216965">
        <w:rPr>
          <w:b/>
        </w:rPr>
        <w:fldChar w:fldCharType="begin"/>
      </w:r>
      <w:r w:rsidR="00BF3EBE" w:rsidRPr="00216965">
        <w:rPr>
          <w:b/>
        </w:rPr>
        <w:instrText xml:space="preserve"> STYLEREF 1 \s </w:instrText>
      </w:r>
      <w:r w:rsidR="00BF3EBE" w:rsidRPr="00216965">
        <w:rPr>
          <w:b/>
        </w:rPr>
        <w:fldChar w:fldCharType="separate"/>
      </w:r>
      <w:r w:rsidR="006E23EA" w:rsidRPr="00216965">
        <w:rPr>
          <w:b/>
          <w:noProof/>
        </w:rPr>
        <w:t>5</w:t>
      </w:r>
      <w:r w:rsidR="00BF3EBE" w:rsidRPr="00216965">
        <w:rPr>
          <w:b/>
        </w:rPr>
        <w:fldChar w:fldCharType="end"/>
      </w:r>
      <w:r w:rsidR="00BF3EBE" w:rsidRPr="00216965">
        <w:rPr>
          <w:b/>
        </w:rPr>
        <w:noBreakHyphen/>
      </w:r>
      <w:r w:rsidR="00BF3EBE" w:rsidRPr="00216965">
        <w:rPr>
          <w:b/>
        </w:rPr>
        <w:fldChar w:fldCharType="begin"/>
      </w:r>
      <w:r w:rsidR="00BF3EBE" w:rsidRPr="00216965">
        <w:rPr>
          <w:b/>
        </w:rPr>
        <w:instrText xml:space="preserve"> SEQ Figure \* ARABIC \s 1 </w:instrText>
      </w:r>
      <w:r w:rsidR="00BF3EBE" w:rsidRPr="00216965">
        <w:rPr>
          <w:b/>
        </w:rPr>
        <w:fldChar w:fldCharType="separate"/>
      </w:r>
      <w:r w:rsidR="006E23EA" w:rsidRPr="00216965">
        <w:rPr>
          <w:b/>
          <w:noProof/>
        </w:rPr>
        <w:t>5</w:t>
      </w:r>
      <w:r w:rsidR="00BF3EBE" w:rsidRPr="00216965">
        <w:rPr>
          <w:b/>
        </w:rPr>
        <w:fldChar w:fldCharType="end"/>
      </w:r>
      <w:bookmarkEnd w:id="359"/>
      <w:r w:rsidRPr="00216965">
        <w:t xml:space="preserve">. </w:t>
      </w:r>
      <w:r w:rsidRPr="00216965">
        <w:rPr>
          <w:b/>
          <w:bCs/>
          <w:color w:val="000000"/>
        </w:rPr>
        <w:t>Box plot of total and bioavailable (acid-soluble) heavy metal concentrations in Wemyss soil treated with different organic amendments</w:t>
      </w:r>
      <w:r w:rsidRPr="00216965">
        <w:rPr>
          <w:color w:val="000000"/>
        </w:rPr>
        <w:t>. Soil treatments: control soil (S), soil with biochar (S+B), soil with compost (S+C), soil with compost and biochar (S+C+B). Treatments with the same letter do not differ significantly according to Tukey post hoc test (α</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0.05),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4, ns</w:t>
      </w:r>
      <w:r w:rsidR="00831AE6" w:rsidRPr="00216965">
        <w:rPr>
          <w:color w:val="000000"/>
        </w:rPr>
        <w:t xml:space="preserve"> </w:t>
      </w:r>
      <w:r w:rsidRPr="00216965">
        <w:rPr>
          <w:color w:val="000000"/>
        </w:rPr>
        <w:t>= no significant differences.</w:t>
      </w:r>
      <w:bookmarkEnd w:id="360"/>
    </w:p>
    <w:p w14:paraId="66C6181F" w14:textId="4E2BA413" w:rsidR="007906FC" w:rsidRPr="00216965" w:rsidRDefault="007906FC" w:rsidP="008A33DA">
      <w:pPr>
        <w:spacing w:before="240" w:line="360" w:lineRule="auto"/>
        <w:jc w:val="both"/>
      </w:pPr>
      <w:r w:rsidRPr="00216965">
        <w:t>Bioavailable Pb and Zn were significantly reduced in all treatments containing organic amendments.</w:t>
      </w:r>
      <w:r w:rsidR="00166E47" w:rsidRPr="00216965">
        <w:t xml:space="preserve"> </w:t>
      </w:r>
      <w:r w:rsidRPr="00216965">
        <w:t xml:space="preserve">Overall, planted treatments tended to have lower bioavailable concentrations of Pb and Zn relative to the unplanted ones. The reductions were more evident in treatments containing compost. For example, bioavailable Pb was reduced to 89-90% of the control in the S+C treatment and 87-90% in the S+C+B, while in the S+B treatment, the reductions were 52 and 56% of the control for planted and unplanted treatments, respectively. Similarly, bioavailable Zn was reduced by 99% of the control in </w:t>
      </w:r>
      <w:r w:rsidRPr="00216965">
        <w:lastRenderedPageBreak/>
        <w:t>S+C and S+C+B treatments, whether planted or planted, while in S+B reductions were 28 and 41 % of the untreated soil (S) for planted and unplanted treatments, respectively.</w:t>
      </w:r>
    </w:p>
    <w:p w14:paraId="0A0EF102" w14:textId="77777777" w:rsidR="00B45740" w:rsidRPr="00216965" w:rsidRDefault="00B45740" w:rsidP="008A33DA">
      <w:pPr>
        <w:pStyle w:val="Heading3"/>
      </w:pPr>
      <w:bookmarkStart w:id="361" w:name="_Ref86418849"/>
      <w:bookmarkStart w:id="362" w:name="_Toc86504702"/>
      <w:r w:rsidRPr="00216965">
        <w:t>Fractionation of trace elements</w:t>
      </w:r>
      <w:bookmarkEnd w:id="361"/>
      <w:bookmarkEnd w:id="362"/>
    </w:p>
    <w:p w14:paraId="7A408183" w14:textId="318A60DC" w:rsidR="00B45740" w:rsidRPr="00216965" w:rsidRDefault="00B45740" w:rsidP="008A33DA">
      <w:pPr>
        <w:spacing w:line="360" w:lineRule="auto"/>
        <w:jc w:val="both"/>
      </w:pPr>
      <w:r w:rsidRPr="00216965">
        <w:t xml:space="preserve">The results from the sequential extraction shown in </w:t>
      </w:r>
      <w:r w:rsidRPr="00216965">
        <w:rPr>
          <w:b/>
          <w:bCs/>
        </w:rPr>
        <w:fldChar w:fldCharType="begin"/>
      </w:r>
      <w:r w:rsidRPr="00216965">
        <w:rPr>
          <w:b/>
          <w:bCs/>
        </w:rPr>
        <w:instrText xml:space="preserve"> REF _Ref83488850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6</w:t>
      </w:r>
      <w:r w:rsidRPr="00216965">
        <w:rPr>
          <w:b/>
          <w:bCs/>
        </w:rPr>
        <w:fldChar w:fldCharType="end"/>
      </w:r>
      <w:r w:rsidRPr="00216965">
        <w:rPr>
          <w:b/>
          <w:bCs/>
        </w:rPr>
        <w:t xml:space="preserve"> </w:t>
      </w:r>
      <w:r w:rsidRPr="00216965">
        <w:t>are consistent with the results of soil pore water analysis (</w:t>
      </w:r>
      <w:r w:rsidRPr="00216965">
        <w:rPr>
          <w:b/>
          <w:bCs/>
        </w:rPr>
        <w:t>section</w:t>
      </w:r>
      <w:r w:rsidR="00334127" w:rsidRPr="00216965">
        <w:rPr>
          <w:b/>
          <w:bCs/>
        </w:rPr>
        <w:t xml:space="preserve"> </w:t>
      </w:r>
      <w:r w:rsidR="00B11CBC" w:rsidRPr="00216965">
        <w:rPr>
          <w:b/>
          <w:bCs/>
        </w:rPr>
        <w:fldChar w:fldCharType="begin"/>
      </w:r>
      <w:r w:rsidR="00B11CBC" w:rsidRPr="00216965">
        <w:rPr>
          <w:b/>
          <w:bCs/>
        </w:rPr>
        <w:instrText xml:space="preserve"> REF _Ref86418555 \r \h </w:instrText>
      </w:r>
      <w:r w:rsidR="00B11CBC" w:rsidRPr="00216965">
        <w:rPr>
          <w:b/>
          <w:bCs/>
        </w:rPr>
      </w:r>
      <w:r w:rsidR="00216965" w:rsidRPr="00216965">
        <w:rPr>
          <w:b/>
          <w:bCs/>
        </w:rPr>
        <w:instrText xml:space="preserve"> \* MERGEFORMAT </w:instrText>
      </w:r>
      <w:r w:rsidR="00B11CBC" w:rsidRPr="00216965">
        <w:rPr>
          <w:b/>
          <w:bCs/>
        </w:rPr>
        <w:fldChar w:fldCharType="separate"/>
      </w:r>
      <w:r w:rsidR="006E23EA" w:rsidRPr="00216965">
        <w:rPr>
          <w:b/>
          <w:bCs/>
        </w:rPr>
        <w:t>5.3.3</w:t>
      </w:r>
      <w:r w:rsidR="00B11CBC" w:rsidRPr="00216965">
        <w:rPr>
          <w:b/>
          <w:bCs/>
        </w:rPr>
        <w:fldChar w:fldCharType="end"/>
      </w:r>
      <w:r w:rsidRPr="00216965">
        <w:t>) and total/bioavailable heavy metals in soil (</w:t>
      </w:r>
      <w:r w:rsidRPr="00216965">
        <w:rPr>
          <w:b/>
          <w:bCs/>
        </w:rPr>
        <w:t>section</w:t>
      </w:r>
      <w:r w:rsidR="00B11CBC" w:rsidRPr="00216965">
        <w:rPr>
          <w:b/>
          <w:bCs/>
        </w:rPr>
        <w:t xml:space="preserve"> </w:t>
      </w:r>
      <w:r w:rsidR="00B11CBC" w:rsidRPr="00216965">
        <w:rPr>
          <w:b/>
          <w:bCs/>
        </w:rPr>
        <w:fldChar w:fldCharType="begin"/>
      </w:r>
      <w:r w:rsidR="00B11CBC" w:rsidRPr="00216965">
        <w:rPr>
          <w:b/>
          <w:bCs/>
        </w:rPr>
        <w:instrText xml:space="preserve"> REF _Ref86418573 \r \h </w:instrText>
      </w:r>
      <w:r w:rsidR="00B11CBC" w:rsidRPr="00216965">
        <w:rPr>
          <w:b/>
          <w:bCs/>
        </w:rPr>
      </w:r>
      <w:r w:rsidR="00216965" w:rsidRPr="00216965">
        <w:rPr>
          <w:b/>
          <w:bCs/>
        </w:rPr>
        <w:instrText xml:space="preserve"> \* MERGEFORMAT </w:instrText>
      </w:r>
      <w:r w:rsidR="00B11CBC" w:rsidRPr="00216965">
        <w:rPr>
          <w:b/>
          <w:bCs/>
        </w:rPr>
        <w:fldChar w:fldCharType="separate"/>
      </w:r>
      <w:r w:rsidR="006E23EA" w:rsidRPr="00216965">
        <w:rPr>
          <w:b/>
          <w:bCs/>
        </w:rPr>
        <w:t>5.3.4</w:t>
      </w:r>
      <w:r w:rsidR="00B11CBC" w:rsidRPr="00216965">
        <w:rPr>
          <w:b/>
          <w:bCs/>
        </w:rPr>
        <w:fldChar w:fldCharType="end"/>
      </w:r>
      <w:r w:rsidRPr="00216965">
        <w:t xml:space="preserve">). The acid soluble fraction (AS) that contains metals considered readily and potentially bioavailable was reduced for Pb and Zn with the addition of the organic amendments, while an increase in the other fractions was observed. </w:t>
      </w:r>
    </w:p>
    <w:p w14:paraId="5AE1185E" w14:textId="0D5CB6CF" w:rsidR="00B45740" w:rsidRPr="00216965" w:rsidRDefault="00B45740" w:rsidP="008A33DA">
      <w:pPr>
        <w:spacing w:line="360" w:lineRule="auto"/>
        <w:jc w:val="both"/>
      </w:pPr>
      <w:r w:rsidRPr="00216965">
        <w:t>A correlation analysis (</w:t>
      </w:r>
      <w:r w:rsidR="003A7BA9" w:rsidRPr="00216965">
        <w:rPr>
          <w:b/>
          <w:bCs/>
        </w:rPr>
        <w:fldChar w:fldCharType="begin"/>
      </w:r>
      <w:r w:rsidR="003A7BA9" w:rsidRPr="00216965">
        <w:rPr>
          <w:b/>
          <w:bCs/>
        </w:rPr>
        <w:instrText xml:space="preserve"> REF _Ref86438741 \h  \* MERGEFORMAT </w:instrText>
      </w:r>
      <w:r w:rsidR="003A7BA9" w:rsidRPr="00216965">
        <w:rPr>
          <w:b/>
          <w:bCs/>
        </w:rPr>
      </w:r>
      <w:r w:rsidR="003A7BA9" w:rsidRPr="00216965">
        <w:rPr>
          <w:b/>
          <w:bCs/>
        </w:rPr>
        <w:fldChar w:fldCharType="separate"/>
      </w:r>
      <w:r w:rsidR="006E23EA" w:rsidRPr="00216965">
        <w:rPr>
          <w:b/>
          <w:bCs/>
        </w:rPr>
        <w:t>Appendix 6</w:t>
      </w:r>
      <w:r w:rsidR="003A7BA9" w:rsidRPr="00216965">
        <w:rPr>
          <w:b/>
          <w:bCs/>
        </w:rPr>
        <w:fldChar w:fldCharType="end"/>
      </w:r>
      <w:r w:rsidR="003A7BA9" w:rsidRPr="00216965">
        <w:t xml:space="preserve"> and </w:t>
      </w:r>
      <w:r w:rsidR="003A7BA9" w:rsidRPr="00216965">
        <w:rPr>
          <w:b/>
          <w:bCs/>
        </w:rPr>
        <w:fldChar w:fldCharType="begin"/>
      </w:r>
      <w:r w:rsidR="003A7BA9" w:rsidRPr="00216965">
        <w:rPr>
          <w:b/>
          <w:bCs/>
        </w:rPr>
        <w:instrText xml:space="preserve"> REF _Ref86438742 \h  \* MERGEFORMAT </w:instrText>
      </w:r>
      <w:r w:rsidR="003A7BA9" w:rsidRPr="00216965">
        <w:rPr>
          <w:b/>
          <w:bCs/>
        </w:rPr>
      </w:r>
      <w:r w:rsidR="003A7BA9" w:rsidRPr="00216965">
        <w:rPr>
          <w:b/>
          <w:bCs/>
        </w:rPr>
        <w:fldChar w:fldCharType="separate"/>
      </w:r>
      <w:r w:rsidR="006E23EA" w:rsidRPr="00216965">
        <w:rPr>
          <w:b/>
          <w:bCs/>
        </w:rPr>
        <w:t>Appendix 7</w:t>
      </w:r>
      <w:r w:rsidR="003A7BA9" w:rsidRPr="00216965">
        <w:rPr>
          <w:b/>
          <w:bCs/>
        </w:rPr>
        <w:fldChar w:fldCharType="end"/>
      </w:r>
      <w:r w:rsidRPr="00216965">
        <w:rPr>
          <w:b/>
        </w:rPr>
        <w:t>)</w:t>
      </w:r>
      <w:r w:rsidRPr="00216965">
        <w:t xml:space="preserve"> performed between the concentration of Pb and Zn in the different fractions for the treatments containing organic amendments and the untreated soil was used to identify fractions that were related, with the reduction of metals in the acid soluble fraction and redistribution into other fractions. For example, the reduction of Pb in the acid soluble (AS) fraction in the S+B treatment was correlated significantly with an increase in the residual fraction (RES) (R</w:t>
      </w:r>
      <w:r w:rsidRPr="00216965">
        <w:rPr>
          <w:vertAlign w:val="superscript"/>
        </w:rPr>
        <w:t xml:space="preserve"> </w:t>
      </w:r>
      <w:r w:rsidRPr="00216965">
        <w:t>= -0.66). In the S+C treatment the reduction in Pb-acid soluble was strongly correlated with an increase in the oxidisable fraction (OX) (R</w:t>
      </w:r>
      <w:r w:rsidRPr="00216965">
        <w:rPr>
          <w:vertAlign w:val="superscript"/>
        </w:rPr>
        <w:t xml:space="preserve"> </w:t>
      </w:r>
      <w:r w:rsidRPr="00216965">
        <w:t>= -0.53) and residual fraction (R</w:t>
      </w:r>
      <w:r w:rsidRPr="00216965">
        <w:rPr>
          <w:vertAlign w:val="superscript"/>
        </w:rPr>
        <w:t xml:space="preserve"> </w:t>
      </w:r>
      <w:r w:rsidRPr="00216965">
        <w:t>=</w:t>
      </w:r>
      <w:r w:rsidR="00831AE6" w:rsidRPr="00216965">
        <w:t xml:space="preserve"> </w:t>
      </w:r>
      <w:r w:rsidRPr="00216965">
        <w:t xml:space="preserve">-0.6). There was no difference between planted and unplanted soils for these treatments (p &lt; 0.05). Conversely, Pb from the S+C+B treatment demonstrated a different fractionation for planted and unplanted soils (p &lt; 0.05). In the unplanted soil the reduction of Pb in the acid-soluble fraction was strongly correlated with an increase in the oxidisable fraction (R= -0.74), while in the planted soil there was no clear correlation between the acid soluble and other fractions. </w:t>
      </w:r>
    </w:p>
    <w:p w14:paraId="0870B93A" w14:textId="3AABF9AB" w:rsidR="00B45740" w:rsidRPr="00216965" w:rsidRDefault="00B45740" w:rsidP="008A33DA">
      <w:pPr>
        <w:spacing w:line="360" w:lineRule="auto"/>
        <w:jc w:val="both"/>
      </w:pPr>
      <w:r w:rsidRPr="00216965">
        <w:t>Similarly, the reduction of acid soluble Zn in the S+C treatment was strongly correlated with an increase in the reducible fraction (RD) (R= - 0.85). The distribution of Zn in the S+C+B treatment was significantly different for planted and unplanted soil (p &lt; 0.05). In the unplanted soil the reduction in acid soluble Zn was associated with an increase in the reducible (R = -0.82) and oxidisable (R = -72) fractions, but with reducible fraction only (R = -0.77) in the planted soil. No significant correlations were identified between the Zn fractions in the S+B treatment.</w:t>
      </w:r>
    </w:p>
    <w:p w14:paraId="7295DE9F" w14:textId="66C6301D" w:rsidR="007906FC" w:rsidRPr="00216965" w:rsidRDefault="007906FC" w:rsidP="008A33DA">
      <w:pPr>
        <w:spacing w:line="360" w:lineRule="auto"/>
        <w:jc w:val="center"/>
      </w:pPr>
      <w:r w:rsidRPr="00216965">
        <w:rPr>
          <w:noProof/>
        </w:rPr>
        <w:lastRenderedPageBreak/>
        <w:drawing>
          <wp:inline distT="0" distB="0" distL="0" distR="0" wp14:anchorId="44ACD8F7" wp14:editId="360C4709">
            <wp:extent cx="5101388" cy="4829250"/>
            <wp:effectExtent l="0" t="0" r="0" b="0"/>
            <wp:docPr id="32" name="image8.png" descr="A picture containing text, building, wind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text, building, window&#10;&#10;Description automatically generated"/>
                    <pic:cNvPicPr preferRelativeResize="0"/>
                  </pic:nvPicPr>
                  <pic:blipFill>
                    <a:blip r:embed="rId61"/>
                    <a:srcRect/>
                    <a:stretch>
                      <a:fillRect/>
                    </a:stretch>
                  </pic:blipFill>
                  <pic:spPr>
                    <a:xfrm>
                      <a:off x="0" y="0"/>
                      <a:ext cx="5101388" cy="4829250"/>
                    </a:xfrm>
                    <a:prstGeom prst="rect">
                      <a:avLst/>
                    </a:prstGeom>
                    <a:ln/>
                  </pic:spPr>
                </pic:pic>
              </a:graphicData>
            </a:graphic>
          </wp:inline>
        </w:drawing>
      </w:r>
    </w:p>
    <w:p w14:paraId="43F78F7E" w14:textId="6D3FD224" w:rsidR="007906FC" w:rsidRPr="00216965" w:rsidRDefault="007906FC" w:rsidP="008A33DA">
      <w:pPr>
        <w:pBdr>
          <w:top w:val="nil"/>
          <w:left w:val="nil"/>
          <w:bottom w:val="nil"/>
          <w:right w:val="nil"/>
          <w:between w:val="nil"/>
        </w:pBdr>
        <w:spacing w:after="200" w:line="240" w:lineRule="auto"/>
        <w:jc w:val="both"/>
        <w:rPr>
          <w:b/>
          <w:color w:val="000000"/>
        </w:rPr>
      </w:pPr>
      <w:bookmarkStart w:id="363" w:name="_Ref83488850"/>
      <w:bookmarkStart w:id="364" w:name="_Toc86439387"/>
      <w:r w:rsidRPr="00216965">
        <w:rPr>
          <w:b/>
        </w:rPr>
        <w:t xml:space="preserve">Fig. </w:t>
      </w:r>
      <w:r w:rsidR="00BF3EBE" w:rsidRPr="00216965">
        <w:rPr>
          <w:b/>
        </w:rPr>
        <w:fldChar w:fldCharType="begin"/>
      </w:r>
      <w:r w:rsidR="00BF3EBE" w:rsidRPr="00216965">
        <w:rPr>
          <w:b/>
        </w:rPr>
        <w:instrText xml:space="preserve"> STYLEREF 1 \s </w:instrText>
      </w:r>
      <w:r w:rsidR="00BF3EBE" w:rsidRPr="00216965">
        <w:rPr>
          <w:b/>
        </w:rPr>
        <w:fldChar w:fldCharType="separate"/>
      </w:r>
      <w:r w:rsidR="006E23EA" w:rsidRPr="00216965">
        <w:rPr>
          <w:b/>
          <w:noProof/>
        </w:rPr>
        <w:t>5</w:t>
      </w:r>
      <w:r w:rsidR="00BF3EBE" w:rsidRPr="00216965">
        <w:rPr>
          <w:b/>
        </w:rPr>
        <w:fldChar w:fldCharType="end"/>
      </w:r>
      <w:r w:rsidR="00BF3EBE" w:rsidRPr="00216965">
        <w:rPr>
          <w:b/>
        </w:rPr>
        <w:noBreakHyphen/>
      </w:r>
      <w:r w:rsidR="00BF3EBE" w:rsidRPr="00216965">
        <w:rPr>
          <w:b/>
        </w:rPr>
        <w:fldChar w:fldCharType="begin"/>
      </w:r>
      <w:r w:rsidR="00BF3EBE" w:rsidRPr="00216965">
        <w:rPr>
          <w:b/>
        </w:rPr>
        <w:instrText xml:space="preserve"> SEQ Figure \* ARABIC \s 1 </w:instrText>
      </w:r>
      <w:r w:rsidR="00BF3EBE" w:rsidRPr="00216965">
        <w:rPr>
          <w:b/>
        </w:rPr>
        <w:fldChar w:fldCharType="separate"/>
      </w:r>
      <w:r w:rsidR="006E23EA" w:rsidRPr="00216965">
        <w:rPr>
          <w:b/>
          <w:noProof/>
        </w:rPr>
        <w:t>6</w:t>
      </w:r>
      <w:r w:rsidR="00BF3EBE" w:rsidRPr="00216965">
        <w:rPr>
          <w:b/>
        </w:rPr>
        <w:fldChar w:fldCharType="end"/>
      </w:r>
      <w:bookmarkEnd w:id="363"/>
      <w:r w:rsidRPr="00216965">
        <w:rPr>
          <w:b/>
        </w:rPr>
        <w:t>.</w:t>
      </w:r>
      <w:r w:rsidRPr="00216965">
        <w:t xml:space="preserve"> </w:t>
      </w:r>
      <w:r w:rsidRPr="00216965">
        <w:rPr>
          <w:b/>
          <w:bCs/>
          <w:color w:val="000000"/>
        </w:rPr>
        <w:t>Metal fraction distribution in Wemyss soil treated with different organic amendments after18 months of incubation.</w:t>
      </w:r>
      <w:r w:rsidRPr="00216965">
        <w:rPr>
          <w:color w:val="000000"/>
        </w:rPr>
        <w:t xml:space="preserve"> Soil fractions according to the BCR procedure: exchangeable and weak acid soluble (AS), reducible (RD), oxidisable (OX) and residual (RES). Soil treatments: control soil unplanted (S.U), control soil planted (S.P), soil with biochar unplanted (S+B.U), soil with biochar planted (S+B.P), soil with compost unplanted (S+C.U), soil with compost planted (S+C.P), soil with compost and biochar unplanted (S+C+B.U) and soil with compost and biochar planted (S+C+B.P).</w:t>
      </w:r>
      <w:bookmarkEnd w:id="364"/>
    </w:p>
    <w:p w14:paraId="7B884F6C" w14:textId="77777777" w:rsidR="007906FC" w:rsidRPr="00216965" w:rsidRDefault="007906FC" w:rsidP="008A33DA">
      <w:pPr>
        <w:spacing w:line="360" w:lineRule="auto"/>
        <w:jc w:val="both"/>
      </w:pPr>
    </w:p>
    <w:p w14:paraId="677E88D6" w14:textId="29C846CE" w:rsidR="00B45740" w:rsidRPr="00216965" w:rsidRDefault="00B45740" w:rsidP="008A33DA">
      <w:pPr>
        <w:spacing w:line="360" w:lineRule="auto"/>
        <w:jc w:val="both"/>
      </w:pPr>
      <w:r w:rsidRPr="00216965">
        <w:t>The acid soluble fraction of Ca, Mg and Na increased in the soils treated with organic amendments relative to the untreated soil (</w:t>
      </w:r>
      <w:r w:rsidRPr="00216965">
        <w:rPr>
          <w:b/>
          <w:bCs/>
        </w:rPr>
        <w:fldChar w:fldCharType="begin"/>
      </w:r>
      <w:r w:rsidRPr="00216965">
        <w:rPr>
          <w:b/>
          <w:bCs/>
        </w:rPr>
        <w:instrText xml:space="preserve"> REF _Ref83488850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6</w:t>
      </w:r>
      <w:r w:rsidRPr="00216965">
        <w:rPr>
          <w:b/>
          <w:bCs/>
        </w:rPr>
        <w:fldChar w:fldCharType="end"/>
      </w:r>
      <w:r w:rsidRPr="00216965">
        <w:t>), which is consistent with the increased concentration of these cations in the soil pore water. Conversely, a decrease in the acid soluble fraction of Mn was observed in the S+C and S+C+B treatments. The concentration of Cd, As, Cu, Co, Ni in the acid soluble fraction was below the detection limit, hence the fractionation of these elements is not presented.</w:t>
      </w:r>
    </w:p>
    <w:p w14:paraId="7C545E5E" w14:textId="77777777" w:rsidR="00B45740" w:rsidRPr="00216965" w:rsidRDefault="00B45740" w:rsidP="008A33DA">
      <w:pPr>
        <w:pStyle w:val="Heading3"/>
      </w:pPr>
      <w:bookmarkStart w:id="365" w:name="_Toc86504703"/>
      <w:r w:rsidRPr="00216965">
        <w:lastRenderedPageBreak/>
        <w:t>Plant performance</w:t>
      </w:r>
      <w:bookmarkEnd w:id="365"/>
    </w:p>
    <w:p w14:paraId="4BB53A2D" w14:textId="6B026025" w:rsidR="00B45740" w:rsidRPr="00216965" w:rsidRDefault="00B45740" w:rsidP="008A33DA">
      <w:pPr>
        <w:spacing w:line="360" w:lineRule="auto"/>
        <w:jc w:val="both"/>
      </w:pPr>
      <w:r w:rsidRPr="00216965">
        <w:t xml:space="preserve">The dry above-ground biomass of </w:t>
      </w:r>
      <w:r w:rsidRPr="00216965">
        <w:rPr>
          <w:i/>
        </w:rPr>
        <w:t>Lolium perenne</w:t>
      </w:r>
      <w:r w:rsidRPr="00216965">
        <w:t xml:space="preserve"> and the concentration of Pb and Cd in leaf tissue are shown in </w:t>
      </w:r>
      <w:r w:rsidRPr="00216965">
        <w:rPr>
          <w:b/>
          <w:bCs/>
        </w:rPr>
        <w:fldChar w:fldCharType="begin"/>
      </w:r>
      <w:r w:rsidRPr="00216965">
        <w:rPr>
          <w:b/>
          <w:bCs/>
        </w:rPr>
        <w:instrText xml:space="preserve"> REF _Ref83468265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7</w:t>
      </w:r>
      <w:r w:rsidRPr="00216965">
        <w:rPr>
          <w:b/>
          <w:bCs/>
        </w:rPr>
        <w:fldChar w:fldCharType="end"/>
      </w:r>
      <w:r w:rsidRPr="00216965">
        <w:rPr>
          <w:b/>
        </w:rPr>
        <w:t xml:space="preserve">. </w:t>
      </w:r>
      <w:r w:rsidRPr="00216965">
        <w:t>The dry biomass of plants from the first harvest did not differ between treatments (p &gt; 0.05). The biomass from the second harvest was less than that from the first harvest in S and S+B treatments, although the difference was not significant. In the second harvest the biomass of plants growing in soil treated with organic amendments was greater than that of the untreated soil, but this was only significant for the S+C treatment (p &lt; 0.05).</w:t>
      </w:r>
    </w:p>
    <w:p w14:paraId="0285BE46" w14:textId="77777777" w:rsidR="00B45740" w:rsidRPr="00216965" w:rsidRDefault="00B45740" w:rsidP="008A33DA">
      <w:r w:rsidRPr="00216965">
        <w:rPr>
          <w:noProof/>
        </w:rPr>
        <w:drawing>
          <wp:inline distT="0" distB="0" distL="0" distR="0" wp14:anchorId="7B2773B4" wp14:editId="338EB4E8">
            <wp:extent cx="5731510" cy="2734945"/>
            <wp:effectExtent l="0" t="0" r="0" b="0"/>
            <wp:docPr id="31" name="image6.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Chart, box and whisker chart&#10;&#10;Description automatically generated"/>
                    <pic:cNvPicPr preferRelativeResize="0"/>
                  </pic:nvPicPr>
                  <pic:blipFill>
                    <a:blip r:embed="rId62"/>
                    <a:srcRect/>
                    <a:stretch>
                      <a:fillRect/>
                    </a:stretch>
                  </pic:blipFill>
                  <pic:spPr>
                    <a:xfrm>
                      <a:off x="0" y="0"/>
                      <a:ext cx="5731510" cy="2734945"/>
                    </a:xfrm>
                    <a:prstGeom prst="rect">
                      <a:avLst/>
                    </a:prstGeom>
                    <a:ln/>
                  </pic:spPr>
                </pic:pic>
              </a:graphicData>
            </a:graphic>
          </wp:inline>
        </w:drawing>
      </w:r>
    </w:p>
    <w:p w14:paraId="5FE12273" w14:textId="12F13CD0" w:rsidR="00B45740" w:rsidRPr="00216965" w:rsidRDefault="00B45740" w:rsidP="008A33DA">
      <w:pPr>
        <w:pBdr>
          <w:top w:val="nil"/>
          <w:left w:val="nil"/>
          <w:bottom w:val="nil"/>
          <w:right w:val="nil"/>
          <w:between w:val="nil"/>
        </w:pBdr>
        <w:spacing w:after="200" w:line="240" w:lineRule="auto"/>
        <w:jc w:val="both"/>
        <w:rPr>
          <w:b/>
          <w:color w:val="000000"/>
        </w:rPr>
      </w:pPr>
      <w:bookmarkStart w:id="366" w:name="_Ref83468265"/>
      <w:bookmarkStart w:id="367" w:name="_Toc86439388"/>
      <w:r w:rsidRPr="00216965">
        <w:rPr>
          <w:b/>
        </w:rPr>
        <w:t>Fig</w:t>
      </w:r>
      <w:r w:rsidR="00B11CBC" w:rsidRPr="00216965">
        <w:rPr>
          <w:b/>
        </w:rPr>
        <w:t>.</w:t>
      </w:r>
      <w:r w:rsidRPr="00216965">
        <w:rPr>
          <w:b/>
        </w:rPr>
        <w:t xml:space="preserve"> </w:t>
      </w:r>
      <w:r w:rsidR="00BF3EBE" w:rsidRPr="00216965">
        <w:rPr>
          <w:b/>
        </w:rPr>
        <w:fldChar w:fldCharType="begin"/>
      </w:r>
      <w:r w:rsidR="00BF3EBE" w:rsidRPr="00216965">
        <w:rPr>
          <w:b/>
        </w:rPr>
        <w:instrText xml:space="preserve"> STYLEREF 1 \s </w:instrText>
      </w:r>
      <w:r w:rsidR="00BF3EBE" w:rsidRPr="00216965">
        <w:rPr>
          <w:b/>
        </w:rPr>
        <w:fldChar w:fldCharType="separate"/>
      </w:r>
      <w:r w:rsidR="006E23EA" w:rsidRPr="00216965">
        <w:rPr>
          <w:b/>
          <w:noProof/>
        </w:rPr>
        <w:t>5</w:t>
      </w:r>
      <w:r w:rsidR="00BF3EBE" w:rsidRPr="00216965">
        <w:rPr>
          <w:b/>
        </w:rPr>
        <w:fldChar w:fldCharType="end"/>
      </w:r>
      <w:r w:rsidR="00BF3EBE" w:rsidRPr="00216965">
        <w:rPr>
          <w:b/>
        </w:rPr>
        <w:noBreakHyphen/>
      </w:r>
      <w:r w:rsidR="00BF3EBE" w:rsidRPr="00216965">
        <w:rPr>
          <w:b/>
        </w:rPr>
        <w:fldChar w:fldCharType="begin"/>
      </w:r>
      <w:r w:rsidR="00BF3EBE" w:rsidRPr="00216965">
        <w:rPr>
          <w:b/>
        </w:rPr>
        <w:instrText xml:space="preserve"> SEQ Figure \* ARABIC \s 1 </w:instrText>
      </w:r>
      <w:r w:rsidR="00BF3EBE" w:rsidRPr="00216965">
        <w:rPr>
          <w:b/>
        </w:rPr>
        <w:fldChar w:fldCharType="separate"/>
      </w:r>
      <w:r w:rsidR="006E23EA" w:rsidRPr="00216965">
        <w:rPr>
          <w:b/>
          <w:noProof/>
        </w:rPr>
        <w:t>7</w:t>
      </w:r>
      <w:r w:rsidR="00BF3EBE" w:rsidRPr="00216965">
        <w:rPr>
          <w:b/>
        </w:rPr>
        <w:fldChar w:fldCharType="end"/>
      </w:r>
      <w:bookmarkEnd w:id="366"/>
      <w:r w:rsidRPr="00216965">
        <w:rPr>
          <w:b/>
        </w:rPr>
        <w:t>.</w:t>
      </w:r>
      <w:r w:rsidRPr="00216965">
        <w:t xml:space="preserve"> </w:t>
      </w:r>
      <w:r w:rsidR="00B4071A" w:rsidRPr="00216965">
        <w:rPr>
          <w:b/>
          <w:bCs/>
        </w:rPr>
        <w:t>Box plot of p</w:t>
      </w:r>
      <w:r w:rsidRPr="00216965">
        <w:rPr>
          <w:b/>
          <w:bCs/>
          <w:color w:val="000000"/>
        </w:rPr>
        <w:t xml:space="preserve">lant biomass and metal concentration in above-ground tissue of </w:t>
      </w:r>
      <w:r w:rsidRPr="00216965">
        <w:rPr>
          <w:b/>
          <w:bCs/>
          <w:i/>
          <w:color w:val="000000"/>
        </w:rPr>
        <w:t>Lolium perenne</w:t>
      </w:r>
      <w:r w:rsidRPr="00216965">
        <w:rPr>
          <w:b/>
          <w:bCs/>
          <w:color w:val="000000"/>
        </w:rPr>
        <w:t xml:space="preserve"> grown in Wemyss soil treated with organic amendments during two harvesting seasons</w:t>
      </w:r>
      <w:r w:rsidRPr="00216965">
        <w:rPr>
          <w:color w:val="000000"/>
        </w:rPr>
        <w:t xml:space="preserve">. S1 (6 months), S2 (18 months). Soil treatments: control soil (S), soil with biochar (S+B), soil with compost (S+C), soil with compost and biochar (S+C+B). </w:t>
      </w:r>
      <w:r w:rsidRPr="00216965">
        <w:rPr>
          <w:b/>
          <w:color w:val="000000"/>
        </w:rPr>
        <w:t xml:space="preserve"> </w:t>
      </w:r>
      <w:r w:rsidRPr="00216965">
        <w:rPr>
          <w:color w:val="000000"/>
        </w:rPr>
        <w:t>Treatments with the same letter do not differ significantly according to Tukey post hoc test (α=0.05), n=4.</w:t>
      </w:r>
      <w:bookmarkEnd w:id="367"/>
    </w:p>
    <w:p w14:paraId="5AF37743" w14:textId="32BDAE4B" w:rsidR="00B45740" w:rsidRPr="00216965" w:rsidRDefault="00B45740" w:rsidP="008A33DA">
      <w:pPr>
        <w:spacing w:before="240" w:line="360" w:lineRule="auto"/>
        <w:jc w:val="both"/>
      </w:pPr>
      <w:r w:rsidRPr="00216965">
        <w:t xml:space="preserve">The concentration of Pb and Zn in plants cultivated in the amended soils was significantly less than that of plants cultivated in the untreated soil (p &lt; 0.005). The addition of biochar (S+B) reduced Pb concentrations in plant tissue to 32% and 68 % of the control during the first and second harvests, respectively. The treatments containing compost were the most effective in reducing Pb in plant tissue; S+C+B and S+C treatments reduced Pb to a similar extent (between 93-97% of the control) during the first and second harvest, respectively. The concentration of Zn in plant tissue was reduced significantly by all amendments to a similar extent, between 54-78% of the control during the first harvest </w:t>
      </w:r>
      <w:r w:rsidRPr="00216965">
        <w:lastRenderedPageBreak/>
        <w:t>and to 66-87 % during the second harvest. Although the reductions of Zn were more pronounced in plants cultivated in S+C+B and S+C, there was no significant difference with plants cultivated in S+B (</w:t>
      </w:r>
      <w:r w:rsidR="00831AE6" w:rsidRPr="00216965">
        <w:t>p</w:t>
      </w:r>
      <w:r w:rsidRPr="00216965">
        <w:t xml:space="preserve"> &gt; 0.05).</w:t>
      </w:r>
    </w:p>
    <w:p w14:paraId="49331BE2" w14:textId="77777777" w:rsidR="00B45740" w:rsidRPr="00216965" w:rsidRDefault="00B45740" w:rsidP="008A33DA">
      <w:pPr>
        <w:pStyle w:val="Heading3"/>
      </w:pPr>
      <w:bookmarkStart w:id="368" w:name="_Toc86504704"/>
      <w:r w:rsidRPr="00216965">
        <w:t>Correlation of soil properties and HM bioavailability</w:t>
      </w:r>
      <w:bookmarkEnd w:id="368"/>
    </w:p>
    <w:p w14:paraId="48C17F13" w14:textId="3A006642" w:rsidR="00B45740" w:rsidRPr="00216965" w:rsidRDefault="00B45740" w:rsidP="008A33DA">
      <w:pPr>
        <w:spacing w:line="360" w:lineRule="auto"/>
        <w:jc w:val="both"/>
      </w:pPr>
      <w:r w:rsidRPr="00216965">
        <w:t xml:space="preserve">The cross-correlation analysis performed between the soil properties, bioavailable HM concentration (acid-soluble fraction) and the above-ground tissue concentration of heavy metals is presented in </w:t>
      </w:r>
      <w:r w:rsidRPr="00216965">
        <w:rPr>
          <w:b/>
          <w:bCs/>
        </w:rPr>
        <w:fldChar w:fldCharType="begin"/>
      </w:r>
      <w:r w:rsidRPr="00216965">
        <w:rPr>
          <w:b/>
          <w:bCs/>
        </w:rPr>
        <w:instrText xml:space="preserve"> REF _Ref84093285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8</w:t>
      </w:r>
      <w:r w:rsidRPr="00216965">
        <w:rPr>
          <w:b/>
          <w:bCs/>
        </w:rPr>
        <w:fldChar w:fldCharType="end"/>
      </w:r>
      <w:r w:rsidRPr="00216965">
        <w:rPr>
          <w:b/>
        </w:rPr>
        <w:t xml:space="preserve">. </w:t>
      </w:r>
      <w:r w:rsidRPr="00216965">
        <w:t>In the unplanted treatments Pb, Zn, Al and Mn had a strong negative correlation with pH, EC, OM, phosphate, Ca, Mg, Na and K. Conversely, the base cations Ca, Mg, Na and K were positively related to each other. Soil pH and EC were directly correlated with Na, K</w:t>
      </w:r>
      <w:r w:rsidR="00761390" w:rsidRPr="00216965">
        <w:t>,</w:t>
      </w:r>
      <w:r w:rsidRPr="00216965">
        <w:t xml:space="preserve"> Ca and phosphate (p &lt; 0.05). Nitrate was not significantly correlated with any physico-chemical properties (p</w:t>
      </w:r>
      <w:r w:rsidR="00831AE6" w:rsidRPr="00216965">
        <w:t xml:space="preserve"> </w:t>
      </w:r>
      <w:r w:rsidRPr="00216965">
        <w:t>&lt; 0.05). A strong correlation (R &gt; 0.8) was observed between soil bioavailable Pb and Zn (acid-soluble fractions) and the plant above-ground tissue concentration of these heavy metals in the planted treatments.</w:t>
      </w:r>
    </w:p>
    <w:p w14:paraId="4234CACD" w14:textId="77777777" w:rsidR="00B45740" w:rsidRPr="00216965" w:rsidRDefault="00B45740" w:rsidP="008A33DA">
      <w:pPr>
        <w:jc w:val="center"/>
        <w:rPr>
          <w:b/>
          <w:bCs/>
        </w:rPr>
      </w:pPr>
      <w:r w:rsidRPr="00216965">
        <w:rPr>
          <w:b/>
          <w:bCs/>
          <w:noProof/>
        </w:rPr>
        <w:lastRenderedPageBreak/>
        <w:drawing>
          <wp:inline distT="0" distB="0" distL="0" distR="0" wp14:anchorId="04BEED25" wp14:editId="71D851C6">
            <wp:extent cx="3769894" cy="7347284"/>
            <wp:effectExtent l="0" t="0" r="2540" b="6350"/>
            <wp:docPr id="34" name="image17.png" descr="Cha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Chart&#10;&#10;Description automatically generated with medium confidence"/>
                    <pic:cNvPicPr preferRelativeResize="0"/>
                  </pic:nvPicPr>
                  <pic:blipFill>
                    <a:blip r:embed="rId63"/>
                    <a:srcRect/>
                    <a:stretch>
                      <a:fillRect/>
                    </a:stretch>
                  </pic:blipFill>
                  <pic:spPr>
                    <a:xfrm>
                      <a:off x="0" y="0"/>
                      <a:ext cx="3773512" cy="7354334"/>
                    </a:xfrm>
                    <a:prstGeom prst="rect">
                      <a:avLst/>
                    </a:prstGeom>
                    <a:ln/>
                  </pic:spPr>
                </pic:pic>
              </a:graphicData>
            </a:graphic>
          </wp:inline>
        </w:drawing>
      </w:r>
    </w:p>
    <w:p w14:paraId="7E54FE93" w14:textId="6123EB3E" w:rsidR="00B45740" w:rsidRPr="00216965" w:rsidRDefault="00B45740" w:rsidP="008A33DA">
      <w:pPr>
        <w:pBdr>
          <w:top w:val="nil"/>
          <w:left w:val="nil"/>
          <w:bottom w:val="nil"/>
          <w:right w:val="nil"/>
          <w:between w:val="nil"/>
        </w:pBdr>
        <w:spacing w:after="200" w:line="240" w:lineRule="auto"/>
        <w:jc w:val="both"/>
        <w:rPr>
          <w:color w:val="000000"/>
        </w:rPr>
      </w:pPr>
      <w:bookmarkStart w:id="369" w:name="_Ref84093285"/>
      <w:bookmarkStart w:id="370" w:name="_Toc86439389"/>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8</w:t>
      </w:r>
      <w:r w:rsidR="00BF3EBE" w:rsidRPr="00216965">
        <w:rPr>
          <w:b/>
          <w:bCs/>
        </w:rPr>
        <w:fldChar w:fldCharType="end"/>
      </w:r>
      <w:bookmarkEnd w:id="369"/>
      <w:r w:rsidRPr="00216965">
        <w:t xml:space="preserve"> </w:t>
      </w:r>
      <w:r w:rsidRPr="00216965">
        <w:rPr>
          <w:b/>
          <w:bCs/>
          <w:color w:val="000000"/>
        </w:rPr>
        <w:t>Cross correlation of soil characteristics for planted and unplanted treatments.</w:t>
      </w:r>
      <w:r w:rsidRPr="00216965">
        <w:rPr>
          <w:color w:val="000000"/>
        </w:rPr>
        <w:t xml:space="preserve"> Mn, Al, Pb, Zn, Ca, Mg, K and Na corresponded to the concentration in the bioavailable (acid-soluble) fraction. In the Planted correlation matrix “_tissue” represents the above-ground tissue concentration and “bioav_soil” the bioavailable-acid soluble fraction. Values inside the circle correspond to the R coefficient of relations where p &lt; 0.05. Non-significant correlations (p &gt; 0.05) are shown as blank.</w:t>
      </w:r>
      <w:bookmarkEnd w:id="370"/>
    </w:p>
    <w:p w14:paraId="1DB74105" w14:textId="77777777" w:rsidR="00B45740" w:rsidRPr="00216965" w:rsidRDefault="00B45740" w:rsidP="008A33DA">
      <w:pPr>
        <w:pStyle w:val="Heading3"/>
      </w:pPr>
      <w:bookmarkStart w:id="371" w:name="_Ref86419032"/>
      <w:bookmarkStart w:id="372" w:name="_Toc86504705"/>
      <w:r w:rsidRPr="00216965">
        <w:lastRenderedPageBreak/>
        <w:t>Microbial total abundance</w:t>
      </w:r>
      <w:bookmarkEnd w:id="371"/>
      <w:bookmarkEnd w:id="372"/>
      <w:r w:rsidRPr="00216965">
        <w:t xml:space="preserve"> </w:t>
      </w:r>
    </w:p>
    <w:p w14:paraId="1A461AC9" w14:textId="06563ED9" w:rsidR="00B45740" w:rsidRPr="00216965" w:rsidRDefault="00B45740" w:rsidP="008A33DA">
      <w:pPr>
        <w:spacing w:line="360" w:lineRule="auto"/>
        <w:jc w:val="both"/>
      </w:pPr>
      <w:r w:rsidRPr="00216965">
        <w:t xml:space="preserve">The results of the q-RT-PCR analysis shown in </w:t>
      </w:r>
      <w:r w:rsidRPr="00216965">
        <w:rPr>
          <w:b/>
          <w:bCs/>
        </w:rPr>
        <w:fldChar w:fldCharType="begin"/>
      </w:r>
      <w:r w:rsidRPr="00216965">
        <w:rPr>
          <w:b/>
          <w:bCs/>
        </w:rPr>
        <w:instrText xml:space="preserve"> REF _Ref84175879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9</w:t>
      </w:r>
      <w:r w:rsidRPr="00216965">
        <w:rPr>
          <w:b/>
          <w:bCs/>
        </w:rPr>
        <w:fldChar w:fldCharType="end"/>
      </w:r>
      <w:r w:rsidRPr="00216965">
        <w:rPr>
          <w:b/>
          <w:bCs/>
        </w:rPr>
        <w:t xml:space="preserve"> </w:t>
      </w:r>
      <w:r w:rsidRPr="00216965">
        <w:t>showed that bacterial total abundance in Wemyss soil treatments was at least one order of magnitude higher than fungal total abundance. The total abundance, based on gene copy numbers, did not differ significantly between planted and unplanted treatments. The gene copy numbers in the biochar treatment (S+B) were not significantly different from the untreated soil (S) in either the bacterial or fungal populations (p &gt; 0.05). Except for S+C (planted), treatments containing compost had significantly higher bacterial gene (16S) copy numbers than the untreated soil (planted) (p &lt; 0.01). Similarly, the fungal gene (18S) copy numbers were significantly higher in the planted S+C and S+C+B treatments than that of planted unamended soil (S) (p &lt; 0.01).</w:t>
      </w:r>
    </w:p>
    <w:p w14:paraId="0E7E4CD1" w14:textId="77777777" w:rsidR="00B45740" w:rsidRPr="00216965" w:rsidRDefault="00B45740" w:rsidP="008A33D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000000"/>
        </w:rPr>
      </w:pPr>
    </w:p>
    <w:p w14:paraId="1E559F75" w14:textId="77777777" w:rsidR="00B45740" w:rsidRPr="00216965" w:rsidRDefault="00B45740" w:rsidP="008A33D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000000"/>
        </w:rPr>
      </w:pPr>
      <w:r w:rsidRPr="00216965">
        <w:rPr>
          <w:rFonts w:ascii="Courier New" w:eastAsia="Courier New" w:hAnsi="Courier New" w:cs="Courier New"/>
          <w:noProof/>
          <w:color w:val="000000"/>
          <w:sz w:val="20"/>
          <w:szCs w:val="20"/>
        </w:rPr>
        <w:drawing>
          <wp:inline distT="0" distB="0" distL="0" distR="0" wp14:anchorId="277B48D4" wp14:editId="3FA5C56E">
            <wp:extent cx="5731510" cy="3439160"/>
            <wp:effectExtent l="0" t="0" r="0" b="0"/>
            <wp:docPr id="33" name="image1.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Chart&#10;&#10;Description automatically generated"/>
                    <pic:cNvPicPr preferRelativeResize="0"/>
                  </pic:nvPicPr>
                  <pic:blipFill>
                    <a:blip r:embed="rId64"/>
                    <a:srcRect/>
                    <a:stretch>
                      <a:fillRect/>
                    </a:stretch>
                  </pic:blipFill>
                  <pic:spPr>
                    <a:xfrm>
                      <a:off x="0" y="0"/>
                      <a:ext cx="5731510" cy="3439160"/>
                    </a:xfrm>
                    <a:prstGeom prst="rect">
                      <a:avLst/>
                    </a:prstGeom>
                    <a:ln/>
                  </pic:spPr>
                </pic:pic>
              </a:graphicData>
            </a:graphic>
          </wp:inline>
        </w:drawing>
      </w:r>
    </w:p>
    <w:p w14:paraId="55D30174" w14:textId="459E7A23" w:rsidR="00B45740" w:rsidRPr="00216965" w:rsidRDefault="00B45740" w:rsidP="008A33DA">
      <w:pPr>
        <w:pBdr>
          <w:top w:val="nil"/>
          <w:left w:val="nil"/>
          <w:bottom w:val="nil"/>
          <w:right w:val="nil"/>
          <w:between w:val="nil"/>
        </w:pBdr>
        <w:spacing w:after="200" w:line="240" w:lineRule="auto"/>
        <w:jc w:val="both"/>
        <w:rPr>
          <w:b/>
          <w:color w:val="000000"/>
        </w:rPr>
      </w:pPr>
      <w:bookmarkStart w:id="373" w:name="_Ref84175879"/>
      <w:bookmarkStart w:id="374" w:name="_Toc86439390"/>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9</w:t>
      </w:r>
      <w:r w:rsidR="00BF3EBE" w:rsidRPr="00216965">
        <w:rPr>
          <w:b/>
          <w:bCs/>
        </w:rPr>
        <w:fldChar w:fldCharType="end"/>
      </w:r>
      <w:bookmarkEnd w:id="373"/>
      <w:r w:rsidRPr="00216965">
        <w:t xml:space="preserve"> </w:t>
      </w:r>
      <w:r w:rsidRPr="00216965">
        <w:rPr>
          <w:b/>
          <w:bCs/>
          <w:color w:val="000000"/>
        </w:rPr>
        <w:t>Box plot of total abundance of soil microorganisms based on gene copy numbers of</w:t>
      </w:r>
      <w:r w:rsidRPr="00216965">
        <w:rPr>
          <w:color w:val="000000"/>
        </w:rPr>
        <w:t xml:space="preserve"> A) 16S gene of Bacteria using </w:t>
      </w:r>
      <w:r w:rsidRPr="00216965">
        <w:rPr>
          <w:i/>
          <w:color w:val="000000"/>
        </w:rPr>
        <w:t>E.coli</w:t>
      </w:r>
      <w:r w:rsidRPr="00216965">
        <w:rPr>
          <w:color w:val="000000"/>
        </w:rPr>
        <w:t xml:space="preserve"> as reference organism; B) 18S gene of Fungi using </w:t>
      </w:r>
      <w:r w:rsidRPr="00216965">
        <w:rPr>
          <w:i/>
          <w:color w:val="000000"/>
        </w:rPr>
        <w:t>C. tropicalis</w:t>
      </w:r>
      <w:r w:rsidRPr="00216965">
        <w:rPr>
          <w:color w:val="000000"/>
        </w:rPr>
        <w:t xml:space="preserve"> as reference organism. Treatments with the same letter do not differ significantly according to Tukey post hoc test (α</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0.05),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4, ns</w:t>
      </w:r>
      <w:r w:rsidR="00831AE6" w:rsidRPr="00216965">
        <w:rPr>
          <w:color w:val="000000"/>
        </w:rPr>
        <w:t xml:space="preserve"> </w:t>
      </w:r>
      <w:r w:rsidRPr="00216965">
        <w:rPr>
          <w:color w:val="000000"/>
        </w:rPr>
        <w:t>= no significant differences.</w:t>
      </w:r>
      <w:bookmarkEnd w:id="374"/>
    </w:p>
    <w:p w14:paraId="1AEB9097" w14:textId="77777777" w:rsidR="00B45740" w:rsidRPr="00216965" w:rsidRDefault="00B45740" w:rsidP="008A33DA">
      <w:pPr>
        <w:pStyle w:val="Heading3"/>
      </w:pPr>
      <w:bookmarkStart w:id="375" w:name="_Ref86419034"/>
      <w:bookmarkStart w:id="376" w:name="_Toc86504706"/>
      <w:r w:rsidRPr="00216965">
        <w:lastRenderedPageBreak/>
        <w:t>Microbial community structure and diversity</w:t>
      </w:r>
      <w:bookmarkEnd w:id="375"/>
      <w:bookmarkEnd w:id="376"/>
    </w:p>
    <w:p w14:paraId="5A16B557" w14:textId="77777777" w:rsidR="00B45740" w:rsidRPr="00216965" w:rsidRDefault="00B45740" w:rsidP="008A33DA">
      <w:pPr>
        <w:spacing w:line="360" w:lineRule="auto"/>
        <w:jc w:val="both"/>
      </w:pPr>
      <w:r w:rsidRPr="00216965">
        <w:t xml:space="preserve">From the high-throughput sequencing of 16S rRNA and ITS genes, a minimum of 60925 bacterial and 1491 fungal sequences per sample were obtained from 32 independent samples. A total of 14,570 Amplified Sequence Variants (ASVs) were identified for bacteria and 1052 ASVs for fungi. After removing taxa that were poorly represented (less than 30 reads across all samples) and those that did not appear at least 3 times in 20% of the samples, 2767 (bacterial) and 122 (fungal) unique ASVs were identified. </w:t>
      </w:r>
    </w:p>
    <w:p w14:paraId="3437A532" w14:textId="6BC07CFC" w:rsidR="00B45740" w:rsidRPr="00216965" w:rsidRDefault="00B45740" w:rsidP="008A33DA">
      <w:pPr>
        <w:spacing w:line="360" w:lineRule="auto"/>
        <w:jc w:val="both"/>
      </w:pPr>
      <w:r w:rsidRPr="00216965">
        <w:t xml:space="preserve">The diversity indexes are shown in </w:t>
      </w:r>
      <w:r w:rsidRPr="00216965">
        <w:rPr>
          <w:b/>
          <w:bCs/>
        </w:rPr>
        <w:fldChar w:fldCharType="begin"/>
      </w:r>
      <w:r w:rsidRPr="00216965">
        <w:rPr>
          <w:b/>
          <w:bCs/>
        </w:rPr>
        <w:instrText xml:space="preserve"> REF _Ref84178178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5</w:t>
      </w:r>
      <w:r w:rsidR="006E23EA" w:rsidRPr="00216965">
        <w:rPr>
          <w:b/>
          <w:bCs/>
          <w:noProof/>
        </w:rPr>
        <w:noBreakHyphen/>
        <w:t>10</w:t>
      </w:r>
      <w:r w:rsidRPr="00216965">
        <w:rPr>
          <w:b/>
          <w:bCs/>
        </w:rPr>
        <w:fldChar w:fldCharType="end"/>
      </w:r>
      <w:r w:rsidRPr="00216965">
        <w:t>. In the bacterial samples the addition of organic amendments to the soil caused a significant increase in the Inverse Simpson index (average proportional abundance) relative to samples from untreated soil (p &lt;</w:t>
      </w:r>
      <w:r w:rsidR="00831AE6" w:rsidRPr="00216965">
        <w:t xml:space="preserve"> </w:t>
      </w:r>
      <w:r w:rsidRPr="00216965">
        <w:t xml:space="preserve">0.05). No significant differences between treatments were identified for bacterial samples with the Shannon dissimilarity measure or the Richness index (p &gt; 0.05). Similarly, no significant differences were identified for the fungal samples in any of the diversity indexes (Richness and Inverse Simpson) or dissimilarity measure (Shannon). </w:t>
      </w:r>
    </w:p>
    <w:p w14:paraId="55C939CB" w14:textId="77777777" w:rsidR="00B45740" w:rsidRPr="00216965" w:rsidRDefault="00B45740" w:rsidP="008A33D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color w:val="000000"/>
        </w:rPr>
      </w:pPr>
      <w:r w:rsidRPr="00216965">
        <w:rPr>
          <w:rFonts w:ascii="Courier New" w:eastAsia="Courier New" w:hAnsi="Courier New" w:cs="Courier New"/>
          <w:noProof/>
          <w:color w:val="000000"/>
          <w:sz w:val="20"/>
          <w:szCs w:val="20"/>
        </w:rPr>
        <w:drawing>
          <wp:inline distT="0" distB="0" distL="0" distR="0" wp14:anchorId="5593F3B0" wp14:editId="30D3BA84">
            <wp:extent cx="4701540" cy="3962400"/>
            <wp:effectExtent l="0" t="0" r="3810" b="0"/>
            <wp:docPr id="37" name="image9.png" descr="Cha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Chart&#10;&#10;Description automatically generated with medium confidence"/>
                    <pic:cNvPicPr preferRelativeResize="0"/>
                  </pic:nvPicPr>
                  <pic:blipFill>
                    <a:blip r:embed="rId65"/>
                    <a:srcRect/>
                    <a:stretch>
                      <a:fillRect/>
                    </a:stretch>
                  </pic:blipFill>
                  <pic:spPr>
                    <a:xfrm>
                      <a:off x="0" y="0"/>
                      <a:ext cx="4702218" cy="3962971"/>
                    </a:xfrm>
                    <a:prstGeom prst="rect">
                      <a:avLst/>
                    </a:prstGeom>
                    <a:ln/>
                  </pic:spPr>
                </pic:pic>
              </a:graphicData>
            </a:graphic>
          </wp:inline>
        </w:drawing>
      </w:r>
    </w:p>
    <w:p w14:paraId="23BAF74A" w14:textId="51E7761C" w:rsidR="00B45740" w:rsidRPr="00216965" w:rsidRDefault="00B45740" w:rsidP="008A33DA">
      <w:pPr>
        <w:pBdr>
          <w:top w:val="nil"/>
          <w:left w:val="nil"/>
          <w:bottom w:val="nil"/>
          <w:right w:val="nil"/>
          <w:between w:val="nil"/>
        </w:pBdr>
        <w:spacing w:after="200" w:line="240" w:lineRule="auto"/>
        <w:jc w:val="both"/>
        <w:rPr>
          <w:b/>
          <w:color w:val="000000"/>
        </w:rPr>
      </w:pPr>
      <w:bookmarkStart w:id="377" w:name="_Ref84178178"/>
      <w:bookmarkStart w:id="378" w:name="_Toc86439391"/>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10</w:t>
      </w:r>
      <w:r w:rsidR="00BF3EBE" w:rsidRPr="00216965">
        <w:rPr>
          <w:b/>
          <w:bCs/>
        </w:rPr>
        <w:fldChar w:fldCharType="end"/>
      </w:r>
      <w:bookmarkEnd w:id="377"/>
      <w:r w:rsidRPr="00216965">
        <w:rPr>
          <w:noProof/>
        </w:rPr>
        <w:t xml:space="preserve"> </w:t>
      </w:r>
      <w:r w:rsidR="00B4071A" w:rsidRPr="00216965">
        <w:rPr>
          <w:b/>
          <w:bCs/>
          <w:color w:val="000000"/>
        </w:rPr>
        <w:t>Box plot</w:t>
      </w:r>
      <w:r w:rsidRPr="00216965">
        <w:rPr>
          <w:b/>
          <w:bCs/>
          <w:color w:val="000000"/>
        </w:rPr>
        <w:t xml:space="preserve"> of diversity indicators of soil microorganisms</w:t>
      </w:r>
      <w:r w:rsidRPr="00216965">
        <w:rPr>
          <w:color w:val="000000"/>
        </w:rPr>
        <w:t>. A) Bacterial and B) Fungal. Treatments with the same letter do not differ significantly according to Tukey post hoc test (α</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0.05),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4, ns</w:t>
      </w:r>
      <w:r w:rsidR="00831AE6" w:rsidRPr="00216965">
        <w:rPr>
          <w:color w:val="000000"/>
        </w:rPr>
        <w:t xml:space="preserve"> </w:t>
      </w:r>
      <w:r w:rsidRPr="00216965">
        <w:rPr>
          <w:color w:val="000000"/>
        </w:rPr>
        <w:t>= no significant differences.</w:t>
      </w:r>
      <w:bookmarkEnd w:id="378"/>
    </w:p>
    <w:p w14:paraId="0F5DA575" w14:textId="30C8F2A2" w:rsidR="007906FC" w:rsidRPr="00216965" w:rsidRDefault="007906FC" w:rsidP="008A33DA">
      <w:pPr>
        <w:spacing w:line="360" w:lineRule="auto"/>
        <w:jc w:val="both"/>
      </w:pPr>
      <w:r w:rsidRPr="00216965">
        <w:lastRenderedPageBreak/>
        <w:t>The number of species indicated by the Richness index was at least ten times higher in the bacterial samples than in fungal samples, consistent with the amount of bacterial amplicons relative to fungal amplicons in the sample and results from the qRT-PCR analysis (</w:t>
      </w:r>
      <w:r w:rsidRPr="00216965">
        <w:rPr>
          <w:b/>
          <w:bCs/>
        </w:rPr>
        <w:fldChar w:fldCharType="begin"/>
      </w:r>
      <w:r w:rsidRPr="00216965">
        <w:rPr>
          <w:b/>
          <w:bCs/>
        </w:rPr>
        <w:instrText xml:space="preserve"> REF _Ref84175879 \h  \* MERGEFORMAT </w:instrText>
      </w:r>
      <w:r w:rsidRPr="00216965">
        <w:rPr>
          <w:b/>
          <w:bCs/>
        </w:rPr>
      </w:r>
      <w:r w:rsidRPr="00216965">
        <w:rPr>
          <w:b/>
          <w:bCs/>
        </w:rPr>
        <w:fldChar w:fldCharType="separate"/>
      </w:r>
      <w:r w:rsidR="006E23EA" w:rsidRPr="00216965">
        <w:rPr>
          <w:b/>
          <w:bCs/>
        </w:rPr>
        <w:t xml:space="preserve">Fig. </w:t>
      </w:r>
      <w:r w:rsidR="006E23EA" w:rsidRPr="00216965">
        <w:rPr>
          <w:b/>
          <w:bCs/>
          <w:noProof/>
        </w:rPr>
        <w:t>5</w:t>
      </w:r>
      <w:r w:rsidR="006E23EA" w:rsidRPr="00216965">
        <w:rPr>
          <w:b/>
          <w:bCs/>
          <w:noProof/>
        </w:rPr>
        <w:noBreakHyphen/>
        <w:t>9</w:t>
      </w:r>
      <w:r w:rsidRPr="00216965">
        <w:rPr>
          <w:b/>
          <w:bCs/>
        </w:rPr>
        <w:fldChar w:fldCharType="end"/>
      </w:r>
      <w:r w:rsidRPr="00216965">
        <w:t>).</w:t>
      </w:r>
    </w:p>
    <w:p w14:paraId="25689EEF" w14:textId="77777777" w:rsidR="00AB2390" w:rsidRPr="00216965" w:rsidRDefault="00B45740" w:rsidP="008A33DA">
      <w:pPr>
        <w:spacing w:line="360" w:lineRule="auto"/>
        <w:jc w:val="both"/>
      </w:pPr>
      <w:r w:rsidRPr="00216965">
        <w:t>The composition of the bacterial communities in S and S+B treatments was broadly similar at the Phylum taxonomic level (</w:t>
      </w:r>
      <w:r w:rsidRPr="00216965">
        <w:rPr>
          <w:b/>
          <w:bCs/>
        </w:rPr>
        <w:fldChar w:fldCharType="begin"/>
      </w:r>
      <w:r w:rsidRPr="00216965">
        <w:rPr>
          <w:b/>
          <w:bCs/>
        </w:rPr>
        <w:instrText xml:space="preserve"> REF _Ref84180685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11</w:t>
      </w:r>
      <w:r w:rsidRPr="00216965">
        <w:rPr>
          <w:b/>
          <w:bCs/>
        </w:rPr>
        <w:fldChar w:fldCharType="end"/>
      </w:r>
      <w:r w:rsidRPr="00216965">
        <w:rPr>
          <w:b/>
          <w:bCs/>
        </w:rPr>
        <w:t>C</w:t>
      </w:r>
      <w:r w:rsidRPr="00216965">
        <w:t xml:space="preserve">), with major contributions from Acidobacteriota, Actinobacteriota, Chloroflexi and Proteobacteria and lesser contributions from Firmicutes, Planctomycetota and Verrucomicrobiota. Samples from S+C and S+C+B soils indicated major contributions from Phylum Firmicutes, Proteobacteria, Actinobacteriota and Myxococcota, whereas less abundant communities belonged to Acidobacteriota, Chloroflexi, Planctomycetota and Verrucomicrobiota. </w:t>
      </w:r>
    </w:p>
    <w:p w14:paraId="56ADA3DA" w14:textId="3A4FE09C" w:rsidR="00B45740" w:rsidRPr="00216965" w:rsidRDefault="00B45740" w:rsidP="008A33DA">
      <w:pPr>
        <w:spacing w:line="360" w:lineRule="auto"/>
        <w:jc w:val="both"/>
      </w:pPr>
      <w:r w:rsidRPr="00216965">
        <w:t>Similarly, the composition of fungal communities in the S and S+B treatments was similar at the Phylum taxonomic level (</w:t>
      </w:r>
      <w:r w:rsidRPr="00216965">
        <w:rPr>
          <w:b/>
          <w:bCs/>
        </w:rPr>
        <w:fldChar w:fldCharType="begin"/>
      </w:r>
      <w:r w:rsidRPr="00216965">
        <w:rPr>
          <w:b/>
          <w:bCs/>
        </w:rPr>
        <w:instrText xml:space="preserve"> REF _Ref84180685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11</w:t>
      </w:r>
      <w:r w:rsidRPr="00216965">
        <w:rPr>
          <w:b/>
          <w:bCs/>
        </w:rPr>
        <w:fldChar w:fldCharType="end"/>
      </w:r>
      <w:r w:rsidRPr="00216965">
        <w:rPr>
          <w:b/>
          <w:bCs/>
        </w:rPr>
        <w:t>D</w:t>
      </w:r>
      <w:r w:rsidRPr="00216965">
        <w:rPr>
          <w:b/>
        </w:rPr>
        <w:t>)</w:t>
      </w:r>
      <w:r w:rsidRPr="00216965">
        <w:t>;</w:t>
      </w:r>
      <w:r w:rsidRPr="00216965">
        <w:rPr>
          <w:b/>
        </w:rPr>
        <w:t xml:space="preserve"> </w:t>
      </w:r>
      <w:r w:rsidRPr="00216965">
        <w:t>the major contribution was from Phylum Ascomycota and to a lesser extent to Phyla Basidiomycota and Montierellomycota. Treatments S+C and S+C+B had a similar composition of fungal communities, with major contributions from Ascomycota and Basidiomycota, and lesser contributions from Montierellomycota and Aphelidiomycota, which was absent in S and S+B.</w:t>
      </w:r>
    </w:p>
    <w:p w14:paraId="5E73D775" w14:textId="1A7A4582" w:rsidR="00B45740" w:rsidRPr="00216965" w:rsidRDefault="00B45740" w:rsidP="008A33DA">
      <w:pPr>
        <w:spacing w:line="360" w:lineRule="auto"/>
        <w:jc w:val="both"/>
        <w:rPr>
          <w:b/>
          <w:bCs/>
        </w:rPr>
      </w:pPr>
      <w:r w:rsidRPr="00216965">
        <w:t>Principal components analysis (PCoA) using the phylogenetically-aware weighted Unifrac distance based on bacterial ASV abundance (</w:t>
      </w:r>
      <w:r w:rsidRPr="00216965">
        <w:rPr>
          <w:b/>
          <w:bCs/>
        </w:rPr>
        <w:fldChar w:fldCharType="begin"/>
      </w:r>
      <w:r w:rsidRPr="00216965">
        <w:rPr>
          <w:b/>
          <w:bCs/>
        </w:rPr>
        <w:instrText xml:space="preserve"> REF _Ref84180685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11</w:t>
      </w:r>
      <w:r w:rsidRPr="00216965">
        <w:rPr>
          <w:b/>
          <w:bCs/>
        </w:rPr>
        <w:fldChar w:fldCharType="end"/>
      </w:r>
      <w:r w:rsidRPr="00216965">
        <w:rPr>
          <w:b/>
          <w:bCs/>
        </w:rPr>
        <w:t>A</w:t>
      </w:r>
      <w:r w:rsidRPr="00216965">
        <w:t xml:space="preserve">) showed clear separation of samples S+C and S+C+B from S and S+B, with the first component explaining 89.4 % of the variance. Soil (S) samples were also separated from S+B samples with  component 2 explaining 3.4% of the variance. The permutational multivariate analysis of variance (PERMANOVA) analysis showed that the samples differed (p &lt; 0.01) except for S+C+B and S+C that were not significantly different from each other. A significant difference between planted and unplanted samples was only evident in S+B samples (p &lt; 0.05), for the other treatments planted and unplanted samples did not differ. A summary of the pairwise comparison is given in </w:t>
      </w:r>
      <w:r w:rsidRPr="00216965">
        <w:rPr>
          <w:b/>
          <w:bCs/>
        </w:rPr>
        <w:fldChar w:fldCharType="begin"/>
      </w:r>
      <w:r w:rsidRPr="00216965">
        <w:rPr>
          <w:b/>
          <w:bCs/>
        </w:rPr>
        <w:instrText xml:space="preserve"> REF _Ref85202358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5</w:t>
      </w:r>
      <w:r w:rsidR="006E23EA" w:rsidRPr="00216965">
        <w:rPr>
          <w:b/>
          <w:bCs/>
          <w:noProof/>
        </w:rPr>
        <w:noBreakHyphen/>
        <w:t>4</w:t>
      </w:r>
      <w:r w:rsidRPr="00216965">
        <w:rPr>
          <w:b/>
          <w:bCs/>
        </w:rPr>
        <w:fldChar w:fldCharType="end"/>
      </w:r>
    </w:p>
    <w:p w14:paraId="40CBA4E8" w14:textId="5F8233EB" w:rsidR="007906FC" w:rsidRPr="00216965" w:rsidRDefault="007906FC" w:rsidP="008A33DA">
      <w:pPr>
        <w:spacing w:line="360" w:lineRule="auto"/>
        <w:jc w:val="both"/>
        <w:rPr>
          <w:b/>
          <w:bCs/>
        </w:rPr>
      </w:pPr>
    </w:p>
    <w:p w14:paraId="210E9DD5" w14:textId="1F5B6589" w:rsidR="007906FC" w:rsidRPr="00216965" w:rsidRDefault="007906FC" w:rsidP="008A33DA">
      <w:pPr>
        <w:spacing w:line="360" w:lineRule="auto"/>
        <w:jc w:val="both"/>
        <w:rPr>
          <w:b/>
          <w:bCs/>
        </w:rPr>
      </w:pPr>
    </w:p>
    <w:p w14:paraId="105300DB" w14:textId="77777777" w:rsidR="007906FC" w:rsidRPr="00216965" w:rsidRDefault="007906FC" w:rsidP="008A33DA">
      <w:pPr>
        <w:spacing w:line="360" w:lineRule="auto"/>
        <w:jc w:val="both"/>
      </w:pPr>
    </w:p>
    <w:p w14:paraId="1D1D879C" w14:textId="6A508B46" w:rsidR="00B45740" w:rsidRPr="00216965" w:rsidRDefault="00B45740" w:rsidP="008A33DA">
      <w:pPr>
        <w:pBdr>
          <w:top w:val="nil"/>
          <w:left w:val="nil"/>
          <w:bottom w:val="nil"/>
          <w:right w:val="nil"/>
          <w:between w:val="nil"/>
        </w:pBdr>
        <w:spacing w:after="120" w:line="240" w:lineRule="auto"/>
        <w:rPr>
          <w:b/>
          <w:color w:val="000000"/>
        </w:rPr>
      </w:pPr>
      <w:bookmarkStart w:id="379" w:name="_Ref85202358"/>
      <w:bookmarkStart w:id="380" w:name="_Toc86440374"/>
      <w:r w:rsidRPr="00216965">
        <w:rPr>
          <w:b/>
          <w:bCs/>
        </w:rPr>
        <w:lastRenderedPageBreak/>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5</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4</w:t>
      </w:r>
      <w:r w:rsidR="00E569FA" w:rsidRPr="00216965">
        <w:rPr>
          <w:b/>
          <w:bCs/>
        </w:rPr>
        <w:fldChar w:fldCharType="end"/>
      </w:r>
      <w:bookmarkEnd w:id="379"/>
      <w:r w:rsidRPr="00216965">
        <w:t xml:space="preserve">  </w:t>
      </w:r>
      <w:r w:rsidRPr="00216965">
        <w:rPr>
          <w:b/>
          <w:color w:val="000000"/>
        </w:rPr>
        <w:t>Summary of pairwise comparisons using permutational multivariate analysis of variance (PERMANOVA) between soil treatments (n=4, α=0.05)</w:t>
      </w:r>
      <w:bookmarkEnd w:id="380"/>
    </w:p>
    <w:tbl>
      <w:tblPr>
        <w:tblW w:w="8784"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696"/>
        <w:gridCol w:w="682"/>
        <w:gridCol w:w="765"/>
        <w:gridCol w:w="765"/>
        <w:gridCol w:w="1049"/>
        <w:gridCol w:w="283"/>
        <w:gridCol w:w="851"/>
        <w:gridCol w:w="850"/>
        <w:gridCol w:w="851"/>
        <w:gridCol w:w="992"/>
      </w:tblGrid>
      <w:tr w:rsidR="00B45740" w:rsidRPr="00216965" w14:paraId="165E9B01" w14:textId="77777777" w:rsidTr="00C84F12">
        <w:tc>
          <w:tcPr>
            <w:tcW w:w="1696" w:type="dxa"/>
            <w:shd w:val="clear" w:color="auto" w:fill="A8D08D" w:themeFill="accent6" w:themeFillTint="99"/>
          </w:tcPr>
          <w:p w14:paraId="10E838ED" w14:textId="77777777" w:rsidR="00B45740" w:rsidRPr="00216965" w:rsidRDefault="00B45740" w:rsidP="008A33DA">
            <w:pPr>
              <w:spacing w:line="240" w:lineRule="auto"/>
              <w:jc w:val="both"/>
              <w:rPr>
                <w:b/>
              </w:rPr>
            </w:pPr>
          </w:p>
        </w:tc>
        <w:tc>
          <w:tcPr>
            <w:tcW w:w="3261" w:type="dxa"/>
            <w:gridSpan w:val="4"/>
            <w:tcBorders>
              <w:top w:val="single" w:sz="4" w:space="0" w:color="000000"/>
              <w:bottom w:val="single" w:sz="4" w:space="0" w:color="000000"/>
            </w:tcBorders>
            <w:shd w:val="clear" w:color="auto" w:fill="A8D08D" w:themeFill="accent6" w:themeFillTint="99"/>
          </w:tcPr>
          <w:p w14:paraId="37DC99FD" w14:textId="77777777" w:rsidR="00B45740" w:rsidRPr="00216965" w:rsidRDefault="00B45740" w:rsidP="008A33DA">
            <w:pPr>
              <w:spacing w:line="240" w:lineRule="auto"/>
              <w:jc w:val="both"/>
              <w:rPr>
                <w:b/>
              </w:rPr>
            </w:pPr>
            <w:r w:rsidRPr="00216965">
              <w:rPr>
                <w:b/>
                <w:sz w:val="22"/>
              </w:rPr>
              <w:t>Bacteria</w:t>
            </w:r>
          </w:p>
        </w:tc>
        <w:tc>
          <w:tcPr>
            <w:tcW w:w="283" w:type="dxa"/>
            <w:shd w:val="clear" w:color="auto" w:fill="A8D08D" w:themeFill="accent6" w:themeFillTint="99"/>
          </w:tcPr>
          <w:p w14:paraId="250C5A1A" w14:textId="77777777" w:rsidR="00B45740" w:rsidRPr="00216965" w:rsidRDefault="00B45740" w:rsidP="008A33DA">
            <w:pPr>
              <w:spacing w:line="240" w:lineRule="auto"/>
              <w:jc w:val="both"/>
              <w:rPr>
                <w:b/>
              </w:rPr>
            </w:pPr>
          </w:p>
        </w:tc>
        <w:tc>
          <w:tcPr>
            <w:tcW w:w="851" w:type="dxa"/>
            <w:tcBorders>
              <w:top w:val="single" w:sz="4" w:space="0" w:color="000000"/>
              <w:bottom w:val="single" w:sz="4" w:space="0" w:color="000000"/>
            </w:tcBorders>
            <w:shd w:val="clear" w:color="auto" w:fill="A8D08D" w:themeFill="accent6" w:themeFillTint="99"/>
          </w:tcPr>
          <w:p w14:paraId="65E94D18" w14:textId="77777777" w:rsidR="00B45740" w:rsidRPr="00216965" w:rsidRDefault="00B45740" w:rsidP="008A33DA">
            <w:pPr>
              <w:spacing w:line="240" w:lineRule="auto"/>
              <w:jc w:val="both"/>
              <w:rPr>
                <w:b/>
              </w:rPr>
            </w:pPr>
            <w:r w:rsidRPr="00216965">
              <w:rPr>
                <w:b/>
                <w:sz w:val="22"/>
              </w:rPr>
              <w:t>Fungi</w:t>
            </w:r>
          </w:p>
        </w:tc>
        <w:tc>
          <w:tcPr>
            <w:tcW w:w="2693" w:type="dxa"/>
            <w:gridSpan w:val="3"/>
            <w:tcBorders>
              <w:top w:val="single" w:sz="4" w:space="0" w:color="000000"/>
              <w:bottom w:val="single" w:sz="4" w:space="0" w:color="000000"/>
            </w:tcBorders>
            <w:shd w:val="clear" w:color="auto" w:fill="A8D08D" w:themeFill="accent6" w:themeFillTint="99"/>
          </w:tcPr>
          <w:p w14:paraId="423F6DA8" w14:textId="77777777" w:rsidR="00B45740" w:rsidRPr="00216965" w:rsidRDefault="00B45740" w:rsidP="008A33DA">
            <w:pPr>
              <w:spacing w:line="240" w:lineRule="auto"/>
              <w:jc w:val="both"/>
              <w:rPr>
                <w:b/>
              </w:rPr>
            </w:pPr>
          </w:p>
        </w:tc>
      </w:tr>
      <w:tr w:rsidR="00C84F12" w:rsidRPr="00216965" w14:paraId="226079BE" w14:textId="77777777" w:rsidTr="00C84F12">
        <w:tc>
          <w:tcPr>
            <w:tcW w:w="1696" w:type="dxa"/>
            <w:shd w:val="clear" w:color="auto" w:fill="A8D08D" w:themeFill="accent6" w:themeFillTint="99"/>
          </w:tcPr>
          <w:p w14:paraId="466D2817" w14:textId="77777777" w:rsidR="00B45740" w:rsidRPr="00216965" w:rsidRDefault="00B45740" w:rsidP="008A33DA">
            <w:pPr>
              <w:spacing w:line="240" w:lineRule="auto"/>
              <w:jc w:val="both"/>
              <w:rPr>
                <w:b/>
              </w:rPr>
            </w:pPr>
            <w:r w:rsidRPr="00216965">
              <w:rPr>
                <w:b/>
                <w:sz w:val="22"/>
              </w:rPr>
              <w:t>Treatments</w:t>
            </w:r>
          </w:p>
        </w:tc>
        <w:tc>
          <w:tcPr>
            <w:tcW w:w="682" w:type="dxa"/>
            <w:tcBorders>
              <w:top w:val="single" w:sz="4" w:space="0" w:color="000000"/>
              <w:bottom w:val="single" w:sz="4" w:space="0" w:color="000000"/>
            </w:tcBorders>
            <w:shd w:val="clear" w:color="auto" w:fill="A8D08D" w:themeFill="accent6" w:themeFillTint="99"/>
          </w:tcPr>
          <w:p w14:paraId="64A7D312" w14:textId="77777777" w:rsidR="00B45740" w:rsidRPr="00216965" w:rsidRDefault="00B45740" w:rsidP="008A33DA">
            <w:pPr>
              <w:spacing w:line="240" w:lineRule="auto"/>
              <w:jc w:val="both"/>
              <w:rPr>
                <w:b/>
              </w:rPr>
            </w:pPr>
            <w:r w:rsidRPr="00216965">
              <w:rPr>
                <w:b/>
                <w:sz w:val="22"/>
              </w:rPr>
              <w:t>S</w:t>
            </w:r>
          </w:p>
        </w:tc>
        <w:tc>
          <w:tcPr>
            <w:tcW w:w="765" w:type="dxa"/>
            <w:tcBorders>
              <w:top w:val="single" w:sz="4" w:space="0" w:color="000000"/>
              <w:bottom w:val="single" w:sz="4" w:space="0" w:color="000000"/>
            </w:tcBorders>
            <w:shd w:val="clear" w:color="auto" w:fill="A8D08D" w:themeFill="accent6" w:themeFillTint="99"/>
          </w:tcPr>
          <w:p w14:paraId="155935C7" w14:textId="77777777" w:rsidR="00B45740" w:rsidRPr="00216965" w:rsidRDefault="00B45740" w:rsidP="008A33DA">
            <w:pPr>
              <w:spacing w:line="240" w:lineRule="auto"/>
              <w:jc w:val="both"/>
              <w:rPr>
                <w:b/>
              </w:rPr>
            </w:pPr>
            <w:r w:rsidRPr="00216965">
              <w:rPr>
                <w:b/>
                <w:sz w:val="22"/>
              </w:rPr>
              <w:t>S+B</w:t>
            </w:r>
          </w:p>
        </w:tc>
        <w:tc>
          <w:tcPr>
            <w:tcW w:w="765" w:type="dxa"/>
            <w:tcBorders>
              <w:top w:val="single" w:sz="4" w:space="0" w:color="000000"/>
              <w:bottom w:val="single" w:sz="4" w:space="0" w:color="000000"/>
            </w:tcBorders>
            <w:shd w:val="clear" w:color="auto" w:fill="A8D08D" w:themeFill="accent6" w:themeFillTint="99"/>
          </w:tcPr>
          <w:p w14:paraId="1A70DDC6" w14:textId="77777777" w:rsidR="00B45740" w:rsidRPr="00216965" w:rsidRDefault="00B45740" w:rsidP="008A33DA">
            <w:pPr>
              <w:spacing w:line="240" w:lineRule="auto"/>
              <w:jc w:val="both"/>
              <w:rPr>
                <w:b/>
              </w:rPr>
            </w:pPr>
            <w:r w:rsidRPr="00216965">
              <w:rPr>
                <w:b/>
                <w:sz w:val="22"/>
              </w:rPr>
              <w:t>S+C</w:t>
            </w:r>
          </w:p>
        </w:tc>
        <w:tc>
          <w:tcPr>
            <w:tcW w:w="1049" w:type="dxa"/>
            <w:tcBorders>
              <w:top w:val="single" w:sz="4" w:space="0" w:color="000000"/>
              <w:bottom w:val="single" w:sz="4" w:space="0" w:color="000000"/>
            </w:tcBorders>
            <w:shd w:val="clear" w:color="auto" w:fill="A8D08D" w:themeFill="accent6" w:themeFillTint="99"/>
          </w:tcPr>
          <w:p w14:paraId="76F8BD88" w14:textId="77777777" w:rsidR="00B45740" w:rsidRPr="00216965" w:rsidRDefault="00B45740" w:rsidP="008A33DA">
            <w:pPr>
              <w:spacing w:line="240" w:lineRule="auto"/>
              <w:jc w:val="both"/>
              <w:rPr>
                <w:b/>
              </w:rPr>
            </w:pPr>
            <w:r w:rsidRPr="00216965">
              <w:rPr>
                <w:b/>
                <w:sz w:val="22"/>
              </w:rPr>
              <w:t>S+C+B</w:t>
            </w:r>
          </w:p>
        </w:tc>
        <w:tc>
          <w:tcPr>
            <w:tcW w:w="283" w:type="dxa"/>
            <w:shd w:val="clear" w:color="auto" w:fill="A8D08D" w:themeFill="accent6" w:themeFillTint="99"/>
          </w:tcPr>
          <w:p w14:paraId="3F8C0AFC" w14:textId="77777777" w:rsidR="00B45740" w:rsidRPr="00216965" w:rsidRDefault="00B45740" w:rsidP="008A33DA">
            <w:pPr>
              <w:spacing w:line="240" w:lineRule="auto"/>
              <w:jc w:val="both"/>
              <w:rPr>
                <w:b/>
              </w:rPr>
            </w:pPr>
          </w:p>
        </w:tc>
        <w:tc>
          <w:tcPr>
            <w:tcW w:w="851" w:type="dxa"/>
            <w:tcBorders>
              <w:top w:val="single" w:sz="4" w:space="0" w:color="000000"/>
              <w:bottom w:val="single" w:sz="4" w:space="0" w:color="000000"/>
            </w:tcBorders>
            <w:shd w:val="clear" w:color="auto" w:fill="A8D08D" w:themeFill="accent6" w:themeFillTint="99"/>
          </w:tcPr>
          <w:p w14:paraId="7A8E33B2" w14:textId="77777777" w:rsidR="00B45740" w:rsidRPr="00216965" w:rsidRDefault="00B45740" w:rsidP="008A33DA">
            <w:pPr>
              <w:spacing w:line="240" w:lineRule="auto"/>
              <w:jc w:val="both"/>
              <w:rPr>
                <w:b/>
              </w:rPr>
            </w:pPr>
            <w:r w:rsidRPr="00216965">
              <w:rPr>
                <w:b/>
                <w:sz w:val="22"/>
              </w:rPr>
              <w:t>S</w:t>
            </w:r>
          </w:p>
        </w:tc>
        <w:tc>
          <w:tcPr>
            <w:tcW w:w="850" w:type="dxa"/>
            <w:tcBorders>
              <w:top w:val="single" w:sz="4" w:space="0" w:color="000000"/>
              <w:bottom w:val="single" w:sz="4" w:space="0" w:color="000000"/>
            </w:tcBorders>
            <w:shd w:val="clear" w:color="auto" w:fill="A8D08D" w:themeFill="accent6" w:themeFillTint="99"/>
          </w:tcPr>
          <w:p w14:paraId="3C621ED0" w14:textId="77777777" w:rsidR="00B45740" w:rsidRPr="00216965" w:rsidRDefault="00B45740" w:rsidP="008A33DA">
            <w:pPr>
              <w:spacing w:line="240" w:lineRule="auto"/>
              <w:jc w:val="both"/>
              <w:rPr>
                <w:b/>
              </w:rPr>
            </w:pPr>
            <w:r w:rsidRPr="00216965">
              <w:rPr>
                <w:b/>
                <w:sz w:val="22"/>
              </w:rPr>
              <w:t>S+B</w:t>
            </w:r>
          </w:p>
        </w:tc>
        <w:tc>
          <w:tcPr>
            <w:tcW w:w="851" w:type="dxa"/>
            <w:tcBorders>
              <w:top w:val="single" w:sz="4" w:space="0" w:color="000000"/>
              <w:bottom w:val="single" w:sz="4" w:space="0" w:color="000000"/>
            </w:tcBorders>
            <w:shd w:val="clear" w:color="auto" w:fill="A8D08D" w:themeFill="accent6" w:themeFillTint="99"/>
          </w:tcPr>
          <w:p w14:paraId="1B44E1D0" w14:textId="77777777" w:rsidR="00B45740" w:rsidRPr="00216965" w:rsidRDefault="00B45740" w:rsidP="008A33DA">
            <w:pPr>
              <w:spacing w:line="240" w:lineRule="auto"/>
              <w:jc w:val="both"/>
              <w:rPr>
                <w:b/>
              </w:rPr>
            </w:pPr>
            <w:r w:rsidRPr="00216965">
              <w:rPr>
                <w:b/>
                <w:sz w:val="22"/>
              </w:rPr>
              <w:t>S+C</w:t>
            </w:r>
          </w:p>
        </w:tc>
        <w:tc>
          <w:tcPr>
            <w:tcW w:w="992" w:type="dxa"/>
            <w:tcBorders>
              <w:top w:val="single" w:sz="4" w:space="0" w:color="000000"/>
              <w:bottom w:val="single" w:sz="4" w:space="0" w:color="000000"/>
            </w:tcBorders>
            <w:shd w:val="clear" w:color="auto" w:fill="A8D08D" w:themeFill="accent6" w:themeFillTint="99"/>
          </w:tcPr>
          <w:p w14:paraId="3C97B0A5" w14:textId="77777777" w:rsidR="00B45740" w:rsidRPr="00216965" w:rsidRDefault="00B45740" w:rsidP="008A33DA">
            <w:pPr>
              <w:spacing w:line="240" w:lineRule="auto"/>
              <w:jc w:val="both"/>
              <w:rPr>
                <w:b/>
              </w:rPr>
            </w:pPr>
            <w:r w:rsidRPr="00216965">
              <w:rPr>
                <w:b/>
                <w:sz w:val="22"/>
              </w:rPr>
              <w:t>S+C+B</w:t>
            </w:r>
          </w:p>
        </w:tc>
      </w:tr>
      <w:tr w:rsidR="00B45740" w:rsidRPr="00216965" w14:paraId="4E0F26BE" w14:textId="77777777" w:rsidTr="00A0457B">
        <w:tc>
          <w:tcPr>
            <w:tcW w:w="1696" w:type="dxa"/>
          </w:tcPr>
          <w:p w14:paraId="6A2B32A8" w14:textId="77777777" w:rsidR="00B45740" w:rsidRPr="00216965" w:rsidRDefault="00B45740" w:rsidP="008A33DA">
            <w:pPr>
              <w:spacing w:line="240" w:lineRule="auto"/>
              <w:jc w:val="both"/>
            </w:pPr>
            <w:r w:rsidRPr="00216965">
              <w:rPr>
                <w:sz w:val="22"/>
              </w:rPr>
              <w:t>S</w:t>
            </w:r>
          </w:p>
        </w:tc>
        <w:tc>
          <w:tcPr>
            <w:tcW w:w="682" w:type="dxa"/>
            <w:tcBorders>
              <w:top w:val="single" w:sz="4" w:space="0" w:color="000000"/>
            </w:tcBorders>
          </w:tcPr>
          <w:p w14:paraId="16433F8F" w14:textId="77777777" w:rsidR="00B45740" w:rsidRPr="00216965" w:rsidRDefault="00B45740" w:rsidP="008A33DA">
            <w:pPr>
              <w:spacing w:line="240" w:lineRule="auto"/>
              <w:jc w:val="both"/>
            </w:pPr>
            <w:r w:rsidRPr="00216965">
              <w:rPr>
                <w:sz w:val="22"/>
              </w:rPr>
              <w:t>-</w:t>
            </w:r>
          </w:p>
        </w:tc>
        <w:tc>
          <w:tcPr>
            <w:tcW w:w="765" w:type="dxa"/>
            <w:tcBorders>
              <w:top w:val="single" w:sz="4" w:space="0" w:color="000000"/>
            </w:tcBorders>
          </w:tcPr>
          <w:p w14:paraId="2CEA1356" w14:textId="77777777" w:rsidR="00B45740" w:rsidRPr="00216965" w:rsidRDefault="00B45740" w:rsidP="008A33DA">
            <w:pPr>
              <w:spacing w:line="240" w:lineRule="auto"/>
              <w:jc w:val="both"/>
            </w:pPr>
            <w:r w:rsidRPr="00216965">
              <w:rPr>
                <w:sz w:val="22"/>
              </w:rPr>
              <w:t>**</w:t>
            </w:r>
          </w:p>
        </w:tc>
        <w:tc>
          <w:tcPr>
            <w:tcW w:w="765" w:type="dxa"/>
            <w:tcBorders>
              <w:top w:val="single" w:sz="4" w:space="0" w:color="000000"/>
            </w:tcBorders>
          </w:tcPr>
          <w:p w14:paraId="2AF4A189" w14:textId="77777777" w:rsidR="00B45740" w:rsidRPr="00216965" w:rsidRDefault="00B45740" w:rsidP="008A33DA">
            <w:pPr>
              <w:spacing w:line="240" w:lineRule="auto"/>
              <w:jc w:val="both"/>
            </w:pPr>
            <w:r w:rsidRPr="00216965">
              <w:rPr>
                <w:sz w:val="22"/>
              </w:rPr>
              <w:t>**</w:t>
            </w:r>
          </w:p>
        </w:tc>
        <w:tc>
          <w:tcPr>
            <w:tcW w:w="1049" w:type="dxa"/>
            <w:tcBorders>
              <w:top w:val="single" w:sz="4" w:space="0" w:color="000000"/>
            </w:tcBorders>
          </w:tcPr>
          <w:p w14:paraId="05E5CFB4" w14:textId="77777777" w:rsidR="00B45740" w:rsidRPr="00216965" w:rsidRDefault="00B45740" w:rsidP="008A33DA">
            <w:pPr>
              <w:spacing w:line="240" w:lineRule="auto"/>
              <w:jc w:val="both"/>
            </w:pPr>
            <w:r w:rsidRPr="00216965">
              <w:rPr>
                <w:sz w:val="22"/>
              </w:rPr>
              <w:t>**</w:t>
            </w:r>
          </w:p>
        </w:tc>
        <w:tc>
          <w:tcPr>
            <w:tcW w:w="283" w:type="dxa"/>
            <w:tcBorders>
              <w:top w:val="single" w:sz="4" w:space="0" w:color="000000"/>
            </w:tcBorders>
          </w:tcPr>
          <w:p w14:paraId="5C5DD214" w14:textId="77777777" w:rsidR="00B45740" w:rsidRPr="00216965" w:rsidRDefault="00B45740" w:rsidP="008A33DA">
            <w:pPr>
              <w:spacing w:line="240" w:lineRule="auto"/>
              <w:jc w:val="both"/>
            </w:pPr>
          </w:p>
        </w:tc>
        <w:tc>
          <w:tcPr>
            <w:tcW w:w="851" w:type="dxa"/>
            <w:tcBorders>
              <w:top w:val="single" w:sz="4" w:space="0" w:color="000000"/>
            </w:tcBorders>
          </w:tcPr>
          <w:p w14:paraId="1651311E" w14:textId="77777777" w:rsidR="00B45740" w:rsidRPr="00216965" w:rsidRDefault="00B45740" w:rsidP="008A33DA">
            <w:pPr>
              <w:spacing w:line="240" w:lineRule="auto"/>
              <w:jc w:val="both"/>
            </w:pPr>
            <w:r w:rsidRPr="00216965">
              <w:rPr>
                <w:sz w:val="22"/>
              </w:rPr>
              <w:t>-</w:t>
            </w:r>
          </w:p>
        </w:tc>
        <w:tc>
          <w:tcPr>
            <w:tcW w:w="850" w:type="dxa"/>
            <w:tcBorders>
              <w:top w:val="single" w:sz="4" w:space="0" w:color="000000"/>
            </w:tcBorders>
          </w:tcPr>
          <w:p w14:paraId="43D61C4C" w14:textId="77777777" w:rsidR="00B45740" w:rsidRPr="00216965" w:rsidRDefault="00B45740" w:rsidP="008A33DA">
            <w:pPr>
              <w:spacing w:line="240" w:lineRule="auto"/>
              <w:jc w:val="both"/>
            </w:pPr>
            <w:r w:rsidRPr="00216965">
              <w:rPr>
                <w:sz w:val="22"/>
              </w:rPr>
              <w:t>ns</w:t>
            </w:r>
          </w:p>
        </w:tc>
        <w:tc>
          <w:tcPr>
            <w:tcW w:w="851" w:type="dxa"/>
            <w:tcBorders>
              <w:top w:val="single" w:sz="4" w:space="0" w:color="000000"/>
            </w:tcBorders>
          </w:tcPr>
          <w:p w14:paraId="080865A1" w14:textId="77777777" w:rsidR="00B45740" w:rsidRPr="00216965" w:rsidRDefault="00B45740" w:rsidP="008A33DA">
            <w:pPr>
              <w:spacing w:line="240" w:lineRule="auto"/>
              <w:jc w:val="both"/>
            </w:pPr>
            <w:r w:rsidRPr="00216965">
              <w:rPr>
                <w:sz w:val="22"/>
              </w:rPr>
              <w:t>**</w:t>
            </w:r>
          </w:p>
        </w:tc>
        <w:tc>
          <w:tcPr>
            <w:tcW w:w="992" w:type="dxa"/>
            <w:tcBorders>
              <w:top w:val="single" w:sz="4" w:space="0" w:color="000000"/>
            </w:tcBorders>
          </w:tcPr>
          <w:p w14:paraId="452F990B" w14:textId="77777777" w:rsidR="00B45740" w:rsidRPr="00216965" w:rsidRDefault="00B45740" w:rsidP="008A33DA">
            <w:pPr>
              <w:spacing w:line="240" w:lineRule="auto"/>
              <w:jc w:val="both"/>
            </w:pPr>
            <w:r w:rsidRPr="00216965">
              <w:rPr>
                <w:sz w:val="22"/>
              </w:rPr>
              <w:t>**</w:t>
            </w:r>
          </w:p>
        </w:tc>
      </w:tr>
      <w:tr w:rsidR="00B45740" w:rsidRPr="00216965" w14:paraId="2EB27030" w14:textId="77777777" w:rsidTr="00A0457B">
        <w:tc>
          <w:tcPr>
            <w:tcW w:w="1696" w:type="dxa"/>
          </w:tcPr>
          <w:p w14:paraId="364E2882" w14:textId="77777777" w:rsidR="00B45740" w:rsidRPr="00216965" w:rsidRDefault="00B45740" w:rsidP="008A33DA">
            <w:pPr>
              <w:spacing w:line="240" w:lineRule="auto"/>
              <w:jc w:val="both"/>
            </w:pPr>
            <w:r w:rsidRPr="00216965">
              <w:rPr>
                <w:sz w:val="22"/>
              </w:rPr>
              <w:t>S+B</w:t>
            </w:r>
          </w:p>
        </w:tc>
        <w:tc>
          <w:tcPr>
            <w:tcW w:w="682" w:type="dxa"/>
          </w:tcPr>
          <w:p w14:paraId="6F74C2C3" w14:textId="77777777" w:rsidR="00B45740" w:rsidRPr="00216965" w:rsidRDefault="00B45740" w:rsidP="008A33DA">
            <w:pPr>
              <w:spacing w:line="240" w:lineRule="auto"/>
              <w:jc w:val="both"/>
            </w:pPr>
            <w:r w:rsidRPr="00216965">
              <w:rPr>
                <w:sz w:val="22"/>
              </w:rPr>
              <w:t>**</w:t>
            </w:r>
          </w:p>
        </w:tc>
        <w:tc>
          <w:tcPr>
            <w:tcW w:w="765" w:type="dxa"/>
          </w:tcPr>
          <w:p w14:paraId="6D60B43D" w14:textId="77777777" w:rsidR="00B45740" w:rsidRPr="00216965" w:rsidRDefault="00B45740" w:rsidP="008A33DA">
            <w:pPr>
              <w:spacing w:line="240" w:lineRule="auto"/>
              <w:jc w:val="both"/>
            </w:pPr>
            <w:r w:rsidRPr="00216965">
              <w:rPr>
                <w:sz w:val="22"/>
              </w:rPr>
              <w:t>-</w:t>
            </w:r>
          </w:p>
        </w:tc>
        <w:tc>
          <w:tcPr>
            <w:tcW w:w="765" w:type="dxa"/>
          </w:tcPr>
          <w:p w14:paraId="31EF7CAD" w14:textId="77777777" w:rsidR="00B45740" w:rsidRPr="00216965" w:rsidRDefault="00B45740" w:rsidP="008A33DA">
            <w:pPr>
              <w:spacing w:line="240" w:lineRule="auto"/>
              <w:jc w:val="both"/>
            </w:pPr>
            <w:r w:rsidRPr="00216965">
              <w:rPr>
                <w:sz w:val="22"/>
              </w:rPr>
              <w:t>**</w:t>
            </w:r>
          </w:p>
        </w:tc>
        <w:tc>
          <w:tcPr>
            <w:tcW w:w="1049" w:type="dxa"/>
          </w:tcPr>
          <w:p w14:paraId="4B8EBDB5" w14:textId="77777777" w:rsidR="00B45740" w:rsidRPr="00216965" w:rsidRDefault="00B45740" w:rsidP="008A33DA">
            <w:pPr>
              <w:spacing w:line="240" w:lineRule="auto"/>
              <w:jc w:val="both"/>
            </w:pPr>
            <w:r w:rsidRPr="00216965">
              <w:rPr>
                <w:sz w:val="22"/>
              </w:rPr>
              <w:t>**</w:t>
            </w:r>
          </w:p>
        </w:tc>
        <w:tc>
          <w:tcPr>
            <w:tcW w:w="283" w:type="dxa"/>
          </w:tcPr>
          <w:p w14:paraId="3E109FD2" w14:textId="77777777" w:rsidR="00B45740" w:rsidRPr="00216965" w:rsidRDefault="00B45740" w:rsidP="008A33DA">
            <w:pPr>
              <w:spacing w:line="240" w:lineRule="auto"/>
              <w:jc w:val="both"/>
            </w:pPr>
          </w:p>
        </w:tc>
        <w:tc>
          <w:tcPr>
            <w:tcW w:w="851" w:type="dxa"/>
          </w:tcPr>
          <w:p w14:paraId="1ED017AE" w14:textId="77777777" w:rsidR="00B45740" w:rsidRPr="00216965" w:rsidRDefault="00B45740" w:rsidP="008A33DA">
            <w:pPr>
              <w:spacing w:line="240" w:lineRule="auto"/>
              <w:jc w:val="both"/>
            </w:pPr>
            <w:r w:rsidRPr="00216965">
              <w:rPr>
                <w:sz w:val="22"/>
              </w:rPr>
              <w:t>ns</w:t>
            </w:r>
          </w:p>
        </w:tc>
        <w:tc>
          <w:tcPr>
            <w:tcW w:w="850" w:type="dxa"/>
          </w:tcPr>
          <w:p w14:paraId="30292044" w14:textId="77777777" w:rsidR="00B45740" w:rsidRPr="00216965" w:rsidRDefault="00B45740" w:rsidP="008A33DA">
            <w:pPr>
              <w:spacing w:line="240" w:lineRule="auto"/>
              <w:jc w:val="both"/>
            </w:pPr>
            <w:r w:rsidRPr="00216965">
              <w:rPr>
                <w:sz w:val="22"/>
              </w:rPr>
              <w:t>-</w:t>
            </w:r>
          </w:p>
        </w:tc>
        <w:tc>
          <w:tcPr>
            <w:tcW w:w="851" w:type="dxa"/>
          </w:tcPr>
          <w:p w14:paraId="34C79111" w14:textId="77777777" w:rsidR="00B45740" w:rsidRPr="00216965" w:rsidRDefault="00B45740" w:rsidP="008A33DA">
            <w:pPr>
              <w:spacing w:line="240" w:lineRule="auto"/>
              <w:jc w:val="both"/>
            </w:pPr>
            <w:r w:rsidRPr="00216965">
              <w:rPr>
                <w:sz w:val="22"/>
              </w:rPr>
              <w:t>**</w:t>
            </w:r>
          </w:p>
        </w:tc>
        <w:tc>
          <w:tcPr>
            <w:tcW w:w="992" w:type="dxa"/>
          </w:tcPr>
          <w:p w14:paraId="67151423" w14:textId="77777777" w:rsidR="00B45740" w:rsidRPr="00216965" w:rsidRDefault="00B45740" w:rsidP="008A33DA">
            <w:pPr>
              <w:spacing w:line="240" w:lineRule="auto"/>
              <w:jc w:val="both"/>
            </w:pPr>
            <w:r w:rsidRPr="00216965">
              <w:rPr>
                <w:sz w:val="22"/>
              </w:rPr>
              <w:t>**</w:t>
            </w:r>
          </w:p>
        </w:tc>
      </w:tr>
      <w:tr w:rsidR="00B45740" w:rsidRPr="00216965" w14:paraId="4FD696FF" w14:textId="77777777" w:rsidTr="00A0457B">
        <w:tc>
          <w:tcPr>
            <w:tcW w:w="1696" w:type="dxa"/>
          </w:tcPr>
          <w:p w14:paraId="0E86A361" w14:textId="77777777" w:rsidR="00B45740" w:rsidRPr="00216965" w:rsidRDefault="00B45740" w:rsidP="008A33DA">
            <w:pPr>
              <w:spacing w:line="240" w:lineRule="auto"/>
              <w:jc w:val="both"/>
            </w:pPr>
            <w:r w:rsidRPr="00216965">
              <w:rPr>
                <w:sz w:val="22"/>
              </w:rPr>
              <w:t>S+C</w:t>
            </w:r>
          </w:p>
        </w:tc>
        <w:tc>
          <w:tcPr>
            <w:tcW w:w="682" w:type="dxa"/>
          </w:tcPr>
          <w:p w14:paraId="5E366DB8" w14:textId="77777777" w:rsidR="00B45740" w:rsidRPr="00216965" w:rsidRDefault="00B45740" w:rsidP="008A33DA">
            <w:pPr>
              <w:spacing w:line="240" w:lineRule="auto"/>
              <w:jc w:val="both"/>
            </w:pPr>
            <w:r w:rsidRPr="00216965">
              <w:rPr>
                <w:sz w:val="22"/>
              </w:rPr>
              <w:t>**</w:t>
            </w:r>
          </w:p>
        </w:tc>
        <w:tc>
          <w:tcPr>
            <w:tcW w:w="765" w:type="dxa"/>
          </w:tcPr>
          <w:p w14:paraId="691C0F7F" w14:textId="77777777" w:rsidR="00B45740" w:rsidRPr="00216965" w:rsidRDefault="00B45740" w:rsidP="008A33DA">
            <w:pPr>
              <w:spacing w:line="240" w:lineRule="auto"/>
              <w:jc w:val="both"/>
            </w:pPr>
            <w:r w:rsidRPr="00216965">
              <w:rPr>
                <w:sz w:val="22"/>
              </w:rPr>
              <w:t>**</w:t>
            </w:r>
          </w:p>
        </w:tc>
        <w:tc>
          <w:tcPr>
            <w:tcW w:w="765" w:type="dxa"/>
          </w:tcPr>
          <w:p w14:paraId="748B6B4D" w14:textId="77777777" w:rsidR="00B45740" w:rsidRPr="00216965" w:rsidRDefault="00B45740" w:rsidP="008A33DA">
            <w:pPr>
              <w:spacing w:line="240" w:lineRule="auto"/>
              <w:jc w:val="both"/>
            </w:pPr>
            <w:r w:rsidRPr="00216965">
              <w:rPr>
                <w:sz w:val="22"/>
              </w:rPr>
              <w:t>-</w:t>
            </w:r>
          </w:p>
        </w:tc>
        <w:tc>
          <w:tcPr>
            <w:tcW w:w="1049" w:type="dxa"/>
          </w:tcPr>
          <w:p w14:paraId="23A065F5" w14:textId="77777777" w:rsidR="00B45740" w:rsidRPr="00216965" w:rsidRDefault="00B45740" w:rsidP="008A33DA">
            <w:pPr>
              <w:spacing w:line="240" w:lineRule="auto"/>
              <w:jc w:val="both"/>
            </w:pPr>
            <w:r w:rsidRPr="00216965">
              <w:rPr>
                <w:sz w:val="22"/>
              </w:rPr>
              <w:t>ns</w:t>
            </w:r>
          </w:p>
        </w:tc>
        <w:tc>
          <w:tcPr>
            <w:tcW w:w="283" w:type="dxa"/>
          </w:tcPr>
          <w:p w14:paraId="5B741A94" w14:textId="77777777" w:rsidR="00B45740" w:rsidRPr="00216965" w:rsidRDefault="00B45740" w:rsidP="008A33DA">
            <w:pPr>
              <w:spacing w:line="240" w:lineRule="auto"/>
              <w:jc w:val="both"/>
            </w:pPr>
          </w:p>
        </w:tc>
        <w:tc>
          <w:tcPr>
            <w:tcW w:w="851" w:type="dxa"/>
          </w:tcPr>
          <w:p w14:paraId="102C90E9" w14:textId="77777777" w:rsidR="00B45740" w:rsidRPr="00216965" w:rsidRDefault="00B45740" w:rsidP="008A33DA">
            <w:pPr>
              <w:spacing w:line="240" w:lineRule="auto"/>
              <w:jc w:val="both"/>
            </w:pPr>
            <w:r w:rsidRPr="00216965">
              <w:rPr>
                <w:sz w:val="22"/>
              </w:rPr>
              <w:t>**</w:t>
            </w:r>
          </w:p>
        </w:tc>
        <w:tc>
          <w:tcPr>
            <w:tcW w:w="850" w:type="dxa"/>
          </w:tcPr>
          <w:p w14:paraId="18BFF8C3" w14:textId="77777777" w:rsidR="00B45740" w:rsidRPr="00216965" w:rsidRDefault="00B45740" w:rsidP="008A33DA">
            <w:pPr>
              <w:spacing w:line="240" w:lineRule="auto"/>
              <w:jc w:val="both"/>
            </w:pPr>
            <w:r w:rsidRPr="00216965">
              <w:rPr>
                <w:sz w:val="22"/>
              </w:rPr>
              <w:t>**</w:t>
            </w:r>
          </w:p>
        </w:tc>
        <w:tc>
          <w:tcPr>
            <w:tcW w:w="851" w:type="dxa"/>
          </w:tcPr>
          <w:p w14:paraId="17B71A92" w14:textId="77777777" w:rsidR="00B45740" w:rsidRPr="00216965" w:rsidRDefault="00B45740" w:rsidP="008A33DA">
            <w:pPr>
              <w:spacing w:line="240" w:lineRule="auto"/>
              <w:jc w:val="both"/>
            </w:pPr>
            <w:r w:rsidRPr="00216965">
              <w:rPr>
                <w:sz w:val="22"/>
              </w:rPr>
              <w:t>-</w:t>
            </w:r>
          </w:p>
        </w:tc>
        <w:tc>
          <w:tcPr>
            <w:tcW w:w="992" w:type="dxa"/>
          </w:tcPr>
          <w:p w14:paraId="668322B0" w14:textId="77777777" w:rsidR="00B45740" w:rsidRPr="00216965" w:rsidRDefault="00B45740" w:rsidP="008A33DA">
            <w:pPr>
              <w:spacing w:line="240" w:lineRule="auto"/>
              <w:jc w:val="both"/>
            </w:pPr>
            <w:r w:rsidRPr="00216965">
              <w:rPr>
                <w:sz w:val="22"/>
              </w:rPr>
              <w:t>*</w:t>
            </w:r>
          </w:p>
        </w:tc>
      </w:tr>
      <w:tr w:rsidR="00B45740" w:rsidRPr="00216965" w14:paraId="0D5BC08A" w14:textId="77777777" w:rsidTr="00A0457B">
        <w:tc>
          <w:tcPr>
            <w:tcW w:w="1696" w:type="dxa"/>
          </w:tcPr>
          <w:p w14:paraId="766BA567" w14:textId="77777777" w:rsidR="00B45740" w:rsidRPr="00216965" w:rsidRDefault="00B45740" w:rsidP="008A33DA">
            <w:pPr>
              <w:spacing w:line="240" w:lineRule="auto"/>
            </w:pPr>
            <w:r w:rsidRPr="00216965">
              <w:rPr>
                <w:sz w:val="22"/>
              </w:rPr>
              <w:t xml:space="preserve">Planted </w:t>
            </w:r>
            <w:r w:rsidRPr="00216965">
              <w:rPr>
                <w:i/>
                <w:sz w:val="22"/>
              </w:rPr>
              <w:t>vs</w:t>
            </w:r>
            <w:r w:rsidRPr="00216965">
              <w:rPr>
                <w:sz w:val="22"/>
              </w:rPr>
              <w:t xml:space="preserve"> Unplanted</w:t>
            </w:r>
          </w:p>
        </w:tc>
        <w:tc>
          <w:tcPr>
            <w:tcW w:w="682" w:type="dxa"/>
          </w:tcPr>
          <w:p w14:paraId="1AB5486C" w14:textId="77777777" w:rsidR="00B45740" w:rsidRPr="00216965" w:rsidRDefault="00B45740" w:rsidP="008A33DA">
            <w:pPr>
              <w:spacing w:line="240" w:lineRule="auto"/>
              <w:jc w:val="both"/>
            </w:pPr>
            <w:r w:rsidRPr="00216965">
              <w:rPr>
                <w:sz w:val="22"/>
              </w:rPr>
              <w:t>ns</w:t>
            </w:r>
          </w:p>
        </w:tc>
        <w:tc>
          <w:tcPr>
            <w:tcW w:w="765" w:type="dxa"/>
          </w:tcPr>
          <w:p w14:paraId="37A80F35" w14:textId="77777777" w:rsidR="00B45740" w:rsidRPr="00216965" w:rsidRDefault="00B45740" w:rsidP="008A33DA">
            <w:pPr>
              <w:spacing w:line="240" w:lineRule="auto"/>
              <w:jc w:val="both"/>
            </w:pPr>
            <w:r w:rsidRPr="00216965">
              <w:rPr>
                <w:sz w:val="22"/>
              </w:rPr>
              <w:t>*</w:t>
            </w:r>
          </w:p>
        </w:tc>
        <w:tc>
          <w:tcPr>
            <w:tcW w:w="765" w:type="dxa"/>
          </w:tcPr>
          <w:p w14:paraId="455C3208" w14:textId="77777777" w:rsidR="00B45740" w:rsidRPr="00216965" w:rsidRDefault="00B45740" w:rsidP="008A33DA">
            <w:pPr>
              <w:spacing w:line="240" w:lineRule="auto"/>
              <w:jc w:val="both"/>
            </w:pPr>
            <w:r w:rsidRPr="00216965">
              <w:rPr>
                <w:sz w:val="22"/>
              </w:rPr>
              <w:t>ns</w:t>
            </w:r>
          </w:p>
        </w:tc>
        <w:tc>
          <w:tcPr>
            <w:tcW w:w="1049" w:type="dxa"/>
          </w:tcPr>
          <w:p w14:paraId="7CF82535" w14:textId="77777777" w:rsidR="00B45740" w:rsidRPr="00216965" w:rsidRDefault="00B45740" w:rsidP="008A33DA">
            <w:pPr>
              <w:spacing w:line="240" w:lineRule="auto"/>
              <w:jc w:val="both"/>
            </w:pPr>
            <w:r w:rsidRPr="00216965">
              <w:rPr>
                <w:sz w:val="22"/>
              </w:rPr>
              <w:t>ns</w:t>
            </w:r>
          </w:p>
        </w:tc>
        <w:tc>
          <w:tcPr>
            <w:tcW w:w="283" w:type="dxa"/>
          </w:tcPr>
          <w:p w14:paraId="56B86D52" w14:textId="77777777" w:rsidR="00B45740" w:rsidRPr="00216965" w:rsidRDefault="00B45740" w:rsidP="008A33DA">
            <w:pPr>
              <w:spacing w:line="240" w:lineRule="auto"/>
              <w:jc w:val="both"/>
            </w:pPr>
          </w:p>
        </w:tc>
        <w:tc>
          <w:tcPr>
            <w:tcW w:w="851" w:type="dxa"/>
          </w:tcPr>
          <w:p w14:paraId="7C46C16C" w14:textId="77777777" w:rsidR="00B45740" w:rsidRPr="00216965" w:rsidRDefault="00B45740" w:rsidP="008A33DA">
            <w:pPr>
              <w:spacing w:line="240" w:lineRule="auto"/>
              <w:jc w:val="both"/>
            </w:pPr>
            <w:r w:rsidRPr="00216965">
              <w:rPr>
                <w:sz w:val="22"/>
              </w:rPr>
              <w:t>ns</w:t>
            </w:r>
          </w:p>
        </w:tc>
        <w:tc>
          <w:tcPr>
            <w:tcW w:w="850" w:type="dxa"/>
          </w:tcPr>
          <w:p w14:paraId="417735E2" w14:textId="77777777" w:rsidR="00B45740" w:rsidRPr="00216965" w:rsidRDefault="00B45740" w:rsidP="008A33DA">
            <w:pPr>
              <w:spacing w:line="240" w:lineRule="auto"/>
              <w:jc w:val="both"/>
            </w:pPr>
            <w:r w:rsidRPr="00216965">
              <w:rPr>
                <w:sz w:val="22"/>
              </w:rPr>
              <w:t>ns</w:t>
            </w:r>
          </w:p>
        </w:tc>
        <w:tc>
          <w:tcPr>
            <w:tcW w:w="851" w:type="dxa"/>
          </w:tcPr>
          <w:p w14:paraId="155AFD70" w14:textId="77777777" w:rsidR="00B45740" w:rsidRPr="00216965" w:rsidRDefault="00B45740" w:rsidP="008A33DA">
            <w:pPr>
              <w:spacing w:line="240" w:lineRule="auto"/>
              <w:jc w:val="both"/>
            </w:pPr>
            <w:r w:rsidRPr="00216965">
              <w:rPr>
                <w:sz w:val="22"/>
              </w:rPr>
              <w:t>ns</w:t>
            </w:r>
          </w:p>
        </w:tc>
        <w:tc>
          <w:tcPr>
            <w:tcW w:w="992" w:type="dxa"/>
          </w:tcPr>
          <w:p w14:paraId="5EB97F76" w14:textId="77777777" w:rsidR="00B45740" w:rsidRPr="00216965" w:rsidRDefault="00B45740" w:rsidP="008A33DA">
            <w:pPr>
              <w:spacing w:line="240" w:lineRule="auto"/>
              <w:jc w:val="both"/>
            </w:pPr>
            <w:r w:rsidRPr="00216965">
              <w:rPr>
                <w:sz w:val="22"/>
              </w:rPr>
              <w:t>ns</w:t>
            </w:r>
          </w:p>
        </w:tc>
      </w:tr>
    </w:tbl>
    <w:p w14:paraId="13F62C7A" w14:textId="77777777" w:rsidR="00B45740" w:rsidRPr="00216965" w:rsidRDefault="00B45740" w:rsidP="008A33DA">
      <w:pPr>
        <w:spacing w:line="360" w:lineRule="auto"/>
        <w:jc w:val="both"/>
      </w:pPr>
      <w:r w:rsidRPr="00216965">
        <w:t>Significance codes ‘**’ p value &lt; 0.01, ‘*’  p value &lt; 0.05 , ns= p value &gt; 0.05</w:t>
      </w:r>
    </w:p>
    <w:p w14:paraId="6614FC97" w14:textId="433CA6DA" w:rsidR="00B45740" w:rsidRPr="00216965" w:rsidRDefault="00B45740" w:rsidP="008A33DA">
      <w:pPr>
        <w:spacing w:line="360" w:lineRule="auto"/>
        <w:jc w:val="both"/>
      </w:pPr>
      <w:r w:rsidRPr="00216965">
        <w:t>The PCA using the weighted Bray dissimilarity based on fungal relative abundance (</w:t>
      </w:r>
      <w:r w:rsidRPr="00216965">
        <w:rPr>
          <w:b/>
          <w:bCs/>
        </w:rPr>
        <w:fldChar w:fldCharType="begin"/>
      </w:r>
      <w:r w:rsidRPr="00216965">
        <w:rPr>
          <w:b/>
          <w:bCs/>
        </w:rPr>
        <w:instrText xml:space="preserve"> REF _Ref84180685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11</w:t>
      </w:r>
      <w:r w:rsidRPr="00216965">
        <w:rPr>
          <w:b/>
          <w:bCs/>
        </w:rPr>
        <w:fldChar w:fldCharType="end"/>
      </w:r>
      <w:r w:rsidRPr="00216965">
        <w:t>) showed clear separation of S+B and S from treatments S+C+B and S+C which was explained by component 1 (54 %). PERMANOVA analysis indicated that planting did not result in any significant difference in community composition in fungal groups within a treatment (p &gt; 0.05). Treatments S+C and S+C+B were significantly different from S and S+B (p &lt; 0.05), but not from each other. S+B was not significantly different from the untreated soil S  (p &gt; 0.05) (</w:t>
      </w:r>
      <w:r w:rsidRPr="00216965">
        <w:rPr>
          <w:b/>
          <w:bCs/>
        </w:rPr>
        <w:fldChar w:fldCharType="begin"/>
      </w:r>
      <w:r w:rsidRPr="00216965">
        <w:rPr>
          <w:b/>
          <w:bCs/>
        </w:rPr>
        <w:instrText xml:space="preserve"> REF _Ref85202358 \h  \* MERGEFORMAT </w:instrText>
      </w:r>
      <w:r w:rsidRPr="00216965">
        <w:rPr>
          <w:b/>
          <w:bCs/>
        </w:rPr>
      </w:r>
      <w:r w:rsidRPr="00216965">
        <w:rPr>
          <w:b/>
          <w:bCs/>
        </w:rPr>
        <w:fldChar w:fldCharType="separate"/>
      </w:r>
      <w:r w:rsidR="006E23EA" w:rsidRPr="00216965">
        <w:rPr>
          <w:b/>
          <w:bCs/>
        </w:rPr>
        <w:t xml:space="preserve">Table </w:t>
      </w:r>
      <w:r w:rsidR="006E23EA" w:rsidRPr="00216965">
        <w:rPr>
          <w:b/>
          <w:bCs/>
          <w:noProof/>
        </w:rPr>
        <w:t>5</w:t>
      </w:r>
      <w:r w:rsidR="006E23EA" w:rsidRPr="00216965">
        <w:rPr>
          <w:b/>
          <w:bCs/>
          <w:noProof/>
        </w:rPr>
        <w:noBreakHyphen/>
        <w:t>4</w:t>
      </w:r>
      <w:r w:rsidRPr="00216965">
        <w:rPr>
          <w:b/>
          <w:bCs/>
        </w:rPr>
        <w:fldChar w:fldCharType="end"/>
      </w:r>
      <w:r w:rsidRPr="00216965">
        <w:rPr>
          <w:b/>
        </w:rPr>
        <w:t>)</w:t>
      </w:r>
      <w:r w:rsidRPr="00216965">
        <w:t xml:space="preserve">.  </w:t>
      </w:r>
    </w:p>
    <w:p w14:paraId="4E2B1681" w14:textId="77777777" w:rsidR="00B45740" w:rsidRPr="00216965" w:rsidRDefault="00B45740" w:rsidP="008A33D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000000"/>
        </w:rPr>
      </w:pPr>
      <w:r w:rsidRPr="00216965">
        <w:rPr>
          <w:rFonts w:ascii="Courier New" w:eastAsia="Courier New" w:hAnsi="Courier New" w:cs="Courier New"/>
          <w:noProof/>
          <w:color w:val="000000"/>
          <w:sz w:val="20"/>
          <w:szCs w:val="20"/>
        </w:rPr>
        <w:lastRenderedPageBreak/>
        <w:drawing>
          <wp:inline distT="0" distB="0" distL="0" distR="0" wp14:anchorId="039C4207" wp14:editId="63C204DB">
            <wp:extent cx="5356860" cy="4472940"/>
            <wp:effectExtent l="0" t="0" r="0" b="3810"/>
            <wp:docPr id="35" name="image19.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png" descr="Graphical user interface&#10;&#10;Description automatically generated with medium confidence"/>
                    <pic:cNvPicPr preferRelativeResize="0"/>
                  </pic:nvPicPr>
                  <pic:blipFill>
                    <a:blip r:embed="rId66"/>
                    <a:srcRect/>
                    <a:stretch>
                      <a:fillRect/>
                    </a:stretch>
                  </pic:blipFill>
                  <pic:spPr>
                    <a:xfrm>
                      <a:off x="0" y="0"/>
                      <a:ext cx="5357425" cy="4473412"/>
                    </a:xfrm>
                    <a:prstGeom prst="rect">
                      <a:avLst/>
                    </a:prstGeom>
                    <a:ln/>
                  </pic:spPr>
                </pic:pic>
              </a:graphicData>
            </a:graphic>
          </wp:inline>
        </w:drawing>
      </w:r>
    </w:p>
    <w:p w14:paraId="660B310C" w14:textId="3C43451C" w:rsidR="00B45740" w:rsidRPr="00216965" w:rsidRDefault="00B45740" w:rsidP="008A33DA">
      <w:pPr>
        <w:pBdr>
          <w:top w:val="nil"/>
          <w:left w:val="nil"/>
          <w:bottom w:val="nil"/>
          <w:right w:val="nil"/>
          <w:between w:val="nil"/>
        </w:pBdr>
        <w:spacing w:after="200" w:line="240" w:lineRule="auto"/>
        <w:jc w:val="both"/>
        <w:rPr>
          <w:b/>
          <w:color w:val="000000"/>
        </w:rPr>
      </w:pPr>
      <w:bookmarkStart w:id="381" w:name="_Ref84180685"/>
      <w:bookmarkStart w:id="382" w:name="_Toc86439392"/>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11</w:t>
      </w:r>
      <w:r w:rsidR="00BF3EBE" w:rsidRPr="00216965">
        <w:rPr>
          <w:b/>
          <w:bCs/>
        </w:rPr>
        <w:fldChar w:fldCharType="end"/>
      </w:r>
      <w:bookmarkEnd w:id="381"/>
      <w:r w:rsidRPr="00216965">
        <w:rPr>
          <w:noProof/>
        </w:rPr>
        <w:t xml:space="preserve"> </w:t>
      </w:r>
      <w:r w:rsidRPr="00216965">
        <w:rPr>
          <w:b/>
          <w:bCs/>
          <w:color w:val="000000"/>
        </w:rPr>
        <w:t>Analysis of community composition. Principal components analysis of bacterial communities using (A) the phylogenetically-aware Unifrac measure and B) Fungal samples using the Bray measure, both weighted for ASVs abundance</w:t>
      </w:r>
      <w:r w:rsidRPr="00216965">
        <w:rPr>
          <w:color w:val="000000"/>
        </w:rPr>
        <w:t xml:space="preserve">. Composition of microbial communities at Phylum level for C) Bacteria and D) Fungi. Phyla that contribute &lt; 3 % of the total </w:t>
      </w:r>
      <w:r w:rsidRPr="00216965">
        <w:t>ASV</w:t>
      </w:r>
      <w:r w:rsidRPr="00216965">
        <w:rPr>
          <w:color w:val="000000"/>
        </w:rPr>
        <w:t>s are shown as ‘Other’ for clarity. Soil treatments: control soil unplanted (S.U), control soil planted (S.P), soil with biochar unplanted (S+B.U), soil with biochar planted (S+B.P), soil with compost unplanted (S+C.U), soil with compost planted (S+C.P), soil with compost and biochar unplanted (S+C+B.U) and soil with compost and biochar planted (S+C+B.P).</w:t>
      </w:r>
      <w:bookmarkEnd w:id="382"/>
    </w:p>
    <w:p w14:paraId="56657F8F" w14:textId="77777777" w:rsidR="00B45740" w:rsidRPr="00216965" w:rsidRDefault="00B45740" w:rsidP="008A33DA"/>
    <w:p w14:paraId="0EDB87DD" w14:textId="77777777" w:rsidR="00B45740" w:rsidRPr="00216965" w:rsidRDefault="00B45740" w:rsidP="008A33DA">
      <w:pPr>
        <w:pStyle w:val="Heading3"/>
      </w:pPr>
      <w:bookmarkStart w:id="383" w:name="_Toc86504707"/>
      <w:r w:rsidRPr="00216965">
        <w:t>Differences in microbial community composition</w:t>
      </w:r>
      <w:bookmarkEnd w:id="383"/>
    </w:p>
    <w:p w14:paraId="16F7E6E1" w14:textId="7B425713" w:rsidR="00B45740" w:rsidRPr="00216965" w:rsidRDefault="00B45740" w:rsidP="008A33DA">
      <w:pPr>
        <w:spacing w:line="360" w:lineRule="auto"/>
        <w:jc w:val="both"/>
      </w:pPr>
      <w:r w:rsidRPr="00216965">
        <w:t xml:space="preserve">A generalized linear model implemented in DESeq2 was used to identify significant changes in microbial community composition (fungi and bacteria) after the addition of organic amendments. The analysis showed that planting the soil had a minimal effect on bacterial communities. In bacterial samples only 1, 4, 14 and 24 ASVs changed out of 2767 taxa in the S, S+B, S+C and S+C+B treatments, respectively, when comparing unplanted and planted samples. The ASVs that changed accounted for less than 0.2, 0.3, </w:t>
      </w:r>
      <w:r w:rsidRPr="00216965">
        <w:lastRenderedPageBreak/>
        <w:t xml:space="preserve">0.4 and 4 % of the total sequences in those treatments. Similarly, in the fungal samples, comparing planted and unplanted treatments showed minimal changes in fungal communities; only 1, 4, 18, and 11 fungal ASVs changed out of 122 taxa in the S, S+B, S+C and S+C+B treatments, respectively. These ASVs accounted for less than 1.5, 3, 9 and 4% of the total ASVs in those treatments. </w:t>
      </w:r>
    </w:p>
    <w:p w14:paraId="2FFFFC48" w14:textId="77777777" w:rsidR="00AB2390" w:rsidRPr="00216965" w:rsidRDefault="00B45740" w:rsidP="008A33DA">
      <w:pPr>
        <w:spacing w:line="360" w:lineRule="auto"/>
        <w:jc w:val="both"/>
      </w:pPr>
      <w:r w:rsidRPr="00216965">
        <w:t xml:space="preserve">The DesSeq analysis showed that some ASVs increased significantly while others decreased with the addition of the organic amendments. These changes are illustrated with Venn diagrams. Since having planted/ unplanted treatments did not cause a significant difference in the relative abundance of ASVs within treatments, the unplanted samples were used to visualise overlaps between treatments in the Venn diagrams </w:t>
      </w:r>
      <w:r w:rsidRPr="00216965">
        <w:rPr>
          <w:b/>
        </w:rPr>
        <w:t>(</w:t>
      </w:r>
      <w:r w:rsidRPr="00216965">
        <w:rPr>
          <w:b/>
          <w:bCs/>
        </w:rPr>
        <w:fldChar w:fldCharType="begin"/>
      </w:r>
      <w:r w:rsidRPr="00216965">
        <w:rPr>
          <w:b/>
          <w:bCs/>
        </w:rPr>
        <w:instrText xml:space="preserve"> REF _Ref84188155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12</w:t>
      </w:r>
      <w:r w:rsidRPr="00216965">
        <w:rPr>
          <w:b/>
          <w:bCs/>
        </w:rPr>
        <w:fldChar w:fldCharType="end"/>
      </w:r>
      <w:r w:rsidRPr="00216965">
        <w:t xml:space="preserve">). The diagrams showed that compost caused the biggest change in the composition of microbial groups and relative abundance, while biochar had little impact. </w:t>
      </w:r>
    </w:p>
    <w:p w14:paraId="21D6CB6C" w14:textId="77777777" w:rsidR="00AB2390" w:rsidRPr="00216965" w:rsidRDefault="00B45740" w:rsidP="008A33DA">
      <w:pPr>
        <w:spacing w:line="360" w:lineRule="auto"/>
        <w:jc w:val="both"/>
      </w:pPr>
      <w:r w:rsidRPr="00216965">
        <w:t>Of 1206 bacterial ASVs that increased with the addition of organic amendments relative to the untreated soil, 1164 increased due to the addition of compost (S+C). From these, 1109 were shared with S+C+B treatment and only 4 were shared with biochar treatment (S+B). Biochar alone (S+B) caused an increase in 27 bacterial ASVs relative to the untreated soil (S) (</w:t>
      </w:r>
      <w:r w:rsidRPr="00216965">
        <w:rPr>
          <w:b/>
          <w:bCs/>
        </w:rPr>
        <w:fldChar w:fldCharType="begin"/>
      </w:r>
      <w:r w:rsidRPr="00216965">
        <w:rPr>
          <w:b/>
          <w:bCs/>
        </w:rPr>
        <w:instrText xml:space="preserve"> REF _Ref84188155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12</w:t>
      </w:r>
      <w:r w:rsidRPr="00216965">
        <w:rPr>
          <w:b/>
          <w:bCs/>
        </w:rPr>
        <w:fldChar w:fldCharType="end"/>
      </w:r>
      <w:r w:rsidRPr="00216965">
        <w:rPr>
          <w:b/>
        </w:rPr>
        <w:t>A)</w:t>
      </w:r>
      <w:r w:rsidRPr="00216965">
        <w:t xml:space="preserve">. Of 459 bacterial ASVs that decreased with the addition of the organic amendments, 440 were due to the addition of compost (S+C). From these, 35 were shared with biochar (S+B) and 416 with S+C+B. None of the ASVs that decreased were unique to biochar. </w:t>
      </w:r>
    </w:p>
    <w:p w14:paraId="3F61050E" w14:textId="0A7E1420" w:rsidR="00B45740" w:rsidRPr="00216965" w:rsidRDefault="00B45740" w:rsidP="008A33DA">
      <w:pPr>
        <w:spacing w:line="360" w:lineRule="auto"/>
        <w:jc w:val="both"/>
      </w:pPr>
      <w:r w:rsidRPr="00216965">
        <w:t xml:space="preserve">As illustrated in </w:t>
      </w:r>
      <w:r w:rsidRPr="00216965">
        <w:rPr>
          <w:b/>
          <w:bCs/>
        </w:rPr>
        <w:fldChar w:fldCharType="begin"/>
      </w:r>
      <w:r w:rsidRPr="00216965">
        <w:rPr>
          <w:b/>
          <w:bCs/>
        </w:rPr>
        <w:instrText xml:space="preserve"> REF _Ref84188155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12</w:t>
      </w:r>
      <w:r w:rsidRPr="00216965">
        <w:rPr>
          <w:b/>
          <w:bCs/>
        </w:rPr>
        <w:fldChar w:fldCharType="end"/>
      </w:r>
      <w:r w:rsidRPr="00216965">
        <w:rPr>
          <w:b/>
        </w:rPr>
        <w:t>B,</w:t>
      </w:r>
      <w:r w:rsidRPr="00216965">
        <w:t xml:space="preserve"> compost was also the main driver of changes in the relative abundance of fungal ASVs. Of 52 fungal ASVs that increased with the addition of the organic amendments relative to the untreated soil, 49 fungal ASVs increased due to the addition of compost (S+C). From these, 47 fungal ASVs were shared with S+C+B and only one with S+B. The addition of biochar alone (S+B) did not significantly increase any ASV relative to the untreated soil. The combination of biochar and compost (S+C+B) increased 2 fungal ASVs relative to the untreated soil. The addition of organic amendments caused a decrease of 34 fungal ASVs relative to the untreated soil. From these, 28 ASVs decreased after the addition of compost (S+C), from which 2 were shared with S+B and 25 with S+C+B.</w:t>
      </w:r>
    </w:p>
    <w:p w14:paraId="080BB039" w14:textId="77777777" w:rsidR="00B45740" w:rsidRPr="00216965" w:rsidRDefault="00B45740" w:rsidP="008A33DA">
      <w:pPr>
        <w:spacing w:line="360" w:lineRule="auto"/>
        <w:jc w:val="both"/>
      </w:pPr>
    </w:p>
    <w:p w14:paraId="43742EC8" w14:textId="77777777" w:rsidR="00B45740" w:rsidRPr="00216965" w:rsidRDefault="00B45740" w:rsidP="008A33DA">
      <w:pPr>
        <w:jc w:val="center"/>
        <w:rPr>
          <w:b/>
          <w:bCs/>
        </w:rPr>
      </w:pPr>
      <w:r w:rsidRPr="00216965">
        <w:rPr>
          <w:b/>
          <w:bCs/>
          <w:noProof/>
        </w:rPr>
        <w:lastRenderedPageBreak/>
        <w:drawing>
          <wp:inline distT="0" distB="0" distL="0" distR="0" wp14:anchorId="6C20EA87" wp14:editId="45D220B3">
            <wp:extent cx="3776271" cy="4573696"/>
            <wp:effectExtent l="0" t="0" r="0" b="0"/>
            <wp:docPr id="36" name="image14.png" descr="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Circle&#10;&#10;Description automatically generated"/>
                    <pic:cNvPicPr preferRelativeResize="0"/>
                  </pic:nvPicPr>
                  <pic:blipFill>
                    <a:blip r:embed="rId67"/>
                    <a:srcRect/>
                    <a:stretch>
                      <a:fillRect/>
                    </a:stretch>
                  </pic:blipFill>
                  <pic:spPr>
                    <a:xfrm>
                      <a:off x="0" y="0"/>
                      <a:ext cx="3776271" cy="4573696"/>
                    </a:xfrm>
                    <a:prstGeom prst="rect">
                      <a:avLst/>
                    </a:prstGeom>
                    <a:ln/>
                  </pic:spPr>
                </pic:pic>
              </a:graphicData>
            </a:graphic>
          </wp:inline>
        </w:drawing>
      </w:r>
    </w:p>
    <w:p w14:paraId="5B3391B6" w14:textId="329B49DE" w:rsidR="00B45740" w:rsidRPr="00216965" w:rsidRDefault="00B45740" w:rsidP="008A33DA">
      <w:pPr>
        <w:pBdr>
          <w:top w:val="nil"/>
          <w:left w:val="nil"/>
          <w:bottom w:val="nil"/>
          <w:right w:val="nil"/>
          <w:between w:val="nil"/>
        </w:pBdr>
        <w:spacing w:after="200" w:line="240" w:lineRule="auto"/>
        <w:jc w:val="both"/>
        <w:rPr>
          <w:b/>
          <w:color w:val="000000"/>
        </w:rPr>
      </w:pPr>
      <w:bookmarkStart w:id="384" w:name="_Ref84188155"/>
      <w:bookmarkStart w:id="385" w:name="_Toc86439393"/>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12</w:t>
      </w:r>
      <w:r w:rsidR="00BF3EBE" w:rsidRPr="00216965">
        <w:rPr>
          <w:b/>
          <w:bCs/>
        </w:rPr>
        <w:fldChar w:fldCharType="end"/>
      </w:r>
      <w:bookmarkEnd w:id="384"/>
      <w:r w:rsidRPr="00216965">
        <w:t xml:space="preserve"> </w:t>
      </w:r>
      <w:r w:rsidRPr="00216965">
        <w:rPr>
          <w:b/>
          <w:bCs/>
          <w:color w:val="000000"/>
        </w:rPr>
        <w:t xml:space="preserve">Venn diagram displaying the number of microbial </w:t>
      </w:r>
      <w:r w:rsidRPr="00216965">
        <w:rPr>
          <w:b/>
          <w:bCs/>
        </w:rPr>
        <w:t>ASV</w:t>
      </w:r>
      <w:r w:rsidRPr="00216965">
        <w:rPr>
          <w:b/>
          <w:bCs/>
          <w:color w:val="000000"/>
        </w:rPr>
        <w:t>s shared between treatments containing organic amendments that increased or decreased relative to the untreated soil after the addition of the amendments</w:t>
      </w:r>
      <w:r w:rsidRPr="00216965">
        <w:rPr>
          <w:color w:val="000000"/>
        </w:rPr>
        <w:t>. A) Bacterial samples and B) Fungal samples. Treatments: control soil (S), soil with biochar (S+B), soil with compost (S+C) and soil with compost and biochar (S+C+B). For the analysis the unplanted samples of all treatments were used,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4.</w:t>
      </w:r>
      <w:bookmarkEnd w:id="385"/>
    </w:p>
    <w:p w14:paraId="6469D1E6" w14:textId="1658F55A" w:rsidR="00B45740" w:rsidRPr="00216965" w:rsidRDefault="00B45740" w:rsidP="008A33DA">
      <w:pPr>
        <w:spacing w:line="360" w:lineRule="auto"/>
        <w:jc w:val="both"/>
      </w:pPr>
      <w:r w:rsidRPr="00216965">
        <w:t xml:space="preserve">Analyses at higher taxonomic levels were conducted to identify the groups of microorganisms that increased and decreased with the addition of the organic amendments. As illustrated in </w:t>
      </w:r>
      <w:r w:rsidRPr="00216965">
        <w:rPr>
          <w:b/>
          <w:bCs/>
        </w:rPr>
        <w:fldChar w:fldCharType="begin"/>
      </w:r>
      <w:r w:rsidRPr="00216965">
        <w:rPr>
          <w:b/>
          <w:bCs/>
        </w:rPr>
        <w:instrText xml:space="preserve"> REF _Ref83816583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13</w:t>
      </w:r>
      <w:r w:rsidRPr="00216965">
        <w:rPr>
          <w:b/>
          <w:bCs/>
        </w:rPr>
        <w:fldChar w:fldCharType="end"/>
      </w:r>
      <w:r w:rsidRPr="00216965">
        <w:t>, the addition of biochar significantly increased bacterial ASVs assigned to the Class Alphaproteobacteria, Gammaproteobacteria, Thermoleophilia and Actinobacteria, but decreased ASVs including the Classes Acidobacteriae and Alphaproteobacteria. The addition of compost (S+C) caused substantial changes in ASVs of Class Proteobacteria (~50% of S+C relative abundance), Actinobacteria, Acidobacteria, Firmicutes and Myxococcota (</w:t>
      </w:r>
      <w:r w:rsidRPr="00216965">
        <w:rPr>
          <w:b/>
          <w:bCs/>
          <w:lang w:val="en-US"/>
        </w:rPr>
        <w:fldChar w:fldCharType="begin"/>
      </w:r>
      <w:r w:rsidRPr="00216965">
        <w:rPr>
          <w:b/>
          <w:bCs/>
          <w:lang w:val="en-US"/>
        </w:rPr>
        <w:instrText xml:space="preserve"> REF _Ref83833131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14</w:t>
      </w:r>
      <w:r w:rsidRPr="00216965">
        <w:rPr>
          <w:b/>
          <w:bCs/>
          <w:lang w:val="en-US"/>
        </w:rPr>
        <w:fldChar w:fldCharType="end"/>
      </w:r>
      <w:r w:rsidRPr="00216965">
        <w:rPr>
          <w:b/>
        </w:rPr>
        <w:t>)</w:t>
      </w:r>
      <w:r w:rsidRPr="00216965">
        <w:t>. A further analysis at Family level was conducted (</w:t>
      </w:r>
      <w:r w:rsidR="003A7BA9" w:rsidRPr="00216965">
        <w:rPr>
          <w:b/>
          <w:bCs/>
        </w:rPr>
        <w:fldChar w:fldCharType="begin"/>
      </w:r>
      <w:r w:rsidR="003A7BA9" w:rsidRPr="00216965">
        <w:rPr>
          <w:b/>
          <w:bCs/>
        </w:rPr>
        <w:instrText xml:space="preserve"> REF _Ref86438800 \h  \* MERGEFORMAT </w:instrText>
      </w:r>
      <w:r w:rsidR="003A7BA9" w:rsidRPr="00216965">
        <w:rPr>
          <w:b/>
          <w:bCs/>
        </w:rPr>
      </w:r>
      <w:r w:rsidR="003A7BA9" w:rsidRPr="00216965">
        <w:rPr>
          <w:b/>
          <w:bCs/>
        </w:rPr>
        <w:fldChar w:fldCharType="separate"/>
      </w:r>
      <w:r w:rsidR="006E23EA" w:rsidRPr="00216965">
        <w:rPr>
          <w:b/>
          <w:bCs/>
        </w:rPr>
        <w:t>Appendix 8</w:t>
      </w:r>
      <w:r w:rsidR="003A7BA9" w:rsidRPr="00216965">
        <w:rPr>
          <w:b/>
          <w:bCs/>
        </w:rPr>
        <w:fldChar w:fldCharType="end"/>
      </w:r>
      <w:r w:rsidR="003A7BA9" w:rsidRPr="00216965">
        <w:rPr>
          <w:b/>
          <w:bCs/>
        </w:rPr>
        <w:t>-</w:t>
      </w:r>
      <w:r w:rsidR="003A7BA9" w:rsidRPr="00216965">
        <w:rPr>
          <w:b/>
          <w:bCs/>
        </w:rPr>
        <w:fldChar w:fldCharType="begin"/>
      </w:r>
      <w:r w:rsidR="003A7BA9" w:rsidRPr="00216965">
        <w:rPr>
          <w:b/>
          <w:bCs/>
        </w:rPr>
        <w:instrText xml:space="preserve"> REF _Ref86438806 \h  \* MERGEFORMAT </w:instrText>
      </w:r>
      <w:r w:rsidR="003A7BA9" w:rsidRPr="00216965">
        <w:rPr>
          <w:b/>
          <w:bCs/>
        </w:rPr>
      </w:r>
      <w:r w:rsidR="003A7BA9" w:rsidRPr="00216965">
        <w:rPr>
          <w:b/>
          <w:bCs/>
        </w:rPr>
        <w:fldChar w:fldCharType="separate"/>
      </w:r>
      <w:r w:rsidR="006E23EA" w:rsidRPr="00216965">
        <w:rPr>
          <w:b/>
          <w:bCs/>
          <w:lang w:val="en-US"/>
        </w:rPr>
        <w:t>Appendix</w:t>
      </w:r>
      <w:r w:rsidR="006E23EA" w:rsidRPr="00216965">
        <w:rPr>
          <w:lang w:val="en-US"/>
        </w:rPr>
        <w:t xml:space="preserve"> </w:t>
      </w:r>
      <w:r w:rsidR="006E23EA" w:rsidRPr="00216965">
        <w:rPr>
          <w:b/>
          <w:bCs/>
          <w:lang w:val="en-US"/>
        </w:rPr>
        <w:t>13</w:t>
      </w:r>
      <w:r w:rsidR="003A7BA9" w:rsidRPr="00216965">
        <w:rPr>
          <w:b/>
          <w:bCs/>
        </w:rPr>
        <w:fldChar w:fldCharType="end"/>
      </w:r>
      <w:r w:rsidRPr="00216965">
        <w:t xml:space="preserve">). </w:t>
      </w:r>
    </w:p>
    <w:p w14:paraId="4AA65C24" w14:textId="77777777" w:rsidR="00B45740" w:rsidRPr="00216965" w:rsidRDefault="00B45740" w:rsidP="008A33DA">
      <w:pPr>
        <w:pBdr>
          <w:top w:val="nil"/>
          <w:left w:val="nil"/>
          <w:bottom w:val="nil"/>
          <w:right w:val="nil"/>
          <w:between w:val="nil"/>
        </w:pBdr>
        <w:spacing w:after="200" w:line="240" w:lineRule="auto"/>
        <w:jc w:val="center"/>
        <w:rPr>
          <w:b/>
          <w:color w:val="000000"/>
        </w:rPr>
      </w:pPr>
      <w:r w:rsidRPr="00216965">
        <w:rPr>
          <w:b/>
          <w:noProof/>
          <w:color w:val="000000"/>
        </w:rPr>
        <w:lastRenderedPageBreak/>
        <w:drawing>
          <wp:inline distT="0" distB="0" distL="0" distR="0" wp14:anchorId="293D3CFC" wp14:editId="74113C93">
            <wp:extent cx="5280660" cy="5532120"/>
            <wp:effectExtent l="0" t="0" r="0" b="0"/>
            <wp:docPr id="38" name="image15.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A screenshot of a computer&#10;&#10;Description automatically generated with medium confidence"/>
                    <pic:cNvPicPr preferRelativeResize="0"/>
                  </pic:nvPicPr>
                  <pic:blipFill>
                    <a:blip r:embed="rId68"/>
                    <a:srcRect/>
                    <a:stretch>
                      <a:fillRect/>
                    </a:stretch>
                  </pic:blipFill>
                  <pic:spPr>
                    <a:xfrm>
                      <a:off x="0" y="0"/>
                      <a:ext cx="5281006" cy="5532482"/>
                    </a:xfrm>
                    <a:prstGeom prst="rect">
                      <a:avLst/>
                    </a:prstGeom>
                    <a:ln/>
                  </pic:spPr>
                </pic:pic>
              </a:graphicData>
            </a:graphic>
          </wp:inline>
        </w:drawing>
      </w:r>
    </w:p>
    <w:p w14:paraId="6B29A705" w14:textId="29795253" w:rsidR="00B45740" w:rsidRPr="00216965" w:rsidRDefault="00B45740" w:rsidP="008A33DA">
      <w:pPr>
        <w:pBdr>
          <w:top w:val="nil"/>
          <w:left w:val="nil"/>
          <w:bottom w:val="nil"/>
          <w:right w:val="nil"/>
          <w:between w:val="nil"/>
        </w:pBdr>
        <w:spacing w:after="200" w:line="240" w:lineRule="auto"/>
        <w:jc w:val="both"/>
        <w:rPr>
          <w:color w:val="000000"/>
        </w:rPr>
      </w:pPr>
      <w:bookmarkStart w:id="386" w:name="_Ref83816583"/>
      <w:bookmarkStart w:id="387" w:name="_Toc86439394"/>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13</w:t>
      </w:r>
      <w:r w:rsidR="00BF3EBE" w:rsidRPr="00216965">
        <w:rPr>
          <w:b/>
          <w:bCs/>
        </w:rPr>
        <w:fldChar w:fldCharType="end"/>
      </w:r>
      <w:bookmarkEnd w:id="386"/>
      <w:r w:rsidRPr="00216965">
        <w:rPr>
          <w:b/>
          <w:bCs/>
        </w:rPr>
        <w:t xml:space="preserve"> </w:t>
      </w:r>
      <w:r w:rsidRPr="00216965">
        <w:rPr>
          <w:b/>
          <w:bCs/>
          <w:color w:val="000000"/>
        </w:rPr>
        <w:t xml:space="preserve">Relative abundance of bacterial </w:t>
      </w:r>
      <w:r w:rsidRPr="00216965">
        <w:rPr>
          <w:b/>
          <w:bCs/>
        </w:rPr>
        <w:t>ASV</w:t>
      </w:r>
      <w:r w:rsidRPr="00216965">
        <w:rPr>
          <w:b/>
          <w:bCs/>
          <w:color w:val="000000"/>
        </w:rPr>
        <w:t xml:space="preserve">s grouped by Phylum that changed with the addition of biochar. </w:t>
      </w:r>
      <w:r w:rsidRPr="00216965">
        <w:rPr>
          <w:color w:val="000000"/>
        </w:rPr>
        <w:t xml:space="preserve">Bars above zero (red line) indicate an increase while bars below zero indicate a decrease in relative abundance (%) relative to the control. Treatments: Soil unplanted (S.U), Soil planted (S.P), Soil and Biochar unplanted (S+B.U) and Soil and Biochar planted (S+B.P). Different colors within the bars represent the relative abundance of individual </w:t>
      </w:r>
      <w:r w:rsidRPr="00216965">
        <w:t>ASV</w:t>
      </w:r>
      <w:r w:rsidRPr="00216965">
        <w:rPr>
          <w:color w:val="000000"/>
        </w:rPr>
        <w:t xml:space="preserve">S by Class. Each </w:t>
      </w:r>
      <w:r w:rsidRPr="00216965">
        <w:t>ASV</w:t>
      </w:r>
      <w:r w:rsidRPr="00216965">
        <w:rPr>
          <w:color w:val="000000"/>
        </w:rPr>
        <w:t xml:space="preserve"> is separated by black lines. Results shown </w:t>
      </w:r>
      <w:r w:rsidRPr="00216965">
        <w:t xml:space="preserve">are </w:t>
      </w:r>
      <w:r w:rsidRPr="00216965">
        <w:rPr>
          <w:color w:val="000000"/>
        </w:rPr>
        <w:t>the mean of 4 individual replicates.</w:t>
      </w:r>
      <w:bookmarkEnd w:id="387"/>
    </w:p>
    <w:p w14:paraId="46E44844" w14:textId="3EB52A60" w:rsidR="007906FC" w:rsidRPr="00216965" w:rsidRDefault="007906FC" w:rsidP="008A33DA">
      <w:pPr>
        <w:pBdr>
          <w:top w:val="nil"/>
          <w:left w:val="nil"/>
          <w:bottom w:val="nil"/>
          <w:right w:val="nil"/>
          <w:between w:val="nil"/>
        </w:pBdr>
        <w:spacing w:after="200" w:line="360" w:lineRule="auto"/>
        <w:jc w:val="both"/>
        <w:rPr>
          <w:color w:val="000000"/>
        </w:rPr>
      </w:pPr>
      <w:r w:rsidRPr="00216965">
        <w:t xml:space="preserve">The results indicated that bacterial ASVs that increased with the addition of compost belonged to the Order Alphaproteobacteria (Family Rhizobiales Incertae, Hyphomicrobiaceae, Rhizobiaceae), Gammaproteopacteria (Family Nitrosomonadaceae, Steroidobacteraceae), Bacilli, Actinobacteria, Acidimicrobiia (Family Microtrichales sp) whereas decreased ASVs assigned to Order Acidobacteriae, Actinobacteria (Family Acidothermaceae, Mycobacteriaceae), Acidimicrobiia (Family IMCC26256 sp), </w:t>
      </w:r>
      <w:r w:rsidRPr="00216965">
        <w:lastRenderedPageBreak/>
        <w:t>Thermoleophilia, Alphaproteobacteria (Genus Xanthobacteraceae sp, Sphingomonas, Elsterales sp) among other less abundant groups. When comparing S+B and S+C+B, only 3 ASV of the total 2767 changed, accounting for less than 0.5 % of the relative abundance, hence no further analysis was conducted.</w:t>
      </w:r>
    </w:p>
    <w:p w14:paraId="37F951C5" w14:textId="0B03A4F8" w:rsidR="00B45740" w:rsidRPr="00216965" w:rsidRDefault="00B45740" w:rsidP="008A33DA">
      <w:pPr>
        <w:spacing w:line="360" w:lineRule="auto"/>
        <w:jc w:val="both"/>
      </w:pPr>
      <w:r w:rsidRPr="00216965">
        <w:t xml:space="preserve">As illustrated in </w:t>
      </w:r>
      <w:r w:rsidRPr="00216965">
        <w:rPr>
          <w:b/>
          <w:bCs/>
        </w:rPr>
        <w:fldChar w:fldCharType="begin"/>
      </w:r>
      <w:r w:rsidRPr="00216965">
        <w:rPr>
          <w:b/>
          <w:bCs/>
        </w:rPr>
        <w:instrText xml:space="preserve"> REF _Ref83936815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15</w:t>
      </w:r>
      <w:r w:rsidRPr="00216965">
        <w:rPr>
          <w:b/>
          <w:bCs/>
        </w:rPr>
        <w:fldChar w:fldCharType="end"/>
      </w:r>
      <w:r w:rsidRPr="00216965">
        <w:rPr>
          <w:bCs/>
        </w:rPr>
        <w:t>,</w:t>
      </w:r>
      <w:r w:rsidRPr="00216965">
        <w:rPr>
          <w:b/>
        </w:rPr>
        <w:t xml:space="preserve"> </w:t>
      </w:r>
      <w:r w:rsidRPr="00216965">
        <w:t xml:space="preserve">fungal ASVs from the Class Agaricomycetes, Pezizomycetes, Lobulomycetes that were not detected in the control soil, appeared with the addition of compost. Conversely, ASVs from the Class Leotiomycetes that were present in the control soil could not be detected after the addition of compost. Comparing S+C and S+C+B treatments, only one ASV changed out of 122 taxa identified. An ASV in the Class Orbiliomycetes was absent in the S+C treatment and appeared in S+C+B treatment. </w:t>
      </w:r>
    </w:p>
    <w:p w14:paraId="72C2BC38" w14:textId="77777777" w:rsidR="00B45740" w:rsidRPr="00216965" w:rsidRDefault="00B45740" w:rsidP="008A33DA">
      <w:r w:rsidRPr="00216965">
        <w:rPr>
          <w:noProof/>
        </w:rPr>
        <w:lastRenderedPageBreak/>
        <w:drawing>
          <wp:inline distT="0" distB="0" distL="0" distR="0" wp14:anchorId="56081C5B" wp14:editId="0B6DA1D0">
            <wp:extent cx="5151120" cy="7170420"/>
            <wp:effectExtent l="0" t="0" r="0" b="0"/>
            <wp:docPr id="60" name="image4.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10;&#10;Description automatically generated with medium confidence"/>
                    <pic:cNvPicPr preferRelativeResize="0"/>
                  </pic:nvPicPr>
                  <pic:blipFill>
                    <a:blip r:embed="rId69"/>
                    <a:srcRect/>
                    <a:stretch>
                      <a:fillRect/>
                    </a:stretch>
                  </pic:blipFill>
                  <pic:spPr>
                    <a:xfrm>
                      <a:off x="0" y="0"/>
                      <a:ext cx="5151473" cy="7170912"/>
                    </a:xfrm>
                    <a:prstGeom prst="rect">
                      <a:avLst/>
                    </a:prstGeom>
                    <a:ln/>
                  </pic:spPr>
                </pic:pic>
              </a:graphicData>
            </a:graphic>
          </wp:inline>
        </w:drawing>
      </w:r>
    </w:p>
    <w:p w14:paraId="33BB9F63" w14:textId="1DD4133D" w:rsidR="00B45740" w:rsidRPr="00216965" w:rsidRDefault="00B45740" w:rsidP="008A33DA">
      <w:pPr>
        <w:pBdr>
          <w:top w:val="nil"/>
          <w:left w:val="nil"/>
          <w:bottom w:val="nil"/>
          <w:right w:val="nil"/>
          <w:between w:val="nil"/>
        </w:pBdr>
        <w:spacing w:after="200" w:line="240" w:lineRule="auto"/>
        <w:jc w:val="both"/>
        <w:rPr>
          <w:color w:val="000000"/>
        </w:rPr>
      </w:pPr>
      <w:bookmarkStart w:id="388" w:name="_Ref83833131"/>
      <w:bookmarkStart w:id="389" w:name="_Toc86439395"/>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14</w:t>
      </w:r>
      <w:r w:rsidR="00BF3EBE" w:rsidRPr="00216965">
        <w:rPr>
          <w:b/>
          <w:bCs/>
        </w:rPr>
        <w:fldChar w:fldCharType="end"/>
      </w:r>
      <w:bookmarkEnd w:id="388"/>
      <w:r w:rsidRPr="00216965">
        <w:t xml:space="preserve"> </w:t>
      </w:r>
      <w:r w:rsidRPr="00216965">
        <w:rPr>
          <w:b/>
          <w:bCs/>
          <w:color w:val="000000"/>
        </w:rPr>
        <w:t xml:space="preserve">Relative abundance of bacterial </w:t>
      </w:r>
      <w:r w:rsidRPr="00216965">
        <w:rPr>
          <w:b/>
          <w:bCs/>
        </w:rPr>
        <w:t>ASV</w:t>
      </w:r>
      <w:r w:rsidRPr="00216965">
        <w:rPr>
          <w:b/>
          <w:bCs/>
          <w:color w:val="000000"/>
        </w:rPr>
        <w:t>s grouped by Phylum that changed with the addition of Compost</w:t>
      </w:r>
      <w:r w:rsidRPr="00216965">
        <w:rPr>
          <w:color w:val="000000"/>
        </w:rPr>
        <w:t xml:space="preserve">. Bars above zero (red line) indicate an increase while bars below zero indicate a decrease in relative abundance (%) in relation to the control treatment. Treatments Soil unplanted (S.U), Soil planted (S.P), Soil and compost unplanted (S+C.U) and Soil and Compost planted (S+C.P). Different colours within the bars represent the relative abundance of individual </w:t>
      </w:r>
      <w:r w:rsidRPr="00216965">
        <w:t>ASV</w:t>
      </w:r>
      <w:r w:rsidRPr="00216965">
        <w:rPr>
          <w:color w:val="000000"/>
        </w:rPr>
        <w:t xml:space="preserve">S by Class. Each </w:t>
      </w:r>
      <w:r w:rsidRPr="00216965">
        <w:t>ASV</w:t>
      </w:r>
      <w:r w:rsidRPr="00216965">
        <w:rPr>
          <w:color w:val="000000"/>
        </w:rPr>
        <w:t xml:space="preserve"> is separated by black lines. Results are shown as the mean of 4 individual replicates.</w:t>
      </w:r>
      <w:bookmarkEnd w:id="389"/>
      <w:r w:rsidRPr="00216965">
        <w:rPr>
          <w:color w:val="000000"/>
        </w:rPr>
        <w:t xml:space="preserve"> </w:t>
      </w:r>
    </w:p>
    <w:p w14:paraId="3FDE7A4C" w14:textId="77777777" w:rsidR="00B45740" w:rsidRPr="00216965" w:rsidRDefault="00B45740" w:rsidP="008A33DA">
      <w:r w:rsidRPr="00216965">
        <w:rPr>
          <w:noProof/>
        </w:rPr>
        <w:lastRenderedPageBreak/>
        <w:drawing>
          <wp:inline distT="0" distB="0" distL="0" distR="0" wp14:anchorId="52DB07B6" wp14:editId="37C3BE5D">
            <wp:extent cx="5731510" cy="2680335"/>
            <wp:effectExtent l="0" t="0" r="0" b="0"/>
            <wp:docPr id="61" name="image5.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A screenshot of a computer&#10;&#10;Description automatically generated with medium confidence"/>
                    <pic:cNvPicPr preferRelativeResize="0"/>
                  </pic:nvPicPr>
                  <pic:blipFill>
                    <a:blip r:embed="rId70"/>
                    <a:srcRect/>
                    <a:stretch>
                      <a:fillRect/>
                    </a:stretch>
                  </pic:blipFill>
                  <pic:spPr>
                    <a:xfrm>
                      <a:off x="0" y="0"/>
                      <a:ext cx="5731510" cy="2680335"/>
                    </a:xfrm>
                    <a:prstGeom prst="rect">
                      <a:avLst/>
                    </a:prstGeom>
                    <a:ln/>
                  </pic:spPr>
                </pic:pic>
              </a:graphicData>
            </a:graphic>
          </wp:inline>
        </w:drawing>
      </w:r>
    </w:p>
    <w:p w14:paraId="55068D93" w14:textId="1AA7BB11" w:rsidR="00B45740" w:rsidRPr="00216965" w:rsidRDefault="00B45740" w:rsidP="008A33DA">
      <w:pPr>
        <w:pBdr>
          <w:top w:val="nil"/>
          <w:left w:val="nil"/>
          <w:bottom w:val="nil"/>
          <w:right w:val="nil"/>
          <w:between w:val="nil"/>
        </w:pBdr>
        <w:spacing w:after="200" w:line="240" w:lineRule="auto"/>
        <w:jc w:val="both"/>
        <w:rPr>
          <w:color w:val="000000"/>
        </w:rPr>
      </w:pPr>
      <w:bookmarkStart w:id="390" w:name="_Ref83936815"/>
      <w:bookmarkStart w:id="391" w:name="_Toc86439396"/>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15</w:t>
      </w:r>
      <w:r w:rsidR="00BF3EBE" w:rsidRPr="00216965">
        <w:rPr>
          <w:b/>
          <w:bCs/>
        </w:rPr>
        <w:fldChar w:fldCharType="end"/>
      </w:r>
      <w:bookmarkEnd w:id="390"/>
      <w:r w:rsidRPr="00216965">
        <w:rPr>
          <w:noProof/>
        </w:rPr>
        <w:t xml:space="preserve"> </w:t>
      </w:r>
      <w:r w:rsidRPr="00216965">
        <w:rPr>
          <w:b/>
          <w:bCs/>
          <w:color w:val="000000"/>
        </w:rPr>
        <w:t xml:space="preserve">Relative abundance of fungal </w:t>
      </w:r>
      <w:r w:rsidRPr="00216965">
        <w:rPr>
          <w:b/>
          <w:bCs/>
        </w:rPr>
        <w:t>ASV</w:t>
      </w:r>
      <w:r w:rsidRPr="00216965">
        <w:rPr>
          <w:b/>
          <w:bCs/>
          <w:color w:val="000000"/>
        </w:rPr>
        <w:t>s grouped by Phylum that changed with the addition of compost</w:t>
      </w:r>
      <w:r w:rsidRPr="00216965">
        <w:rPr>
          <w:color w:val="000000"/>
        </w:rPr>
        <w:t xml:space="preserve">. Bars above zero (red line) indicate an increase while bars below zero indicate a decrease in relative abundance (%) in relation to the control treatment. Treatments: Soil unplanted (S.U), Soil planted (S.P), Soil and compost unplanted (S+C.U) and Soil and Compost planted (S+C.P). Different colours within the bars represent the relative abundance of individual </w:t>
      </w:r>
      <w:r w:rsidRPr="00216965">
        <w:t>ASV</w:t>
      </w:r>
      <w:r w:rsidRPr="00216965">
        <w:rPr>
          <w:color w:val="000000"/>
        </w:rPr>
        <w:t xml:space="preserve">S by Class. Each </w:t>
      </w:r>
      <w:r w:rsidRPr="00216965">
        <w:t>ASV</w:t>
      </w:r>
      <w:r w:rsidRPr="00216965">
        <w:rPr>
          <w:color w:val="000000"/>
        </w:rPr>
        <w:t xml:space="preserve"> is separated by black lines. Results are shown as the mean of 4 individual replicates.</w:t>
      </w:r>
      <w:bookmarkEnd w:id="391"/>
      <w:r w:rsidRPr="00216965">
        <w:rPr>
          <w:color w:val="000000"/>
        </w:rPr>
        <w:t xml:space="preserve"> </w:t>
      </w:r>
    </w:p>
    <w:p w14:paraId="777223AE" w14:textId="11240258" w:rsidR="00B45740" w:rsidRPr="00216965" w:rsidRDefault="00B45740" w:rsidP="008A33DA">
      <w:pPr>
        <w:spacing w:line="360" w:lineRule="auto"/>
        <w:jc w:val="both"/>
      </w:pPr>
      <w:r w:rsidRPr="00216965">
        <w:t xml:space="preserve">The canonical correlation analysis (CCA) presented in </w:t>
      </w:r>
      <w:r w:rsidRPr="00216965">
        <w:rPr>
          <w:b/>
          <w:bCs/>
        </w:rPr>
        <w:fldChar w:fldCharType="begin"/>
      </w:r>
      <w:r w:rsidRPr="00216965">
        <w:rPr>
          <w:b/>
          <w:bCs/>
        </w:rPr>
        <w:instrText xml:space="preserve"> REF _Ref84190836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16</w:t>
      </w:r>
      <w:r w:rsidRPr="00216965">
        <w:rPr>
          <w:b/>
          <w:bCs/>
        </w:rPr>
        <w:fldChar w:fldCharType="end"/>
      </w:r>
      <w:r w:rsidRPr="00216965">
        <w:rPr>
          <w:b/>
          <w:bCs/>
        </w:rPr>
        <w:t xml:space="preserve"> </w:t>
      </w:r>
      <w:r w:rsidRPr="00216965">
        <w:t xml:space="preserve">aligned the PCA of microbial groups presented in </w:t>
      </w:r>
      <w:r w:rsidRPr="00216965">
        <w:rPr>
          <w:b/>
          <w:bCs/>
        </w:rPr>
        <w:fldChar w:fldCharType="begin"/>
      </w:r>
      <w:r w:rsidRPr="00216965">
        <w:rPr>
          <w:b/>
          <w:bCs/>
        </w:rPr>
        <w:instrText xml:space="preserve"> REF _Ref84180685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11</w:t>
      </w:r>
      <w:r w:rsidRPr="00216965">
        <w:rPr>
          <w:b/>
          <w:bCs/>
        </w:rPr>
        <w:fldChar w:fldCharType="end"/>
      </w:r>
      <w:r w:rsidRPr="00216965">
        <w:rPr>
          <w:b/>
          <w:bCs/>
        </w:rPr>
        <w:t xml:space="preserve"> </w:t>
      </w:r>
      <w:r w:rsidRPr="00216965">
        <w:t>with a PCA on physicochemical parameters. In both the bacterial and fungal analysis the separation of treatments containing compost S+C and S+C+B from S and S+B was associated with pH, OM, phosphate and bioavailable base cations Na, K, Ca and Mg. Conversely, S and S+B were related to the bioavailable concentration (acid-soluble fraction) of Pb, Zn, Cd and Mn.</w:t>
      </w:r>
    </w:p>
    <w:p w14:paraId="70CFBDE6" w14:textId="77777777" w:rsidR="00B45740" w:rsidRPr="00216965" w:rsidRDefault="00B45740" w:rsidP="008A33DA"/>
    <w:p w14:paraId="6CB50BC6" w14:textId="77777777" w:rsidR="00B45740" w:rsidRPr="00216965" w:rsidRDefault="00B45740" w:rsidP="008A33DA"/>
    <w:p w14:paraId="7891A86E" w14:textId="77777777" w:rsidR="00B45740" w:rsidRPr="00216965" w:rsidRDefault="00B45740" w:rsidP="008A33DA">
      <w:pPr>
        <w:jc w:val="center"/>
      </w:pPr>
      <w:r w:rsidRPr="00216965">
        <w:rPr>
          <w:noProof/>
        </w:rPr>
        <w:lastRenderedPageBreak/>
        <w:drawing>
          <wp:inline distT="0" distB="0" distL="0" distR="0" wp14:anchorId="6B6AC92E" wp14:editId="70FC14F5">
            <wp:extent cx="4055110" cy="4919134"/>
            <wp:effectExtent l="0" t="0" r="2540" b="0"/>
            <wp:docPr id="62" name="image20.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Diagram&#10;&#10;Description automatically generated"/>
                    <pic:cNvPicPr preferRelativeResize="0"/>
                  </pic:nvPicPr>
                  <pic:blipFill>
                    <a:blip r:embed="rId71"/>
                    <a:srcRect/>
                    <a:stretch>
                      <a:fillRect/>
                    </a:stretch>
                  </pic:blipFill>
                  <pic:spPr>
                    <a:xfrm>
                      <a:off x="0" y="0"/>
                      <a:ext cx="4057141" cy="4921597"/>
                    </a:xfrm>
                    <a:prstGeom prst="rect">
                      <a:avLst/>
                    </a:prstGeom>
                    <a:ln/>
                  </pic:spPr>
                </pic:pic>
              </a:graphicData>
            </a:graphic>
          </wp:inline>
        </w:drawing>
      </w:r>
    </w:p>
    <w:p w14:paraId="62060073" w14:textId="10E669AD" w:rsidR="00B45740" w:rsidRPr="00216965" w:rsidRDefault="00B45740" w:rsidP="008A33DA">
      <w:pPr>
        <w:pBdr>
          <w:top w:val="nil"/>
          <w:left w:val="nil"/>
          <w:bottom w:val="nil"/>
          <w:right w:val="nil"/>
          <w:between w:val="nil"/>
        </w:pBdr>
        <w:spacing w:after="200" w:line="240" w:lineRule="auto"/>
        <w:jc w:val="both"/>
        <w:rPr>
          <w:color w:val="000000"/>
        </w:rPr>
      </w:pPr>
      <w:bookmarkStart w:id="392" w:name="_Ref84190836"/>
      <w:bookmarkStart w:id="393" w:name="_Toc86439397"/>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16</w:t>
      </w:r>
      <w:r w:rsidR="00BF3EBE" w:rsidRPr="00216965">
        <w:rPr>
          <w:b/>
          <w:bCs/>
        </w:rPr>
        <w:fldChar w:fldCharType="end"/>
      </w:r>
      <w:bookmarkEnd w:id="392"/>
      <w:r w:rsidRPr="00216965">
        <w:rPr>
          <w:noProof/>
        </w:rPr>
        <w:t xml:space="preserve"> </w:t>
      </w:r>
      <w:r w:rsidRPr="00216965">
        <w:rPr>
          <w:b/>
          <w:bCs/>
          <w:color w:val="000000"/>
        </w:rPr>
        <w:t xml:space="preserve">Canonical correspondence analysis of bacterial and fungal </w:t>
      </w:r>
      <w:r w:rsidRPr="00216965">
        <w:rPr>
          <w:b/>
          <w:bCs/>
        </w:rPr>
        <w:t>ASV</w:t>
      </w:r>
      <w:r w:rsidRPr="00216965">
        <w:rPr>
          <w:b/>
          <w:bCs/>
          <w:color w:val="000000"/>
        </w:rPr>
        <w:t>s abundance and relevant soil physico-chemical properties</w:t>
      </w:r>
      <w:r w:rsidRPr="00216965">
        <w:rPr>
          <w:color w:val="000000"/>
        </w:rPr>
        <w:t>. Treatments: control soil (S), soil with biochar (S+B), soil with compost (S+C) and soil with compost and biochar (S+C+B).</w:t>
      </w:r>
      <w:bookmarkEnd w:id="393"/>
      <w:r w:rsidRPr="00216965">
        <w:rPr>
          <w:color w:val="000000"/>
        </w:rPr>
        <w:t xml:space="preserve"> </w:t>
      </w:r>
    </w:p>
    <w:p w14:paraId="1B4C25BA" w14:textId="77777777" w:rsidR="00B45740" w:rsidRPr="00216965" w:rsidRDefault="00B45740" w:rsidP="008A33DA">
      <w:pPr>
        <w:pStyle w:val="Heading3"/>
      </w:pPr>
      <w:bookmarkStart w:id="394" w:name="_Toc86504708"/>
      <w:r w:rsidRPr="00216965">
        <w:t>Soil microbial activity - secondment at BOKU</w:t>
      </w:r>
      <w:bookmarkEnd w:id="394"/>
    </w:p>
    <w:p w14:paraId="53502444" w14:textId="6FFDDF94" w:rsidR="00B45740" w:rsidRPr="00216965" w:rsidRDefault="00B45740" w:rsidP="008A33DA">
      <w:pPr>
        <w:spacing w:line="360" w:lineRule="auto"/>
        <w:jc w:val="both"/>
      </w:pPr>
      <w:r w:rsidRPr="00216965">
        <w:t xml:space="preserve">The properties of the soil used in the soil respiration and PLFA experiments are presented in </w:t>
      </w:r>
      <w:r w:rsidRPr="00216965">
        <w:rPr>
          <w:b/>
          <w:bCs/>
          <w:lang w:val="en-US"/>
        </w:rPr>
        <w:fldChar w:fldCharType="begin"/>
      </w:r>
      <w:r w:rsidRPr="00216965">
        <w:rPr>
          <w:b/>
          <w:bCs/>
          <w:lang w:val="en-US"/>
        </w:rPr>
        <w:instrText xml:space="preserve"> REF _Ref84625430 \h  \* MERGEFORMAT </w:instrText>
      </w:r>
      <w:r w:rsidRPr="00216965">
        <w:rPr>
          <w:b/>
          <w:bCs/>
          <w:lang w:val="en-US"/>
        </w:rPr>
      </w:r>
      <w:r w:rsidRPr="00216965">
        <w:rPr>
          <w:b/>
          <w:bCs/>
          <w:lang w:val="en-US"/>
        </w:rPr>
        <w:fldChar w:fldCharType="separate"/>
      </w:r>
      <w:r w:rsidR="006E23EA" w:rsidRPr="00216965">
        <w:rPr>
          <w:b/>
          <w:bCs/>
        </w:rPr>
        <w:t xml:space="preserve">Table </w:t>
      </w:r>
      <w:r w:rsidR="006E23EA" w:rsidRPr="00216965">
        <w:rPr>
          <w:b/>
          <w:bCs/>
          <w:noProof/>
        </w:rPr>
        <w:t>5</w:t>
      </w:r>
      <w:r w:rsidR="006E23EA" w:rsidRPr="00216965">
        <w:rPr>
          <w:b/>
          <w:bCs/>
          <w:noProof/>
        </w:rPr>
        <w:noBreakHyphen/>
        <w:t>5</w:t>
      </w:r>
      <w:r w:rsidRPr="00216965">
        <w:rPr>
          <w:b/>
          <w:bCs/>
          <w:lang w:val="en-US"/>
        </w:rPr>
        <w:fldChar w:fldCharType="end"/>
      </w:r>
      <w:r w:rsidRPr="00216965">
        <w:rPr>
          <w:b/>
        </w:rPr>
        <w:t xml:space="preserve">. </w:t>
      </w:r>
      <w:r w:rsidRPr="00216965">
        <w:t xml:space="preserve">The total and bioavailable (acid-soluble) concentrations of Pb and Zn as well as the HM distribution in the different soil fractions are compared in </w:t>
      </w:r>
      <w:r w:rsidRPr="00216965">
        <w:rPr>
          <w:b/>
          <w:bCs/>
          <w:lang w:val="en-US"/>
        </w:rPr>
        <w:fldChar w:fldCharType="begin"/>
      </w:r>
      <w:r w:rsidRPr="00216965">
        <w:rPr>
          <w:b/>
          <w:bCs/>
          <w:lang w:val="en-US"/>
        </w:rPr>
        <w:instrText xml:space="preserve"> REF _Ref84619745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17</w:t>
      </w:r>
      <w:r w:rsidRPr="00216965">
        <w:rPr>
          <w:b/>
          <w:bCs/>
          <w:lang w:val="en-US"/>
        </w:rPr>
        <w:fldChar w:fldCharType="end"/>
      </w:r>
      <w:r w:rsidRPr="00216965">
        <w:rPr>
          <w:b/>
        </w:rPr>
        <w:t>.</w:t>
      </w:r>
      <w:r w:rsidRPr="00216965">
        <w:t xml:space="preserve"> The results are consistent with those presented in </w:t>
      </w:r>
      <w:r w:rsidRPr="00216965">
        <w:rPr>
          <w:b/>
          <w:bCs/>
          <w:lang w:val="en-US"/>
        </w:rPr>
        <w:t>sections</w:t>
      </w:r>
      <w:r w:rsidRPr="00216965">
        <w:rPr>
          <w:lang w:val="en-US"/>
        </w:rPr>
        <w:t xml:space="preserve"> </w:t>
      </w:r>
      <w:r w:rsidR="00B11CBC" w:rsidRPr="00216965">
        <w:rPr>
          <w:b/>
          <w:bCs/>
          <w:lang w:val="en-US"/>
        </w:rPr>
        <w:fldChar w:fldCharType="begin"/>
      </w:r>
      <w:r w:rsidR="00B11CBC" w:rsidRPr="00216965">
        <w:rPr>
          <w:b/>
          <w:bCs/>
          <w:lang w:val="en-US"/>
        </w:rPr>
        <w:instrText xml:space="preserve"> REF _Ref86418573 \r \h  \* MERGEFORMAT </w:instrText>
      </w:r>
      <w:r w:rsidR="00B11CBC" w:rsidRPr="00216965">
        <w:rPr>
          <w:b/>
          <w:bCs/>
          <w:lang w:val="en-US"/>
        </w:rPr>
      </w:r>
      <w:r w:rsidR="00B11CBC" w:rsidRPr="00216965">
        <w:rPr>
          <w:b/>
          <w:bCs/>
          <w:lang w:val="en-US"/>
        </w:rPr>
        <w:fldChar w:fldCharType="separate"/>
      </w:r>
      <w:r w:rsidR="006E23EA" w:rsidRPr="00216965">
        <w:rPr>
          <w:b/>
          <w:bCs/>
          <w:lang w:val="en-US"/>
        </w:rPr>
        <w:t>5.3.4</w:t>
      </w:r>
      <w:r w:rsidR="00B11CBC" w:rsidRPr="00216965">
        <w:rPr>
          <w:b/>
          <w:bCs/>
          <w:lang w:val="en-US"/>
        </w:rPr>
        <w:fldChar w:fldCharType="end"/>
      </w:r>
      <w:r w:rsidRPr="00216965">
        <w:rPr>
          <w:lang w:val="en-US"/>
        </w:rPr>
        <w:t xml:space="preserve"> and</w:t>
      </w:r>
      <w:r w:rsidR="00B11CBC" w:rsidRPr="00216965">
        <w:rPr>
          <w:lang w:val="en-US"/>
        </w:rPr>
        <w:t xml:space="preserve"> </w:t>
      </w:r>
      <w:r w:rsidR="00B11CBC" w:rsidRPr="00216965">
        <w:rPr>
          <w:b/>
          <w:bCs/>
          <w:lang w:val="en-US"/>
        </w:rPr>
        <w:fldChar w:fldCharType="begin"/>
      </w:r>
      <w:r w:rsidR="00B11CBC" w:rsidRPr="00216965">
        <w:rPr>
          <w:b/>
          <w:bCs/>
          <w:lang w:val="en-US"/>
        </w:rPr>
        <w:instrText xml:space="preserve"> REF _Ref86418849 \r \h  \* MERGEFORMAT </w:instrText>
      </w:r>
      <w:r w:rsidR="00B11CBC" w:rsidRPr="00216965">
        <w:rPr>
          <w:b/>
          <w:bCs/>
          <w:lang w:val="en-US"/>
        </w:rPr>
      </w:r>
      <w:r w:rsidR="00B11CBC" w:rsidRPr="00216965">
        <w:rPr>
          <w:b/>
          <w:bCs/>
          <w:lang w:val="en-US"/>
        </w:rPr>
        <w:fldChar w:fldCharType="separate"/>
      </w:r>
      <w:r w:rsidR="006E23EA" w:rsidRPr="00216965">
        <w:rPr>
          <w:b/>
          <w:bCs/>
          <w:lang w:val="en-US"/>
        </w:rPr>
        <w:t>5.3.5</w:t>
      </w:r>
      <w:r w:rsidR="00B11CBC" w:rsidRPr="00216965">
        <w:rPr>
          <w:b/>
          <w:bCs/>
          <w:lang w:val="en-US"/>
        </w:rPr>
        <w:fldChar w:fldCharType="end"/>
      </w:r>
      <w:r w:rsidRPr="00216965">
        <w:t xml:space="preserve">; the addition of biochar significantly reduced bioavailable HMs over the 12 month period (p &lt; 0.01). The total concentration of Pb in the biochar treatment tended to be lower than the control soil, with the difference significant after 12 months. The total concentration of Zn did not vary between treatments. The fractionation of HMs indicated that the bioavailable (acid-soluble) fraction of Pb decreased while the residual Pb fraction increased. A decrease in </w:t>
      </w:r>
      <w:r w:rsidRPr="00216965">
        <w:lastRenderedPageBreak/>
        <w:t>the bioavailable Zn fraction was observed, while oxidizable Zn fraction increased. These results confirmed that biochar addition enhanced a redistribution of bioavailable HMs into less mobile soil fractions, such as oxidizable and residual.</w:t>
      </w:r>
    </w:p>
    <w:p w14:paraId="448C1A6C" w14:textId="51BCBA1E" w:rsidR="00B45740" w:rsidRPr="00216965" w:rsidRDefault="00B45740" w:rsidP="008A33DA">
      <w:pPr>
        <w:pBdr>
          <w:top w:val="nil"/>
          <w:left w:val="nil"/>
          <w:bottom w:val="nil"/>
          <w:right w:val="nil"/>
          <w:between w:val="nil"/>
        </w:pBdr>
        <w:spacing w:after="200" w:line="240" w:lineRule="auto"/>
        <w:rPr>
          <w:b/>
          <w:color w:val="000000"/>
        </w:rPr>
      </w:pPr>
      <w:bookmarkStart w:id="395" w:name="_Ref84625430"/>
      <w:bookmarkStart w:id="396" w:name="_Toc86440375"/>
      <w:r w:rsidRPr="00216965">
        <w:rPr>
          <w:b/>
          <w:bCs/>
        </w:rPr>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5</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5</w:t>
      </w:r>
      <w:r w:rsidR="00E569FA" w:rsidRPr="00216965">
        <w:rPr>
          <w:b/>
          <w:bCs/>
        </w:rPr>
        <w:fldChar w:fldCharType="end"/>
      </w:r>
      <w:bookmarkEnd w:id="395"/>
      <w:r w:rsidRPr="00216965">
        <w:t xml:space="preserve"> </w:t>
      </w:r>
      <w:r w:rsidRPr="00216965">
        <w:rPr>
          <w:b/>
          <w:color w:val="000000"/>
        </w:rPr>
        <w:t>Properties of soil used during the secondment at BOKU. Values are the mean ± standard deviation, n=3.</w:t>
      </w:r>
      <w:bookmarkEnd w:id="396"/>
      <w:r w:rsidRPr="00216965">
        <w:rPr>
          <w:b/>
          <w:color w:val="000000"/>
        </w:rPr>
        <w:t xml:space="preserve"> </w:t>
      </w:r>
    </w:p>
    <w:tbl>
      <w:tblPr>
        <w:tblW w:w="8222"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980"/>
        <w:gridCol w:w="1559"/>
        <w:gridCol w:w="1418"/>
        <w:gridCol w:w="283"/>
        <w:gridCol w:w="1559"/>
        <w:gridCol w:w="1423"/>
      </w:tblGrid>
      <w:tr w:rsidR="00B45740" w:rsidRPr="00216965" w14:paraId="3903EFD6" w14:textId="77777777" w:rsidTr="00C84F12">
        <w:tc>
          <w:tcPr>
            <w:tcW w:w="1980" w:type="dxa"/>
            <w:tcBorders>
              <w:top w:val="single" w:sz="4" w:space="0" w:color="000000"/>
              <w:bottom w:val="single" w:sz="4" w:space="0" w:color="000000"/>
            </w:tcBorders>
            <w:shd w:val="clear" w:color="auto" w:fill="A8D08D" w:themeFill="accent6" w:themeFillTint="99"/>
          </w:tcPr>
          <w:p w14:paraId="4DDE7348" w14:textId="77777777" w:rsidR="00B45740" w:rsidRPr="00216965" w:rsidRDefault="00B45740" w:rsidP="008A33DA">
            <w:pPr>
              <w:spacing w:after="0" w:line="360" w:lineRule="auto"/>
              <w:rPr>
                <w:b/>
              </w:rPr>
            </w:pPr>
            <w:r w:rsidRPr="00216965">
              <w:rPr>
                <w:b/>
                <w:sz w:val="22"/>
              </w:rPr>
              <w:t>Properties</w:t>
            </w:r>
          </w:p>
        </w:tc>
        <w:tc>
          <w:tcPr>
            <w:tcW w:w="2977" w:type="dxa"/>
            <w:gridSpan w:val="2"/>
            <w:tcBorders>
              <w:top w:val="single" w:sz="4" w:space="0" w:color="000000"/>
              <w:bottom w:val="single" w:sz="4" w:space="0" w:color="000000"/>
            </w:tcBorders>
            <w:shd w:val="clear" w:color="auto" w:fill="A8D08D" w:themeFill="accent6" w:themeFillTint="99"/>
          </w:tcPr>
          <w:p w14:paraId="69F96706" w14:textId="77777777" w:rsidR="00B45740" w:rsidRPr="00216965" w:rsidRDefault="00B45740" w:rsidP="008A33DA">
            <w:pPr>
              <w:spacing w:after="0" w:line="360" w:lineRule="auto"/>
              <w:rPr>
                <w:b/>
              </w:rPr>
            </w:pPr>
            <w:r w:rsidRPr="00216965">
              <w:rPr>
                <w:b/>
                <w:sz w:val="22"/>
              </w:rPr>
              <w:t>Soil</w:t>
            </w:r>
          </w:p>
        </w:tc>
        <w:tc>
          <w:tcPr>
            <w:tcW w:w="283" w:type="dxa"/>
            <w:shd w:val="clear" w:color="auto" w:fill="A8D08D" w:themeFill="accent6" w:themeFillTint="99"/>
          </w:tcPr>
          <w:p w14:paraId="1FF2312A" w14:textId="77777777" w:rsidR="00B45740" w:rsidRPr="00216965" w:rsidRDefault="00B45740" w:rsidP="008A33DA">
            <w:pPr>
              <w:spacing w:after="0" w:line="360" w:lineRule="auto"/>
              <w:rPr>
                <w:b/>
              </w:rPr>
            </w:pPr>
          </w:p>
        </w:tc>
        <w:tc>
          <w:tcPr>
            <w:tcW w:w="2982" w:type="dxa"/>
            <w:gridSpan w:val="2"/>
            <w:tcBorders>
              <w:top w:val="single" w:sz="4" w:space="0" w:color="000000"/>
              <w:bottom w:val="single" w:sz="4" w:space="0" w:color="000000"/>
            </w:tcBorders>
            <w:shd w:val="clear" w:color="auto" w:fill="A8D08D" w:themeFill="accent6" w:themeFillTint="99"/>
          </w:tcPr>
          <w:p w14:paraId="2954E5E3" w14:textId="77777777" w:rsidR="00B45740" w:rsidRPr="00216965" w:rsidRDefault="00B45740" w:rsidP="008A33DA">
            <w:pPr>
              <w:spacing w:after="0" w:line="360" w:lineRule="auto"/>
              <w:rPr>
                <w:b/>
              </w:rPr>
            </w:pPr>
            <w:r w:rsidRPr="00216965">
              <w:rPr>
                <w:b/>
                <w:sz w:val="22"/>
              </w:rPr>
              <w:t>Soil+Biochar</w:t>
            </w:r>
          </w:p>
        </w:tc>
      </w:tr>
      <w:tr w:rsidR="00B45740" w:rsidRPr="00216965" w14:paraId="358D36FE" w14:textId="77777777" w:rsidTr="007906FC">
        <w:tc>
          <w:tcPr>
            <w:tcW w:w="1980" w:type="dxa"/>
            <w:tcBorders>
              <w:top w:val="single" w:sz="4" w:space="0" w:color="000000"/>
            </w:tcBorders>
          </w:tcPr>
          <w:p w14:paraId="6714AB53" w14:textId="77777777" w:rsidR="00B45740" w:rsidRPr="00216965" w:rsidRDefault="00B45740" w:rsidP="008A33DA">
            <w:pPr>
              <w:spacing w:after="0" w:line="360" w:lineRule="auto"/>
            </w:pPr>
          </w:p>
        </w:tc>
        <w:tc>
          <w:tcPr>
            <w:tcW w:w="1559" w:type="dxa"/>
            <w:tcBorders>
              <w:top w:val="single" w:sz="4" w:space="0" w:color="000000"/>
            </w:tcBorders>
          </w:tcPr>
          <w:p w14:paraId="1EFD6D0A" w14:textId="77777777" w:rsidR="00B45740" w:rsidRPr="00216965" w:rsidRDefault="00B45740" w:rsidP="008A33DA">
            <w:pPr>
              <w:spacing w:after="0" w:line="360" w:lineRule="auto"/>
            </w:pPr>
            <w:r w:rsidRPr="00216965">
              <w:rPr>
                <w:sz w:val="22"/>
              </w:rPr>
              <w:t>1 month</w:t>
            </w:r>
          </w:p>
        </w:tc>
        <w:tc>
          <w:tcPr>
            <w:tcW w:w="1418" w:type="dxa"/>
            <w:tcBorders>
              <w:top w:val="single" w:sz="4" w:space="0" w:color="000000"/>
            </w:tcBorders>
          </w:tcPr>
          <w:p w14:paraId="7B4CE2F5" w14:textId="77777777" w:rsidR="00B45740" w:rsidRPr="00216965" w:rsidRDefault="00B45740" w:rsidP="008A33DA">
            <w:pPr>
              <w:spacing w:after="0" w:line="360" w:lineRule="auto"/>
            </w:pPr>
            <w:r w:rsidRPr="00216965">
              <w:rPr>
                <w:sz w:val="22"/>
              </w:rPr>
              <w:t>12 months</w:t>
            </w:r>
          </w:p>
        </w:tc>
        <w:tc>
          <w:tcPr>
            <w:tcW w:w="283" w:type="dxa"/>
          </w:tcPr>
          <w:p w14:paraId="4FABD866" w14:textId="77777777" w:rsidR="00B45740" w:rsidRPr="00216965" w:rsidRDefault="00B45740" w:rsidP="008A33DA">
            <w:pPr>
              <w:spacing w:after="0" w:line="360" w:lineRule="auto"/>
            </w:pPr>
          </w:p>
        </w:tc>
        <w:tc>
          <w:tcPr>
            <w:tcW w:w="1559" w:type="dxa"/>
            <w:tcBorders>
              <w:top w:val="single" w:sz="4" w:space="0" w:color="000000"/>
            </w:tcBorders>
          </w:tcPr>
          <w:p w14:paraId="0E99A397" w14:textId="77777777" w:rsidR="00B45740" w:rsidRPr="00216965" w:rsidRDefault="00B45740" w:rsidP="008A33DA">
            <w:pPr>
              <w:spacing w:after="0" w:line="360" w:lineRule="auto"/>
            </w:pPr>
            <w:r w:rsidRPr="00216965">
              <w:rPr>
                <w:sz w:val="22"/>
              </w:rPr>
              <w:t>1 month</w:t>
            </w:r>
          </w:p>
        </w:tc>
        <w:tc>
          <w:tcPr>
            <w:tcW w:w="1423" w:type="dxa"/>
            <w:tcBorders>
              <w:top w:val="single" w:sz="4" w:space="0" w:color="000000"/>
            </w:tcBorders>
          </w:tcPr>
          <w:p w14:paraId="372585DD" w14:textId="77777777" w:rsidR="00B45740" w:rsidRPr="00216965" w:rsidRDefault="00B45740" w:rsidP="008A33DA">
            <w:pPr>
              <w:spacing w:after="0" w:line="360" w:lineRule="auto"/>
            </w:pPr>
            <w:r w:rsidRPr="00216965">
              <w:rPr>
                <w:sz w:val="22"/>
              </w:rPr>
              <w:t>12 months</w:t>
            </w:r>
          </w:p>
        </w:tc>
      </w:tr>
      <w:tr w:rsidR="00B45740" w:rsidRPr="00216965" w14:paraId="134695A5" w14:textId="77777777" w:rsidTr="007906FC">
        <w:tc>
          <w:tcPr>
            <w:tcW w:w="1980" w:type="dxa"/>
          </w:tcPr>
          <w:p w14:paraId="05838199" w14:textId="77777777" w:rsidR="00B45740" w:rsidRPr="00216965" w:rsidRDefault="00B45740" w:rsidP="008A33DA">
            <w:pPr>
              <w:spacing w:after="0" w:line="240" w:lineRule="auto"/>
            </w:pPr>
            <w:r w:rsidRPr="00216965">
              <w:rPr>
                <w:sz w:val="22"/>
              </w:rPr>
              <w:t>Total Pb (mg.kg</w:t>
            </w:r>
            <w:r w:rsidRPr="00216965">
              <w:rPr>
                <w:sz w:val="22"/>
                <w:vertAlign w:val="superscript"/>
              </w:rPr>
              <w:t>-1</w:t>
            </w:r>
            <w:r w:rsidRPr="00216965">
              <w:rPr>
                <w:sz w:val="22"/>
              </w:rPr>
              <w:t>)</w:t>
            </w:r>
          </w:p>
        </w:tc>
        <w:tc>
          <w:tcPr>
            <w:tcW w:w="1559" w:type="dxa"/>
          </w:tcPr>
          <w:p w14:paraId="210F7D76" w14:textId="77777777" w:rsidR="00B45740" w:rsidRPr="00216965" w:rsidRDefault="00B45740" w:rsidP="008A33DA">
            <w:pPr>
              <w:spacing w:after="0" w:line="240" w:lineRule="auto"/>
              <w:rPr>
                <w:sz w:val="20"/>
                <w:szCs w:val="20"/>
              </w:rPr>
            </w:pPr>
            <w:r w:rsidRPr="00216965">
              <w:rPr>
                <w:sz w:val="20"/>
                <w:szCs w:val="20"/>
              </w:rPr>
              <w:t>3520 ± 132</w:t>
            </w:r>
          </w:p>
        </w:tc>
        <w:tc>
          <w:tcPr>
            <w:tcW w:w="1418" w:type="dxa"/>
          </w:tcPr>
          <w:p w14:paraId="6A4CD827" w14:textId="77777777" w:rsidR="00B45740" w:rsidRPr="00216965" w:rsidRDefault="00B45740" w:rsidP="008A33DA">
            <w:pPr>
              <w:spacing w:after="0" w:line="240" w:lineRule="auto"/>
              <w:rPr>
                <w:sz w:val="20"/>
                <w:szCs w:val="20"/>
              </w:rPr>
            </w:pPr>
            <w:r w:rsidRPr="00216965">
              <w:rPr>
                <w:sz w:val="20"/>
                <w:szCs w:val="20"/>
              </w:rPr>
              <w:t>3785 ± 133</w:t>
            </w:r>
          </w:p>
        </w:tc>
        <w:tc>
          <w:tcPr>
            <w:tcW w:w="283" w:type="dxa"/>
          </w:tcPr>
          <w:p w14:paraId="210D4A87" w14:textId="77777777" w:rsidR="00B45740" w:rsidRPr="00216965" w:rsidRDefault="00B45740" w:rsidP="008A33DA">
            <w:pPr>
              <w:spacing w:after="0" w:line="240" w:lineRule="auto"/>
              <w:rPr>
                <w:sz w:val="20"/>
                <w:szCs w:val="20"/>
              </w:rPr>
            </w:pPr>
          </w:p>
        </w:tc>
        <w:tc>
          <w:tcPr>
            <w:tcW w:w="1559" w:type="dxa"/>
          </w:tcPr>
          <w:p w14:paraId="15F0E846" w14:textId="77777777" w:rsidR="00B45740" w:rsidRPr="00216965" w:rsidRDefault="00B45740" w:rsidP="008A33DA">
            <w:pPr>
              <w:spacing w:after="0" w:line="240" w:lineRule="auto"/>
              <w:rPr>
                <w:sz w:val="20"/>
                <w:szCs w:val="20"/>
              </w:rPr>
            </w:pPr>
            <w:r w:rsidRPr="00216965">
              <w:rPr>
                <w:sz w:val="20"/>
                <w:szCs w:val="20"/>
              </w:rPr>
              <w:t>3324 ± 123</w:t>
            </w:r>
          </w:p>
        </w:tc>
        <w:tc>
          <w:tcPr>
            <w:tcW w:w="1423" w:type="dxa"/>
          </w:tcPr>
          <w:p w14:paraId="560B86FE" w14:textId="77777777" w:rsidR="00B45740" w:rsidRPr="00216965" w:rsidRDefault="00B45740" w:rsidP="008A33DA">
            <w:pPr>
              <w:spacing w:after="0" w:line="240" w:lineRule="auto"/>
              <w:rPr>
                <w:sz w:val="20"/>
                <w:szCs w:val="20"/>
              </w:rPr>
            </w:pPr>
            <w:r w:rsidRPr="00216965">
              <w:rPr>
                <w:sz w:val="20"/>
                <w:szCs w:val="20"/>
              </w:rPr>
              <w:t>3271 ± 81</w:t>
            </w:r>
          </w:p>
        </w:tc>
      </w:tr>
      <w:tr w:rsidR="00B45740" w:rsidRPr="00216965" w14:paraId="4172A09A" w14:textId="77777777" w:rsidTr="007906FC">
        <w:tc>
          <w:tcPr>
            <w:tcW w:w="1980" w:type="dxa"/>
          </w:tcPr>
          <w:p w14:paraId="15E7867A" w14:textId="77777777" w:rsidR="00B45740" w:rsidRPr="00216965" w:rsidRDefault="00B45740" w:rsidP="008A33DA">
            <w:pPr>
              <w:spacing w:after="0" w:line="240" w:lineRule="auto"/>
            </w:pPr>
            <w:r w:rsidRPr="00216965">
              <w:rPr>
                <w:sz w:val="22"/>
              </w:rPr>
              <w:t>Bioavailable Pb (mg.kg</w:t>
            </w:r>
            <w:r w:rsidRPr="00216965">
              <w:rPr>
                <w:sz w:val="22"/>
                <w:vertAlign w:val="superscript"/>
              </w:rPr>
              <w:t>-1</w:t>
            </w:r>
            <w:r w:rsidRPr="00216965">
              <w:rPr>
                <w:sz w:val="22"/>
              </w:rPr>
              <w:t>)</w:t>
            </w:r>
          </w:p>
        </w:tc>
        <w:tc>
          <w:tcPr>
            <w:tcW w:w="1559" w:type="dxa"/>
          </w:tcPr>
          <w:p w14:paraId="6E1EBE40" w14:textId="77777777" w:rsidR="00B45740" w:rsidRPr="00216965" w:rsidRDefault="00B45740" w:rsidP="008A33DA">
            <w:pPr>
              <w:spacing w:after="0" w:line="240" w:lineRule="auto"/>
              <w:rPr>
                <w:sz w:val="20"/>
                <w:szCs w:val="20"/>
              </w:rPr>
            </w:pPr>
            <w:r w:rsidRPr="00216965">
              <w:rPr>
                <w:sz w:val="20"/>
                <w:szCs w:val="20"/>
              </w:rPr>
              <w:t>150 ± 10</w:t>
            </w:r>
          </w:p>
        </w:tc>
        <w:tc>
          <w:tcPr>
            <w:tcW w:w="1418" w:type="dxa"/>
          </w:tcPr>
          <w:p w14:paraId="2C75857A" w14:textId="77777777" w:rsidR="00B45740" w:rsidRPr="00216965" w:rsidRDefault="00B45740" w:rsidP="008A33DA">
            <w:pPr>
              <w:spacing w:after="0" w:line="240" w:lineRule="auto"/>
              <w:rPr>
                <w:sz w:val="20"/>
                <w:szCs w:val="20"/>
              </w:rPr>
            </w:pPr>
            <w:r w:rsidRPr="00216965">
              <w:rPr>
                <w:sz w:val="20"/>
                <w:szCs w:val="20"/>
              </w:rPr>
              <w:t>137 ± 22</w:t>
            </w:r>
          </w:p>
        </w:tc>
        <w:tc>
          <w:tcPr>
            <w:tcW w:w="283" w:type="dxa"/>
          </w:tcPr>
          <w:p w14:paraId="338E6646" w14:textId="77777777" w:rsidR="00B45740" w:rsidRPr="00216965" w:rsidRDefault="00B45740" w:rsidP="008A33DA">
            <w:pPr>
              <w:spacing w:after="0" w:line="240" w:lineRule="auto"/>
              <w:rPr>
                <w:sz w:val="20"/>
                <w:szCs w:val="20"/>
              </w:rPr>
            </w:pPr>
          </w:p>
        </w:tc>
        <w:tc>
          <w:tcPr>
            <w:tcW w:w="1559" w:type="dxa"/>
          </w:tcPr>
          <w:p w14:paraId="78F653CF" w14:textId="77777777" w:rsidR="00B45740" w:rsidRPr="00216965" w:rsidRDefault="00B45740" w:rsidP="008A33DA">
            <w:pPr>
              <w:spacing w:after="0" w:line="240" w:lineRule="auto"/>
              <w:rPr>
                <w:sz w:val="20"/>
                <w:szCs w:val="20"/>
              </w:rPr>
            </w:pPr>
            <w:r w:rsidRPr="00216965">
              <w:rPr>
                <w:sz w:val="20"/>
                <w:szCs w:val="20"/>
              </w:rPr>
              <w:t>14± 1</w:t>
            </w:r>
          </w:p>
        </w:tc>
        <w:tc>
          <w:tcPr>
            <w:tcW w:w="1423" w:type="dxa"/>
          </w:tcPr>
          <w:p w14:paraId="1CFA17E0" w14:textId="77777777" w:rsidR="00B45740" w:rsidRPr="00216965" w:rsidRDefault="00B45740" w:rsidP="008A33DA">
            <w:pPr>
              <w:spacing w:after="0" w:line="240" w:lineRule="auto"/>
              <w:rPr>
                <w:sz w:val="20"/>
                <w:szCs w:val="20"/>
              </w:rPr>
            </w:pPr>
            <w:r w:rsidRPr="00216965">
              <w:rPr>
                <w:sz w:val="20"/>
                <w:szCs w:val="20"/>
              </w:rPr>
              <w:t>24 ± 1</w:t>
            </w:r>
          </w:p>
        </w:tc>
      </w:tr>
      <w:tr w:rsidR="00B45740" w:rsidRPr="00216965" w14:paraId="5D485198" w14:textId="77777777" w:rsidTr="007906FC">
        <w:tc>
          <w:tcPr>
            <w:tcW w:w="1980" w:type="dxa"/>
          </w:tcPr>
          <w:p w14:paraId="6587FE92" w14:textId="77777777" w:rsidR="00B45740" w:rsidRPr="00216965" w:rsidRDefault="00B45740" w:rsidP="008A33DA">
            <w:pPr>
              <w:spacing w:after="0" w:line="240" w:lineRule="auto"/>
            </w:pPr>
            <w:r w:rsidRPr="00216965">
              <w:rPr>
                <w:sz w:val="22"/>
              </w:rPr>
              <w:t>Total Zn (mg.kg</w:t>
            </w:r>
            <w:r w:rsidRPr="00216965">
              <w:rPr>
                <w:sz w:val="22"/>
                <w:vertAlign w:val="superscript"/>
              </w:rPr>
              <w:t>-1</w:t>
            </w:r>
            <w:r w:rsidRPr="00216965">
              <w:rPr>
                <w:sz w:val="22"/>
              </w:rPr>
              <w:t>)</w:t>
            </w:r>
          </w:p>
        </w:tc>
        <w:tc>
          <w:tcPr>
            <w:tcW w:w="1559" w:type="dxa"/>
          </w:tcPr>
          <w:p w14:paraId="2D3E23F2" w14:textId="77777777" w:rsidR="00B45740" w:rsidRPr="00216965" w:rsidRDefault="00B45740" w:rsidP="008A33DA">
            <w:pPr>
              <w:spacing w:after="0" w:line="240" w:lineRule="auto"/>
              <w:rPr>
                <w:sz w:val="20"/>
                <w:szCs w:val="20"/>
              </w:rPr>
            </w:pPr>
            <w:r w:rsidRPr="00216965">
              <w:rPr>
                <w:sz w:val="20"/>
                <w:szCs w:val="20"/>
              </w:rPr>
              <w:t>1663 ± 61</w:t>
            </w:r>
          </w:p>
        </w:tc>
        <w:tc>
          <w:tcPr>
            <w:tcW w:w="1418" w:type="dxa"/>
          </w:tcPr>
          <w:p w14:paraId="43F5CCE3" w14:textId="77777777" w:rsidR="00B45740" w:rsidRPr="00216965" w:rsidRDefault="00B45740" w:rsidP="008A33DA">
            <w:pPr>
              <w:spacing w:after="0" w:line="240" w:lineRule="auto"/>
              <w:rPr>
                <w:sz w:val="20"/>
                <w:szCs w:val="20"/>
              </w:rPr>
            </w:pPr>
            <w:r w:rsidRPr="00216965">
              <w:rPr>
                <w:sz w:val="20"/>
                <w:szCs w:val="20"/>
              </w:rPr>
              <w:t>1735 ± 52</w:t>
            </w:r>
          </w:p>
        </w:tc>
        <w:tc>
          <w:tcPr>
            <w:tcW w:w="283" w:type="dxa"/>
          </w:tcPr>
          <w:p w14:paraId="47C1EF5D" w14:textId="77777777" w:rsidR="00B45740" w:rsidRPr="00216965" w:rsidRDefault="00B45740" w:rsidP="008A33DA">
            <w:pPr>
              <w:spacing w:after="0" w:line="240" w:lineRule="auto"/>
              <w:rPr>
                <w:sz w:val="20"/>
                <w:szCs w:val="20"/>
              </w:rPr>
            </w:pPr>
          </w:p>
        </w:tc>
        <w:tc>
          <w:tcPr>
            <w:tcW w:w="1559" w:type="dxa"/>
          </w:tcPr>
          <w:p w14:paraId="7608A6E3" w14:textId="77777777" w:rsidR="00B45740" w:rsidRPr="00216965" w:rsidRDefault="00B45740" w:rsidP="008A33DA">
            <w:pPr>
              <w:spacing w:after="0" w:line="240" w:lineRule="auto"/>
              <w:rPr>
                <w:sz w:val="20"/>
                <w:szCs w:val="20"/>
              </w:rPr>
            </w:pPr>
            <w:r w:rsidRPr="00216965">
              <w:rPr>
                <w:sz w:val="20"/>
                <w:szCs w:val="20"/>
              </w:rPr>
              <w:t>1675 ± 21</w:t>
            </w:r>
          </w:p>
        </w:tc>
        <w:tc>
          <w:tcPr>
            <w:tcW w:w="1423" w:type="dxa"/>
          </w:tcPr>
          <w:p w14:paraId="44F74614" w14:textId="77777777" w:rsidR="00B45740" w:rsidRPr="00216965" w:rsidRDefault="00B45740" w:rsidP="008A33DA">
            <w:pPr>
              <w:spacing w:after="0" w:line="240" w:lineRule="auto"/>
              <w:rPr>
                <w:sz w:val="20"/>
                <w:szCs w:val="20"/>
              </w:rPr>
            </w:pPr>
            <w:r w:rsidRPr="00216965">
              <w:rPr>
                <w:sz w:val="20"/>
                <w:szCs w:val="20"/>
              </w:rPr>
              <w:t>1720 ± 71</w:t>
            </w:r>
          </w:p>
        </w:tc>
      </w:tr>
      <w:tr w:rsidR="00B45740" w:rsidRPr="00216965" w14:paraId="3BE7A899" w14:textId="77777777" w:rsidTr="007906FC">
        <w:tc>
          <w:tcPr>
            <w:tcW w:w="1980" w:type="dxa"/>
          </w:tcPr>
          <w:p w14:paraId="3A6F1660" w14:textId="77777777" w:rsidR="00B45740" w:rsidRPr="00216965" w:rsidRDefault="00B45740" w:rsidP="008A33DA">
            <w:pPr>
              <w:spacing w:after="0" w:line="240" w:lineRule="auto"/>
            </w:pPr>
            <w:r w:rsidRPr="00216965">
              <w:rPr>
                <w:sz w:val="22"/>
              </w:rPr>
              <w:t>Bioavailable Zn (mg.kg</w:t>
            </w:r>
            <w:r w:rsidRPr="00216965">
              <w:rPr>
                <w:sz w:val="22"/>
                <w:vertAlign w:val="superscript"/>
              </w:rPr>
              <w:t>-1</w:t>
            </w:r>
            <w:r w:rsidRPr="00216965">
              <w:rPr>
                <w:sz w:val="22"/>
              </w:rPr>
              <w:t>)</w:t>
            </w:r>
          </w:p>
        </w:tc>
        <w:tc>
          <w:tcPr>
            <w:tcW w:w="1559" w:type="dxa"/>
          </w:tcPr>
          <w:p w14:paraId="52BA38C4" w14:textId="77777777" w:rsidR="00B45740" w:rsidRPr="00216965" w:rsidRDefault="00B45740" w:rsidP="008A33DA">
            <w:pPr>
              <w:spacing w:after="0" w:line="240" w:lineRule="auto"/>
              <w:rPr>
                <w:sz w:val="20"/>
                <w:szCs w:val="20"/>
              </w:rPr>
            </w:pPr>
            <w:r w:rsidRPr="00216965">
              <w:rPr>
                <w:sz w:val="20"/>
                <w:szCs w:val="20"/>
              </w:rPr>
              <w:t>17 ± 1</w:t>
            </w:r>
          </w:p>
        </w:tc>
        <w:tc>
          <w:tcPr>
            <w:tcW w:w="1418" w:type="dxa"/>
          </w:tcPr>
          <w:p w14:paraId="4D209384" w14:textId="77777777" w:rsidR="00B45740" w:rsidRPr="00216965" w:rsidRDefault="00B45740" w:rsidP="008A33DA">
            <w:pPr>
              <w:spacing w:after="0" w:line="240" w:lineRule="auto"/>
              <w:rPr>
                <w:sz w:val="20"/>
                <w:szCs w:val="20"/>
              </w:rPr>
            </w:pPr>
            <w:r w:rsidRPr="00216965">
              <w:rPr>
                <w:sz w:val="20"/>
                <w:szCs w:val="20"/>
              </w:rPr>
              <w:t>16 ± 2</w:t>
            </w:r>
          </w:p>
        </w:tc>
        <w:tc>
          <w:tcPr>
            <w:tcW w:w="283" w:type="dxa"/>
          </w:tcPr>
          <w:p w14:paraId="75C80066" w14:textId="77777777" w:rsidR="00B45740" w:rsidRPr="00216965" w:rsidRDefault="00B45740" w:rsidP="008A33DA">
            <w:pPr>
              <w:spacing w:after="0" w:line="240" w:lineRule="auto"/>
              <w:rPr>
                <w:sz w:val="20"/>
                <w:szCs w:val="20"/>
              </w:rPr>
            </w:pPr>
          </w:p>
        </w:tc>
        <w:tc>
          <w:tcPr>
            <w:tcW w:w="1559" w:type="dxa"/>
          </w:tcPr>
          <w:p w14:paraId="14C433E8" w14:textId="77777777" w:rsidR="00B45740" w:rsidRPr="00216965" w:rsidRDefault="00B45740" w:rsidP="008A33DA">
            <w:pPr>
              <w:spacing w:after="0" w:line="240" w:lineRule="auto"/>
              <w:rPr>
                <w:sz w:val="20"/>
                <w:szCs w:val="20"/>
              </w:rPr>
            </w:pPr>
            <w:r w:rsidRPr="00216965">
              <w:rPr>
                <w:sz w:val="20"/>
                <w:szCs w:val="20"/>
              </w:rPr>
              <w:t>4.55 ± 0.88</w:t>
            </w:r>
          </w:p>
        </w:tc>
        <w:tc>
          <w:tcPr>
            <w:tcW w:w="1423" w:type="dxa"/>
          </w:tcPr>
          <w:p w14:paraId="4607FFA8" w14:textId="77777777" w:rsidR="00B45740" w:rsidRPr="00216965" w:rsidRDefault="00B45740" w:rsidP="008A33DA">
            <w:pPr>
              <w:spacing w:after="0" w:line="240" w:lineRule="auto"/>
              <w:rPr>
                <w:sz w:val="20"/>
                <w:szCs w:val="20"/>
              </w:rPr>
            </w:pPr>
            <w:r w:rsidRPr="00216965">
              <w:rPr>
                <w:sz w:val="20"/>
                <w:szCs w:val="20"/>
              </w:rPr>
              <w:t>5.13 ± 0.47</w:t>
            </w:r>
          </w:p>
        </w:tc>
      </w:tr>
      <w:tr w:rsidR="00B45740" w:rsidRPr="00216965" w14:paraId="6BD27201" w14:textId="77777777" w:rsidTr="007906FC">
        <w:tc>
          <w:tcPr>
            <w:tcW w:w="1980" w:type="dxa"/>
          </w:tcPr>
          <w:p w14:paraId="413BC3E2" w14:textId="77777777" w:rsidR="00B45740" w:rsidRPr="00216965" w:rsidRDefault="00B45740" w:rsidP="008A33DA">
            <w:pPr>
              <w:spacing w:after="0" w:line="240" w:lineRule="auto"/>
            </w:pPr>
            <w:r w:rsidRPr="00216965">
              <w:rPr>
                <w:sz w:val="22"/>
              </w:rPr>
              <w:t>OM (%)</w:t>
            </w:r>
          </w:p>
        </w:tc>
        <w:tc>
          <w:tcPr>
            <w:tcW w:w="1559" w:type="dxa"/>
          </w:tcPr>
          <w:p w14:paraId="2CD687D3" w14:textId="77777777" w:rsidR="00B45740" w:rsidRPr="00216965" w:rsidRDefault="00B45740" w:rsidP="008A33DA">
            <w:pPr>
              <w:spacing w:after="0" w:line="240" w:lineRule="auto"/>
              <w:rPr>
                <w:sz w:val="20"/>
                <w:szCs w:val="20"/>
              </w:rPr>
            </w:pPr>
            <w:r w:rsidRPr="00216965">
              <w:rPr>
                <w:sz w:val="20"/>
                <w:szCs w:val="20"/>
              </w:rPr>
              <w:t>2.39 ± 0.65</w:t>
            </w:r>
          </w:p>
        </w:tc>
        <w:tc>
          <w:tcPr>
            <w:tcW w:w="1418" w:type="dxa"/>
          </w:tcPr>
          <w:p w14:paraId="3D257182" w14:textId="77777777" w:rsidR="00B45740" w:rsidRPr="00216965" w:rsidRDefault="00B45740" w:rsidP="008A33DA">
            <w:pPr>
              <w:spacing w:after="0" w:line="240" w:lineRule="auto"/>
              <w:rPr>
                <w:sz w:val="20"/>
                <w:szCs w:val="20"/>
              </w:rPr>
            </w:pPr>
            <w:r w:rsidRPr="00216965">
              <w:rPr>
                <w:sz w:val="20"/>
                <w:szCs w:val="20"/>
              </w:rPr>
              <w:t>2.62 ± 0.60</w:t>
            </w:r>
          </w:p>
        </w:tc>
        <w:tc>
          <w:tcPr>
            <w:tcW w:w="283" w:type="dxa"/>
          </w:tcPr>
          <w:p w14:paraId="6080697B" w14:textId="77777777" w:rsidR="00B45740" w:rsidRPr="00216965" w:rsidRDefault="00B45740" w:rsidP="008A33DA">
            <w:pPr>
              <w:spacing w:after="0" w:line="240" w:lineRule="auto"/>
              <w:rPr>
                <w:sz w:val="20"/>
                <w:szCs w:val="20"/>
              </w:rPr>
            </w:pPr>
          </w:p>
        </w:tc>
        <w:tc>
          <w:tcPr>
            <w:tcW w:w="1559" w:type="dxa"/>
          </w:tcPr>
          <w:p w14:paraId="395B8B0C" w14:textId="77777777" w:rsidR="00B45740" w:rsidRPr="00216965" w:rsidRDefault="00B45740" w:rsidP="008A33DA">
            <w:pPr>
              <w:spacing w:after="0" w:line="240" w:lineRule="auto"/>
              <w:rPr>
                <w:sz w:val="20"/>
                <w:szCs w:val="20"/>
              </w:rPr>
            </w:pPr>
            <w:r w:rsidRPr="00216965">
              <w:rPr>
                <w:sz w:val="20"/>
                <w:szCs w:val="20"/>
              </w:rPr>
              <w:t>3.41 ± 0.23</w:t>
            </w:r>
          </w:p>
        </w:tc>
        <w:tc>
          <w:tcPr>
            <w:tcW w:w="1423" w:type="dxa"/>
          </w:tcPr>
          <w:p w14:paraId="07F20C67" w14:textId="77777777" w:rsidR="00B45740" w:rsidRPr="00216965" w:rsidRDefault="00B45740" w:rsidP="008A33DA">
            <w:pPr>
              <w:spacing w:after="0" w:line="240" w:lineRule="auto"/>
              <w:rPr>
                <w:sz w:val="20"/>
                <w:szCs w:val="20"/>
              </w:rPr>
            </w:pPr>
            <w:r w:rsidRPr="00216965">
              <w:rPr>
                <w:sz w:val="20"/>
                <w:szCs w:val="20"/>
              </w:rPr>
              <w:t>3.14 ± 0.09</w:t>
            </w:r>
          </w:p>
        </w:tc>
      </w:tr>
      <w:tr w:rsidR="00B45740" w:rsidRPr="00216965" w14:paraId="5E00A286" w14:textId="77777777" w:rsidTr="007906FC">
        <w:tc>
          <w:tcPr>
            <w:tcW w:w="1980" w:type="dxa"/>
          </w:tcPr>
          <w:p w14:paraId="036C7F1D" w14:textId="77777777" w:rsidR="00B45740" w:rsidRPr="00216965" w:rsidRDefault="00B45740" w:rsidP="008A33DA">
            <w:pPr>
              <w:spacing w:after="0" w:line="240" w:lineRule="auto"/>
            </w:pPr>
            <w:r w:rsidRPr="00216965">
              <w:rPr>
                <w:sz w:val="22"/>
              </w:rPr>
              <w:t>pH</w:t>
            </w:r>
          </w:p>
        </w:tc>
        <w:tc>
          <w:tcPr>
            <w:tcW w:w="1559" w:type="dxa"/>
          </w:tcPr>
          <w:p w14:paraId="74551AA1" w14:textId="77777777" w:rsidR="00B45740" w:rsidRPr="00216965" w:rsidRDefault="00B45740" w:rsidP="008A33DA">
            <w:pPr>
              <w:spacing w:after="0" w:line="240" w:lineRule="auto"/>
              <w:rPr>
                <w:sz w:val="20"/>
                <w:szCs w:val="20"/>
              </w:rPr>
            </w:pPr>
            <w:r w:rsidRPr="00216965">
              <w:rPr>
                <w:sz w:val="20"/>
                <w:szCs w:val="20"/>
              </w:rPr>
              <w:t>4.75</w:t>
            </w:r>
          </w:p>
        </w:tc>
        <w:tc>
          <w:tcPr>
            <w:tcW w:w="1418" w:type="dxa"/>
          </w:tcPr>
          <w:p w14:paraId="7FEB7AEF" w14:textId="77777777" w:rsidR="00B45740" w:rsidRPr="00216965" w:rsidRDefault="00B45740" w:rsidP="008A33DA">
            <w:pPr>
              <w:spacing w:after="0" w:line="240" w:lineRule="auto"/>
              <w:rPr>
                <w:sz w:val="20"/>
                <w:szCs w:val="20"/>
              </w:rPr>
            </w:pPr>
            <w:r w:rsidRPr="00216965">
              <w:rPr>
                <w:sz w:val="20"/>
                <w:szCs w:val="20"/>
              </w:rPr>
              <w:t>5.3 ± 0.1</w:t>
            </w:r>
          </w:p>
        </w:tc>
        <w:tc>
          <w:tcPr>
            <w:tcW w:w="283" w:type="dxa"/>
          </w:tcPr>
          <w:p w14:paraId="07D82B1F" w14:textId="77777777" w:rsidR="00B45740" w:rsidRPr="00216965" w:rsidRDefault="00B45740" w:rsidP="008A33DA">
            <w:pPr>
              <w:spacing w:after="0" w:line="240" w:lineRule="auto"/>
              <w:rPr>
                <w:sz w:val="20"/>
                <w:szCs w:val="20"/>
              </w:rPr>
            </w:pPr>
          </w:p>
        </w:tc>
        <w:tc>
          <w:tcPr>
            <w:tcW w:w="1559" w:type="dxa"/>
          </w:tcPr>
          <w:p w14:paraId="0AFB0753" w14:textId="77777777" w:rsidR="00B45740" w:rsidRPr="00216965" w:rsidRDefault="00B45740" w:rsidP="008A33DA">
            <w:pPr>
              <w:spacing w:after="0" w:line="240" w:lineRule="auto"/>
              <w:rPr>
                <w:rFonts w:ascii="Calibri" w:eastAsia="Calibri" w:hAnsi="Calibri" w:cs="Calibri"/>
                <w:sz w:val="20"/>
                <w:szCs w:val="20"/>
              </w:rPr>
            </w:pPr>
            <w:r w:rsidRPr="00216965">
              <w:rPr>
                <w:sz w:val="20"/>
                <w:szCs w:val="20"/>
              </w:rPr>
              <w:t>5.7 ± 0.1</w:t>
            </w:r>
          </w:p>
        </w:tc>
        <w:tc>
          <w:tcPr>
            <w:tcW w:w="1423" w:type="dxa"/>
          </w:tcPr>
          <w:p w14:paraId="5B54C46E" w14:textId="77777777" w:rsidR="00B45740" w:rsidRPr="00216965" w:rsidRDefault="00B45740" w:rsidP="008A33DA">
            <w:pPr>
              <w:spacing w:after="0" w:line="240" w:lineRule="auto"/>
              <w:rPr>
                <w:sz w:val="20"/>
                <w:szCs w:val="20"/>
              </w:rPr>
            </w:pPr>
            <w:r w:rsidRPr="00216965">
              <w:rPr>
                <w:sz w:val="20"/>
                <w:szCs w:val="20"/>
              </w:rPr>
              <w:t>5.9 ± 0.2</w:t>
            </w:r>
          </w:p>
        </w:tc>
      </w:tr>
      <w:tr w:rsidR="00B45740" w:rsidRPr="00216965" w14:paraId="68E0A1F6" w14:textId="77777777" w:rsidTr="007906FC">
        <w:tc>
          <w:tcPr>
            <w:tcW w:w="1980" w:type="dxa"/>
          </w:tcPr>
          <w:p w14:paraId="5967E477" w14:textId="77777777" w:rsidR="00B45740" w:rsidRPr="00216965" w:rsidRDefault="00B45740" w:rsidP="008A33DA">
            <w:pPr>
              <w:spacing w:after="0" w:line="240" w:lineRule="auto"/>
            </w:pPr>
            <w:r w:rsidRPr="00216965">
              <w:rPr>
                <w:sz w:val="22"/>
              </w:rPr>
              <w:t>EC</w:t>
            </w:r>
          </w:p>
        </w:tc>
        <w:tc>
          <w:tcPr>
            <w:tcW w:w="1559" w:type="dxa"/>
          </w:tcPr>
          <w:p w14:paraId="01B497C1" w14:textId="77777777" w:rsidR="00B45740" w:rsidRPr="00216965" w:rsidRDefault="00B45740" w:rsidP="008A33DA">
            <w:pPr>
              <w:spacing w:after="0" w:line="240" w:lineRule="auto"/>
              <w:rPr>
                <w:sz w:val="20"/>
                <w:szCs w:val="20"/>
              </w:rPr>
            </w:pPr>
            <w:r w:rsidRPr="00216965">
              <w:rPr>
                <w:sz w:val="20"/>
                <w:szCs w:val="20"/>
              </w:rPr>
              <w:t>-</w:t>
            </w:r>
          </w:p>
        </w:tc>
        <w:tc>
          <w:tcPr>
            <w:tcW w:w="1418" w:type="dxa"/>
          </w:tcPr>
          <w:p w14:paraId="082E7785" w14:textId="77777777" w:rsidR="00B45740" w:rsidRPr="00216965" w:rsidRDefault="00B45740" w:rsidP="008A33DA">
            <w:pPr>
              <w:spacing w:after="0" w:line="240" w:lineRule="auto"/>
              <w:rPr>
                <w:sz w:val="20"/>
                <w:szCs w:val="20"/>
              </w:rPr>
            </w:pPr>
            <w:r w:rsidRPr="00216965">
              <w:rPr>
                <w:sz w:val="20"/>
                <w:szCs w:val="20"/>
              </w:rPr>
              <w:t>344 ± 14</w:t>
            </w:r>
          </w:p>
        </w:tc>
        <w:tc>
          <w:tcPr>
            <w:tcW w:w="283" w:type="dxa"/>
          </w:tcPr>
          <w:p w14:paraId="79ABE9D4" w14:textId="77777777" w:rsidR="00B45740" w:rsidRPr="00216965" w:rsidRDefault="00B45740" w:rsidP="008A33DA">
            <w:pPr>
              <w:spacing w:after="0" w:line="240" w:lineRule="auto"/>
              <w:rPr>
                <w:sz w:val="20"/>
                <w:szCs w:val="20"/>
              </w:rPr>
            </w:pPr>
          </w:p>
        </w:tc>
        <w:tc>
          <w:tcPr>
            <w:tcW w:w="1559" w:type="dxa"/>
          </w:tcPr>
          <w:p w14:paraId="533669E8" w14:textId="77777777" w:rsidR="00B45740" w:rsidRPr="00216965" w:rsidRDefault="00B45740" w:rsidP="008A33DA">
            <w:pPr>
              <w:spacing w:after="0" w:line="240" w:lineRule="auto"/>
              <w:rPr>
                <w:sz w:val="20"/>
                <w:szCs w:val="20"/>
              </w:rPr>
            </w:pPr>
            <w:r w:rsidRPr="00216965">
              <w:rPr>
                <w:sz w:val="20"/>
                <w:szCs w:val="20"/>
              </w:rPr>
              <w:t>-</w:t>
            </w:r>
          </w:p>
        </w:tc>
        <w:tc>
          <w:tcPr>
            <w:tcW w:w="1423" w:type="dxa"/>
          </w:tcPr>
          <w:p w14:paraId="6989DC98" w14:textId="77777777" w:rsidR="00B45740" w:rsidRPr="00216965" w:rsidRDefault="00B45740" w:rsidP="008A33DA">
            <w:pPr>
              <w:spacing w:after="0" w:line="240" w:lineRule="auto"/>
              <w:rPr>
                <w:sz w:val="20"/>
                <w:szCs w:val="20"/>
              </w:rPr>
            </w:pPr>
            <w:r w:rsidRPr="00216965">
              <w:rPr>
                <w:sz w:val="20"/>
                <w:szCs w:val="20"/>
              </w:rPr>
              <w:t>301 ± 31</w:t>
            </w:r>
          </w:p>
        </w:tc>
      </w:tr>
      <w:tr w:rsidR="00B45740" w:rsidRPr="00216965" w14:paraId="7C78D62E" w14:textId="77777777" w:rsidTr="007906FC">
        <w:tc>
          <w:tcPr>
            <w:tcW w:w="1980" w:type="dxa"/>
          </w:tcPr>
          <w:p w14:paraId="0CB2460B" w14:textId="77777777" w:rsidR="00B45740" w:rsidRPr="00216965" w:rsidRDefault="00B45740" w:rsidP="008A33DA">
            <w:pPr>
              <w:spacing w:after="0" w:line="240" w:lineRule="auto"/>
            </w:pPr>
            <w:r w:rsidRPr="00216965">
              <w:rPr>
                <w:sz w:val="22"/>
              </w:rPr>
              <w:t>Δ</w:t>
            </w:r>
            <w:r w:rsidRPr="00216965">
              <w:rPr>
                <w:sz w:val="22"/>
                <w:vertAlign w:val="superscript"/>
              </w:rPr>
              <w:t>13</w:t>
            </w:r>
            <w:r w:rsidRPr="00216965">
              <w:rPr>
                <w:sz w:val="22"/>
              </w:rPr>
              <w:t>C</w:t>
            </w:r>
          </w:p>
        </w:tc>
        <w:tc>
          <w:tcPr>
            <w:tcW w:w="1559" w:type="dxa"/>
          </w:tcPr>
          <w:p w14:paraId="2E35C826" w14:textId="77777777" w:rsidR="00B45740" w:rsidRPr="00216965" w:rsidRDefault="00B45740" w:rsidP="008A33DA">
            <w:pPr>
              <w:spacing w:after="0" w:line="240" w:lineRule="auto"/>
              <w:rPr>
                <w:sz w:val="20"/>
                <w:szCs w:val="20"/>
              </w:rPr>
            </w:pPr>
            <w:r w:rsidRPr="00216965">
              <w:rPr>
                <w:sz w:val="20"/>
                <w:szCs w:val="20"/>
              </w:rPr>
              <w:t>-26.97 ± 0.11</w:t>
            </w:r>
          </w:p>
        </w:tc>
        <w:tc>
          <w:tcPr>
            <w:tcW w:w="1418" w:type="dxa"/>
          </w:tcPr>
          <w:p w14:paraId="604C1D77" w14:textId="77777777" w:rsidR="00B45740" w:rsidRPr="00216965" w:rsidRDefault="00B45740" w:rsidP="008A33DA">
            <w:pPr>
              <w:spacing w:after="0" w:line="240" w:lineRule="auto"/>
              <w:rPr>
                <w:sz w:val="20"/>
                <w:szCs w:val="20"/>
              </w:rPr>
            </w:pPr>
            <w:r w:rsidRPr="00216965">
              <w:rPr>
                <w:sz w:val="20"/>
                <w:szCs w:val="20"/>
              </w:rPr>
              <w:t>-26.60 ± 0.19</w:t>
            </w:r>
          </w:p>
        </w:tc>
        <w:tc>
          <w:tcPr>
            <w:tcW w:w="283" w:type="dxa"/>
          </w:tcPr>
          <w:p w14:paraId="631338E4" w14:textId="77777777" w:rsidR="00B45740" w:rsidRPr="00216965" w:rsidRDefault="00B45740" w:rsidP="008A33DA">
            <w:pPr>
              <w:spacing w:after="0" w:line="240" w:lineRule="auto"/>
              <w:rPr>
                <w:sz w:val="20"/>
                <w:szCs w:val="20"/>
              </w:rPr>
            </w:pPr>
          </w:p>
        </w:tc>
        <w:tc>
          <w:tcPr>
            <w:tcW w:w="1559" w:type="dxa"/>
          </w:tcPr>
          <w:p w14:paraId="737A7AC9" w14:textId="77777777" w:rsidR="00B45740" w:rsidRPr="00216965" w:rsidRDefault="00B45740" w:rsidP="008A33DA">
            <w:pPr>
              <w:spacing w:after="0" w:line="240" w:lineRule="auto"/>
              <w:rPr>
                <w:sz w:val="20"/>
                <w:szCs w:val="20"/>
              </w:rPr>
            </w:pPr>
            <w:r w:rsidRPr="00216965">
              <w:rPr>
                <w:sz w:val="20"/>
                <w:szCs w:val="20"/>
              </w:rPr>
              <w:t xml:space="preserve">-26.99 </w:t>
            </w:r>
            <w:bookmarkStart w:id="397" w:name="bookmark=id.3o7alnk" w:colFirst="0" w:colLast="0"/>
            <w:bookmarkEnd w:id="397"/>
            <w:r w:rsidRPr="00216965">
              <w:rPr>
                <w:sz w:val="20"/>
                <w:szCs w:val="20"/>
              </w:rPr>
              <w:t>± 0.29</w:t>
            </w:r>
          </w:p>
        </w:tc>
        <w:tc>
          <w:tcPr>
            <w:tcW w:w="1423" w:type="dxa"/>
          </w:tcPr>
          <w:p w14:paraId="3CC569CE" w14:textId="77777777" w:rsidR="00B45740" w:rsidRPr="00216965" w:rsidRDefault="00B45740" w:rsidP="008A33DA">
            <w:pPr>
              <w:spacing w:after="0" w:line="240" w:lineRule="auto"/>
              <w:rPr>
                <w:sz w:val="20"/>
                <w:szCs w:val="20"/>
              </w:rPr>
            </w:pPr>
            <w:r w:rsidRPr="00216965">
              <w:rPr>
                <w:sz w:val="20"/>
                <w:szCs w:val="20"/>
              </w:rPr>
              <w:t>-26.98  ± 0.34</w:t>
            </w:r>
          </w:p>
        </w:tc>
      </w:tr>
    </w:tbl>
    <w:p w14:paraId="42BD9474" w14:textId="77777777" w:rsidR="00B45740" w:rsidRPr="00216965" w:rsidRDefault="00B45740" w:rsidP="008A33DA">
      <w:pPr>
        <w:spacing w:line="360" w:lineRule="auto"/>
        <w:jc w:val="both"/>
      </w:pPr>
    </w:p>
    <w:p w14:paraId="7DF4F5C9" w14:textId="77777777" w:rsidR="00B45740" w:rsidRPr="00216965" w:rsidRDefault="00B45740" w:rsidP="008A33DA">
      <w:r w:rsidRPr="00216965">
        <w:rPr>
          <w:noProof/>
        </w:rPr>
        <w:drawing>
          <wp:inline distT="0" distB="0" distL="0" distR="0" wp14:anchorId="04B31EE8" wp14:editId="0851B56E">
            <wp:extent cx="5372100" cy="3445933"/>
            <wp:effectExtent l="0" t="0" r="0" b="2540"/>
            <wp:docPr id="63" name="image12.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Chart, bar chart&#10;&#10;Description automatically generated"/>
                    <pic:cNvPicPr preferRelativeResize="0"/>
                  </pic:nvPicPr>
                  <pic:blipFill>
                    <a:blip r:embed="rId72"/>
                    <a:srcRect/>
                    <a:stretch>
                      <a:fillRect/>
                    </a:stretch>
                  </pic:blipFill>
                  <pic:spPr>
                    <a:xfrm>
                      <a:off x="0" y="0"/>
                      <a:ext cx="5383474" cy="3453229"/>
                    </a:xfrm>
                    <a:prstGeom prst="rect">
                      <a:avLst/>
                    </a:prstGeom>
                    <a:ln/>
                  </pic:spPr>
                </pic:pic>
              </a:graphicData>
            </a:graphic>
          </wp:inline>
        </w:drawing>
      </w:r>
    </w:p>
    <w:p w14:paraId="39862372" w14:textId="71E48806" w:rsidR="00B45740" w:rsidRPr="00216965" w:rsidRDefault="00B45740" w:rsidP="008A33DA">
      <w:pPr>
        <w:pBdr>
          <w:top w:val="nil"/>
          <w:left w:val="nil"/>
          <w:bottom w:val="nil"/>
          <w:right w:val="nil"/>
          <w:between w:val="nil"/>
        </w:pBdr>
        <w:spacing w:after="200" w:line="240" w:lineRule="auto"/>
        <w:jc w:val="both"/>
        <w:rPr>
          <w:color w:val="000000"/>
        </w:rPr>
      </w:pPr>
      <w:bookmarkStart w:id="398" w:name="_Ref84619745"/>
      <w:bookmarkStart w:id="399" w:name="_Toc86439398"/>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17</w:t>
      </w:r>
      <w:r w:rsidR="00BF3EBE" w:rsidRPr="00216965">
        <w:rPr>
          <w:b/>
          <w:bCs/>
        </w:rPr>
        <w:fldChar w:fldCharType="end"/>
      </w:r>
      <w:bookmarkEnd w:id="398"/>
      <w:r w:rsidRPr="00216965">
        <w:rPr>
          <w:noProof/>
        </w:rPr>
        <w:t xml:space="preserve"> </w:t>
      </w:r>
      <w:r w:rsidRPr="00216965">
        <w:rPr>
          <w:b/>
          <w:bCs/>
          <w:color w:val="000000"/>
        </w:rPr>
        <w:t xml:space="preserve">Heavy metals in Wemyss soil used in the secondment at BOKU. Soil samples were analysed at 1 and 12 months after the beginning of the incubation experiment. </w:t>
      </w:r>
      <w:r w:rsidRPr="00216965">
        <w:rPr>
          <w:color w:val="000000"/>
        </w:rPr>
        <w:t>Treatments with the same letter do not differ significantly according to Tukey post hoc test (α</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0.05),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3. Total Pb and Zn (aqua regia extracts), bioavailable Pb and Zn (acid-soluble fraction). Soil fractions: acid-soluble (AS), reducible (RD), oxidisable (OX) and residual (RES).</w:t>
      </w:r>
      <w:bookmarkEnd w:id="399"/>
    </w:p>
    <w:p w14:paraId="6A0A96F7" w14:textId="23302B74" w:rsidR="00B45740" w:rsidRPr="00216965" w:rsidRDefault="00B45740" w:rsidP="008A33DA">
      <w:pPr>
        <w:spacing w:line="360" w:lineRule="auto"/>
        <w:jc w:val="both"/>
      </w:pPr>
      <w:r w:rsidRPr="00216965">
        <w:lastRenderedPageBreak/>
        <w:t xml:space="preserve">The production of carbon dioxide </w:t>
      </w:r>
      <w:r w:rsidRPr="00216965">
        <w:rPr>
          <w:i/>
        </w:rPr>
        <w:t>vs</w:t>
      </w:r>
      <w:r w:rsidRPr="00216965">
        <w:t xml:space="preserve"> time after the addition of </w:t>
      </w:r>
      <w:r w:rsidRPr="00216965">
        <w:rPr>
          <w:vertAlign w:val="superscript"/>
        </w:rPr>
        <w:t>13</w:t>
      </w:r>
      <w:r w:rsidRPr="00216965">
        <w:t xml:space="preserve">C glucose is presented in </w:t>
      </w:r>
      <w:r w:rsidRPr="00216965">
        <w:rPr>
          <w:b/>
          <w:bCs/>
          <w:lang w:val="en-US"/>
        </w:rPr>
        <w:fldChar w:fldCharType="begin"/>
      </w:r>
      <w:r w:rsidRPr="00216965">
        <w:rPr>
          <w:b/>
          <w:bCs/>
          <w:lang w:val="en-US"/>
        </w:rPr>
        <w:instrText xml:space="preserve"> REF _Ref84285510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18</w:t>
      </w:r>
      <w:r w:rsidRPr="00216965">
        <w:rPr>
          <w:b/>
          <w:bCs/>
          <w:lang w:val="en-US"/>
        </w:rPr>
        <w:fldChar w:fldCharType="end"/>
      </w:r>
      <w:r w:rsidRPr="00216965">
        <w:t>. C mineralization from the soil had two stages, fast production of CO</w:t>
      </w:r>
      <w:r w:rsidRPr="00216965">
        <w:rPr>
          <w:vertAlign w:val="subscript"/>
        </w:rPr>
        <w:t>2</w:t>
      </w:r>
      <w:r w:rsidRPr="00216965">
        <w:t xml:space="preserve"> until 700 min and slower release of CO</w:t>
      </w:r>
      <w:r w:rsidRPr="00216965">
        <w:rPr>
          <w:vertAlign w:val="subscript"/>
        </w:rPr>
        <w:t xml:space="preserve">2 </w:t>
      </w:r>
      <w:r w:rsidRPr="00216965">
        <w:t>from</w:t>
      </w:r>
      <w:r w:rsidRPr="00216965">
        <w:rPr>
          <w:vertAlign w:val="subscript"/>
        </w:rPr>
        <w:t xml:space="preserve"> </w:t>
      </w:r>
      <w:r w:rsidRPr="00216965">
        <w:t>700 to 1500 min. In the first monitoring period, conducted after one month of incubation, the treatment containing biochar released CO</w:t>
      </w:r>
      <w:r w:rsidRPr="00216965">
        <w:rPr>
          <w:vertAlign w:val="subscript"/>
        </w:rPr>
        <w:t>2</w:t>
      </w:r>
      <w:r w:rsidRPr="00216965">
        <w:t xml:space="preserve"> faster than the control soil, as evident from the steeper slope. However, after one year of incubation outdoors, the release of CO</w:t>
      </w:r>
      <w:r w:rsidRPr="00216965">
        <w:rPr>
          <w:vertAlign w:val="subscript"/>
        </w:rPr>
        <w:t>2</w:t>
      </w:r>
      <w:r w:rsidRPr="00216965">
        <w:t xml:space="preserve"> from both the soil amended with biochar and the control soil was slower and similar. The rate of CO</w:t>
      </w:r>
      <w:r w:rsidRPr="00216965">
        <w:rPr>
          <w:vertAlign w:val="subscript"/>
        </w:rPr>
        <w:t>2</w:t>
      </w:r>
      <w:r w:rsidRPr="00216965">
        <w:t xml:space="preserve"> production was well described by a logistic model during both the fast and slow release phases. The coefficients obtained from fitting the logistic model to the experimental data are presented in </w:t>
      </w:r>
      <w:r w:rsidRPr="00216965">
        <w:rPr>
          <w:b/>
          <w:bCs/>
          <w:lang w:val="en-US"/>
        </w:rPr>
        <w:fldChar w:fldCharType="begin"/>
      </w:r>
      <w:r w:rsidRPr="00216965">
        <w:rPr>
          <w:b/>
          <w:bCs/>
          <w:lang w:val="en-US"/>
        </w:rPr>
        <w:instrText xml:space="preserve"> REF _Ref83064428 \h  \* MERGEFORMAT </w:instrText>
      </w:r>
      <w:r w:rsidRPr="00216965">
        <w:rPr>
          <w:b/>
          <w:bCs/>
          <w:lang w:val="en-US"/>
        </w:rPr>
      </w:r>
      <w:r w:rsidRPr="00216965">
        <w:rPr>
          <w:b/>
          <w:bCs/>
          <w:lang w:val="en-US"/>
        </w:rPr>
        <w:fldChar w:fldCharType="separate"/>
      </w:r>
      <w:r w:rsidR="006E23EA" w:rsidRPr="00216965">
        <w:rPr>
          <w:b/>
          <w:bCs/>
        </w:rPr>
        <w:t xml:space="preserve">Table </w:t>
      </w:r>
      <w:r w:rsidR="006E23EA" w:rsidRPr="00216965">
        <w:rPr>
          <w:b/>
          <w:bCs/>
          <w:noProof/>
        </w:rPr>
        <w:t>5</w:t>
      </w:r>
      <w:r w:rsidR="006E23EA" w:rsidRPr="00216965">
        <w:rPr>
          <w:b/>
          <w:bCs/>
          <w:noProof/>
        </w:rPr>
        <w:noBreakHyphen/>
        <w:t>1</w:t>
      </w:r>
      <w:r w:rsidRPr="00216965">
        <w:rPr>
          <w:b/>
          <w:bCs/>
          <w:lang w:val="en-US"/>
        </w:rPr>
        <w:fldChar w:fldCharType="end"/>
      </w:r>
      <w:r w:rsidRPr="00216965">
        <w:rPr>
          <w:b/>
        </w:rPr>
        <w:t>.</w:t>
      </w:r>
    </w:p>
    <w:p w14:paraId="334E77AB" w14:textId="77777777" w:rsidR="00B45740" w:rsidRPr="00216965" w:rsidRDefault="00B45740" w:rsidP="008A33DA">
      <w:pPr>
        <w:keepNext/>
      </w:pPr>
      <w:r w:rsidRPr="00216965">
        <w:t xml:space="preserve"> </w:t>
      </w:r>
      <w:r w:rsidRPr="00216965">
        <w:rPr>
          <w:noProof/>
        </w:rPr>
        <w:drawing>
          <wp:inline distT="0" distB="0" distL="0" distR="0" wp14:anchorId="560BB675" wp14:editId="1A639C12">
            <wp:extent cx="5731510" cy="3667760"/>
            <wp:effectExtent l="0" t="0" r="0" b="0"/>
            <wp:docPr id="64" name="image11.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Chart&#10;&#10;Description automatically generated"/>
                    <pic:cNvPicPr preferRelativeResize="0"/>
                  </pic:nvPicPr>
                  <pic:blipFill>
                    <a:blip r:embed="rId73"/>
                    <a:srcRect/>
                    <a:stretch>
                      <a:fillRect/>
                    </a:stretch>
                  </pic:blipFill>
                  <pic:spPr>
                    <a:xfrm>
                      <a:off x="0" y="0"/>
                      <a:ext cx="5731510" cy="3667760"/>
                    </a:xfrm>
                    <a:prstGeom prst="rect">
                      <a:avLst/>
                    </a:prstGeom>
                    <a:ln/>
                  </pic:spPr>
                </pic:pic>
              </a:graphicData>
            </a:graphic>
          </wp:inline>
        </w:drawing>
      </w:r>
    </w:p>
    <w:p w14:paraId="6451B136" w14:textId="01AD0C34" w:rsidR="00B45740" w:rsidRPr="00216965" w:rsidRDefault="00B45740" w:rsidP="008A33DA">
      <w:pPr>
        <w:pBdr>
          <w:top w:val="nil"/>
          <w:left w:val="nil"/>
          <w:bottom w:val="nil"/>
          <w:right w:val="nil"/>
          <w:between w:val="nil"/>
        </w:pBdr>
        <w:spacing w:after="200" w:line="240" w:lineRule="auto"/>
        <w:jc w:val="both"/>
        <w:rPr>
          <w:color w:val="000000"/>
        </w:rPr>
      </w:pPr>
      <w:bookmarkStart w:id="400" w:name="_Ref84285510"/>
      <w:bookmarkStart w:id="401" w:name="_Toc86439399"/>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18</w:t>
      </w:r>
      <w:r w:rsidR="00BF3EBE" w:rsidRPr="00216965">
        <w:rPr>
          <w:b/>
          <w:bCs/>
        </w:rPr>
        <w:fldChar w:fldCharType="end"/>
      </w:r>
      <w:bookmarkEnd w:id="400"/>
      <w:r w:rsidRPr="00216965">
        <w:rPr>
          <w:noProof/>
        </w:rPr>
        <w:t xml:space="preserve"> </w:t>
      </w:r>
      <w:r w:rsidRPr="00216965">
        <w:rPr>
          <w:b/>
          <w:bCs/>
          <w:color w:val="000000"/>
        </w:rPr>
        <w:t>Carbon dioxide production over time</w:t>
      </w:r>
      <w:r w:rsidR="00761390" w:rsidRPr="00216965">
        <w:rPr>
          <w:b/>
          <w:bCs/>
          <w:color w:val="000000"/>
        </w:rPr>
        <w:t xml:space="preserve"> after addition of </w:t>
      </w:r>
      <w:r w:rsidR="00761390" w:rsidRPr="00216965">
        <w:rPr>
          <w:b/>
          <w:bCs/>
          <w:color w:val="000000"/>
          <w:vertAlign w:val="superscript"/>
        </w:rPr>
        <w:t>13</w:t>
      </w:r>
      <w:r w:rsidR="00761390" w:rsidRPr="00216965">
        <w:rPr>
          <w:b/>
          <w:bCs/>
          <w:color w:val="000000"/>
        </w:rPr>
        <w:t>C glucose</w:t>
      </w:r>
      <w:r w:rsidRPr="00216965">
        <w:rPr>
          <w:color w:val="000000"/>
        </w:rPr>
        <w:t xml:space="preserve">. Dots are the experimental values </w:t>
      </w:r>
      <w:r w:rsidR="00761390" w:rsidRPr="00216965">
        <w:rPr>
          <w:color w:val="000000"/>
        </w:rPr>
        <w:t>measured</w:t>
      </w:r>
      <w:r w:rsidRPr="00216965">
        <w:rPr>
          <w:color w:val="000000"/>
        </w:rPr>
        <w:t xml:space="preserve"> a</w:t>
      </w:r>
      <w:r w:rsidR="00761390" w:rsidRPr="00216965">
        <w:rPr>
          <w:color w:val="000000"/>
        </w:rPr>
        <w:t>t</w:t>
      </w:r>
      <w:r w:rsidRPr="00216965">
        <w:rPr>
          <w:color w:val="000000"/>
        </w:rPr>
        <w:t xml:space="preserve"> 1 and 12 months after the start of the incubation with biochar. The lines are the fit of the four parameter logistic model,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5.</w:t>
      </w:r>
      <w:bookmarkEnd w:id="401"/>
    </w:p>
    <w:p w14:paraId="2D085982" w14:textId="24909EA0" w:rsidR="00B45740" w:rsidRPr="00216965" w:rsidRDefault="00B45740" w:rsidP="008A33DA">
      <w:pPr>
        <w:spacing w:line="360" w:lineRule="auto"/>
        <w:jc w:val="both"/>
        <w:rPr>
          <w:i/>
        </w:rPr>
      </w:pPr>
      <w:r w:rsidRPr="00216965">
        <w:t>The cumulative production of CO</w:t>
      </w:r>
      <w:r w:rsidRPr="00216965">
        <w:rPr>
          <w:vertAlign w:val="subscript"/>
        </w:rPr>
        <w:t>2</w:t>
      </w:r>
      <w:r w:rsidRPr="00216965">
        <w:t xml:space="preserve"> was different for the soil treated with biochar relative to the control soil. In the first sampling, the rate constant (</w:t>
      </w:r>
      <w:r w:rsidRPr="00216965">
        <w:rPr>
          <w:i/>
        </w:rPr>
        <w:t>k</w:t>
      </w:r>
      <w:r w:rsidRPr="00216965">
        <w:t xml:space="preserve">) and </w:t>
      </w:r>
      <w:r w:rsidRPr="00216965">
        <w:rPr>
          <w:i/>
        </w:rPr>
        <w:t>C</w:t>
      </w:r>
      <w:r w:rsidRPr="00216965">
        <w:rPr>
          <w:i/>
          <w:vertAlign w:val="subscript"/>
        </w:rPr>
        <w:t>min</w:t>
      </w:r>
      <w:r w:rsidRPr="00216965">
        <w:t xml:space="preserve"> were significantly lower for the soil amended with biochar than that of the control soil. However, in both cases the predicted maximum CO</w:t>
      </w:r>
      <w:r w:rsidRPr="00216965">
        <w:rPr>
          <w:vertAlign w:val="subscript"/>
        </w:rPr>
        <w:t>2</w:t>
      </w:r>
      <w:r w:rsidRPr="00216965">
        <w:t xml:space="preserve"> production </w:t>
      </w:r>
      <w:r w:rsidRPr="00216965">
        <w:rPr>
          <w:i/>
        </w:rPr>
        <w:t>C</w:t>
      </w:r>
      <w:r w:rsidRPr="00216965">
        <w:rPr>
          <w:i/>
          <w:vertAlign w:val="subscript"/>
        </w:rPr>
        <w:t>max</w:t>
      </w:r>
      <w:r w:rsidRPr="00216965">
        <w:rPr>
          <w:vertAlign w:val="subscript"/>
        </w:rPr>
        <w:t xml:space="preserve"> </w:t>
      </w:r>
      <w:r w:rsidRPr="00216965">
        <w:t xml:space="preserve">was the same. After one year of incubation outdoors, the soil with biochar had significantly lower </w:t>
      </w:r>
      <w:r w:rsidRPr="00216965">
        <w:rPr>
          <w:i/>
        </w:rPr>
        <w:t>k</w:t>
      </w:r>
      <w:r w:rsidRPr="00216965">
        <w:t xml:space="preserve"> and </w:t>
      </w:r>
      <w:r w:rsidRPr="00216965">
        <w:rPr>
          <w:i/>
        </w:rPr>
        <w:t>C</w:t>
      </w:r>
      <w:r w:rsidRPr="00216965">
        <w:rPr>
          <w:i/>
          <w:vertAlign w:val="subscript"/>
        </w:rPr>
        <w:t>min</w:t>
      </w:r>
      <w:r w:rsidRPr="00216965">
        <w:t xml:space="preserve"> and higher </w:t>
      </w:r>
      <w:r w:rsidRPr="00216965">
        <w:rPr>
          <w:i/>
          <w:iCs/>
        </w:rPr>
        <w:lastRenderedPageBreak/>
        <w:t>C</w:t>
      </w:r>
      <w:r w:rsidRPr="00216965">
        <w:rPr>
          <w:vertAlign w:val="subscript"/>
        </w:rPr>
        <w:t>max</w:t>
      </w:r>
      <w:r w:rsidRPr="00216965">
        <w:t xml:space="preserve"> than the control soil (p</w:t>
      </w:r>
      <w:r w:rsidR="00831AE6" w:rsidRPr="00216965">
        <w:t xml:space="preserve"> </w:t>
      </w:r>
      <w:r w:rsidRPr="00216965">
        <w:t>&lt;</w:t>
      </w:r>
      <w:r w:rsidR="00831AE6" w:rsidRPr="00216965">
        <w:t xml:space="preserve"> </w:t>
      </w:r>
      <w:r w:rsidRPr="00216965">
        <w:t>0.05) indicating a higher C mineralization than the control soil. However, the difference was not so obvious as during the first measurement</w:t>
      </w:r>
      <w:r w:rsidRPr="00216965">
        <w:rPr>
          <w:i/>
        </w:rPr>
        <w:t>.</w:t>
      </w:r>
    </w:p>
    <w:p w14:paraId="2B004A45" w14:textId="42E161C3" w:rsidR="00B45740" w:rsidRPr="00216965" w:rsidRDefault="00B45740" w:rsidP="008A33DA">
      <w:pPr>
        <w:pBdr>
          <w:top w:val="nil"/>
          <w:left w:val="nil"/>
          <w:bottom w:val="nil"/>
          <w:right w:val="nil"/>
          <w:between w:val="nil"/>
        </w:pBdr>
        <w:spacing w:after="200" w:line="240" w:lineRule="auto"/>
        <w:rPr>
          <w:b/>
          <w:color w:val="000000"/>
        </w:rPr>
      </w:pPr>
      <w:bookmarkStart w:id="402" w:name="_Toc86440376"/>
      <w:r w:rsidRPr="00216965">
        <w:rPr>
          <w:b/>
          <w:bCs/>
        </w:rPr>
        <w:t xml:space="preserve">Table </w:t>
      </w:r>
      <w:r w:rsidR="00E569FA" w:rsidRPr="00216965">
        <w:rPr>
          <w:b/>
          <w:bCs/>
        </w:rPr>
        <w:fldChar w:fldCharType="begin"/>
      </w:r>
      <w:r w:rsidR="00E569FA" w:rsidRPr="00216965">
        <w:rPr>
          <w:b/>
          <w:bCs/>
        </w:rPr>
        <w:instrText xml:space="preserve"> STYLEREF 1 \s </w:instrText>
      </w:r>
      <w:r w:rsidR="00E569FA" w:rsidRPr="00216965">
        <w:rPr>
          <w:b/>
          <w:bCs/>
        </w:rPr>
        <w:fldChar w:fldCharType="separate"/>
      </w:r>
      <w:r w:rsidR="006E23EA" w:rsidRPr="00216965">
        <w:rPr>
          <w:b/>
          <w:bCs/>
          <w:noProof/>
        </w:rPr>
        <w:t>5</w:t>
      </w:r>
      <w:r w:rsidR="00E569FA" w:rsidRPr="00216965">
        <w:rPr>
          <w:b/>
          <w:bCs/>
        </w:rPr>
        <w:fldChar w:fldCharType="end"/>
      </w:r>
      <w:r w:rsidR="00E569FA" w:rsidRPr="00216965">
        <w:rPr>
          <w:b/>
          <w:bCs/>
        </w:rPr>
        <w:noBreakHyphen/>
      </w:r>
      <w:r w:rsidR="00E569FA" w:rsidRPr="00216965">
        <w:rPr>
          <w:b/>
          <w:bCs/>
        </w:rPr>
        <w:fldChar w:fldCharType="begin"/>
      </w:r>
      <w:r w:rsidR="00E569FA" w:rsidRPr="00216965">
        <w:rPr>
          <w:b/>
          <w:bCs/>
        </w:rPr>
        <w:instrText xml:space="preserve"> SEQ Table \* ARABIC \s 1 </w:instrText>
      </w:r>
      <w:r w:rsidR="00E569FA" w:rsidRPr="00216965">
        <w:rPr>
          <w:b/>
          <w:bCs/>
        </w:rPr>
        <w:fldChar w:fldCharType="separate"/>
      </w:r>
      <w:r w:rsidR="006E23EA" w:rsidRPr="00216965">
        <w:rPr>
          <w:b/>
          <w:bCs/>
          <w:noProof/>
        </w:rPr>
        <w:t>6</w:t>
      </w:r>
      <w:r w:rsidR="00E569FA" w:rsidRPr="00216965">
        <w:rPr>
          <w:b/>
          <w:bCs/>
        </w:rPr>
        <w:fldChar w:fldCharType="end"/>
      </w:r>
      <w:r w:rsidRPr="00216965">
        <w:rPr>
          <w:noProof/>
        </w:rPr>
        <w:t xml:space="preserve"> </w:t>
      </w:r>
      <w:r w:rsidRPr="00216965">
        <w:rPr>
          <w:b/>
          <w:color w:val="000000"/>
        </w:rPr>
        <w:t>Coefficients from the fit of CO</w:t>
      </w:r>
      <w:r w:rsidRPr="00216965">
        <w:rPr>
          <w:b/>
          <w:color w:val="000000"/>
          <w:vertAlign w:val="subscript"/>
        </w:rPr>
        <w:t xml:space="preserve">2 </w:t>
      </w:r>
      <w:r w:rsidRPr="00216965">
        <w:rPr>
          <w:b/>
          <w:color w:val="000000"/>
        </w:rPr>
        <w:t>along time with the logistic model</w:t>
      </w:r>
      <w:bookmarkEnd w:id="402"/>
      <w:r w:rsidRPr="00216965">
        <w:rPr>
          <w:b/>
          <w:color w:val="000000"/>
        </w:rPr>
        <w:t xml:space="preserve"> </w:t>
      </w:r>
    </w:p>
    <w:tbl>
      <w:tblPr>
        <w:tblW w:w="6913"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371"/>
        <w:gridCol w:w="1431"/>
        <w:gridCol w:w="1700"/>
        <w:gridCol w:w="1416"/>
        <w:gridCol w:w="995"/>
      </w:tblGrid>
      <w:tr w:rsidR="00B45740" w:rsidRPr="00216965" w14:paraId="036C296F" w14:textId="77777777" w:rsidTr="00C84F12">
        <w:tc>
          <w:tcPr>
            <w:tcW w:w="1371" w:type="dxa"/>
            <w:tcBorders>
              <w:bottom w:val="nil"/>
            </w:tcBorders>
            <w:shd w:val="clear" w:color="auto" w:fill="A8D08D" w:themeFill="accent6" w:themeFillTint="99"/>
          </w:tcPr>
          <w:p w14:paraId="452DF515" w14:textId="77777777" w:rsidR="00B45740" w:rsidRPr="00216965" w:rsidRDefault="00B45740" w:rsidP="008A33DA">
            <w:pPr>
              <w:spacing w:after="0" w:line="240" w:lineRule="auto"/>
              <w:rPr>
                <w:b/>
              </w:rPr>
            </w:pPr>
          </w:p>
        </w:tc>
        <w:tc>
          <w:tcPr>
            <w:tcW w:w="1431" w:type="dxa"/>
            <w:tcBorders>
              <w:bottom w:val="nil"/>
            </w:tcBorders>
            <w:shd w:val="clear" w:color="auto" w:fill="A8D08D" w:themeFill="accent6" w:themeFillTint="99"/>
          </w:tcPr>
          <w:p w14:paraId="0F20136E" w14:textId="77777777" w:rsidR="00B45740" w:rsidRPr="00216965" w:rsidRDefault="00B45740" w:rsidP="008A33DA">
            <w:pPr>
              <w:spacing w:after="0" w:line="240" w:lineRule="auto"/>
              <w:rPr>
                <w:b/>
              </w:rPr>
            </w:pPr>
          </w:p>
        </w:tc>
        <w:tc>
          <w:tcPr>
            <w:tcW w:w="4111" w:type="dxa"/>
            <w:gridSpan w:val="3"/>
            <w:tcBorders>
              <w:bottom w:val="nil"/>
            </w:tcBorders>
            <w:shd w:val="clear" w:color="auto" w:fill="A8D08D" w:themeFill="accent6" w:themeFillTint="99"/>
            <w:vAlign w:val="center"/>
          </w:tcPr>
          <w:p w14:paraId="5C960C8B" w14:textId="77777777" w:rsidR="00B45740" w:rsidRPr="00216965" w:rsidRDefault="00B45740" w:rsidP="008A33DA">
            <w:pPr>
              <w:spacing w:after="0" w:line="240" w:lineRule="auto"/>
              <w:jc w:val="center"/>
              <w:rPr>
                <w:b/>
              </w:rPr>
            </w:pPr>
            <w:r w:rsidRPr="00216965">
              <w:rPr>
                <w:b/>
                <w:sz w:val="22"/>
              </w:rPr>
              <w:t>Coefficients</w:t>
            </w:r>
          </w:p>
        </w:tc>
      </w:tr>
      <w:tr w:rsidR="00B45740" w:rsidRPr="00216965" w14:paraId="255DD4A3" w14:textId="77777777" w:rsidTr="00C84F12">
        <w:tc>
          <w:tcPr>
            <w:tcW w:w="1371" w:type="dxa"/>
            <w:tcBorders>
              <w:top w:val="nil"/>
              <w:bottom w:val="single" w:sz="4" w:space="0" w:color="000000"/>
            </w:tcBorders>
            <w:shd w:val="clear" w:color="auto" w:fill="A8D08D" w:themeFill="accent6" w:themeFillTint="99"/>
          </w:tcPr>
          <w:p w14:paraId="677E413E" w14:textId="77777777" w:rsidR="00B45740" w:rsidRPr="00216965" w:rsidRDefault="00B45740" w:rsidP="008A33DA">
            <w:pPr>
              <w:spacing w:after="0" w:line="240" w:lineRule="auto"/>
              <w:rPr>
                <w:b/>
              </w:rPr>
            </w:pPr>
            <w:r w:rsidRPr="00216965">
              <w:rPr>
                <w:b/>
                <w:sz w:val="22"/>
              </w:rPr>
              <w:t>Sampling</w:t>
            </w:r>
          </w:p>
        </w:tc>
        <w:tc>
          <w:tcPr>
            <w:tcW w:w="1431" w:type="dxa"/>
            <w:tcBorders>
              <w:top w:val="nil"/>
              <w:bottom w:val="single" w:sz="4" w:space="0" w:color="000000"/>
            </w:tcBorders>
            <w:shd w:val="clear" w:color="auto" w:fill="A8D08D" w:themeFill="accent6" w:themeFillTint="99"/>
          </w:tcPr>
          <w:p w14:paraId="7199D105" w14:textId="77777777" w:rsidR="00B45740" w:rsidRPr="00216965" w:rsidRDefault="00B45740" w:rsidP="008A33DA">
            <w:pPr>
              <w:spacing w:after="0" w:line="240" w:lineRule="auto"/>
              <w:rPr>
                <w:b/>
              </w:rPr>
            </w:pPr>
            <w:r w:rsidRPr="00216965">
              <w:rPr>
                <w:b/>
                <w:sz w:val="22"/>
              </w:rPr>
              <w:t>Treatment</w:t>
            </w:r>
          </w:p>
        </w:tc>
        <w:tc>
          <w:tcPr>
            <w:tcW w:w="1700" w:type="dxa"/>
            <w:tcBorders>
              <w:top w:val="nil"/>
              <w:bottom w:val="single" w:sz="4" w:space="0" w:color="000000"/>
            </w:tcBorders>
            <w:shd w:val="clear" w:color="auto" w:fill="A8D08D" w:themeFill="accent6" w:themeFillTint="99"/>
            <w:vAlign w:val="center"/>
          </w:tcPr>
          <w:p w14:paraId="34F4A36E" w14:textId="77777777" w:rsidR="00B45740" w:rsidRPr="00216965" w:rsidRDefault="00B45740" w:rsidP="008A33DA">
            <w:pPr>
              <w:spacing w:after="0" w:line="240" w:lineRule="auto"/>
              <w:jc w:val="center"/>
              <w:rPr>
                <w:b/>
              </w:rPr>
            </w:pPr>
            <w:r w:rsidRPr="00216965">
              <w:rPr>
                <w:b/>
                <w:i/>
                <w:sz w:val="22"/>
              </w:rPr>
              <w:t>k</w:t>
            </w:r>
            <w:r w:rsidRPr="00216965">
              <w:rPr>
                <w:b/>
                <w:sz w:val="22"/>
              </w:rPr>
              <w:t xml:space="preserve"> (min</w:t>
            </w:r>
            <w:r w:rsidRPr="00216965">
              <w:rPr>
                <w:b/>
                <w:sz w:val="22"/>
                <w:vertAlign w:val="superscript"/>
              </w:rPr>
              <w:t>-1</w:t>
            </w:r>
            <w:r w:rsidRPr="00216965">
              <w:rPr>
                <w:b/>
                <w:sz w:val="22"/>
              </w:rPr>
              <w:t>)</w:t>
            </w:r>
          </w:p>
        </w:tc>
        <w:tc>
          <w:tcPr>
            <w:tcW w:w="1416" w:type="dxa"/>
            <w:tcBorders>
              <w:top w:val="nil"/>
              <w:bottom w:val="single" w:sz="4" w:space="0" w:color="000000"/>
            </w:tcBorders>
            <w:shd w:val="clear" w:color="auto" w:fill="A8D08D" w:themeFill="accent6" w:themeFillTint="99"/>
            <w:vAlign w:val="center"/>
          </w:tcPr>
          <w:p w14:paraId="282E7B1E" w14:textId="6EB7ACF5" w:rsidR="00B45740" w:rsidRPr="00216965" w:rsidRDefault="00B45740" w:rsidP="008A33DA">
            <w:pPr>
              <w:spacing w:after="0" w:line="240" w:lineRule="auto"/>
              <w:jc w:val="center"/>
              <w:rPr>
                <w:b/>
              </w:rPr>
            </w:pPr>
            <w:r w:rsidRPr="00216965">
              <w:rPr>
                <w:b/>
                <w:i/>
                <w:sz w:val="22"/>
              </w:rPr>
              <w:t>C</w:t>
            </w:r>
            <w:r w:rsidRPr="00216965">
              <w:rPr>
                <w:b/>
                <w:i/>
                <w:sz w:val="22"/>
                <w:vertAlign w:val="subscript"/>
              </w:rPr>
              <w:t>min</w:t>
            </w:r>
            <w:r w:rsidRPr="00216965">
              <w:rPr>
                <w:b/>
                <w:sz w:val="22"/>
              </w:rPr>
              <w:t xml:space="preserve"> (</w:t>
            </w:r>
            <w:r w:rsidR="008563DC" w:rsidRPr="00216965">
              <w:rPr>
                <w:rFonts w:cs="Times New Roman"/>
                <w:b/>
                <w:sz w:val="22"/>
              </w:rPr>
              <w:t>μ</w:t>
            </w:r>
            <w:r w:rsidRPr="00216965">
              <w:rPr>
                <w:b/>
                <w:sz w:val="22"/>
              </w:rPr>
              <w:t>g.g</w:t>
            </w:r>
            <w:r w:rsidRPr="00216965">
              <w:rPr>
                <w:b/>
                <w:sz w:val="22"/>
                <w:vertAlign w:val="superscript"/>
              </w:rPr>
              <w:t>-1</w:t>
            </w:r>
            <w:r w:rsidRPr="00216965">
              <w:rPr>
                <w:b/>
                <w:sz w:val="22"/>
              </w:rPr>
              <w:t>)</w:t>
            </w:r>
          </w:p>
        </w:tc>
        <w:tc>
          <w:tcPr>
            <w:tcW w:w="995" w:type="dxa"/>
            <w:tcBorders>
              <w:top w:val="nil"/>
              <w:bottom w:val="single" w:sz="4" w:space="0" w:color="000000"/>
            </w:tcBorders>
            <w:shd w:val="clear" w:color="auto" w:fill="A8D08D" w:themeFill="accent6" w:themeFillTint="99"/>
            <w:vAlign w:val="center"/>
          </w:tcPr>
          <w:p w14:paraId="1A3604AB" w14:textId="36446F3F" w:rsidR="00B45740" w:rsidRPr="00216965" w:rsidRDefault="00B45740" w:rsidP="008A33DA">
            <w:pPr>
              <w:spacing w:after="0" w:line="240" w:lineRule="auto"/>
              <w:jc w:val="center"/>
              <w:rPr>
                <w:b/>
              </w:rPr>
            </w:pPr>
            <w:r w:rsidRPr="00216965">
              <w:rPr>
                <w:b/>
                <w:i/>
                <w:sz w:val="22"/>
              </w:rPr>
              <w:t>C</w:t>
            </w:r>
            <w:r w:rsidRPr="00216965">
              <w:rPr>
                <w:b/>
                <w:i/>
                <w:sz w:val="22"/>
                <w:vertAlign w:val="subscript"/>
              </w:rPr>
              <w:t>max</w:t>
            </w:r>
            <w:r w:rsidRPr="00216965">
              <w:rPr>
                <w:b/>
                <w:sz w:val="22"/>
              </w:rPr>
              <w:t xml:space="preserve"> (</w:t>
            </w:r>
            <w:r w:rsidR="008563DC" w:rsidRPr="00216965">
              <w:rPr>
                <w:rFonts w:cs="Times New Roman"/>
                <w:b/>
                <w:sz w:val="22"/>
              </w:rPr>
              <w:t>μ</w:t>
            </w:r>
            <w:r w:rsidRPr="00216965">
              <w:rPr>
                <w:b/>
                <w:sz w:val="22"/>
              </w:rPr>
              <w:t>g.g</w:t>
            </w:r>
            <w:r w:rsidRPr="00216965">
              <w:rPr>
                <w:b/>
                <w:sz w:val="22"/>
                <w:vertAlign w:val="superscript"/>
              </w:rPr>
              <w:t>-1</w:t>
            </w:r>
            <w:r w:rsidRPr="00216965">
              <w:rPr>
                <w:b/>
                <w:sz w:val="22"/>
              </w:rPr>
              <w:t>)</w:t>
            </w:r>
          </w:p>
        </w:tc>
      </w:tr>
      <w:tr w:rsidR="00B45740" w:rsidRPr="00216965" w14:paraId="4ABF7110" w14:textId="77777777" w:rsidTr="00B11CBC">
        <w:tc>
          <w:tcPr>
            <w:tcW w:w="1371" w:type="dxa"/>
            <w:vMerge w:val="restart"/>
            <w:tcBorders>
              <w:top w:val="single" w:sz="4" w:space="0" w:color="000000"/>
            </w:tcBorders>
            <w:vAlign w:val="center"/>
          </w:tcPr>
          <w:p w14:paraId="1BB333C1" w14:textId="77777777" w:rsidR="00B45740" w:rsidRPr="00216965" w:rsidRDefault="00B45740" w:rsidP="008A33DA">
            <w:pPr>
              <w:spacing w:after="0" w:line="240" w:lineRule="auto"/>
            </w:pPr>
            <w:r w:rsidRPr="00216965">
              <w:rPr>
                <w:sz w:val="22"/>
              </w:rPr>
              <w:t>1 month</w:t>
            </w:r>
          </w:p>
        </w:tc>
        <w:tc>
          <w:tcPr>
            <w:tcW w:w="1431" w:type="dxa"/>
            <w:tcBorders>
              <w:top w:val="single" w:sz="4" w:space="0" w:color="000000"/>
            </w:tcBorders>
          </w:tcPr>
          <w:p w14:paraId="44D531FA" w14:textId="77777777" w:rsidR="00B45740" w:rsidRPr="00216965" w:rsidRDefault="00B45740" w:rsidP="008A33DA">
            <w:pPr>
              <w:spacing w:after="0" w:line="240" w:lineRule="auto"/>
            </w:pPr>
            <w:r w:rsidRPr="00216965">
              <w:rPr>
                <w:sz w:val="22"/>
              </w:rPr>
              <w:t>Soil</w:t>
            </w:r>
          </w:p>
        </w:tc>
        <w:tc>
          <w:tcPr>
            <w:tcW w:w="1700" w:type="dxa"/>
            <w:tcBorders>
              <w:top w:val="single" w:sz="4" w:space="0" w:color="000000"/>
            </w:tcBorders>
          </w:tcPr>
          <w:p w14:paraId="41EB2CDF" w14:textId="77777777" w:rsidR="00B45740" w:rsidRPr="00216965" w:rsidRDefault="00B45740" w:rsidP="008A33D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2.08</w:t>
            </w:r>
          </w:p>
        </w:tc>
        <w:tc>
          <w:tcPr>
            <w:tcW w:w="1416" w:type="dxa"/>
            <w:tcBorders>
              <w:top w:val="single" w:sz="4" w:space="0" w:color="000000"/>
            </w:tcBorders>
          </w:tcPr>
          <w:p w14:paraId="762533CF" w14:textId="77777777" w:rsidR="00B45740" w:rsidRPr="00216965" w:rsidRDefault="00B45740" w:rsidP="008A33DA">
            <w:pPr>
              <w:spacing w:after="0" w:line="240" w:lineRule="auto"/>
            </w:pPr>
            <w:r w:rsidRPr="00216965">
              <w:rPr>
                <w:sz w:val="22"/>
              </w:rPr>
              <w:t>26.30</w:t>
            </w:r>
          </w:p>
        </w:tc>
        <w:tc>
          <w:tcPr>
            <w:tcW w:w="995" w:type="dxa"/>
            <w:tcBorders>
              <w:top w:val="single" w:sz="4" w:space="0" w:color="000000"/>
            </w:tcBorders>
          </w:tcPr>
          <w:p w14:paraId="0C419360"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495</w:t>
            </w:r>
          </w:p>
        </w:tc>
      </w:tr>
      <w:tr w:rsidR="00B45740" w:rsidRPr="00216965" w14:paraId="0CD64CB5" w14:textId="77777777" w:rsidTr="00B11CBC">
        <w:tc>
          <w:tcPr>
            <w:tcW w:w="1371" w:type="dxa"/>
            <w:vMerge/>
            <w:tcBorders>
              <w:top w:val="single" w:sz="4" w:space="0" w:color="000000"/>
            </w:tcBorders>
            <w:vAlign w:val="center"/>
          </w:tcPr>
          <w:p w14:paraId="2D614C94" w14:textId="77777777" w:rsidR="00B45740" w:rsidRPr="00216965" w:rsidRDefault="00B45740" w:rsidP="008A33DA">
            <w:pPr>
              <w:widowControl w:val="0"/>
              <w:pBdr>
                <w:top w:val="nil"/>
                <w:left w:val="nil"/>
                <w:bottom w:val="nil"/>
                <w:right w:val="nil"/>
                <w:between w:val="nil"/>
              </w:pBdr>
              <w:spacing w:after="0" w:line="240" w:lineRule="auto"/>
              <w:rPr>
                <w:color w:val="000000"/>
              </w:rPr>
            </w:pPr>
          </w:p>
        </w:tc>
        <w:tc>
          <w:tcPr>
            <w:tcW w:w="1431" w:type="dxa"/>
          </w:tcPr>
          <w:p w14:paraId="08C39479" w14:textId="77777777" w:rsidR="00B45740" w:rsidRPr="00216965" w:rsidRDefault="00B45740" w:rsidP="008A33DA">
            <w:pPr>
              <w:spacing w:after="0" w:line="240" w:lineRule="auto"/>
            </w:pPr>
            <w:r w:rsidRPr="00216965">
              <w:rPr>
                <w:sz w:val="22"/>
              </w:rPr>
              <w:t>Soil+Biochar</w:t>
            </w:r>
          </w:p>
        </w:tc>
        <w:tc>
          <w:tcPr>
            <w:tcW w:w="1700" w:type="dxa"/>
          </w:tcPr>
          <w:p w14:paraId="52239D1A" w14:textId="77777777" w:rsidR="00B45740" w:rsidRPr="00216965" w:rsidRDefault="00B45740" w:rsidP="008A33DA">
            <w:pPr>
              <w:spacing w:after="0" w:line="240" w:lineRule="auto"/>
            </w:pPr>
            <w:r w:rsidRPr="00216965">
              <w:rPr>
                <w:sz w:val="22"/>
              </w:rPr>
              <w:t>1.63</w:t>
            </w:r>
          </w:p>
        </w:tc>
        <w:tc>
          <w:tcPr>
            <w:tcW w:w="1416" w:type="dxa"/>
          </w:tcPr>
          <w:p w14:paraId="3B4EE2A9" w14:textId="77777777" w:rsidR="00B45740" w:rsidRPr="00216965" w:rsidRDefault="00B45740" w:rsidP="008A33DA">
            <w:pPr>
              <w:spacing w:after="0" w:line="240" w:lineRule="auto"/>
            </w:pPr>
            <w:r w:rsidRPr="00216965">
              <w:rPr>
                <w:sz w:val="22"/>
              </w:rPr>
              <w:t>6.06</w:t>
            </w:r>
          </w:p>
        </w:tc>
        <w:tc>
          <w:tcPr>
            <w:tcW w:w="995" w:type="dxa"/>
          </w:tcPr>
          <w:p w14:paraId="5C5A3CAB"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495</w:t>
            </w:r>
          </w:p>
        </w:tc>
      </w:tr>
      <w:tr w:rsidR="00B45740" w:rsidRPr="00216965" w14:paraId="2BB14B2C" w14:textId="77777777" w:rsidTr="00B11CBC">
        <w:tc>
          <w:tcPr>
            <w:tcW w:w="1371" w:type="dxa"/>
          </w:tcPr>
          <w:p w14:paraId="14497467" w14:textId="77777777" w:rsidR="00B45740" w:rsidRPr="00216965" w:rsidRDefault="00B45740" w:rsidP="008A33DA">
            <w:pPr>
              <w:spacing w:after="0" w:line="240" w:lineRule="auto"/>
            </w:pPr>
            <w:r w:rsidRPr="00216965">
              <w:rPr>
                <w:sz w:val="22"/>
              </w:rPr>
              <w:t>Sig. level</w:t>
            </w:r>
          </w:p>
        </w:tc>
        <w:tc>
          <w:tcPr>
            <w:tcW w:w="1431" w:type="dxa"/>
            <w:tcBorders>
              <w:bottom w:val="nil"/>
            </w:tcBorders>
          </w:tcPr>
          <w:p w14:paraId="6103532E" w14:textId="77777777" w:rsidR="00B45740" w:rsidRPr="00216965" w:rsidRDefault="00B45740" w:rsidP="008A33DA">
            <w:pPr>
              <w:spacing w:after="0" w:line="240" w:lineRule="auto"/>
            </w:pPr>
          </w:p>
        </w:tc>
        <w:tc>
          <w:tcPr>
            <w:tcW w:w="1700" w:type="dxa"/>
            <w:tcBorders>
              <w:bottom w:val="nil"/>
            </w:tcBorders>
          </w:tcPr>
          <w:p w14:paraId="579AFBA7" w14:textId="77777777" w:rsidR="00B45740" w:rsidRPr="00216965" w:rsidRDefault="00B45740" w:rsidP="008A33DA">
            <w:pPr>
              <w:spacing w:after="0" w:line="240" w:lineRule="auto"/>
            </w:pPr>
          </w:p>
        </w:tc>
        <w:tc>
          <w:tcPr>
            <w:tcW w:w="1416" w:type="dxa"/>
            <w:tcBorders>
              <w:bottom w:val="nil"/>
            </w:tcBorders>
          </w:tcPr>
          <w:p w14:paraId="6FB51DBE" w14:textId="77777777" w:rsidR="00B45740" w:rsidRPr="00216965" w:rsidRDefault="00B45740" w:rsidP="008A33DA">
            <w:pPr>
              <w:spacing w:after="0" w:line="240" w:lineRule="auto"/>
            </w:pPr>
          </w:p>
        </w:tc>
        <w:tc>
          <w:tcPr>
            <w:tcW w:w="995" w:type="dxa"/>
            <w:tcBorders>
              <w:bottom w:val="nil"/>
            </w:tcBorders>
          </w:tcPr>
          <w:p w14:paraId="1242E754" w14:textId="77777777" w:rsidR="00B45740" w:rsidRPr="00216965" w:rsidRDefault="00B45740" w:rsidP="008A33DA">
            <w:pPr>
              <w:spacing w:after="0" w:line="240" w:lineRule="auto"/>
            </w:pPr>
          </w:p>
        </w:tc>
      </w:tr>
      <w:tr w:rsidR="00B45740" w:rsidRPr="00216965" w14:paraId="2B23C2C5" w14:textId="77777777" w:rsidTr="00B11CBC">
        <w:tc>
          <w:tcPr>
            <w:tcW w:w="1371" w:type="dxa"/>
          </w:tcPr>
          <w:p w14:paraId="4B9D9FAA" w14:textId="77777777" w:rsidR="00B45740" w:rsidRPr="00216965" w:rsidRDefault="00B45740" w:rsidP="008A33DA">
            <w:pPr>
              <w:spacing w:after="0" w:line="240" w:lineRule="auto"/>
            </w:pPr>
            <w:r w:rsidRPr="00216965">
              <w:rPr>
                <w:sz w:val="22"/>
              </w:rPr>
              <w:t>Treatment</w:t>
            </w:r>
          </w:p>
        </w:tc>
        <w:tc>
          <w:tcPr>
            <w:tcW w:w="1431" w:type="dxa"/>
            <w:tcBorders>
              <w:top w:val="nil"/>
              <w:bottom w:val="single" w:sz="4" w:space="0" w:color="000000"/>
            </w:tcBorders>
          </w:tcPr>
          <w:p w14:paraId="79031DF0" w14:textId="77777777" w:rsidR="00B45740" w:rsidRPr="00216965" w:rsidRDefault="00B45740" w:rsidP="008A33DA">
            <w:pPr>
              <w:spacing w:after="0" w:line="240" w:lineRule="auto"/>
            </w:pPr>
          </w:p>
        </w:tc>
        <w:tc>
          <w:tcPr>
            <w:tcW w:w="1700" w:type="dxa"/>
            <w:tcBorders>
              <w:top w:val="nil"/>
              <w:bottom w:val="single" w:sz="4" w:space="0" w:color="000000"/>
            </w:tcBorders>
          </w:tcPr>
          <w:p w14:paraId="07A07095" w14:textId="77777777" w:rsidR="00B45740" w:rsidRPr="00216965" w:rsidRDefault="00B45740" w:rsidP="008A33DA">
            <w:pPr>
              <w:spacing w:after="0" w:line="240" w:lineRule="auto"/>
            </w:pPr>
            <w:r w:rsidRPr="00216965">
              <w:rPr>
                <w:sz w:val="22"/>
              </w:rPr>
              <w:t>**</w:t>
            </w:r>
          </w:p>
        </w:tc>
        <w:tc>
          <w:tcPr>
            <w:tcW w:w="1416" w:type="dxa"/>
            <w:tcBorders>
              <w:top w:val="nil"/>
              <w:bottom w:val="single" w:sz="4" w:space="0" w:color="000000"/>
            </w:tcBorders>
          </w:tcPr>
          <w:p w14:paraId="310BC94A" w14:textId="77777777" w:rsidR="00B45740" w:rsidRPr="00216965" w:rsidRDefault="00B45740" w:rsidP="008A33DA">
            <w:pPr>
              <w:spacing w:after="0" w:line="240" w:lineRule="auto"/>
            </w:pPr>
            <w:r w:rsidRPr="00216965">
              <w:rPr>
                <w:sz w:val="22"/>
              </w:rPr>
              <w:t>**</w:t>
            </w:r>
          </w:p>
        </w:tc>
        <w:tc>
          <w:tcPr>
            <w:tcW w:w="995" w:type="dxa"/>
            <w:tcBorders>
              <w:top w:val="nil"/>
              <w:bottom w:val="single" w:sz="4" w:space="0" w:color="000000"/>
            </w:tcBorders>
          </w:tcPr>
          <w:p w14:paraId="2C35E876" w14:textId="77777777" w:rsidR="00B45740" w:rsidRPr="00216965" w:rsidRDefault="00B45740" w:rsidP="008A33DA">
            <w:pPr>
              <w:spacing w:after="0" w:line="240" w:lineRule="auto"/>
            </w:pPr>
            <w:r w:rsidRPr="00216965">
              <w:rPr>
                <w:sz w:val="22"/>
              </w:rPr>
              <w:t>ns</w:t>
            </w:r>
          </w:p>
        </w:tc>
      </w:tr>
      <w:tr w:rsidR="00B45740" w:rsidRPr="00216965" w14:paraId="38DADD31" w14:textId="77777777" w:rsidTr="00B11CBC">
        <w:tc>
          <w:tcPr>
            <w:tcW w:w="1371" w:type="dxa"/>
          </w:tcPr>
          <w:p w14:paraId="15F3D97C" w14:textId="77777777" w:rsidR="00B45740" w:rsidRPr="00216965" w:rsidRDefault="00B45740" w:rsidP="008A33DA">
            <w:pPr>
              <w:spacing w:after="0" w:line="240" w:lineRule="auto"/>
            </w:pPr>
          </w:p>
        </w:tc>
        <w:tc>
          <w:tcPr>
            <w:tcW w:w="1431" w:type="dxa"/>
            <w:tcBorders>
              <w:top w:val="single" w:sz="4" w:space="0" w:color="000000"/>
            </w:tcBorders>
          </w:tcPr>
          <w:p w14:paraId="46EB1C53" w14:textId="77777777" w:rsidR="00B45740" w:rsidRPr="00216965" w:rsidRDefault="00B45740" w:rsidP="008A33DA">
            <w:pPr>
              <w:spacing w:after="0" w:line="240" w:lineRule="auto"/>
            </w:pPr>
          </w:p>
        </w:tc>
        <w:tc>
          <w:tcPr>
            <w:tcW w:w="1700" w:type="dxa"/>
            <w:tcBorders>
              <w:top w:val="single" w:sz="4" w:space="0" w:color="000000"/>
            </w:tcBorders>
          </w:tcPr>
          <w:p w14:paraId="44AA716C" w14:textId="77777777" w:rsidR="00B45740" w:rsidRPr="00216965" w:rsidRDefault="00B45740" w:rsidP="008A33DA">
            <w:pPr>
              <w:spacing w:after="0" w:line="240" w:lineRule="auto"/>
            </w:pPr>
          </w:p>
        </w:tc>
        <w:tc>
          <w:tcPr>
            <w:tcW w:w="1416" w:type="dxa"/>
            <w:tcBorders>
              <w:top w:val="single" w:sz="4" w:space="0" w:color="000000"/>
            </w:tcBorders>
          </w:tcPr>
          <w:p w14:paraId="59CE0AD5" w14:textId="77777777" w:rsidR="00B45740" w:rsidRPr="00216965" w:rsidRDefault="00B45740" w:rsidP="008A33DA">
            <w:pPr>
              <w:spacing w:after="0" w:line="240" w:lineRule="auto"/>
            </w:pPr>
          </w:p>
        </w:tc>
        <w:tc>
          <w:tcPr>
            <w:tcW w:w="995" w:type="dxa"/>
            <w:tcBorders>
              <w:top w:val="single" w:sz="4" w:space="0" w:color="000000"/>
            </w:tcBorders>
          </w:tcPr>
          <w:p w14:paraId="50827BF9" w14:textId="77777777" w:rsidR="00B45740" w:rsidRPr="00216965" w:rsidRDefault="00B45740" w:rsidP="008A33DA">
            <w:pPr>
              <w:spacing w:after="0" w:line="240" w:lineRule="auto"/>
            </w:pPr>
          </w:p>
        </w:tc>
      </w:tr>
      <w:tr w:rsidR="00B45740" w:rsidRPr="00216965" w14:paraId="7E7308B2" w14:textId="77777777" w:rsidTr="00B11CBC">
        <w:tc>
          <w:tcPr>
            <w:tcW w:w="1371" w:type="dxa"/>
            <w:vMerge w:val="restart"/>
            <w:vAlign w:val="center"/>
          </w:tcPr>
          <w:p w14:paraId="3F64838E" w14:textId="77777777" w:rsidR="00B45740" w:rsidRPr="00216965" w:rsidRDefault="00B45740" w:rsidP="008A33DA">
            <w:pPr>
              <w:spacing w:after="0" w:line="240" w:lineRule="auto"/>
            </w:pPr>
            <w:r w:rsidRPr="00216965">
              <w:rPr>
                <w:sz w:val="22"/>
              </w:rPr>
              <w:t>12 months</w:t>
            </w:r>
          </w:p>
        </w:tc>
        <w:tc>
          <w:tcPr>
            <w:tcW w:w="1431" w:type="dxa"/>
          </w:tcPr>
          <w:p w14:paraId="0E17C7DD" w14:textId="77777777" w:rsidR="00B45740" w:rsidRPr="00216965" w:rsidRDefault="00B45740" w:rsidP="008A33DA">
            <w:pPr>
              <w:spacing w:after="0" w:line="240" w:lineRule="auto"/>
            </w:pPr>
            <w:r w:rsidRPr="00216965">
              <w:rPr>
                <w:sz w:val="22"/>
              </w:rPr>
              <w:t>Soil</w:t>
            </w:r>
          </w:p>
        </w:tc>
        <w:tc>
          <w:tcPr>
            <w:tcW w:w="1700" w:type="dxa"/>
          </w:tcPr>
          <w:p w14:paraId="415B24A1"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3.04</w:t>
            </w:r>
          </w:p>
        </w:tc>
        <w:tc>
          <w:tcPr>
            <w:tcW w:w="1416" w:type="dxa"/>
          </w:tcPr>
          <w:p w14:paraId="609908EE"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1.2</w:t>
            </w:r>
          </w:p>
        </w:tc>
        <w:tc>
          <w:tcPr>
            <w:tcW w:w="995" w:type="dxa"/>
          </w:tcPr>
          <w:p w14:paraId="69F8877F"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248</w:t>
            </w:r>
          </w:p>
        </w:tc>
      </w:tr>
      <w:tr w:rsidR="00B45740" w:rsidRPr="00216965" w14:paraId="1F7705D0" w14:textId="77777777" w:rsidTr="00B11CBC">
        <w:tc>
          <w:tcPr>
            <w:tcW w:w="1371" w:type="dxa"/>
            <w:vMerge/>
            <w:vAlign w:val="center"/>
          </w:tcPr>
          <w:p w14:paraId="1E2194A5" w14:textId="77777777" w:rsidR="00B45740" w:rsidRPr="00216965" w:rsidRDefault="00B45740" w:rsidP="008A33DA">
            <w:pPr>
              <w:widowControl w:val="0"/>
              <w:pBdr>
                <w:top w:val="nil"/>
                <w:left w:val="nil"/>
                <w:bottom w:val="nil"/>
                <w:right w:val="nil"/>
                <w:between w:val="nil"/>
              </w:pBdr>
              <w:spacing w:after="0" w:line="240" w:lineRule="auto"/>
              <w:rPr>
                <w:color w:val="000000"/>
              </w:rPr>
            </w:pPr>
          </w:p>
        </w:tc>
        <w:tc>
          <w:tcPr>
            <w:tcW w:w="1431" w:type="dxa"/>
          </w:tcPr>
          <w:p w14:paraId="09503AB6" w14:textId="77777777" w:rsidR="00B45740" w:rsidRPr="00216965" w:rsidRDefault="00B45740" w:rsidP="008A33DA">
            <w:pPr>
              <w:spacing w:after="0" w:line="240" w:lineRule="auto"/>
            </w:pPr>
            <w:r w:rsidRPr="00216965">
              <w:rPr>
                <w:sz w:val="22"/>
              </w:rPr>
              <w:t>Soil+Biochar</w:t>
            </w:r>
          </w:p>
        </w:tc>
        <w:tc>
          <w:tcPr>
            <w:tcW w:w="1700" w:type="dxa"/>
          </w:tcPr>
          <w:p w14:paraId="65E91781" w14:textId="77777777" w:rsidR="00B45740" w:rsidRPr="00216965" w:rsidRDefault="00B45740" w:rsidP="008A33DA">
            <w:pPr>
              <w:spacing w:after="0" w:line="240" w:lineRule="auto"/>
            </w:pPr>
            <w:r w:rsidRPr="00216965">
              <w:rPr>
                <w:sz w:val="22"/>
              </w:rPr>
              <w:t>2.90</w:t>
            </w:r>
          </w:p>
        </w:tc>
        <w:tc>
          <w:tcPr>
            <w:tcW w:w="1416" w:type="dxa"/>
          </w:tcPr>
          <w:p w14:paraId="3A37A354" w14:textId="77777777" w:rsidR="00B45740" w:rsidRPr="00216965" w:rsidRDefault="00B45740" w:rsidP="008A33DA">
            <w:pPr>
              <w:spacing w:after="0" w:line="240" w:lineRule="auto"/>
            </w:pPr>
            <w:r w:rsidRPr="00216965">
              <w:rPr>
                <w:sz w:val="22"/>
              </w:rPr>
              <w:t>1.8</w:t>
            </w:r>
          </w:p>
        </w:tc>
        <w:tc>
          <w:tcPr>
            <w:tcW w:w="995" w:type="dxa"/>
          </w:tcPr>
          <w:p w14:paraId="0381A3D6" w14:textId="77777777" w:rsidR="00B45740" w:rsidRPr="00216965" w:rsidRDefault="00B45740" w:rsidP="008A33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000000"/>
              </w:rPr>
            </w:pPr>
            <w:r w:rsidRPr="00216965">
              <w:rPr>
                <w:color w:val="000000"/>
                <w:sz w:val="22"/>
              </w:rPr>
              <w:t>256</w:t>
            </w:r>
          </w:p>
        </w:tc>
      </w:tr>
      <w:tr w:rsidR="00B45740" w:rsidRPr="00216965" w14:paraId="1ED73D7D" w14:textId="77777777" w:rsidTr="00B11CBC">
        <w:tc>
          <w:tcPr>
            <w:tcW w:w="1371" w:type="dxa"/>
          </w:tcPr>
          <w:p w14:paraId="3426B177" w14:textId="77777777" w:rsidR="00B45740" w:rsidRPr="00216965" w:rsidRDefault="00B45740" w:rsidP="008A33DA">
            <w:pPr>
              <w:spacing w:after="0" w:line="240" w:lineRule="auto"/>
            </w:pPr>
            <w:r w:rsidRPr="00216965">
              <w:rPr>
                <w:sz w:val="22"/>
              </w:rPr>
              <w:t>Sig. level</w:t>
            </w:r>
          </w:p>
        </w:tc>
        <w:tc>
          <w:tcPr>
            <w:tcW w:w="1431" w:type="dxa"/>
          </w:tcPr>
          <w:p w14:paraId="4B72DED9" w14:textId="77777777" w:rsidR="00B45740" w:rsidRPr="00216965" w:rsidRDefault="00B45740" w:rsidP="008A33DA">
            <w:pPr>
              <w:spacing w:after="0" w:line="240" w:lineRule="auto"/>
            </w:pPr>
          </w:p>
        </w:tc>
        <w:tc>
          <w:tcPr>
            <w:tcW w:w="1700" w:type="dxa"/>
          </w:tcPr>
          <w:p w14:paraId="10DC02A7" w14:textId="77777777" w:rsidR="00B45740" w:rsidRPr="00216965" w:rsidRDefault="00B45740" w:rsidP="008A33DA">
            <w:pPr>
              <w:spacing w:after="0" w:line="240" w:lineRule="auto"/>
            </w:pPr>
          </w:p>
        </w:tc>
        <w:tc>
          <w:tcPr>
            <w:tcW w:w="1416" w:type="dxa"/>
          </w:tcPr>
          <w:p w14:paraId="635E6FA5" w14:textId="77777777" w:rsidR="00B45740" w:rsidRPr="00216965" w:rsidRDefault="00B45740" w:rsidP="008A33DA">
            <w:pPr>
              <w:spacing w:after="0" w:line="240" w:lineRule="auto"/>
            </w:pPr>
          </w:p>
        </w:tc>
        <w:tc>
          <w:tcPr>
            <w:tcW w:w="995" w:type="dxa"/>
          </w:tcPr>
          <w:p w14:paraId="38EE08E0" w14:textId="77777777" w:rsidR="00B45740" w:rsidRPr="00216965" w:rsidRDefault="00B45740" w:rsidP="008A33DA">
            <w:pPr>
              <w:spacing w:after="0" w:line="240" w:lineRule="auto"/>
            </w:pPr>
          </w:p>
        </w:tc>
      </w:tr>
      <w:tr w:rsidR="00B45740" w:rsidRPr="00216965" w14:paraId="44882BD3" w14:textId="77777777" w:rsidTr="00B11CBC">
        <w:tc>
          <w:tcPr>
            <w:tcW w:w="1371" w:type="dxa"/>
          </w:tcPr>
          <w:p w14:paraId="425E9C28" w14:textId="77777777" w:rsidR="00B45740" w:rsidRPr="00216965" w:rsidRDefault="00B45740" w:rsidP="008A33DA">
            <w:pPr>
              <w:spacing w:after="0" w:line="240" w:lineRule="auto"/>
            </w:pPr>
            <w:r w:rsidRPr="00216965">
              <w:rPr>
                <w:sz w:val="22"/>
              </w:rPr>
              <w:t>Treatment</w:t>
            </w:r>
          </w:p>
        </w:tc>
        <w:tc>
          <w:tcPr>
            <w:tcW w:w="1431" w:type="dxa"/>
          </w:tcPr>
          <w:p w14:paraId="429989C4" w14:textId="77777777" w:rsidR="00B45740" w:rsidRPr="00216965" w:rsidRDefault="00B45740" w:rsidP="008A33DA">
            <w:pPr>
              <w:spacing w:after="0" w:line="240" w:lineRule="auto"/>
            </w:pPr>
          </w:p>
        </w:tc>
        <w:tc>
          <w:tcPr>
            <w:tcW w:w="1700" w:type="dxa"/>
          </w:tcPr>
          <w:p w14:paraId="1746F8E0" w14:textId="77777777" w:rsidR="00B45740" w:rsidRPr="00216965" w:rsidRDefault="00B45740" w:rsidP="008A33DA">
            <w:pPr>
              <w:spacing w:after="0" w:line="240" w:lineRule="auto"/>
            </w:pPr>
            <w:r w:rsidRPr="00216965">
              <w:rPr>
                <w:sz w:val="22"/>
              </w:rPr>
              <w:t>**</w:t>
            </w:r>
          </w:p>
        </w:tc>
        <w:tc>
          <w:tcPr>
            <w:tcW w:w="1416" w:type="dxa"/>
          </w:tcPr>
          <w:p w14:paraId="18C66698" w14:textId="77777777" w:rsidR="00B45740" w:rsidRPr="00216965" w:rsidRDefault="00B45740" w:rsidP="008A33DA">
            <w:pPr>
              <w:spacing w:after="0" w:line="240" w:lineRule="auto"/>
            </w:pPr>
            <w:r w:rsidRPr="00216965">
              <w:rPr>
                <w:sz w:val="22"/>
              </w:rPr>
              <w:t>**</w:t>
            </w:r>
          </w:p>
        </w:tc>
        <w:tc>
          <w:tcPr>
            <w:tcW w:w="995" w:type="dxa"/>
          </w:tcPr>
          <w:p w14:paraId="0E5A980F" w14:textId="77777777" w:rsidR="00B45740" w:rsidRPr="00216965" w:rsidRDefault="00B45740" w:rsidP="008A33DA">
            <w:pPr>
              <w:spacing w:after="0" w:line="240" w:lineRule="auto"/>
            </w:pPr>
            <w:r w:rsidRPr="00216965">
              <w:rPr>
                <w:sz w:val="22"/>
              </w:rPr>
              <w:t>*</w:t>
            </w:r>
          </w:p>
        </w:tc>
      </w:tr>
      <w:tr w:rsidR="00B45740" w:rsidRPr="00216965" w14:paraId="6E19CB3E" w14:textId="77777777" w:rsidTr="00B11CBC">
        <w:tc>
          <w:tcPr>
            <w:tcW w:w="1371" w:type="dxa"/>
          </w:tcPr>
          <w:p w14:paraId="37061638" w14:textId="77777777" w:rsidR="00B45740" w:rsidRPr="00216965" w:rsidRDefault="00B45740" w:rsidP="008A33DA">
            <w:pPr>
              <w:spacing w:after="0" w:line="240" w:lineRule="auto"/>
            </w:pPr>
          </w:p>
        </w:tc>
        <w:tc>
          <w:tcPr>
            <w:tcW w:w="1431" w:type="dxa"/>
          </w:tcPr>
          <w:p w14:paraId="7F8F30A4" w14:textId="77777777" w:rsidR="00B45740" w:rsidRPr="00216965" w:rsidRDefault="00B45740" w:rsidP="008A33DA">
            <w:pPr>
              <w:spacing w:after="0" w:line="240" w:lineRule="auto"/>
            </w:pPr>
          </w:p>
        </w:tc>
        <w:tc>
          <w:tcPr>
            <w:tcW w:w="1700" w:type="dxa"/>
          </w:tcPr>
          <w:p w14:paraId="3349FCAA" w14:textId="77777777" w:rsidR="00B45740" w:rsidRPr="00216965" w:rsidRDefault="00B45740" w:rsidP="008A33DA">
            <w:pPr>
              <w:spacing w:after="0" w:line="240" w:lineRule="auto"/>
            </w:pPr>
          </w:p>
        </w:tc>
        <w:tc>
          <w:tcPr>
            <w:tcW w:w="1416" w:type="dxa"/>
          </w:tcPr>
          <w:p w14:paraId="386ECD9D" w14:textId="77777777" w:rsidR="00B45740" w:rsidRPr="00216965" w:rsidRDefault="00B45740" w:rsidP="008A33DA">
            <w:pPr>
              <w:spacing w:after="0" w:line="240" w:lineRule="auto"/>
            </w:pPr>
          </w:p>
        </w:tc>
        <w:tc>
          <w:tcPr>
            <w:tcW w:w="995" w:type="dxa"/>
          </w:tcPr>
          <w:p w14:paraId="0DD2E14C" w14:textId="77777777" w:rsidR="00B45740" w:rsidRPr="00216965" w:rsidRDefault="00B45740" w:rsidP="008A33DA">
            <w:pPr>
              <w:spacing w:after="0" w:line="240" w:lineRule="auto"/>
            </w:pPr>
          </w:p>
        </w:tc>
      </w:tr>
    </w:tbl>
    <w:p w14:paraId="6E96F0EC" w14:textId="6CE213A6" w:rsidR="00B45740" w:rsidRPr="00216965" w:rsidRDefault="00B45740" w:rsidP="008A33DA">
      <w:pPr>
        <w:rPr>
          <w:lang w:val="fr-FR"/>
        </w:rPr>
      </w:pPr>
      <w:r w:rsidRPr="00216965">
        <w:rPr>
          <w:lang w:val="fr-FR"/>
        </w:rPr>
        <w:t>Significance codes: ‘*’ p &lt;</w:t>
      </w:r>
      <w:r w:rsidR="00831AE6" w:rsidRPr="00216965">
        <w:rPr>
          <w:lang w:val="fr-FR"/>
        </w:rPr>
        <w:t xml:space="preserve"> </w:t>
      </w:r>
      <w:r w:rsidRPr="00216965">
        <w:rPr>
          <w:lang w:val="fr-FR"/>
        </w:rPr>
        <w:t>0.05, ‘**’ p</w:t>
      </w:r>
      <w:r w:rsidR="00831AE6" w:rsidRPr="00216965">
        <w:rPr>
          <w:lang w:val="fr-FR"/>
        </w:rPr>
        <w:t xml:space="preserve"> </w:t>
      </w:r>
      <w:r w:rsidRPr="00216965">
        <w:rPr>
          <w:lang w:val="fr-FR"/>
        </w:rPr>
        <w:t>&lt; 0.01, ns = p</w:t>
      </w:r>
      <w:r w:rsidR="00831AE6" w:rsidRPr="00216965">
        <w:rPr>
          <w:lang w:val="fr-FR"/>
        </w:rPr>
        <w:t xml:space="preserve"> </w:t>
      </w:r>
      <w:r w:rsidRPr="00216965">
        <w:rPr>
          <w:lang w:val="fr-FR"/>
        </w:rPr>
        <w:t>&gt; 0.05</w:t>
      </w:r>
    </w:p>
    <w:p w14:paraId="2FA5810D" w14:textId="77777777" w:rsidR="00B45740" w:rsidRPr="00216965" w:rsidRDefault="00B45740" w:rsidP="008A33DA">
      <w:pPr>
        <w:rPr>
          <w:lang w:val="fr-FR"/>
        </w:rPr>
      </w:pPr>
    </w:p>
    <w:p w14:paraId="7B54982D" w14:textId="75BC3E9F" w:rsidR="00B45740" w:rsidRPr="00216965" w:rsidRDefault="00B45740" w:rsidP="008A33DA">
      <w:pPr>
        <w:spacing w:line="360" w:lineRule="auto"/>
        <w:jc w:val="both"/>
      </w:pPr>
      <w:r w:rsidRPr="00216965">
        <w:t xml:space="preserve">The analysis of the phospholipid fatty acids (PLFAs) and uptake of </w:t>
      </w:r>
      <w:r w:rsidRPr="00216965">
        <w:rPr>
          <w:vertAlign w:val="superscript"/>
        </w:rPr>
        <w:t>13</w:t>
      </w:r>
      <w:r w:rsidRPr="00216965">
        <w:t xml:space="preserve">C into PLFAs (Δ </w:t>
      </w:r>
      <w:r w:rsidRPr="00216965">
        <w:rPr>
          <w:vertAlign w:val="superscript"/>
        </w:rPr>
        <w:t>13</w:t>
      </w:r>
      <w:r w:rsidRPr="00216965">
        <w:t xml:space="preserve">C) is shown in </w:t>
      </w:r>
      <w:r w:rsidRPr="00216965">
        <w:rPr>
          <w:b/>
          <w:bCs/>
          <w:lang w:val="en-US"/>
        </w:rPr>
        <w:fldChar w:fldCharType="begin"/>
      </w:r>
      <w:r w:rsidRPr="00216965">
        <w:rPr>
          <w:b/>
          <w:bCs/>
          <w:lang w:val="en-US"/>
        </w:rPr>
        <w:instrText xml:space="preserve"> REF _Ref84292759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19</w:t>
      </w:r>
      <w:r w:rsidRPr="00216965">
        <w:rPr>
          <w:b/>
          <w:bCs/>
          <w:lang w:val="en-US"/>
        </w:rPr>
        <w:fldChar w:fldCharType="end"/>
      </w:r>
      <w:r w:rsidRPr="00216965">
        <w:t xml:space="preserve">. The mean concentration of fatty acids did not show obvious differences between biochar-amended soil and the control soil, consistent with results presented in </w:t>
      </w:r>
      <w:r w:rsidRPr="00216965">
        <w:rPr>
          <w:b/>
          <w:bCs/>
          <w:lang w:val="en-US"/>
        </w:rPr>
        <w:t xml:space="preserve">sections </w:t>
      </w:r>
      <w:r w:rsidR="00B11CBC" w:rsidRPr="00216965">
        <w:rPr>
          <w:b/>
          <w:bCs/>
          <w:lang w:val="en-US"/>
        </w:rPr>
        <w:fldChar w:fldCharType="begin"/>
      </w:r>
      <w:r w:rsidR="00B11CBC" w:rsidRPr="00216965">
        <w:rPr>
          <w:b/>
          <w:bCs/>
          <w:lang w:val="en-US"/>
        </w:rPr>
        <w:instrText xml:space="preserve"> REF _Ref86419032 \r \h </w:instrText>
      </w:r>
      <w:r w:rsidR="00B11CBC" w:rsidRPr="00216965">
        <w:rPr>
          <w:b/>
          <w:bCs/>
          <w:lang w:val="en-US"/>
        </w:rPr>
      </w:r>
      <w:r w:rsidR="00216965" w:rsidRPr="00216965">
        <w:rPr>
          <w:b/>
          <w:bCs/>
          <w:lang w:val="en-US"/>
        </w:rPr>
        <w:instrText xml:space="preserve"> \* MERGEFORMAT </w:instrText>
      </w:r>
      <w:r w:rsidR="00B11CBC" w:rsidRPr="00216965">
        <w:rPr>
          <w:b/>
          <w:bCs/>
          <w:lang w:val="en-US"/>
        </w:rPr>
        <w:fldChar w:fldCharType="separate"/>
      </w:r>
      <w:r w:rsidR="006E23EA" w:rsidRPr="00216965">
        <w:rPr>
          <w:b/>
          <w:bCs/>
          <w:lang w:val="en-US"/>
        </w:rPr>
        <w:t>5.3.8</w:t>
      </w:r>
      <w:r w:rsidR="00B11CBC" w:rsidRPr="00216965">
        <w:rPr>
          <w:b/>
          <w:bCs/>
          <w:lang w:val="en-US"/>
        </w:rPr>
        <w:fldChar w:fldCharType="end"/>
      </w:r>
      <w:r w:rsidRPr="00216965">
        <w:rPr>
          <w:lang w:val="en-US"/>
        </w:rPr>
        <w:t xml:space="preserve"> and</w:t>
      </w:r>
      <w:r w:rsidR="00B11CBC" w:rsidRPr="00216965">
        <w:rPr>
          <w:lang w:val="en-US"/>
        </w:rPr>
        <w:t xml:space="preserve"> </w:t>
      </w:r>
      <w:r w:rsidR="00B11CBC" w:rsidRPr="00216965">
        <w:rPr>
          <w:b/>
          <w:bCs/>
          <w:lang w:val="en-US"/>
        </w:rPr>
        <w:fldChar w:fldCharType="begin"/>
      </w:r>
      <w:r w:rsidR="00B11CBC" w:rsidRPr="00216965">
        <w:rPr>
          <w:b/>
          <w:bCs/>
          <w:lang w:val="en-US"/>
        </w:rPr>
        <w:instrText xml:space="preserve"> REF _Ref86419034 \r \h </w:instrText>
      </w:r>
      <w:r w:rsidR="00B11CBC" w:rsidRPr="00216965">
        <w:rPr>
          <w:b/>
          <w:bCs/>
          <w:lang w:val="en-US"/>
        </w:rPr>
      </w:r>
      <w:r w:rsidR="00216965" w:rsidRPr="00216965">
        <w:rPr>
          <w:b/>
          <w:bCs/>
          <w:lang w:val="en-US"/>
        </w:rPr>
        <w:instrText xml:space="preserve"> \* MERGEFORMAT </w:instrText>
      </w:r>
      <w:r w:rsidR="00B11CBC" w:rsidRPr="00216965">
        <w:rPr>
          <w:b/>
          <w:bCs/>
          <w:lang w:val="en-US"/>
        </w:rPr>
        <w:fldChar w:fldCharType="separate"/>
      </w:r>
      <w:r w:rsidR="006E23EA" w:rsidRPr="00216965">
        <w:rPr>
          <w:b/>
          <w:bCs/>
          <w:lang w:val="en-US"/>
        </w:rPr>
        <w:t>5.3.9</w:t>
      </w:r>
      <w:r w:rsidR="00B11CBC" w:rsidRPr="00216965">
        <w:rPr>
          <w:b/>
          <w:bCs/>
          <w:lang w:val="en-US"/>
        </w:rPr>
        <w:fldChar w:fldCharType="end"/>
      </w:r>
      <w:r w:rsidRPr="00216965">
        <w:rPr>
          <w:b/>
        </w:rPr>
        <w:t xml:space="preserve">. </w:t>
      </w:r>
      <w:r w:rsidRPr="00216965">
        <w:t>The fatty acids that were more abundant were 16:00 (bacteria), 18:1 ω7&amp;8c (Gram negative bacteria type II methanotrophs) and 18:1 ω9c (Fungi). There was a significant increase in some fatty acids in the treatment containing biochar. This occurred from the first measurement conducted after 1 month to the second measurement, particularly for the 16:00 (bacteria), 16:1ω7&amp;6c (Gram-negative bacteria), 17:00 (General bacterial marker),18:00 (General bacterial marker), 18:1ω7&amp;8c (Type II methanotrophs and Gram-negative bacteria), i15:00 (Gram-positive bacteria) and i17:1ω7c&amp;10Me16:60 (Actinobacteria and Gram-positive bacteria) and 18:2ω6,9c (Saprotrophic fungi) (p</w:t>
      </w:r>
      <w:r w:rsidR="00831AE6" w:rsidRPr="00216965">
        <w:t xml:space="preserve"> </w:t>
      </w:r>
      <w:r w:rsidRPr="00216965">
        <w:t>&lt; 0.05).</w:t>
      </w:r>
    </w:p>
    <w:p w14:paraId="775EE8FC" w14:textId="77777777" w:rsidR="00B45740" w:rsidRPr="00216965" w:rsidRDefault="00B45740" w:rsidP="008A33DA">
      <w:pPr>
        <w:jc w:val="center"/>
      </w:pPr>
      <w:r w:rsidRPr="00216965">
        <w:rPr>
          <w:noProof/>
        </w:rPr>
        <w:lastRenderedPageBreak/>
        <w:drawing>
          <wp:inline distT="0" distB="0" distL="0" distR="0" wp14:anchorId="7A6711C9" wp14:editId="5F225583">
            <wp:extent cx="5731510" cy="4657725"/>
            <wp:effectExtent l="0" t="0" r="0" b="0"/>
            <wp:docPr id="65" name="image3.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icture containing text&#10;&#10;Description automatically generated"/>
                    <pic:cNvPicPr preferRelativeResize="0"/>
                  </pic:nvPicPr>
                  <pic:blipFill>
                    <a:blip r:embed="rId74"/>
                    <a:srcRect/>
                    <a:stretch>
                      <a:fillRect/>
                    </a:stretch>
                  </pic:blipFill>
                  <pic:spPr>
                    <a:xfrm>
                      <a:off x="0" y="0"/>
                      <a:ext cx="5731510" cy="4657725"/>
                    </a:xfrm>
                    <a:prstGeom prst="rect">
                      <a:avLst/>
                    </a:prstGeom>
                    <a:ln/>
                  </pic:spPr>
                </pic:pic>
              </a:graphicData>
            </a:graphic>
          </wp:inline>
        </w:drawing>
      </w:r>
    </w:p>
    <w:p w14:paraId="0F1D0875" w14:textId="79C25B0C" w:rsidR="00B45740" w:rsidRPr="00216965" w:rsidRDefault="00B45740" w:rsidP="008A33DA">
      <w:pPr>
        <w:pBdr>
          <w:top w:val="nil"/>
          <w:left w:val="nil"/>
          <w:bottom w:val="nil"/>
          <w:right w:val="nil"/>
          <w:between w:val="nil"/>
        </w:pBdr>
        <w:spacing w:after="200" w:line="240" w:lineRule="auto"/>
        <w:jc w:val="both"/>
        <w:rPr>
          <w:b/>
          <w:color w:val="000000"/>
        </w:rPr>
      </w:pPr>
      <w:bookmarkStart w:id="403" w:name="_Ref84292759"/>
      <w:bookmarkStart w:id="404" w:name="_Toc86439400"/>
      <w:r w:rsidRPr="00216965">
        <w:rPr>
          <w:b/>
          <w:bCs/>
        </w:rPr>
        <w:t>Fig</w:t>
      </w:r>
      <w:r w:rsidR="00B11CBC" w:rsidRPr="00216965">
        <w:rPr>
          <w:b/>
          <w:bCs/>
        </w:rPr>
        <w:t>.</w:t>
      </w:r>
      <w:r w:rsidRPr="00216965">
        <w:rPr>
          <w:b/>
          <w:bCs/>
        </w:rPr>
        <w:t xml:space="preserve">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19</w:t>
      </w:r>
      <w:r w:rsidR="00BF3EBE" w:rsidRPr="00216965">
        <w:rPr>
          <w:b/>
          <w:bCs/>
        </w:rPr>
        <w:fldChar w:fldCharType="end"/>
      </w:r>
      <w:bookmarkEnd w:id="403"/>
      <w:r w:rsidRPr="00216965">
        <w:rPr>
          <w:noProof/>
        </w:rPr>
        <w:t xml:space="preserve"> </w:t>
      </w:r>
      <w:r w:rsidRPr="00216965">
        <w:rPr>
          <w:b/>
          <w:bCs/>
          <w:color w:val="000000"/>
        </w:rPr>
        <w:t xml:space="preserve">Mean landscape fatty acids and delta </w:t>
      </w:r>
      <w:r w:rsidRPr="00216965">
        <w:rPr>
          <w:b/>
          <w:bCs/>
          <w:color w:val="000000"/>
          <w:vertAlign w:val="superscript"/>
        </w:rPr>
        <w:t>13</w:t>
      </w:r>
      <w:r w:rsidRPr="00216965">
        <w:rPr>
          <w:b/>
          <w:bCs/>
          <w:color w:val="000000"/>
        </w:rPr>
        <w:t>C (Δ</w:t>
      </w:r>
      <w:r w:rsidRPr="00216965">
        <w:rPr>
          <w:b/>
          <w:bCs/>
          <w:color w:val="000000"/>
          <w:vertAlign w:val="superscript"/>
        </w:rPr>
        <w:t>13</w:t>
      </w:r>
      <w:r w:rsidRPr="00216965">
        <w:rPr>
          <w:b/>
          <w:bCs/>
          <w:color w:val="000000"/>
        </w:rPr>
        <w:t xml:space="preserve">C </w:t>
      </w:r>
      <w:r w:rsidRPr="00216965">
        <w:rPr>
          <w:b/>
          <w:bCs/>
          <w:color w:val="202124"/>
        </w:rPr>
        <w:t>‰</w:t>
      </w:r>
      <w:r w:rsidRPr="00216965">
        <w:rPr>
          <w:b/>
          <w:bCs/>
          <w:color w:val="000000"/>
        </w:rPr>
        <w:t>) in fatty acids after 1 and 12 months from the start of the soil incubation.</w:t>
      </w:r>
      <w:r w:rsidRPr="00216965">
        <w:rPr>
          <w:color w:val="000000"/>
        </w:rPr>
        <w:t xml:space="preserve"> Points are the mean values, bars are the error bars,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5.</w:t>
      </w:r>
      <w:bookmarkEnd w:id="404"/>
    </w:p>
    <w:p w14:paraId="586BD826" w14:textId="77777777" w:rsidR="00AB2390" w:rsidRPr="00216965" w:rsidRDefault="00B45740" w:rsidP="008A33DA">
      <w:pPr>
        <w:spacing w:line="360" w:lineRule="auto"/>
        <w:jc w:val="both"/>
      </w:pPr>
      <w:r w:rsidRPr="00216965">
        <w:t>The analysis of the Δ</w:t>
      </w:r>
      <w:r w:rsidRPr="00216965">
        <w:rPr>
          <w:vertAlign w:val="superscript"/>
        </w:rPr>
        <w:t>13</w:t>
      </w:r>
      <w:r w:rsidRPr="00216965">
        <w:t xml:space="preserve">C in fatty acids indicated that overall there was more </w:t>
      </w:r>
      <w:r w:rsidRPr="00216965">
        <w:rPr>
          <w:vertAlign w:val="superscript"/>
        </w:rPr>
        <w:t>13</w:t>
      </w:r>
      <w:r w:rsidRPr="00216965">
        <w:t xml:space="preserve">C carbon in the fatty acids from the control than in the soil with biochar treatment. The fatty acids that incorporated more </w:t>
      </w:r>
      <w:r w:rsidRPr="00216965">
        <w:rPr>
          <w:vertAlign w:val="superscript"/>
        </w:rPr>
        <w:t>13</w:t>
      </w:r>
      <w:r w:rsidRPr="00216965">
        <w:t xml:space="preserve">C were 17i:1 ω8 (sulphate reducing bacteria), 18:1ω7&amp;8c (Gram negative bacteria type II methanotrophs), 18:2ω6,9c (Saprotrophic fungi) and a15:00, i16:00 and a a17:00 associated with Gram positive bacteria. </w:t>
      </w:r>
    </w:p>
    <w:p w14:paraId="67DA1C2F" w14:textId="48469FC3" w:rsidR="00B45740" w:rsidRPr="00216965" w:rsidRDefault="00B45740" w:rsidP="008A33DA">
      <w:pPr>
        <w:spacing w:line="360" w:lineRule="auto"/>
        <w:jc w:val="both"/>
      </w:pPr>
      <w:r w:rsidRPr="00216965">
        <w:t>The PCA analysis identified shifts in community composition based on the Δ</w:t>
      </w:r>
      <w:r w:rsidRPr="00216965">
        <w:rPr>
          <w:vertAlign w:val="superscript"/>
        </w:rPr>
        <w:t>13</w:t>
      </w:r>
      <w:r w:rsidRPr="00216965">
        <w:t xml:space="preserve">C PLFA pattern and distinct </w:t>
      </w:r>
      <w:r w:rsidRPr="00216965">
        <w:rPr>
          <w:vertAlign w:val="superscript"/>
        </w:rPr>
        <w:t>13</w:t>
      </w:r>
      <w:r w:rsidRPr="00216965">
        <w:t>C discrimination between soil treatments (</w:t>
      </w:r>
      <w:r w:rsidRPr="00216965">
        <w:rPr>
          <w:b/>
          <w:bCs/>
          <w:lang w:val="en-US"/>
        </w:rPr>
        <w:fldChar w:fldCharType="begin"/>
      </w:r>
      <w:r w:rsidRPr="00216965">
        <w:rPr>
          <w:b/>
          <w:bCs/>
          <w:lang w:val="en-US"/>
        </w:rPr>
        <w:instrText xml:space="preserve"> REF _Ref84375375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20</w:t>
      </w:r>
      <w:r w:rsidRPr="00216965">
        <w:rPr>
          <w:b/>
          <w:bCs/>
          <w:lang w:val="en-US"/>
        </w:rPr>
        <w:fldChar w:fldCharType="end"/>
      </w:r>
      <w:r w:rsidRPr="00216965">
        <w:rPr>
          <w:b/>
        </w:rPr>
        <w:t>A)</w:t>
      </w:r>
      <w:r w:rsidRPr="00216965">
        <w:t xml:space="preserve">. In the PCA the separation of samples from soil treated with biochar from the control soils was evident. The difference between biochar-treated soil and the control soil was explained by PC1 (63.48 %), while the difference between the first and second monitoring was </w:t>
      </w:r>
      <w:r w:rsidRPr="00216965">
        <w:lastRenderedPageBreak/>
        <w:t xml:space="preserve">explained by the PC2 (19.17%). The results indicated that there was a systematic change in </w:t>
      </w:r>
      <w:r w:rsidRPr="00216965">
        <w:rPr>
          <w:vertAlign w:val="superscript"/>
        </w:rPr>
        <w:t>13</w:t>
      </w:r>
      <w:r w:rsidRPr="00216965">
        <w:t xml:space="preserve">C substrate utilization due to the presence or absence of biochar. </w:t>
      </w:r>
    </w:p>
    <w:p w14:paraId="016F77E4" w14:textId="62B6A482" w:rsidR="007906FC" w:rsidRPr="00216965" w:rsidRDefault="00B45740" w:rsidP="008A33DA">
      <w:pPr>
        <w:spacing w:line="360" w:lineRule="auto"/>
        <w:jc w:val="both"/>
        <w:rPr>
          <w:b/>
        </w:rPr>
      </w:pPr>
      <w:r w:rsidRPr="00216965">
        <w:t xml:space="preserve">The mass of total PLFAs (approximation for total microbial biomass) and PLFA which incorporated </w:t>
      </w:r>
      <w:r w:rsidRPr="00216965">
        <w:rPr>
          <w:vertAlign w:val="superscript"/>
        </w:rPr>
        <w:t>13</w:t>
      </w:r>
      <w:r w:rsidRPr="00216965">
        <w:t xml:space="preserve">C labelled substrate are presented in </w:t>
      </w:r>
      <w:r w:rsidRPr="00216965">
        <w:rPr>
          <w:b/>
          <w:bCs/>
          <w:lang w:val="en-US"/>
        </w:rPr>
        <w:fldChar w:fldCharType="begin"/>
      </w:r>
      <w:r w:rsidRPr="00216965">
        <w:rPr>
          <w:b/>
          <w:bCs/>
          <w:lang w:val="en-US"/>
        </w:rPr>
        <w:instrText xml:space="preserve"> REF _Ref84375375 \h  \* MERGEFORMAT </w:instrText>
      </w:r>
      <w:r w:rsidRPr="00216965">
        <w:rPr>
          <w:b/>
          <w:bCs/>
          <w:lang w:val="en-US"/>
        </w:rPr>
      </w:r>
      <w:r w:rsidRPr="00216965">
        <w:rPr>
          <w:b/>
          <w:bCs/>
          <w:lang w:val="en-US"/>
        </w:rPr>
        <w:fldChar w:fldCharType="separate"/>
      </w:r>
      <w:r w:rsidR="006E23EA" w:rsidRPr="00216965">
        <w:rPr>
          <w:b/>
          <w:bCs/>
        </w:rPr>
        <w:t>Fig.</w:t>
      </w:r>
      <w:r w:rsidR="006E23EA" w:rsidRPr="00216965">
        <w:rPr>
          <w:b/>
          <w:bCs/>
          <w:noProof/>
        </w:rPr>
        <w:t xml:space="preserve"> 5</w:t>
      </w:r>
      <w:r w:rsidR="006E23EA" w:rsidRPr="00216965">
        <w:rPr>
          <w:b/>
          <w:bCs/>
          <w:noProof/>
        </w:rPr>
        <w:noBreakHyphen/>
        <w:t>20</w:t>
      </w:r>
      <w:r w:rsidRPr="00216965">
        <w:rPr>
          <w:b/>
          <w:bCs/>
          <w:lang w:val="en-US"/>
        </w:rPr>
        <w:fldChar w:fldCharType="end"/>
      </w:r>
      <w:r w:rsidRPr="00216965">
        <w:rPr>
          <w:b/>
          <w:bCs/>
          <w:lang w:val="en-US"/>
        </w:rPr>
        <w:t>B</w:t>
      </w:r>
      <w:r w:rsidRPr="00216965">
        <w:rPr>
          <w:b/>
        </w:rPr>
        <w:t xml:space="preserve">. </w:t>
      </w:r>
    </w:p>
    <w:p w14:paraId="2DE431DE" w14:textId="77777777" w:rsidR="007906FC" w:rsidRPr="00216965" w:rsidRDefault="007906FC" w:rsidP="008A33DA">
      <w:pPr>
        <w:jc w:val="center"/>
      </w:pPr>
      <w:r w:rsidRPr="00216965">
        <w:rPr>
          <w:noProof/>
        </w:rPr>
        <w:drawing>
          <wp:inline distT="0" distB="0" distL="0" distR="0" wp14:anchorId="606E75E1" wp14:editId="25E2372C">
            <wp:extent cx="5242560" cy="5090160"/>
            <wp:effectExtent l="0" t="0" r="0" b="0"/>
            <wp:docPr id="66" name="image2.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graphical user interface&#10;&#10;Description automatically generated"/>
                    <pic:cNvPicPr preferRelativeResize="0"/>
                  </pic:nvPicPr>
                  <pic:blipFill>
                    <a:blip r:embed="rId75"/>
                    <a:srcRect/>
                    <a:stretch>
                      <a:fillRect/>
                    </a:stretch>
                  </pic:blipFill>
                  <pic:spPr>
                    <a:xfrm>
                      <a:off x="0" y="0"/>
                      <a:ext cx="5243095" cy="5090679"/>
                    </a:xfrm>
                    <a:prstGeom prst="rect">
                      <a:avLst/>
                    </a:prstGeom>
                    <a:ln/>
                  </pic:spPr>
                </pic:pic>
              </a:graphicData>
            </a:graphic>
          </wp:inline>
        </w:drawing>
      </w:r>
    </w:p>
    <w:p w14:paraId="2659DC8B" w14:textId="42F43AF3" w:rsidR="007906FC" w:rsidRPr="00216965" w:rsidRDefault="007906FC" w:rsidP="008A33DA">
      <w:pPr>
        <w:pBdr>
          <w:top w:val="nil"/>
          <w:left w:val="nil"/>
          <w:bottom w:val="nil"/>
          <w:right w:val="nil"/>
          <w:between w:val="nil"/>
        </w:pBdr>
        <w:spacing w:after="200" w:line="240" w:lineRule="auto"/>
        <w:jc w:val="both"/>
        <w:rPr>
          <w:color w:val="000000"/>
        </w:rPr>
      </w:pPr>
      <w:bookmarkStart w:id="405" w:name="_Ref84375375"/>
      <w:bookmarkStart w:id="406" w:name="_Toc86439401"/>
      <w:r w:rsidRPr="00216965">
        <w:rPr>
          <w:b/>
          <w:bCs/>
        </w:rPr>
        <w:t xml:space="preserve">Fig. </w:t>
      </w:r>
      <w:r w:rsidR="00BF3EBE" w:rsidRPr="00216965">
        <w:rPr>
          <w:b/>
          <w:bCs/>
        </w:rPr>
        <w:fldChar w:fldCharType="begin"/>
      </w:r>
      <w:r w:rsidR="00BF3EBE" w:rsidRPr="00216965">
        <w:rPr>
          <w:b/>
          <w:bCs/>
        </w:rPr>
        <w:instrText xml:space="preserve"> STYLEREF 1 \s </w:instrText>
      </w:r>
      <w:r w:rsidR="00BF3EBE" w:rsidRPr="00216965">
        <w:rPr>
          <w:b/>
          <w:bCs/>
        </w:rPr>
        <w:fldChar w:fldCharType="separate"/>
      </w:r>
      <w:r w:rsidR="006E23EA" w:rsidRPr="00216965">
        <w:rPr>
          <w:b/>
          <w:bCs/>
          <w:noProof/>
        </w:rPr>
        <w:t>5</w:t>
      </w:r>
      <w:r w:rsidR="00BF3EBE" w:rsidRPr="00216965">
        <w:rPr>
          <w:b/>
          <w:bCs/>
        </w:rPr>
        <w:fldChar w:fldCharType="end"/>
      </w:r>
      <w:r w:rsidR="00BF3EBE" w:rsidRPr="00216965">
        <w:rPr>
          <w:b/>
          <w:bCs/>
        </w:rPr>
        <w:noBreakHyphen/>
      </w:r>
      <w:r w:rsidR="00BF3EBE" w:rsidRPr="00216965">
        <w:rPr>
          <w:b/>
          <w:bCs/>
        </w:rPr>
        <w:fldChar w:fldCharType="begin"/>
      </w:r>
      <w:r w:rsidR="00BF3EBE" w:rsidRPr="00216965">
        <w:rPr>
          <w:b/>
          <w:bCs/>
        </w:rPr>
        <w:instrText xml:space="preserve"> SEQ Figure \* ARABIC \s 1 </w:instrText>
      </w:r>
      <w:r w:rsidR="00BF3EBE" w:rsidRPr="00216965">
        <w:rPr>
          <w:b/>
          <w:bCs/>
        </w:rPr>
        <w:fldChar w:fldCharType="separate"/>
      </w:r>
      <w:r w:rsidR="006E23EA" w:rsidRPr="00216965">
        <w:rPr>
          <w:b/>
          <w:bCs/>
          <w:noProof/>
        </w:rPr>
        <w:t>20</w:t>
      </w:r>
      <w:r w:rsidR="00BF3EBE" w:rsidRPr="00216965">
        <w:rPr>
          <w:b/>
          <w:bCs/>
        </w:rPr>
        <w:fldChar w:fldCharType="end"/>
      </w:r>
      <w:bookmarkEnd w:id="405"/>
      <w:r w:rsidRPr="00216965">
        <w:t xml:space="preserve"> </w:t>
      </w:r>
      <w:r w:rsidRPr="00216965">
        <w:rPr>
          <w:b/>
          <w:bCs/>
          <w:color w:val="000000"/>
        </w:rPr>
        <w:t xml:space="preserve">Soil microbial dynamics based on total PLFA. A) Principal component analysis (PCA) of Δ </w:t>
      </w:r>
      <w:r w:rsidRPr="00216965">
        <w:rPr>
          <w:b/>
          <w:bCs/>
          <w:color w:val="000000"/>
          <w:vertAlign w:val="superscript"/>
        </w:rPr>
        <w:t>13</w:t>
      </w:r>
      <w:r w:rsidRPr="00216965">
        <w:rPr>
          <w:b/>
          <w:bCs/>
          <w:color w:val="000000"/>
        </w:rPr>
        <w:t xml:space="preserve">C (‰) in individual fatty acids of the studied soil treatments. </w:t>
      </w:r>
      <w:r w:rsidRPr="00216965">
        <w:rPr>
          <w:color w:val="000000"/>
        </w:rPr>
        <w:t>The PCA analysis contained samples measured after 1 month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3) and after 12 months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 xml:space="preserve">5) from the start of the incubation experiment). Boxplot of mass of total fatty acids in soil and mass of fatty acids from </w:t>
      </w:r>
      <w:r w:rsidRPr="00216965">
        <w:rPr>
          <w:color w:val="000000"/>
          <w:vertAlign w:val="superscript"/>
        </w:rPr>
        <w:t>13</w:t>
      </w:r>
      <w:r w:rsidRPr="00216965">
        <w:rPr>
          <w:color w:val="000000"/>
        </w:rPr>
        <w:t>C glucose (n</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5). Treatments with the same letter do not differ significantly according Dunn post hoc test (α</w:t>
      </w:r>
      <w:r w:rsidR="00831AE6" w:rsidRPr="00216965">
        <w:rPr>
          <w:color w:val="000000"/>
        </w:rPr>
        <w:t xml:space="preserve"> </w:t>
      </w:r>
      <w:r w:rsidRPr="00216965">
        <w:rPr>
          <w:color w:val="000000"/>
        </w:rPr>
        <w:t>=</w:t>
      </w:r>
      <w:r w:rsidR="00831AE6" w:rsidRPr="00216965">
        <w:rPr>
          <w:color w:val="000000"/>
        </w:rPr>
        <w:t xml:space="preserve"> </w:t>
      </w:r>
      <w:r w:rsidRPr="00216965">
        <w:rPr>
          <w:color w:val="000000"/>
        </w:rPr>
        <w:t>0.05).</w:t>
      </w:r>
      <w:bookmarkEnd w:id="406"/>
    </w:p>
    <w:p w14:paraId="3578334E" w14:textId="1ADED169" w:rsidR="00B45740" w:rsidRPr="00216965" w:rsidRDefault="00B45740" w:rsidP="008A33DA">
      <w:pPr>
        <w:spacing w:before="360" w:line="360" w:lineRule="auto"/>
        <w:jc w:val="both"/>
      </w:pPr>
      <w:r w:rsidRPr="00216965">
        <w:t xml:space="preserve">There was a significant increase in total fatty acids after 12 months in both the control soil and soil amended with biochar relative to the first measurement (p &lt; 0.05). However, there was no significant difference between the control soil and biochar-treated soil in </w:t>
      </w:r>
      <w:r w:rsidRPr="00216965">
        <w:lastRenderedPageBreak/>
        <w:t xml:space="preserve">total mass of PLFAs (p &gt; 0.05). Similarly, there was an increase in the mass of </w:t>
      </w:r>
      <w:r w:rsidRPr="00216965">
        <w:rPr>
          <w:vertAlign w:val="superscript"/>
        </w:rPr>
        <w:t>13</w:t>
      </w:r>
      <w:r w:rsidRPr="00216965">
        <w:t>C fatty acids after 12 months compared to the first measurement, although the difference was only significant in the biochar treatment. These findings are consistent with those from the qRT-PCR analysis (</w:t>
      </w:r>
      <w:r w:rsidRPr="00216965">
        <w:rPr>
          <w:b/>
          <w:bCs/>
          <w:lang w:val="en-US"/>
        </w:rPr>
        <w:t>section</w:t>
      </w:r>
      <w:r w:rsidR="00B11CBC" w:rsidRPr="00216965">
        <w:rPr>
          <w:b/>
          <w:bCs/>
          <w:lang w:val="en-US"/>
        </w:rPr>
        <w:t xml:space="preserve"> </w:t>
      </w:r>
      <w:r w:rsidR="00B11CBC" w:rsidRPr="00216965">
        <w:rPr>
          <w:b/>
          <w:bCs/>
          <w:lang w:val="en-US"/>
        </w:rPr>
        <w:fldChar w:fldCharType="begin"/>
      </w:r>
      <w:r w:rsidR="00B11CBC" w:rsidRPr="00216965">
        <w:rPr>
          <w:b/>
          <w:bCs/>
          <w:lang w:val="en-US"/>
        </w:rPr>
        <w:instrText xml:space="preserve"> REF _Ref86419032 \r \h </w:instrText>
      </w:r>
      <w:r w:rsidR="00B11CBC" w:rsidRPr="00216965">
        <w:rPr>
          <w:b/>
          <w:bCs/>
          <w:lang w:val="en-US"/>
        </w:rPr>
      </w:r>
      <w:r w:rsidR="00216965" w:rsidRPr="00216965">
        <w:rPr>
          <w:b/>
          <w:bCs/>
          <w:lang w:val="en-US"/>
        </w:rPr>
        <w:instrText xml:space="preserve"> \* MERGEFORMAT </w:instrText>
      </w:r>
      <w:r w:rsidR="00B11CBC" w:rsidRPr="00216965">
        <w:rPr>
          <w:b/>
          <w:bCs/>
          <w:lang w:val="en-US"/>
        </w:rPr>
        <w:fldChar w:fldCharType="separate"/>
      </w:r>
      <w:r w:rsidR="006E23EA" w:rsidRPr="00216965">
        <w:rPr>
          <w:b/>
          <w:bCs/>
          <w:lang w:val="en-US"/>
        </w:rPr>
        <w:t>5.3.8</w:t>
      </w:r>
      <w:r w:rsidR="00B11CBC" w:rsidRPr="00216965">
        <w:rPr>
          <w:b/>
          <w:bCs/>
          <w:lang w:val="en-US"/>
        </w:rPr>
        <w:fldChar w:fldCharType="end"/>
      </w:r>
      <w:r w:rsidRPr="00216965">
        <w:t>) and the metataxonomic analysis (</w:t>
      </w:r>
      <w:r w:rsidRPr="00216965">
        <w:rPr>
          <w:b/>
          <w:bCs/>
          <w:lang w:val="en-US"/>
        </w:rPr>
        <w:t>section</w:t>
      </w:r>
      <w:r w:rsidR="00B11CBC" w:rsidRPr="00216965">
        <w:rPr>
          <w:b/>
          <w:bCs/>
          <w:lang w:val="en-US"/>
        </w:rPr>
        <w:t xml:space="preserve"> </w:t>
      </w:r>
      <w:r w:rsidR="00B11CBC" w:rsidRPr="00216965">
        <w:rPr>
          <w:b/>
          <w:bCs/>
          <w:lang w:val="en-US"/>
        </w:rPr>
        <w:fldChar w:fldCharType="begin"/>
      </w:r>
      <w:r w:rsidR="00B11CBC" w:rsidRPr="00216965">
        <w:rPr>
          <w:b/>
          <w:bCs/>
          <w:lang w:val="en-US"/>
        </w:rPr>
        <w:instrText xml:space="preserve"> REF _Ref86419034 \r \h </w:instrText>
      </w:r>
      <w:r w:rsidR="00B11CBC" w:rsidRPr="00216965">
        <w:rPr>
          <w:b/>
          <w:bCs/>
          <w:lang w:val="en-US"/>
        </w:rPr>
      </w:r>
      <w:r w:rsidR="00216965" w:rsidRPr="00216965">
        <w:rPr>
          <w:b/>
          <w:bCs/>
          <w:lang w:val="en-US"/>
        </w:rPr>
        <w:instrText xml:space="preserve"> \* MERGEFORMAT </w:instrText>
      </w:r>
      <w:r w:rsidR="00B11CBC" w:rsidRPr="00216965">
        <w:rPr>
          <w:b/>
          <w:bCs/>
          <w:lang w:val="en-US"/>
        </w:rPr>
        <w:fldChar w:fldCharType="separate"/>
      </w:r>
      <w:r w:rsidR="006E23EA" w:rsidRPr="00216965">
        <w:rPr>
          <w:b/>
          <w:bCs/>
          <w:lang w:val="en-US"/>
        </w:rPr>
        <w:t>5.3.9</w:t>
      </w:r>
      <w:r w:rsidR="00B11CBC" w:rsidRPr="00216965">
        <w:rPr>
          <w:b/>
          <w:bCs/>
          <w:lang w:val="en-US"/>
        </w:rPr>
        <w:fldChar w:fldCharType="end"/>
      </w:r>
      <w:r w:rsidRPr="00216965">
        <w:t xml:space="preserve">), demonstrating that biochar addition did not significantly increase the total microbial biomass compared with the untreated soil. However, biochar addition resulted in a change in the composition of microbial communities, as evident from a distinct pattern in the assimilation of </w:t>
      </w:r>
      <w:r w:rsidRPr="00216965">
        <w:rPr>
          <w:vertAlign w:val="superscript"/>
        </w:rPr>
        <w:t>13</w:t>
      </w:r>
      <w:r w:rsidRPr="00216965">
        <w:t>C and increased microbial activity associated with a faster C mineralization (CO</w:t>
      </w:r>
      <w:r w:rsidRPr="00216965">
        <w:rPr>
          <w:vertAlign w:val="subscript"/>
        </w:rPr>
        <w:t>2</w:t>
      </w:r>
      <w:r w:rsidRPr="00216965">
        <w:t xml:space="preserve"> release).</w:t>
      </w:r>
    </w:p>
    <w:p w14:paraId="016E2D3F" w14:textId="77777777" w:rsidR="00B45740" w:rsidRPr="00216965" w:rsidRDefault="00B45740" w:rsidP="008A33DA">
      <w:pPr>
        <w:pStyle w:val="Heading2"/>
      </w:pPr>
      <w:bookmarkStart w:id="407" w:name="_Toc86504709"/>
      <w:r w:rsidRPr="00216965">
        <w:t>Discussion</w:t>
      </w:r>
      <w:bookmarkEnd w:id="407"/>
    </w:p>
    <w:p w14:paraId="7ACA6A1A" w14:textId="77777777" w:rsidR="00B45740" w:rsidRPr="00216965" w:rsidRDefault="00B45740" w:rsidP="008A33DA">
      <w:pPr>
        <w:pStyle w:val="Heading3"/>
      </w:pPr>
      <w:bookmarkStart w:id="408" w:name="_Toc86504710"/>
      <w:r w:rsidRPr="00216965">
        <w:t>Soil toxicity</w:t>
      </w:r>
      <w:bookmarkEnd w:id="408"/>
    </w:p>
    <w:p w14:paraId="42556BB2" w14:textId="258B98BD" w:rsidR="00B45740" w:rsidRPr="00216965" w:rsidRDefault="00B45740" w:rsidP="008A33DA">
      <w:pPr>
        <w:spacing w:line="360" w:lineRule="auto"/>
        <w:jc w:val="both"/>
      </w:pPr>
      <w:r w:rsidRPr="00216965">
        <w:t xml:space="preserve">Wemyss soil exceeded, by several fold, the total concentration of Pb and Zn established in the soil guideline values of the Environment Agency for different land uses </w:t>
      </w:r>
      <w:r w:rsidRPr="00216965">
        <w:fldChar w:fldCharType="begin" w:fldLock="1"/>
      </w:r>
      <w:r w:rsidR="00F56BD7" w:rsidRPr="00216965">
        <w:instrText>ADDIN CSL_CITATION {"citationItems":[{"id":"ITEM-1","itemData":{"author":[{"dropping-particle":"","family":"Lancrop Laboratories","given":"","non-dropping-particle":"","parse-names":false,"suffix":""}],"container-title":"Technical Bulletin Yara","id":"ITEM-1","issue":"6","issued":{"date-parts":[["2014"]]},"publisher":"Yara","publisher-place":"Lincolnshire","title":"Heavy metal guidelines in soil","type":"report"},"uris":["http://www.mendeley.com/documents/?uuid=173e5805-5bf2-4c7b-b12d-8324c7bf7a54"]}],"mendeley":{"formattedCitation":"(Lancrop Laboratories, 2014)","plainTextFormattedCitation":"(Lancrop Laboratories, 2014)","previouslyFormattedCitation":"(Lancrop Laboratories, 2014)"},"properties":{"noteIndex":0},"schema":"https://github.com/citation-style-language/schema/raw/master/csl-citation.json"}</w:instrText>
      </w:r>
      <w:r w:rsidRPr="00216965">
        <w:fldChar w:fldCharType="separate"/>
      </w:r>
      <w:r w:rsidR="00330A4F" w:rsidRPr="00216965">
        <w:rPr>
          <w:noProof/>
        </w:rPr>
        <w:t>(Lancrop Laboratories, 2014)</w:t>
      </w:r>
      <w:r w:rsidRPr="00216965">
        <w:fldChar w:fldCharType="end"/>
      </w:r>
      <w:r w:rsidRPr="00216965">
        <w:t>. The</w:t>
      </w:r>
      <w:r w:rsidR="008563DC" w:rsidRPr="00216965">
        <w:t xml:space="preserve"> </w:t>
      </w:r>
      <w:r w:rsidRPr="00216965">
        <w:t xml:space="preserve"> total </w:t>
      </w:r>
      <w:r w:rsidR="008563DC" w:rsidRPr="00216965">
        <w:t xml:space="preserve"> </w:t>
      </w:r>
      <w:r w:rsidRPr="00216965">
        <w:t>concentrations of Zn</w:t>
      </w:r>
      <w:r w:rsidR="008563DC" w:rsidRPr="00216965">
        <w:t xml:space="preserve"> </w:t>
      </w:r>
      <w:r w:rsidRPr="00216965">
        <w:t xml:space="preserve"> (1600 mg.kg</w:t>
      </w:r>
      <w:r w:rsidRPr="00216965">
        <w:rPr>
          <w:vertAlign w:val="superscript"/>
        </w:rPr>
        <w:t>-1</w:t>
      </w:r>
      <w:r w:rsidRPr="00216965">
        <w:t xml:space="preserve">) and </w:t>
      </w:r>
      <w:r w:rsidR="008563DC" w:rsidRPr="00216965">
        <w:t xml:space="preserve"> </w:t>
      </w:r>
      <w:r w:rsidRPr="00216965">
        <w:t xml:space="preserve">Pb (3400 </w:t>
      </w:r>
      <w:r w:rsidR="008563DC" w:rsidRPr="00216965">
        <w:t xml:space="preserve"> </w:t>
      </w:r>
      <w:r w:rsidRPr="00216965">
        <w:t>mg.kg</w:t>
      </w:r>
      <w:r w:rsidRPr="00216965">
        <w:rPr>
          <w:vertAlign w:val="superscript"/>
        </w:rPr>
        <w:t>-1</w:t>
      </w:r>
      <w:r w:rsidRPr="00216965">
        <w:t>) exceed the range of HM concentrations in soil above which plant toxicity is considered possible; these have been set between 100-400 mg.kg</w:t>
      </w:r>
      <w:r w:rsidRPr="00216965">
        <w:rPr>
          <w:vertAlign w:val="superscript"/>
        </w:rPr>
        <w:t xml:space="preserve">-1 </w:t>
      </w:r>
      <w:r w:rsidRPr="00216965">
        <w:t>for Pb and 70-400  mg.kg</w:t>
      </w:r>
      <w:r w:rsidRPr="00216965">
        <w:rPr>
          <w:vertAlign w:val="superscript"/>
        </w:rPr>
        <w:t xml:space="preserve">-1  </w:t>
      </w:r>
      <w:r w:rsidRPr="00216965">
        <w:t xml:space="preserve">for Zn </w:t>
      </w:r>
      <w:r w:rsidRPr="00216965">
        <w:fldChar w:fldCharType="begin" w:fldLock="1"/>
      </w:r>
      <w:r w:rsidR="00F56BD7" w:rsidRPr="00216965">
        <w:instrText>ADDIN CSL_CITATION {"citationItems":[{"id":"ITEM-1","itemData":{"ISBN":"0-8493-1575-1","author":[{"dropping-particle":"","family":"Kabata-Pendias","given":"Alina","non-dropping-particle":"","parse-names":false,"suffix":""},{"dropping-particle":"","family":"Pendias","given":"H","non-dropping-particle":"","parse-names":false,"suffix":""}],"edition":"Third Edit","id":"ITEM-1","issued":{"date-parts":[["2001"]]},"number-of-pages":"331","publisher":"CRC Press LLC","publisher-place":"Boca Raton","title":"Trace elements in soils and plants","type":"book"},"uris":["http://www.mendeley.com/documents/?uuid=75d95714-b09f-411c-bcb7-9c7a6d03ee36"]}],"mendeley":{"formattedCitation":"(Kabata-Pendias and Pendias, 2001)","plainTextFormattedCitation":"(Kabata-Pendias and Pendias, 2001)","previouslyFormattedCitation":"(Kabata-Pendias and Pendias, 2001)"},"properties":{"noteIndex":0},"schema":"https://github.com/citation-style-language/schema/raw/master/csl-citation.json"}</w:instrText>
      </w:r>
      <w:r w:rsidRPr="00216965">
        <w:fldChar w:fldCharType="separate"/>
      </w:r>
      <w:r w:rsidR="00330A4F" w:rsidRPr="00216965">
        <w:rPr>
          <w:noProof/>
        </w:rPr>
        <w:t>(Kabata-Pendias and Pendias, 2001)</w:t>
      </w:r>
      <w:r w:rsidRPr="00216965">
        <w:fldChar w:fldCharType="end"/>
      </w:r>
      <w:r w:rsidRPr="00216965">
        <w:t>. The initial bioavailable concentration of Pb (135 mg.kg</w:t>
      </w:r>
      <w:r w:rsidRPr="00216965">
        <w:rPr>
          <w:vertAlign w:val="superscript"/>
        </w:rPr>
        <w:t>-1</w:t>
      </w:r>
      <w:r w:rsidRPr="00216965">
        <w:t>) and Zn (21 mg.kg</w:t>
      </w:r>
      <w:r w:rsidRPr="00216965">
        <w:rPr>
          <w:vertAlign w:val="superscript"/>
        </w:rPr>
        <w:t>-1</w:t>
      </w:r>
      <w:r w:rsidRPr="00216965">
        <w:t>) in Wemyss soil are comparable to bioavailable concentrations of mining soils in other locations which have been amended with biochar. For example, soil from a mining area in Vazante (Minas Gerais, Brazil) was reported to have initial bioavailable concentrations of 141 mg.kg</w:t>
      </w:r>
      <w:r w:rsidRPr="00216965">
        <w:rPr>
          <w:vertAlign w:val="superscript"/>
        </w:rPr>
        <w:t>-1</w:t>
      </w:r>
      <w:r w:rsidRPr="00216965">
        <w:t xml:space="preserve"> Pb and 60 mg.kg</w:t>
      </w:r>
      <w:r w:rsidRPr="00216965">
        <w:rPr>
          <w:vertAlign w:val="superscript"/>
        </w:rPr>
        <w:t>-1</w:t>
      </w:r>
      <w:r w:rsidRPr="00216965">
        <w:t xml:space="preserve"> Zn </w:t>
      </w:r>
      <w:r w:rsidRPr="00216965">
        <w:fldChar w:fldCharType="begin" w:fldLock="1"/>
      </w:r>
      <w:r w:rsidR="006C06AA" w:rsidRPr="00216965">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2015a)","plainTextFormattedCitation":"(Puga et al., 2015a)","previouslyFormattedCitation":"(Puga et al., 2015a)"},"properties":{"noteIndex":0},"schema":"https://github.com/citation-style-language/schema/raw/master/csl-citation.json"}</w:instrText>
      </w:r>
      <w:r w:rsidRPr="00216965">
        <w:fldChar w:fldCharType="separate"/>
      </w:r>
      <w:r w:rsidR="001974AA" w:rsidRPr="00216965">
        <w:rPr>
          <w:noProof/>
        </w:rPr>
        <w:t>(Puga et al., 2015a)</w:t>
      </w:r>
      <w:r w:rsidRPr="00216965">
        <w:fldChar w:fldCharType="end"/>
      </w:r>
      <w:r w:rsidRPr="00216965">
        <w:t xml:space="preserve">. Similarly, </w:t>
      </w:r>
      <w:r w:rsidRPr="00216965">
        <w:fldChar w:fldCharType="begin" w:fldLock="1"/>
      </w:r>
      <w:r w:rsidR="006C06AA" w:rsidRPr="00216965">
        <w:instrText>ADDIN CSL_CITATION {"citationItems":[{"id":"ITEM-1","itemData":{"DOI":"10.1016/j.jhazmat.2011.04.025","ISBN":"1873-3336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Materials","id":"ITEM-1","issue":"1-3","issued":{"date-parts":[["2011"]]},"page":"41-48","publisher":"Elsevier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2011)","manualFormatting":"Karami et al. (2011)","plainTextFormattedCitation":"(Karami et al., 2011)","previouslyFormattedCitation":"(Karami et al., 2011)"},"properties":{"noteIndex":0},"schema":"https://github.com/citation-style-language/schema/raw/master/csl-citation.json"}</w:instrText>
      </w:r>
      <w:r w:rsidRPr="00216965">
        <w:fldChar w:fldCharType="separate"/>
      </w:r>
      <w:r w:rsidRPr="00216965">
        <w:rPr>
          <w:noProof/>
        </w:rPr>
        <w:t xml:space="preserve">Karami </w:t>
      </w:r>
      <w:r w:rsidR="009B2252" w:rsidRPr="00216965">
        <w:rPr>
          <w:noProof/>
        </w:rPr>
        <w:t>et al</w:t>
      </w:r>
      <w:r w:rsidRPr="00216965">
        <w:rPr>
          <w:noProof/>
        </w:rPr>
        <w:t>. (2011)</w:t>
      </w:r>
      <w:r w:rsidRPr="00216965">
        <w:fldChar w:fldCharType="end"/>
      </w:r>
      <w:r w:rsidRPr="00216965">
        <w:t xml:space="preserve"> reported bioavailable Pb to be 21 mg.kg</w:t>
      </w:r>
      <w:r w:rsidRPr="00216965">
        <w:rPr>
          <w:vertAlign w:val="superscript"/>
        </w:rPr>
        <w:t>-1</w:t>
      </w:r>
      <w:r w:rsidRPr="00216965">
        <w:t xml:space="preserve"> in a former copper mine site in the UK.  </w:t>
      </w:r>
    </w:p>
    <w:p w14:paraId="6211619B" w14:textId="77777777" w:rsidR="00B45740" w:rsidRPr="00216965" w:rsidRDefault="00B45740" w:rsidP="008A33DA">
      <w:pPr>
        <w:spacing w:line="360" w:lineRule="auto"/>
        <w:jc w:val="both"/>
      </w:pPr>
      <w:r w:rsidRPr="00216965">
        <w:t>The initial total HMs in the treatments containing compost (S+C and S+C+B) were lower than that of soil (S) or soil with biochar (S+B). This was most likely due to a dilution effect caused by the addition of compost at a higher rate than biochar. Despite the dilution effect, the initial total concentrations of these elements were still above the recommended guideline values and the threshold above which plant toxicity may occur.</w:t>
      </w:r>
    </w:p>
    <w:p w14:paraId="4FDA5E42" w14:textId="77777777" w:rsidR="00B45740" w:rsidRPr="00216965" w:rsidRDefault="00B45740" w:rsidP="008A33DA">
      <w:pPr>
        <w:pStyle w:val="Heading3"/>
      </w:pPr>
      <w:bookmarkStart w:id="409" w:name="_Toc86504711"/>
      <w:r w:rsidRPr="00216965">
        <w:lastRenderedPageBreak/>
        <w:t>Effect of organic amendments on soil properties</w:t>
      </w:r>
      <w:bookmarkEnd w:id="409"/>
      <w:r w:rsidRPr="00216965">
        <w:t xml:space="preserve"> </w:t>
      </w:r>
    </w:p>
    <w:p w14:paraId="69266EE1" w14:textId="21C04AF7" w:rsidR="00AB2390" w:rsidRPr="00216965" w:rsidRDefault="00B45740" w:rsidP="008A33DA">
      <w:pPr>
        <w:spacing w:line="360" w:lineRule="auto"/>
        <w:jc w:val="both"/>
      </w:pPr>
      <w:r w:rsidRPr="00216965">
        <w:t xml:space="preserve">The addition of biochar, compost or a combination of the two, modified soil properties. Both materials increased soil pH and EC, with the increase being greatest in the treatments containing compost. The increase in soil pH is attributed to the alkaline nature of the biochar and garden waste compost used in this study. Similar results were reported by other investigators using biochar </w:t>
      </w:r>
      <w:r w:rsidRPr="00216965">
        <w:fldChar w:fldCharType="begin" w:fldLock="1"/>
      </w:r>
      <w:r w:rsidR="006C06AA" w:rsidRPr="00216965">
        <w:instrText>ADDIN CSL_CITATION {"citationItems":[{"id":"ITEM-1","itemData":{"DOI":"10.1007/s11270-020-04885-4","ISSN":"15732932","abstract":"Organic sorbents alter physicochemical soil properties and mitigate heavy metal (HM) bioavailability. However, some sorbents are labile and, therefore, introduce the risk of HM release into soil after mineralisation. Before field application, new stable organic sorbents such as woodchip biochar (BIO) and brown coal waste (BCW) need to be tested and compared with standard organic amendments like farmyard manure (FYM). An incubated pot experiment was conducted to investigate the efficacy of FYM, BIO and BCW (added to soil in pots at 5 and 10% w/w) to alter soil physicochemical properties and mitigate bioavailability of Cd, Pb and Zn spiked in treatments at different doses (in mg kg−1); 0 (not spiked), 1 (1 Cd, 70 Pb, 100 Zn) and 2 (3 Cd, 500 Pb, 700 Zn), and incubated for 9 weeks. At the end of the experiment, the EDTA-extractable HM fractions, pH, cation exchange capacity (CEC) and specific surface area (SSA, to check trends) were determined in all treated soils. Results showed that FYM, BCW and BIO generally improved all soil properties (except reduced pH from BCW and apparent SSA reduction from FYM) and accounted for respective maximum abatements of Cd (50.2, 69.9 and 25.5%), Pb (34.2, 64.3 and 17.4%) and Zn (14.9, 17.7 and 11.8%) bioavailability in soil. FYM and BCW were more effective at 10% w/w especially in the low contaminated soil, whereas the highest efficacy for BIO was at 5% w/w and in the high contaminated soil. The efficacies of sorption by the organic sorbents varied for different HMs and were in the orders: BCW &gt; FYM &gt; BIO for Cd, FYM &gt; BCW &gt; BIO for Pb and BIO &gt; BCW &gt; FYM for Zn. Soil pH and CEC were strongly correlated with HM bioavailability in all treatments and implied that immobilisation of HMs occurred via complex formation, ion exchange and pH-dependent specific adsorption. All three sorbents were beneficial as soil amendments, and in terms of HM mitigation, BCW had the highest efficacy, followed by FYM and then BIO. Considering the documented high soil stability of BCW and BIO, these results are promising for further trialling at field scale.","author":[{"dropping-particle":"","family":"Amoah-Antwi","given":"C.","non-dropping-particle":"","parse-names":false,"suffix":""},{"dropping-particle":"","family":"Kwiatkowska-Malina","given":"J.","non-dropping-particle":"","parse-names":false,"suffix":""},{"dropping-particle":"","family":"Szara","given":"E.","non-dropping-particle":"","parse-names":false,"suffix":""},{"dropping-particle":"","family":"Thornton","given":"S.","non-dropping-particle":"","parse-names":false,"suffix":""},{"dropping-particle":"","family":"Fenton","given":"O.","non-dropping-particle":"","parse-names":false,"suffix":""},{"dropping-particle":"","family":"Malina","given":"G.","non-dropping-particle":"","parse-names":false,"suffix":""}],"container-title":"Water, Air, and Soil Pollution","id":"ITEM-1","issued":{"date-parts":[["2020","10","1"]]},"page":"515","publisher":"Springer Science and Business Media Deutschland GmbH","title":"Efficacy of woodchip biochar and brown coal waste as stable sorbents for abatement of bioavailable cadmium, lead and zinc in soil","type":"article-journal","volume":"231"},"uris":["http://www.mendeley.com/documents/?uuid=3443d71f-7da5-34e4-a645-6e69e4174239"]},{"id":"ITEM-2","itemData":{"DOI":"10.1016/j.ecoenv.2017.02.028","ISBN":"0147-6513","ISSN":"01476513","abstract":"Cadmium (Cd) is a well-known and widespread toxic heavy metal while the effects of biochar (BC) on Cd bioavailability and toxicity in wheat, especially in soils with aged contamination are largely unknown. In the present study, the effect of rice straw BC on Cd immobilization in soil and uptake by wheat in an agricultural contaminated-soil was investigated. Different levels of rice straw BC (0%, 1.5%, 3.0% and 5% w/w) were incorporated into the soil and incubated for two weeks. After this, wheat plants were grown in the amended soil until maturity. The results show that the BC treatments increased the soil and soil solution pH and silicon contents in the plant tissues and in the soil solution while decreased the bioavailable Cd in soil. The BC application increased the plant-height, spike-length, shoot and root dry mass and grain yield in a dose additive manner when compared with control treatment. As compared to control, BC application increased the photosynthetic pigments and gas exchange parameters in leaves. Biochar treatments decreased the oxidative stress while increased the activities of antioxidant enzymes in shoots compared to the control. The BC treatments decreased the Cd and Ni while increased Zn and Mn concentrations in shoots, roots, and grains of wheat compared to the control. As compared to the control, Cd concentration in wheat grains decreased by 26%, 42%, and 57% after the application of 1.5%, 3.0%, and 5.0% BC respectively. Overall, the application of rice straw BC might be effective in immobilization of metal in the soil and reducing its uptake and translocation to grains.","author":[{"dropping-particle":"","family":"Ali","given":"Shafaqat","non-dropping-particle":"","parse-names":false,"suffix":""},{"dropping-particle":"","family":"Zia-ur-Rehman","given":"Muhammad","non-dropping-particle":"","parse-names":false,"suffix":""},{"dropping-particle":"","family":"Abbas","given":"Farhat","non-dropping-particle":"","parse-names":false,"suffix":""},{"dropping-particle":"","family":"Rinklebe","given":"Jörg","non-dropping-particle":"","parse-names":false,"suffix":""},{"dropping-particle":"","family":"Farooq Qayyum","given":"Muhammad","non-dropping-particle":"","parse-names":false,"suffix":""},{"dropping-particle":"","family":"Hannan","given":"Fakhir","non-dropping-particle":"","parse-names":false,"suffix":""},{"dropping-particle":"","family":"Rizwan","given":"Muhammad","non-dropping-particle":"","parse-names":false,"suffix":""},{"dropping-particle":"","family":"Abbas","given":"Tahir","non-dropping-particle":"","parse-names":false,"suffix":""},{"dropping-particle":"","family":"Sik Ok","given":"Yong","non-dropping-particle":"","parse-names":false,"suffix":""}],"container-title":"Ecotoxicology and Environmental Safety","id":"ITEM-2","issued":{"date-parts":[["2017"]]},"page":"37-47","title":"Effect of biochar on cadmium bioavailability and uptake in wheat ( Triticum aestivum L.) grown in a soil with aged contamination","type":"article-journal","volume":"140"},"uris":["http://www.mendeley.com/documents/?uuid=c5a82d51-a3b6-3d56-bc56-ba14779a0a2c"]}],"mendeley":{"formattedCitation":"(Ali et al., 2017; C. Amoah-Antwi et al., 2020)","manualFormatting":"(Ali et al., 2017; Amoah-Antwi et al., 2020)","plainTextFormattedCitation":"(Ali et al., 2017; C. Amoah-Antwi et al., 2020)","previouslyFormattedCitation":"(Ali et al., 2017; C. Amoah-Antwi et al., 2020)"},"properties":{"noteIndex":0},"schema":"https://github.com/citation-style-language/schema/raw/master/csl-citation.json"}</w:instrText>
      </w:r>
      <w:r w:rsidRPr="00216965">
        <w:fldChar w:fldCharType="separate"/>
      </w:r>
      <w:r w:rsidRPr="00216965">
        <w:rPr>
          <w:noProof/>
        </w:rPr>
        <w:t xml:space="preserve">(Ali </w:t>
      </w:r>
      <w:r w:rsidR="009B2252" w:rsidRPr="00216965">
        <w:rPr>
          <w:noProof/>
        </w:rPr>
        <w:t>et al</w:t>
      </w:r>
      <w:r w:rsidRPr="00216965">
        <w:rPr>
          <w:i/>
          <w:noProof/>
        </w:rPr>
        <w:t>.</w:t>
      </w:r>
      <w:r w:rsidRPr="00216965">
        <w:rPr>
          <w:noProof/>
        </w:rPr>
        <w:t xml:space="preserve">, 2017; Amoah-Antwi </w:t>
      </w:r>
      <w:r w:rsidR="009B2252" w:rsidRPr="00216965">
        <w:rPr>
          <w:noProof/>
        </w:rPr>
        <w:t>et al</w:t>
      </w:r>
      <w:r w:rsidRPr="00216965">
        <w:rPr>
          <w:i/>
          <w:noProof/>
        </w:rPr>
        <w:t>.</w:t>
      </w:r>
      <w:r w:rsidRPr="00216965">
        <w:rPr>
          <w:noProof/>
        </w:rPr>
        <w:t>, 2020)</w:t>
      </w:r>
      <w:r w:rsidRPr="00216965">
        <w:fldChar w:fldCharType="end"/>
      </w:r>
      <w:r w:rsidRPr="00216965">
        <w:t xml:space="preserve"> and compost </w:t>
      </w:r>
      <w:r w:rsidRPr="00216965">
        <w:fldChar w:fldCharType="begin" w:fldLock="1"/>
      </w:r>
      <w:r w:rsidR="006C06AA" w:rsidRPr="00216965">
        <w:instrText>ADDIN CSL_CITATION {"citationItems":[{"id":"ITEM-1","itemData":{"DOI":"10.1016/J.AGEE.2004.07.014","ISSN":"0167-8809","abstract":"Organic materials applied to soils can influence soil phosphorus (P) dynamics. The purpose of this study was to evaluate the effects of municipal solid waste (MSW) compost on soil P availability and uptake by potato (Solanum tuberosum) and sweet corn (Zea mays) crops grown in a Pugwash sandy loam soil in Nova Scotia, Canada. Three rates of compost (MSW1, MSW2 and MSW3), one rate of chemical fertilizer (NPK) and one mixture of 1/2 MSW compost and 1/2 NPK fertilizer (MIXTURE) were used on both crops according to soil P test results. During the second year, another treatment with the recommended levels of NK fertilizer was added. The experimental design was a randomised complete block design with four replications. The NPK and MIXTURE treatments produced significantly(P &lt; 0.05) higher yields (both crops) than the MSW compost treatments in 1996, while in 1997, the yields were not significantly different for all treatments (both crops). All the MSW compost treatments had lower tissue N compared to the inorganic fertilizer and MIXTURE treatments. The MSW compost and the MIXTURE treatments resulted in statistically equivalent concentrations of tissue P as the NPK treatment in both crops and both years. Tissue P concentration in potatoes ranged from 1.92 to 2.25 and 2.60 to 3.17 g kg -1, while in corn it ranged from 3.08 to 3.46 and 2.32 to 3.16 g kg-1 in 1996 and 1997, respectively. The MSW compost and MIXTURE treatments generally resulted in equivalent concentration of Mehlich-3 extractable soil P compared to the inorganic fertilizer. In addition, the application of both inorganic fertilizer and MSW compost decreased P adsorption by the Pugwash soil by up to 30%. Municipal solid waste compost may be a good source of P for both potatoes and sweet corn. However, the low availability of compost-N means that supplementary N in the form of inorganic fertilizer may have to be added together with compost in order to enhance N availability to crops. © 2004 Elsevier B.V. All rights reserved.","author":[{"dropping-particle":"","family":"Mkhabela","given":"M. S.","non-dropping-particle":"","parse-names":false,"suffix":""},{"dropping-particle":"","family":"Warman","given":"P. R.","non-dropping-particle":"","parse-names":false,"suffix":""}],"container-title":"Agriculture, Ecosystems &amp; Environment","id":"ITEM-1","issue":"1","issued":{"date-parts":[["2005","3","30"]]},"page":"57-67","publisher":"Elsevier","title":"The influence of municipal solid waste compost on yield, soil phosphorus availability and uptake by two vegetable crops grown in a Pugwash sandy loam soil in Nova Scotia","type":"article-journal","volume":"106"},"uris":["http://www.mendeley.com/documents/?uuid=7b934ac7-d013-3744-bcee-88ae32aabaa1"]},{"id":"ITEM-2","itemData":{"DOI":"10.3390/environments6060069","abstract":"Mining activities could produce a large volume of spoils, waste rocks, and tailings, which are usually deposited at the surface and become a source of metal pollution. Phytostabilization of the mine spoils could limit the spread of these heavy metals. Phytostabilization can be enhanced by using soil amendments such as manure-based biochars capable of immobilizing metal(loid)s when combined with plant species that are tolerant of high levels of contaminants while simultaneously improving properties of mine soils. However, the use of manure-based biochars and other organic amendments for mine spoil remediation are still unclear. In this greenhouse study, we evaluated the interactive effect of biochar additions (BA) with or without the manure-based compost (MBC) on the shoots biomass (SBY), roots biomass (RBY), uptake, and bioconcentration factor (BCF) of Zn and Cd in corn (Zea mays L.) grown in mine soil. Biochar additions consisting of beef cattle manure (BCM); poultry litter (PL); and lodge pole pine (LPP) were applied at 0, 2.5, and 5.0% (w/w) in combination with different rates (0, 2.5, and 5.0%, w/w) of MBC, respectively. Shoots and roots uptake of Cd and Zn were significantly affected by BA, MBC, and the interaction of BA and MBC. Corn plants that received 2.5% PL and 2.5% BCM had the greatest Cd and Zn shoot uptake, respectively. Corn plants with 5% BCM had the greatest Cd and Zn root uptake. When averaged across BA, the greatest BCF for Cd in the shoot of 92.3 was from the application of BCM and the least BCF was from the application of PL (72.8). Our results suggest that the incorporation of biochar enhanced phytostabilization of Cd and Zn with concentrations of water-soluble Cd and Zn lowest in soils amended with manure-based biochars while improving the biomass productivity of corn. Overall, the phytostabilization technique and biochar additions have the potential to be combined in the remediation of heavy metals polluted soils.","author":[{"dropping-particle":"","family":"Sigua","given":"Gilbert C","non-dropping-particle":"","parse-names":false,"suffix":""},{"dropping-particle":"","family":"Novak","given":"Jeff M","non-dropping-particle":"","parse-names":false,"suffix":""},{"dropping-particle":"","family":"Watts","given":"Don W","non-dropping-particle":"","parse-names":false,"suffix":""},{"dropping-particle":"","family":"Ippolito","given":"Jim A","non-dropping-particle":"","parse-names":false,"suffix":""},{"dropping-particle":"","family":"Ducey","given":"Thomas F","non-dropping-particle":"","parse-names":false,"suffix":""},{"dropping-particle":"","family":"Johnson","given":"Mark G","non-dropping-particle":"","parse-names":false,"suffix":""},{"dropping-particle":"","family":"Spokas","given":"Kurt A","non-dropping-particle":"","parse-names":false,"suffix":""}],"container-title":"Environments","id":"ITEM-2","issue":"69","issued":{"date-parts":[["2019"]]},"page":"1-19","title":"Phytostabilization of Zn and Cd in mine soil using corn in combination with biochars and manure-based compost","type":"article-journal","volume":"6"},"uris":["http://www.mendeley.com/documents/?uuid=52056e93-45f1-316c-88c4-d88a31ca0b09"]},{"id":"ITEM-3","itemData":{"DOI":"10.1016/j.jhazmat.2011.04.025","ISBN":"1873-3336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Materials","id":"ITEM-3","issue":"1-3","issued":{"date-parts":[["2011"]]},"page":"41-48","publisher":"Elsevier B.V.","title":"Efficiency of green waste compost and biochar soil amendments for reducing lead and copper mobility and uptake to ryegrass","type":"article-journal","volume":"191"},"uris":["http://www.mendeley.com/documents/?uuid=cf24f16c-c283-44fe-9891-fa53486db117"]}],"mendeley":{"formattedCitation":"(Karami et al., 2011; Mkhabela and Warman, 2005; Sigua et al., 2019)","plainTextFormattedCitation":"(Karami et al., 2011; Mkhabela and Warman, 2005; Sigua et al., 2019)","previouslyFormattedCitation":"(Karami et al., 2011; Mkhabela and Warman, 2005; Sigua et al., 2019)"},"properties":{"noteIndex":0},"schema":"https://github.com/citation-style-language/schema/raw/master/csl-citation.json"}</w:instrText>
      </w:r>
      <w:r w:rsidRPr="00216965">
        <w:fldChar w:fldCharType="separate"/>
      </w:r>
      <w:r w:rsidR="001974AA" w:rsidRPr="00216965">
        <w:rPr>
          <w:noProof/>
        </w:rPr>
        <w:t>(Karami et al., 2011; Mkhabela and Warman, 2005; Sigua et al., 2019)</w:t>
      </w:r>
      <w:r w:rsidRPr="00216965">
        <w:fldChar w:fldCharType="end"/>
      </w:r>
      <w:r w:rsidRPr="00216965">
        <w:t xml:space="preserve">. The dissolution of the ash/minerals from biochar dominated by carbonates alkali and alkali-earth metals increases soil pH </w:t>
      </w:r>
      <w:r w:rsidRPr="00216965">
        <w:fldChar w:fldCharType="begin" w:fldLock="1"/>
      </w:r>
      <w:r w:rsidR="006C06AA" w:rsidRPr="00216965">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soils","type":"article-journal","volume":"420"},"uris":["http://www.mendeley.com/documents/?uuid=b0bef5de-6b79-303c-b578-f0d24a093e00"]},{"id":"ITEM-2","itemData":{"DOI":"10.1155/2018/6837404","ISSN":"16878167","abstract":"Use of biochar for soil fertility improvement is gaining popularity due to its potential to improve soil quality, increase crop yield, and sequester carbon from the atmosphere-biosphere pool into the soil. A 40-day pot experiment was carried out to investigate the effects of corncob biochar and compost applied alone (at a rate of 2%, w/w) or in combination (1% of each, thus 1% compost + 1% biochar) on soil physicochemical properties, growth, and yield of maize on two soils of contrasting pH and texture collected from the Rainforest and Coastal Savannah agroecological zones of Ghana. Biochar and compost applied alone or in combination significantly increased soil pH, total organic carbon, available phosphorus, mineral nitrogen, reduced exchangeable acidity, and increased effective cation exchange capacity in both soils. Additionally, combined application and single application biochar or compost additions increased the plant height, stem girth, and dry matter yields of two maize (local (\"ewifompe\") and hybrid (Obaatanpa)) varieties used in the study. The study showed that biochar applied alone or in combination with compost offers the potential to enhance soil quality and improve maize yield.","author":[{"dropping-particle":"","family":"Mensah","given":"Albert Kobina","non-dropping-particle":"","parse-names":false,"suffix":""},{"dropping-particle":"","family":"Frimpong","given":"Kwame Agyei","non-dropping-particle":"","parse-names":false,"suffix":""}],"container-title":"International Journal of Agronomy","id":"ITEM-2","issue":"6837404","issued":{"date-parts":[["2018"]]},"page":"1-8","title":"Biochar and/or compost applications improve soil properties, growth, and yield of maize grown in acidic rainforest and coastal savannah soils in Ghana","type":"article-journal","volume":"2018"},"uris":["http://www.mendeley.com/documents/?uuid=a82af593-9ff3-4797-b34f-e7ad4c4a1d27"]}],"mendeley":{"formattedCitation":"(Bandara et al., 2021; Mensah and Frimpong, 2018)","plainTextFormattedCitation":"(Bandara et al., 2021; Mensah and Frimpong, 2018)","previouslyFormattedCitation":"(Bandara et al., 2021; Mensah and Frimpong, 2018)"},"properties":{"noteIndex":0},"schema":"https://github.com/citation-style-language/schema/raw/master/csl-citation.json"}</w:instrText>
      </w:r>
      <w:r w:rsidRPr="00216965">
        <w:fldChar w:fldCharType="separate"/>
      </w:r>
      <w:r w:rsidR="001974AA" w:rsidRPr="00216965">
        <w:rPr>
          <w:noProof/>
        </w:rPr>
        <w:t>(Bandara et al., 2021; Mensah and Frimpong, 2018)</w:t>
      </w:r>
      <w:r w:rsidRPr="00216965">
        <w:fldChar w:fldCharType="end"/>
      </w:r>
      <w:r w:rsidRPr="00216965">
        <w:t xml:space="preserve">. </w:t>
      </w:r>
    </w:p>
    <w:p w14:paraId="6AD286ED" w14:textId="272D018A" w:rsidR="00AB2390" w:rsidRPr="00216965" w:rsidRDefault="00B45740" w:rsidP="008A33DA">
      <w:pPr>
        <w:spacing w:line="360" w:lineRule="auto"/>
        <w:jc w:val="both"/>
      </w:pPr>
      <w:r w:rsidRPr="00216965">
        <w:t xml:space="preserve">Compost addition alone, or in combination with biochar, often decreases soil pH due the acids generated during the nitrification process </w:t>
      </w:r>
      <w:r w:rsidRPr="00216965">
        <w:fldChar w:fldCharType="begin" w:fldLock="1"/>
      </w:r>
      <w:r w:rsidR="006C06AA" w:rsidRPr="00216965">
        <w:instrText>ADDIN CSL_CITATION {"citationItems":[{"id":"ITEM-1","itemData":{"DOI":"10.1080/1065657X.2012.10737051","ISSN":"1065657X","abstract":"Sandy soils, with low productivity, could be improved by compost application to sustain crop production. This study aimed to examine the effect of three compost types (vegetable, fruit and yard waste compost, garden waste compost, and spent mushroom compost) on basic properties of a loamy sand and greenhouse tomato productivity. Disturbed and intact soil samples were taken from a decade-long compost field experiment on loamy sand with three compost types at application rate of 30 m3 ha−1 yr−1 (7.5 ton ha−1 yr−1). The soils were characterized for chemical and physical properties. Tomato was planted in a greenhouse using soil samples from the field and vegetative and yield parameters (plant height, stem diameter, leaf number, and fruit yield), water productivity, and harvest index were evaluated. All compost types significantly increased soil total carbon, total nitrogen, pH, electrical conductivity and significantly decreased bulk density, with no effect on plant available water compared to the control. Fresh and dry fruit weights were significantly increased after compost addition. Plant height, leaf number, stem diameter, and total biomass did not significantly improve after compost addition. Spent mushroom compost had greater effect in improving tomato productivity. A decade-long application of composts on loamy sand improved basic chemical and physical properties which were reflected in increased fruit yield in tomato. Since no negative effect of compost was observed, we suggest that sandy soils may serve as a safe end use option for these composts and potentially support crop growth. © 2012 by The JG Press, Inc. All rights reserved.","author":[{"dropping-particle":"","family":"Arthur","given":"Emmanuel","non-dropping-particle":"","parse-names":false,"suffix":""},{"dropping-particle":"","family":"Cornelis","given":"Wim","non-dropping-particle":"","parse-names":false,"suffix":""},{"dropping-particle":"","family":"Razzaghi","given":"Fatemeh","non-dropping-particle":"","parse-names":false,"suffix":""}],"container-title":"Compost Science and Utilization","id":"ITEM-1","issue":"4","issued":{"date-parts":[["2012"]]},"page":"215-221","title":"Compost amendment to sandy soil affects soil properties and greenhouse tomato productivity","type":"article-journal","volume":"20"},"uris":["http://www.mendeley.com/documents/?uuid=e0542a0e-998c-46f4-a46b-7227645f4851"]},{"id":"ITEM-2","itemData":{"DOI":"10.1039/c5ra04834f","ISSN":"20462069","abstract":"Biochar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Advances","id":"ITEM-2","issue":"44","issued":{"date-parts":[["2015"]]},"page":"34541-34548","publisher":"Royal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soil","type":"article-journal","volume":"5"},"uris":["http://www.mendeley.com/documents/?uuid=ebb20dbb-cbd3-3e20-a001-a39f6f139234"]}],"mendeley":{"formattedCitation":"(Arthur et al., 2012; Zeng et al., 2015)","plainTextFormattedCitation":"(Arthur et al., 2012; Zeng et al., 2015)","previouslyFormattedCitation":"(Arthur et al., 2012; Zeng et al., 2015)"},"properties":{"noteIndex":0},"schema":"https://github.com/citation-style-language/schema/raw/master/csl-citation.json"}</w:instrText>
      </w:r>
      <w:r w:rsidRPr="00216965">
        <w:fldChar w:fldCharType="separate"/>
      </w:r>
      <w:r w:rsidR="001974AA" w:rsidRPr="00216965">
        <w:rPr>
          <w:noProof/>
        </w:rPr>
        <w:t>(Arthur et al., 2012; Zeng et al., 2015)</w:t>
      </w:r>
      <w:r w:rsidRPr="00216965">
        <w:fldChar w:fldCharType="end"/>
      </w:r>
      <w:r w:rsidRPr="00216965">
        <w:t xml:space="preserve">. However, the increase in soil pH with compost addition observed in this study can largely be due to the high level of basic cations in the compost, as reflected in its alkaline pH. </w:t>
      </w:r>
    </w:p>
    <w:p w14:paraId="075EF9D9" w14:textId="41A9FF7F" w:rsidR="00B45740" w:rsidRPr="00216965" w:rsidRDefault="00B45740" w:rsidP="008A33DA">
      <w:pPr>
        <w:spacing w:line="360" w:lineRule="auto"/>
        <w:jc w:val="both"/>
      </w:pPr>
      <w:r w:rsidRPr="00216965">
        <w:t>Besides, increases in soil pH promoted by compost have been attributed to production of NH</w:t>
      </w:r>
      <w:r w:rsidRPr="00216965">
        <w:rPr>
          <w:vertAlign w:val="subscript"/>
        </w:rPr>
        <w:t>3</w:t>
      </w:r>
      <w:r w:rsidRPr="00216965">
        <w:t xml:space="preserve"> during decomposition, although adsorption of H</w:t>
      </w:r>
      <w:r w:rsidRPr="00216965">
        <w:rPr>
          <w:vertAlign w:val="superscript"/>
        </w:rPr>
        <w:t>+</w:t>
      </w:r>
      <w:r w:rsidRPr="00216965">
        <w:t xml:space="preserve"> ions, development of reducing conditions due to increased microbial activity and displacement of hydroxyls from sesquioxide surfaces by organic anions could contribute also </w:t>
      </w:r>
      <w:r w:rsidRPr="00216965">
        <w:fldChar w:fldCharType="begin" w:fldLock="1"/>
      </w:r>
      <w:r w:rsidR="006C06AA" w:rsidRPr="00216965">
        <w:instrText>ADDIN CSL_CITATION {"citationItems":[{"id":"ITEM-1","itemData":{"DOI":"10.1016/J.CHEMOSPHERE.2004.05.020","ISSN":"0045-6535","abstract":"Chenopodium album L. was found to be one of the initial plant species colonising a heavy metal-contaminated site, polluted by pyritic (sulphide-rich) waste from the Aznalcóllar mine spill (South-western Spain). This indicates its importance in the re-vegetation of this soil. In a pot experiment, C. album was sown in soil collected from the contaminated site, either non-amended or amended with cow manure or compost produced from olive leaves and olive mill wastewater, in order to study the effect on heavy metal bioavailability and soil pH. In non-amended and compost-amended soils, soil acidification, probably resulting from oxidation and hydrolysis of sulphide, led to increases in the concentrations of soluble sulphate and plant-available Cu, Zn and Mn in the soil (extractable with 0.1 M CaCl2). Under these conditions, shoot growth of C. album was negligible and shoot concentrations of Zn (2420-5585 μgg-1) and Mn (5513-8994 μgg-1) were phytotoxic. Manure application greatly increased shoot growth and reduced the shoot concentrations of Cu, Zn, and Mn, and their plant-available concentrations in the soil. These effects appeared to be related to an increase of soil pH, due to an inhibition of sulphide oxidation/hydrolysis, relative to the non-amended soil. For metal sulphides-contaminated soil, liable to acidification, manure application appears to be able to enhance the initial stages of re-vegetation, by species such as C. album. © 2004 Elsevier Ltd. All rights reserved.","author":[{"dropping-particle":"","family":"Walker","given":"David J.","non-dropping-particle":"","parse-names":false,"suffix":""},{"dropping-particle":"","family":"Clemente","given":"Rafael","non-dropping-particle":"","parse-names":false,"suffix":""},{"dropping-particle":"","family":"Bernal","given":"M. Pilar","non-dropping-particle":"","parse-names":false,"suffix":""}],"container-title":"Chemosphere","id":"ITEM-1","issue":"3","issued":{"date-parts":[["2004","10","1"]]},"page":"215-224","publisher":"Pergamon","title":"Contrasting effects of manure and compost on soil pH, heavy metal availability and growth of Chenopodium album L. in a soil contaminated by pyritic mine waste","type":"article-journal","volume":"57"},"uris":["http://www.mendeley.com/documents/?uuid=ed11c32b-c10d-3689-86f5-7fef82e45ff2"]}],"mendeley":{"formattedCitation":"(Walker et al., 2004)","plainTextFormattedCitation":"(Walker et al., 2004)","previouslyFormattedCitation":"(Walker et al., 2004)"},"properties":{"noteIndex":0},"schema":"https://github.com/citation-style-language/schema/raw/master/csl-citation.json"}</w:instrText>
      </w:r>
      <w:r w:rsidRPr="00216965">
        <w:fldChar w:fldCharType="separate"/>
      </w:r>
      <w:r w:rsidR="001974AA" w:rsidRPr="00216965">
        <w:rPr>
          <w:noProof/>
        </w:rPr>
        <w:t>(Walker et al., 2004)</w:t>
      </w:r>
      <w:r w:rsidRPr="00216965">
        <w:fldChar w:fldCharType="end"/>
      </w:r>
      <w:r w:rsidRPr="00216965">
        <w:t xml:space="preserve">. The increase in soil EC is associated with the soluble salts released from the ash of biochar </w:t>
      </w:r>
      <w:r w:rsidRPr="00216965">
        <w:fldChar w:fldCharType="begin" w:fldLock="1"/>
      </w:r>
      <w:r w:rsidR="006C06AA" w:rsidRPr="00216965">
        <w:instrText>ADDIN CSL_CITATION {"citationItems":[{"id":"ITEM-1","itemData":{"DOI":"10.1007/s10653-016-9842-0","abstract":"Crops grown in metal-rich serpentine soils are vulnerable to phytotoxicity. In this study, Gliri-cidia sepium (Jacq.) biomass and woody biochar were examined as amendments on heavy metal immobi-lization in a serpentine soil. Woody biochar was produced by slow pyrolysis of Gliricidia sepium (Jacq.) biomass at 300 and 500 °C. A pot experiment was conducted for 6 weeks with tomato (Lycopersicon esculentum L.) at biochar application rates of 0, 22, 55 and 110 t ha -1 . The CaCl 2 and sequential extractions were adopted to assess metal bioavailability and fractionation. Six weeks after germination, plants cultivated on the control could not survive, while all the plants were grown normally on the soils amended with biochars. The most effective treatment for metal immobilization was BC500-110 as indicated by the immobilization efficiencies for Ni, Mn and Cr that were 68, 92 and 42 %, respectively, compared to the control. Biochar produced at 500 °C and at high application rates immobilized heavy metals signifi-cantly. Improvements in plant growth in biochar-amended soil were related to decreasing in metal toxicity as a consequence of metal immobilization through strong sorption due to high surface area and functional groups.","author":[{"dropping-particle":"","family":"Bandara","given":"Tharanga","non-dropping-particle":"","parse-names":false,"suffix":""},{"dropping-particle":"","family":"Herath","given":"Indika","non-dropping-particle":"","parse-names":false,"suffix":""},{"dropping-particle":"","family":"Kumarathilaka","given":"Prasanna","non-dropping-particle":"","parse-names":false,"suffix":""},{"dropping-particle":"","family":"Hseu","given":"Zeng-Yei","non-dropping-particle":"","parse-names":false,"suffix":""},{"dropping-particle":"","family":"Sik Ok","given":"Yong","non-dropping-particle":"","parse-names":false,"suffix":""},{"dropping-particle":"","family":"Vithanage","given":"Meththika","non-dropping-particle":"","parse-names":false,"suffix":""}],"container-title":"Environmental Geochemistry and Health","id":"ITEM-1","issued":{"date-parts":[["2017"]]},"page":"391-401","title":"Efficacy of woody biomass and biochar for alleviating heavy metal bioavailability in serpentine soil","type":"article-journal","volume":"39"},"uris":["http://www.mendeley.com/documents/?uuid=11a55112-223f-38f1-b45d-89e3281424c5"]}],"mendeley":{"formattedCitation":"(Bandara et al., 2017)","plainTextFormattedCitation":"(Bandara et al., 2017)","previouslyFormattedCitation":"(Bandara et al., 2017)"},"properties":{"noteIndex":0},"schema":"https://github.com/citation-style-language/schema/raw/master/csl-citation.json"}</w:instrText>
      </w:r>
      <w:r w:rsidRPr="00216965">
        <w:fldChar w:fldCharType="separate"/>
      </w:r>
      <w:r w:rsidR="00C83E62" w:rsidRPr="00216965">
        <w:rPr>
          <w:noProof/>
        </w:rPr>
        <w:t>(Bandara et al., 2017)</w:t>
      </w:r>
      <w:r w:rsidRPr="00216965">
        <w:fldChar w:fldCharType="end"/>
      </w:r>
      <w:r w:rsidRPr="00216965">
        <w:t xml:space="preserve"> or, in the case of compost, due to release of mineral salts such as phosphate, nitrate and ammonia ions through the decomposition or volatilization of organic substances </w:t>
      </w:r>
      <w:bookmarkStart w:id="410" w:name="_Hlk86168006"/>
      <w:r w:rsidRPr="00216965">
        <w:fldChar w:fldCharType="begin" w:fldLock="1"/>
      </w:r>
      <w:r w:rsidR="006C06AA" w:rsidRPr="00216965">
        <w:instrText>ADDIN CSL_CITATION {"citationItems":[{"id":"ITEM-1","itemData":{"DOI":"10.1088/1757-899X/309/1/012066","abstract":"View the article online for updates and enhancements. Related content Effect of pieces size of Empty Fruit Bunches (EFB) on composting of EFB mixed with activated liquid organic fertilizer B Trisakti, P Mhardela, T Husaini et al.-Effect of Turning Frequency on Composting of Empty Fruit Bunches Mixed with Activated Liquid Organic Fertilizer B Trisakti, J Lubis, T Husaini et al.-Electricity generation from palm oil tree empty fruit bunch (EFB) using dual chamber microbial fuel cell (MFC) Abstract. The process of composting empty fruit bunches (EFB) by mixing with activated liquid organic fertilizer (ALOF) is an alternative utilization of solid waste generated from palm oil mill. This study aims to find composting techniques of EFB and to obtain degradation data of composting EFB by varying the air intake holes to produce good quality compost. Composting process was carried out by tearing the EFB into four shreds, then put into the tower composter while adding ALOF until it reached the optimum moisture content of 55-65%. During the composting process, we maintained moisture content at optimum conditions by adding ALOF. Variations of air intake holes area to the outer surface area of the composter are 0/44.314; 72.39/44.314 and 144.78/44.314 (cm 2 /cm 2). Composting is carried out for forty days, however, based on the result, compost began to mature on the 10 th day. The results revealed that there was an influence of air intake holes to the composting process. The best degradation of EFB was obtained on the variation of air intake holes 72.39/44.314 (cm 2 /cm 2), pH 8.1, moisture content 79.14%, water holding capacity 60%, electrical conductivity 4.725 dS/m and C/N ratio 20.97.","author":[{"dropping-particle":"","family":"Irvan","given":"","non-dropping-particle":"","parse-names":false,"suffix":""},{"dropping-particle":"","family":"Husaini","given":"T","non-dropping-particle":"","parse-names":false,"suffix":""},{"dropping-particle":"","family":"Trisakti","given":"B","non-dropping-particle":"","parse-names":false,"suffix":""},{"dropping-particle":"","family":"Batubara","given":"F","non-dropping-particle":"","parse-names":false,"suffix":""},{"dropping-particle":"","family":"Daimon","given":"H","non-dropping-particle":"","parse-names":false,"suffix":""}],"container-title":"IOP Conference Series: Materials Science and Engineering","id":"ITEM-1","issue":"309","issued":{"date-parts":[["2018"]]},"page":"012066","title":"Composting of empty fruit bunches in the tower composter-effect of air intake holes","type":"paper-conference"},"uris":["http://www.mendeley.com/documents/?uuid=bef8c9a6-8b9c-3015-a31c-609ece9a5763"]},{"id":"ITEM-2","itemData":{"DOI":"10.1016/J.WASMAN.2007.08.026","ISSN":"0956-053X","abstract":"Compost can provide a rich organic nutrient source and soil conditioner for agricultural and horticultural applications. Ideal compost amendment rates, however, vary based on starting material and compost maturity or their interaction, and there is little consensus on appropriate methods to gauge maturity. In this study, electrical conductivity, carbon-to-nitrogen ratio, and carbon mineralization measurements were made on compost-amended soils and compared to phytotoxicity measured as cress (Lepidium sativum) germination. Cress germination in soil and compost mixtures incubated for 8-10 days significantly decreased with increasing electrical conductivity and carbon mineralization rate of the mixture and with carbon mineralization rate and mineralizable carbon associated with the compost. Cress germination was not related to carbon-to-nitrogen ratio or pH of soil and compost mixtures. The electrical conductivity of the soil and compost mixtures significantly decreased with decreasing mineralizable carbon suggesting that compounds contributing to electrical conductivity were present in the compost and decomposed upon soil amendment. The results of this study indicate that measurements of mineralizable carbon and mineralization rate of composts in soil, and electrical conductivity and mineralization rate of soil and compost mixtures, can be used as indicators of compost maturity. © 2007 Elsevier Ltd. All rights reserved.","author":[{"dropping-particle":"","family":"Aslam","given":"Danielle N.","non-dropping-particle":"","parse-names":false,"suffix":""},{"dropping-particle":"","family":"Horwath","given":"William","non-dropping-particle":"","parse-names":false,"suffix":""},{"dropping-particle":"","family":"VanderGheynst","given":"Jean S.","non-dropping-particle":"","parse-names":false,"suffix":""}],"container-title":"Waste Management","id":"ITEM-2","issue":"11","issued":{"date-parts":[["2008","11","1"]]},"page":"2070-2076","publisher":"Pergamon","title":"Comparison of several maturity indicators for estimating phytotoxicity in compost-amended soil","type":"article-journal","volume":"28"},"uris":["http://www.mendeley.com/documents/?uuid=b2889acb-7f59-35be-a552-55047bb1a730"]}],"mendeley":{"formattedCitation":"(Aslam et al., 2008; Irvan et al., 2018)","plainTextFormattedCitation":"(Aslam et al., 2008; Irvan et al., 2018)","previouslyFormattedCitation":"(Aslam et al., 2008; Irvan et al., 2018)"},"properties":{"noteIndex":0},"schema":"https://github.com/citation-style-language/schema/raw/master/csl-citation.json"}</w:instrText>
      </w:r>
      <w:r w:rsidRPr="00216965">
        <w:fldChar w:fldCharType="separate"/>
      </w:r>
      <w:r w:rsidR="001974AA" w:rsidRPr="00216965">
        <w:rPr>
          <w:noProof/>
        </w:rPr>
        <w:t>(Aslam et al., 2008; Irvan et al., 2018)</w:t>
      </w:r>
      <w:r w:rsidRPr="00216965">
        <w:fldChar w:fldCharType="end"/>
      </w:r>
      <w:bookmarkEnd w:id="410"/>
      <w:r w:rsidRPr="00216965">
        <w:t>. In this experiment, the EC did not exceed 3000 μScm</w:t>
      </w:r>
      <w:sdt>
        <w:sdtPr>
          <w:tag w:val="goog_rdk_3"/>
          <w:id w:val="1036235805"/>
        </w:sdtPr>
        <w:sdtEndPr/>
        <w:sdtContent>
          <w:r w:rsidRPr="00216965">
            <w:rPr>
              <w:rFonts w:ascii="Gungsuh" w:eastAsia="Gungsuh" w:hAnsi="Gungsuh" w:cs="Gungsuh"/>
              <w:vertAlign w:val="superscript"/>
            </w:rPr>
            <w:t>−1</w:t>
          </w:r>
        </w:sdtContent>
      </w:sdt>
      <w:r w:rsidRPr="00216965">
        <w:t xml:space="preserve"> in any treatment, indicating that salinity derived from the organic amendments was not a limitation for plant growth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2021)","plainTextFormattedCitation":"(Li et al., 2021)","previouslyFormattedCitation":"(Li et al., 2021)"},"properties":{"noteIndex":0},"schema":"https://github.com/citation-style-language/schema/raw/master/csl-citation.json"}</w:instrText>
      </w:r>
      <w:r w:rsidRPr="00216965">
        <w:fldChar w:fldCharType="separate"/>
      </w:r>
      <w:r w:rsidR="00C83E62" w:rsidRPr="00216965">
        <w:rPr>
          <w:noProof/>
        </w:rPr>
        <w:t>(Li et al., 2021)</w:t>
      </w:r>
      <w:r w:rsidRPr="00216965">
        <w:fldChar w:fldCharType="end"/>
      </w:r>
      <w:r w:rsidRPr="00216965">
        <w:t xml:space="preserve">. It is important to highlight that the analysis of the soil pore water indicated that soil pH and EC (only treatments containing compost) decreased with aging, as further explained in the next section. </w:t>
      </w:r>
    </w:p>
    <w:p w14:paraId="61A3B493" w14:textId="05F5BCBE" w:rsidR="00B45740" w:rsidRPr="00216965" w:rsidRDefault="00B45740" w:rsidP="008A33DA">
      <w:pPr>
        <w:spacing w:line="360" w:lineRule="auto"/>
        <w:jc w:val="both"/>
      </w:pPr>
      <w:r w:rsidRPr="00216965">
        <w:t>The increase in soil organic matter (OM) and PO</w:t>
      </w:r>
      <w:r w:rsidRPr="00216965">
        <w:rPr>
          <w:vertAlign w:val="subscript"/>
        </w:rPr>
        <w:t>4</w:t>
      </w:r>
      <w:r w:rsidRPr="00216965">
        <w:rPr>
          <w:vertAlign w:val="superscript"/>
        </w:rPr>
        <w:t>3-</w:t>
      </w:r>
      <w:r w:rsidRPr="00216965">
        <w:t xml:space="preserve"> with compost are associated with the elemental composition of the garden waste compost used in this study. Changes in the OM composition following the addition of compost are due to ongoing decay of the easily degradable organic matter, which is mainly polysaccharide and, to a considerable degree, microbial biomass </w:t>
      </w:r>
      <w:r w:rsidRPr="00216965">
        <w:fldChar w:fldCharType="begin" w:fldLock="1"/>
      </w:r>
      <w:r w:rsidR="006C06AA" w:rsidRPr="00216965">
        <w:instrText>ADDIN CSL_CITATION {"citationItems":[{"id":"ITEM-1","itemData":{"DOI":"10.1046/J.1351-0754.2002.00453.X","abstract":"Is the composition of soil organic matter changed by adding compost? To find out we incubated biowaste composts with agricultural soils and a humus-free mineral substrate at 5°C and 14°C for 18 months and examined the products. Organic matter composition was characterized by CuO oxidation of lignin, hydrolysis of cellulosic and non-cellulosic polysaccharides (CPS and NCPS) and 13C cross-polarization magic angle spinning nuclear magnetic resonance (CPMAS 13C-NMR) spectroscopy. The lignin contents in the compost-amended soils increased because the composts contained more lignin, which altered little even after prolonged decomposition of the composts in soil. A pronounced decrease in lignin occurred in the soils amended with mature compost only. Polysaccharide C accounted for 14-20% of the organic carbon at the beginning of the experiment for both the compost-amended soils and the controls. During the incubation, the relative contents of total polysaccharides decreased for 9-20% (controls) and for 20-49% (compost-amended soils). They contributed preferentially to the decomposition as compared with the bulk soil organic matter, that decreased between &lt;2% and 20%. In the compost-amended agricultural soils, cellulosic polysaccharides were decomposed in preference to non-cellulosic ones. The NMR spectra of the compost-amended soils had more intense signals of O-alkyl and aromatic C than did those of the controls. Incubation for 18 months resulted mainly in a decline of O-alkyl C for all soils. The composition of the soil organic matter after compost amendment changed mainly by increases in the lignin and aromatic C of the composts, and compost-derived polysaccharides were mineralized preferentially. The results suggest that decomposition of the added composts in soil is as an ongoing humification process of the composts themselves. The different soil materials affected the changes in soil organic matter composition to only a minor degree.","author":[{"dropping-particle":"","family":"Leifeld","given":"J.","non-dropping-particle":"","parse-names":false,"suffix":""},{"dropping-particle":"","family":"Siebert","given":"S.","non-dropping-particle":"","parse-names":false,"suffix":""},{"dropping-particle":"","family":"Kögel-Knabner","given":"I.","non-dropping-particle":"","parse-names":false,"suffix":""}],"container-title":"European Journal of Soil Science","id":"ITEM-1","issue":"2","issued":{"date-parts":[["2002"]]},"page":"299-309","title":"Changes in the chemical composition of soil organic matter after application of compost","type":"article-journal","volume":"53"},"uris":["http://www.mendeley.com/documents/?uuid=eaeadddb-c97e-30c6-bbf8-4f26b5b33994"]}],"mendeley":{"formattedCitation":"(Leifeld et al., 2002)","plainTextFormattedCitation":"(Leifeld et al., 2002)","previouslyFormattedCitation":"(Leifeld et al., 2002)"},"properties":{"noteIndex":0},"schema":"https://github.com/citation-style-language/schema/raw/master/csl-citation.json"}</w:instrText>
      </w:r>
      <w:r w:rsidRPr="00216965">
        <w:fldChar w:fldCharType="separate"/>
      </w:r>
      <w:r w:rsidR="001974AA" w:rsidRPr="00216965">
        <w:rPr>
          <w:noProof/>
        </w:rPr>
        <w:t>(Leifeld et al., 2002)</w:t>
      </w:r>
      <w:r w:rsidRPr="00216965">
        <w:fldChar w:fldCharType="end"/>
      </w:r>
      <w:r w:rsidRPr="00216965">
        <w:t>. The increase in available PO</w:t>
      </w:r>
      <w:r w:rsidRPr="00216965">
        <w:rPr>
          <w:vertAlign w:val="subscript"/>
        </w:rPr>
        <w:t>4</w:t>
      </w:r>
      <w:r w:rsidRPr="00216965">
        <w:rPr>
          <w:vertAlign w:val="superscript"/>
        </w:rPr>
        <w:t>3-</w:t>
      </w:r>
      <w:r w:rsidRPr="00216965">
        <w:t xml:space="preserve"> could be due to </w:t>
      </w:r>
      <w:r w:rsidRPr="00216965">
        <w:lastRenderedPageBreak/>
        <w:t xml:space="preserve">higher microbial activity after application of compost and consequently release of P during organic matter decomposition </w:t>
      </w:r>
      <w:r w:rsidRPr="00216965">
        <w:fldChar w:fldCharType="begin" w:fldLock="1"/>
      </w:r>
      <w:r w:rsidR="00F56BD7" w:rsidRPr="00216965">
        <w:instrText>ADDIN CSL_CITATION {"citationItems":[{"id":"ITEM-1","itemData":{"DOI":"10.1016/J.AGEE.2004.07.014","ISSN":"0167-8809","abstract":"Organic materials applied to soils can influence soil phosphorus (P) dynamics. The purpose of this study was to evaluate the effects of municipal solid waste (MSW) compost on soil P availability and uptake by potato (Solanum tuberosum) and sweet corn (Zea mays) crops grown in a Pugwash sandy loam soil in Nova Scotia, Canada. Three rates of compost (MSW1, MSW2 and MSW3), one rate of chemical fertilizer (NPK) and one mixture of 1/2 MSW compost and 1/2 NPK fertilizer (MIXTURE) were used on both crops according to soil P test results. During the second year, another treatment with the recommended levels of NK fertilizer was added. The experimental design was a randomised complete block design with four replications. The NPK and MIXTURE treatments produced significantly(P &lt; 0.05) higher yields (both crops) than the MSW compost treatments in 1996, while in 1997, the yields were not significantly different for all treatments (both crops). All the MSW compost treatments had lower tissue N compared to the inorganic fertilizer and MIXTURE treatments. The MSW compost and the MIXTURE treatments resulted in statistically equivalent concentrations of tissue P as the NPK treatment in both crops and both years. Tissue P concentration in potatoes ranged from 1.92 to 2.25 and 2.60 to 3.17 g kg -1, while in corn it ranged from 3.08 to 3.46 and 2.32 to 3.16 g kg-1 in 1996 and 1997, respectively. The MSW compost and MIXTURE treatments generally resulted in equivalent concentration of Mehlich-3 extractable soil P compared to the inorganic fertilizer. In addition, the application of both inorganic fertilizer and MSW compost decreased P adsorption by the Pugwash soil by up to 30%. Municipal solid waste compost may be a good source of P for both potatoes and sweet corn. However, the low availability of compost-N means that supplementary N in the form of inorganic fertilizer may have to be added together with compost in order to enhance N availability to crops. © 2004 Elsevier B.V. All rights reserved.","author":[{"dropping-particle":"","family":"Mkhabela","given":"M. S.","non-dropping-particle":"","parse-names":false,"suffix":""},{"dropping-particle":"","family":"Warman","given":"P. R.","non-dropping-particle":"","parse-names":false,"suffix":""}],"container-title":"Agriculture, Ecosystems &amp; Environment","id":"ITEM-1","issue":"1","issued":{"date-parts":[["2005","3","30"]]},"page":"57-67","publisher":"Elsevier","title":"The influence of municipal solid waste compost on yield, soil phosphorus availability and uptake by two vegetable crops grown in a Pugwash sandy loam soil in Nova Scotia","type":"article-journal","volume":"106"},"uris":["http://www.mendeley.com/documents/?uuid=7b934ac7-d013-3744-bcee-88ae32aabaa1"]}],"mendeley":{"formattedCitation":"(Mkhabela and Warman, 2005)","plainTextFormattedCitation":"(Mkhabela and Warman, 2005)","previouslyFormattedCitation":"(Mkhabela and Warman, 2005)"},"properties":{"noteIndex":0},"schema":"https://github.com/citation-style-language/schema/raw/master/csl-citation.json"}</w:instrText>
      </w:r>
      <w:r w:rsidRPr="00216965">
        <w:fldChar w:fldCharType="separate"/>
      </w:r>
      <w:r w:rsidR="00330A4F" w:rsidRPr="00216965">
        <w:rPr>
          <w:noProof/>
        </w:rPr>
        <w:t>(Mkhabela and Warman, 2005)</w:t>
      </w:r>
      <w:r w:rsidRPr="00216965">
        <w:fldChar w:fldCharType="end"/>
      </w:r>
      <w:r w:rsidRPr="00216965">
        <w:t xml:space="preserve">. In addition, compost amendments and its derivatives can form complexes with active Al and Fe, reducing P fixation in soil </w:t>
      </w:r>
      <w:r w:rsidRPr="00216965">
        <w:fldChar w:fldCharType="begin" w:fldLock="1"/>
      </w:r>
      <w:r w:rsidR="006C06AA" w:rsidRPr="00216965">
        <w:instrText>ADDIN CSL_CITATION {"citationItems":[{"id":"ITEM-1","itemData":{"author":[{"dropping-particle":"","family":"Giusquiani","given":"P L","non-dropping-particle":"","parse-names":false,"suffix":""},{"dropping-particle":"","family":"Marucchini","given":"C","non-dropping-particle":"","parse-names":false,"suffix":""},{"dropping-particle":"","family":"Businelli","given":"M","non-dropping-particle":"","parse-names":false,"suffix":""}],"container-title":"Plant and Soil","id":"ITEM-1","issued":{"date-parts":[["1988"]]},"page":"73-78","title":"Chemical properties of soils amended with compost of urban waste","type":"article-journal","volume":"109"},"uris":["http://www.mendeley.com/documents/?uuid=6154deac-346a-3560-9d75-d97cd44f12b5"]}],"mendeley":{"formattedCitation":"(Giusquiani et al., 1988)","plainTextFormattedCitation":"(Giusquiani et al., 1988)","previouslyFormattedCitation":"(Giusquiani et al., 1988)"},"properties":{"noteIndex":0},"schema":"https://github.com/citation-style-language/schema/raw/master/csl-citation.json"}</w:instrText>
      </w:r>
      <w:r w:rsidRPr="00216965">
        <w:fldChar w:fldCharType="separate"/>
      </w:r>
      <w:r w:rsidR="001974AA" w:rsidRPr="00216965">
        <w:rPr>
          <w:noProof/>
        </w:rPr>
        <w:t>(Giusquiani et al., 1988)</w:t>
      </w:r>
      <w:r w:rsidRPr="00216965">
        <w:fldChar w:fldCharType="end"/>
      </w:r>
      <w:r w:rsidRPr="00216965">
        <w:t xml:space="preserve">. The high content of available phosphate and OM associated with compost application have been reported as positive for soil, by providing nutrients and increasing the abundance and the activity of soil microorganisms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woodland","type":"article-journal","volume":"222"},"uris":["http://www.mendeley.com/documents/?uuid=f2aab728-f3b3-3331-994c-8ddc1da1243e"]},{"id":"ITEM-2","itemData":{"DOI":"10.1007/BF00009920","ISSN":"0032079X","abstract":"Perennial rye-grass plants were grown at 15°C in microcosms containing soil sampled from field plots that had been maintained at constant pH for the last 30 years. Six soil pH values were tested in the experiment, with pH ranging from 4.3-6.5. After 3 weeks growth in the microcosms, plant shoots were exposed to a pulse of 14C-CO2. The fate of this label was determined by monitoring 14C-CO2 respired by the plant roots/soil and by the shoots. The 14C remaining in plant roots and shoots was determined when the plants were harvested 7 days after receiving the pulse label. The amount of 14C (expressed as a percentage of the total 14C fixed by the plant) lost from the plant roots increased from 12.3 to 30.6% with increasing soil pH from 4.3 to 6. Although a greater percentage of the fixed 14C was respired by the root/soil as soil pH increased, plant biomass was greater with increasing soil pH. Possible reasons for observed changes in the pattern of 14C distribution are discussed and, it is suggested that changes in the soil microbial biomass and in plant nitrogen nutrition may, in particular be key factors which led to increased loss of carbon from plant roots with increasing soil pH. © 1990 Kluwer Academic Publishers.","author":[{"dropping-particle":"","family":"Meharg","given":"A. A.","non-dropping-particle":"","parse-names":false,"suffix":""},{"dropping-particle":"","family":"Killham","given":"K.","non-dropping-particle":"","parse-names":false,"suffix":""}],"container-title":"Plant and Soil","id":"ITEM-2","issue":"1","issued":{"date-parts":[["1990"]]},"page":"1-7","title":"The effect of soil pH on rhizosphere carbon flow of Lolium perenne","type":"article-journal","volume":"123"},"uris":["http://www.mendeley.com/documents/?uuid=45690da6-a29c-488c-a1ef-6d6a73135ef2"]}],"mendeley":{"formattedCitation":"(Li et al., 2021; Meharg and Killham, 1990)","plainTextFormattedCitation":"(Li et al., 2021; Meharg and Killham, 1990)","previouslyFormattedCitation":"(Li et al., 2021; Meharg and Killham, 1990)"},"properties":{"noteIndex":0},"schema":"https://github.com/citation-style-language/schema/raw/master/csl-citation.json"}</w:instrText>
      </w:r>
      <w:r w:rsidRPr="00216965">
        <w:fldChar w:fldCharType="separate"/>
      </w:r>
      <w:r w:rsidR="001974AA" w:rsidRPr="00216965">
        <w:rPr>
          <w:noProof/>
        </w:rPr>
        <w:t>(Li et al., 2021; Meharg and Killham, 1990)</w:t>
      </w:r>
      <w:r w:rsidRPr="00216965">
        <w:fldChar w:fldCharType="end"/>
      </w:r>
      <w:r w:rsidRPr="00216965">
        <w:t>.</w:t>
      </w:r>
    </w:p>
    <w:p w14:paraId="605354D3" w14:textId="4D7C20FB" w:rsidR="00B45740" w:rsidRPr="00216965" w:rsidRDefault="00B45740" w:rsidP="008A33DA">
      <w:pPr>
        <w:spacing w:line="360" w:lineRule="auto"/>
        <w:jc w:val="both"/>
      </w:pPr>
      <w:r w:rsidRPr="00216965">
        <w:t xml:space="preserve">In the present study, the application of compost significantly increased the content of soil nutrients required by plants, such as K, Ca, Mg and B and also Na. Similar findings have been reported to be associated with compost addition. For example, </w:t>
      </w:r>
      <w:r w:rsidRPr="00216965">
        <w:fldChar w:fldCharType="begin" w:fldLock="1"/>
      </w:r>
      <w:r w:rsidR="00F56BD7" w:rsidRPr="00216965">
        <w:instrText>ADDIN CSL_CITATION {"citationItems":[{"id":"ITEM-1","itemData":{"DOI":"10.1155/2018/6837404","ISSN":"16878167","abstract":"Use of biochar for soil fertility improvement is gaining popularity due to its potential to improve soil quality, increase crop yield, and sequester carbon from the atmosphere-biosphere pool into the soil. A 40-day pot experiment was carried out to investigate the effects of corncob biochar and compost applied alone (at a rate of 2%, w/w) or in combination (1% of each, thus 1% compost + 1% biochar) on soil physicochemical properties, growth, and yield of maize on two soils of contrasting pH and texture collected from the Rainforest and Coastal Savannah agroecological zones of Ghana. Biochar and compost applied alone or in combination significantly increased soil pH, total organic carbon, available phosphorus, mineral nitrogen, reduced exchangeable acidity, and increased effective cation exchange capacity in both soils. Additionally, combined application and single application biochar or compost additions increased the plant height, stem girth, and dry matter yields of two maize (local (\"ewifompe\") and hybrid (Obaatanpa)) varieties used in the study. The study showed that biochar applied alone or in combination with compost offers the potential to enhance soil quality and improve maize yield.","author":[{"dropping-particle":"","family":"Mensah","given":"Albert Kobina","non-dropping-particle":"","parse-names":false,"suffix":""},{"dropping-particle":"","family":"Frimpong","given":"Kwame Agyei","non-dropping-particle":"","parse-names":false,"suffix":""}],"container-title":"International Journal of Agronomy","id":"ITEM-1","issue":"6837404","issued":{"date-parts":[["2018"]]},"page":"1-8","title":"Biochar and/or compost applications improve soil properties, growth, and yield of maize grown in acidic rainforest and coastal savannah soils in Ghana","type":"article-journal","volume":"2018"},"uris":["http://www.mendeley.com/documents/?uuid=a82af593-9ff3-4797-b34f-e7ad4c4a1d27"]}],"mendeley":{"formattedCitation":"(Mensah and Frimpong, 2018)","manualFormatting":"Mensah and Frimpong (2018)","plainTextFormattedCitation":"(Mensah and Frimpong, 2018)","previouslyFormattedCitation":"(Mensah and Frimpong, 2018)"},"properties":{"noteIndex":0},"schema":"https://github.com/citation-style-language/schema/raw/master/csl-citation.json"}</w:instrText>
      </w:r>
      <w:r w:rsidRPr="00216965">
        <w:fldChar w:fldCharType="separate"/>
      </w:r>
      <w:r w:rsidRPr="00216965">
        <w:rPr>
          <w:noProof/>
        </w:rPr>
        <w:t>Mensah and Frimpong (2018)</w:t>
      </w:r>
      <w:r w:rsidRPr="00216965">
        <w:fldChar w:fldCharType="end"/>
      </w:r>
      <w:r w:rsidRPr="00216965">
        <w:t xml:space="preserve"> reported that the addition of corncob biochar alone, or in combination with compost, increased the exchangeable Ca, Mg, K, and Na contents in two types of soil. It was highlighted that compared to the biochar, the compost produced a greater increase in exchangeable Ca and Mg, which is consistent with the findings of the present study. After evaluating different types of compost </w:t>
      </w:r>
      <w:r w:rsidRPr="00216965">
        <w:fldChar w:fldCharType="begin" w:fldLock="1"/>
      </w:r>
      <w:r w:rsidR="006C06AA" w:rsidRPr="00216965">
        <w:instrText>ADDIN CSL_CITATION {"citationItems":[{"id":"ITEM-1","itemData":{"DOI":"10.1590/18069657RBCS20150152","ISSN":"1806-9657","abstract":"ABSTRACT The composition of organic waste (OW) and its effect on soil processes may change soil fertility and electrical conductivity (EC). The side effects of waste use in crop fertilization are poorly understood for Brazilian soils. This study examined the effect of the addition of 15 different organic wastes to Oxisols and a Neosol on pH, base saturation, EC, cation exchange capacity (CEC at pH 7), and the availability of Al, macro (P, K, Ca2+, Mg2+ and S) and micronutrients (B, Fe2+, Mn2+, Cu2+ and Zn2+). Soil samples (150 g) were treated with chicken, pig, horse, cattle, and quail manures, sewage sludge 1 and 2, eucalyptus sawdust, plant substrate, coconut fiber, pine bark, coffee husk, peat, limed compost, and biochar. Wastes were added considering a fixed amount of C (2 g kg-1), which resulted in waste rates ranging from 2.5 to 25.6 Mg ha-1. The soil-waste mixtures were incubated for 330 days in laboratory conditions. The waste liming or acidification values were soil-dependent. The use of some manures and compost increased the pH to levels above of those considered adequate for plant growth. The soil EC was slightly increased in the Neosol and in the medium textured Oxisol, but it was sharply changed (from 195 to 394 µS cm-1) by the addition of organic wastes in the clayey Oxisol, although the EC values were below the range considered safe for plant growth. Changes in the soil availability of P, K+, Ca2+ and Zn2+ were highly related to the inputs of these nutrients by the wastes, and other factors in soil changed due to waste use. Organic waste use simultaneously affects different soil fertility attributes; thus, in addition to the target nutrient added to the soil, the soil acidity buffering capacity and the waste liming and agronomic value must be taken into account in the waste rate definition.","author":[{"dropping-particle":"do","family":"Carmo","given":"Davi Lopes","non-dropping-particle":"","parse-names":false,"suffix":""},{"dropping-particle":"de","family":"Lima","given":"Laís Botelho","non-dropping-particle":"","parse-names":false,"suffix":""},{"dropping-particle":"","family":"Silva","given":"Carlos Alberto","non-dropping-particle":"","parse-names":false,"suffix":""}],"container-title":"Revista Brasileira de Ciência do Solo","id":"ITEM-1","issued":{"date-parts":[["2016","8","15"]]},"page":"e0150152","publisher":"Sociedade Brasileira de Ciência do Solo","title":"Soil fertility and electrical conductivity affected by organic waste rates and nutrient inputs","type":"article-journal","volume":"40"},"uris":["http://www.mendeley.com/documents/?uuid=fe2322e7-35a1-34f2-a3b8-819a2841966f"]}],"mendeley":{"formattedCitation":"(Carmo et al., 2016)","manualFormatting":"Carmo et al. (2016)","plainTextFormattedCitation":"(Carmo et al., 2016)","previouslyFormattedCitation":"(Carmo et al., 2016)"},"properties":{"noteIndex":0},"schema":"https://github.com/citation-style-language/schema/raw/master/csl-citation.json"}</w:instrText>
      </w:r>
      <w:r w:rsidRPr="00216965">
        <w:fldChar w:fldCharType="separate"/>
      </w:r>
      <w:r w:rsidRPr="00216965">
        <w:rPr>
          <w:noProof/>
        </w:rPr>
        <w:t xml:space="preserve">Carmo </w:t>
      </w:r>
      <w:r w:rsidR="009B2252" w:rsidRPr="00216965">
        <w:rPr>
          <w:iCs/>
          <w:noProof/>
        </w:rPr>
        <w:t>et al</w:t>
      </w:r>
      <w:r w:rsidRPr="00216965">
        <w:rPr>
          <w:noProof/>
        </w:rPr>
        <w:t>. (2016)</w:t>
      </w:r>
      <w:r w:rsidRPr="00216965">
        <w:fldChar w:fldCharType="end"/>
      </w:r>
      <w:r w:rsidRPr="00216965">
        <w:t xml:space="preserve"> determined that the increase in soil P, K, Ca and Mg levels largely relies on the inputs of these nutrients provided by the source material.</w:t>
      </w:r>
    </w:p>
    <w:p w14:paraId="77EA124B" w14:textId="77777777" w:rsidR="00B45740" w:rsidRPr="00216965" w:rsidRDefault="00B45740" w:rsidP="008A33DA">
      <w:pPr>
        <w:pStyle w:val="Heading3"/>
      </w:pPr>
      <w:bookmarkStart w:id="411" w:name="_Ref86419227"/>
      <w:bookmarkStart w:id="412" w:name="_Toc86504712"/>
      <w:r w:rsidRPr="00216965">
        <w:t>Mobility and bioavailability of HM</w:t>
      </w:r>
      <w:bookmarkEnd w:id="411"/>
      <w:bookmarkEnd w:id="412"/>
    </w:p>
    <w:p w14:paraId="69CCB9CF" w14:textId="5F18F4EF" w:rsidR="00B45740" w:rsidRPr="00216965" w:rsidRDefault="00B45740" w:rsidP="008A33DA">
      <w:pPr>
        <w:spacing w:line="360" w:lineRule="auto"/>
        <w:jc w:val="both"/>
      </w:pPr>
      <w:r w:rsidRPr="00216965">
        <w:t>The addition of the organic amendments reduced the mobility of Pb and Zn in the soil over the 18 month period, as evidenced by the soil pore water concentrations (</w:t>
      </w:r>
      <w:r w:rsidRPr="00216965">
        <w:rPr>
          <w:b/>
          <w:bCs/>
        </w:rPr>
        <w:fldChar w:fldCharType="begin"/>
      </w:r>
      <w:r w:rsidRPr="00216965">
        <w:rPr>
          <w:b/>
          <w:bCs/>
        </w:rPr>
        <w:instrText xml:space="preserve"> REF _Ref83402624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4</w:t>
      </w:r>
      <w:r w:rsidRPr="00216965">
        <w:rPr>
          <w:b/>
          <w:bCs/>
        </w:rPr>
        <w:fldChar w:fldCharType="end"/>
      </w:r>
      <w:r w:rsidRPr="00216965">
        <w:t xml:space="preserve">). Previously, soil pore water concentrations of HMs have been used as an indicator of HM mobility in soils amended with biochar in the long-term. For example, </w:t>
      </w:r>
      <w:r w:rsidRPr="00216965">
        <w:fldChar w:fldCharType="begin" w:fldLock="1"/>
      </w:r>
      <w:r w:rsidR="006C06AA" w:rsidRPr="00216965">
        <w:instrText>ADDIN CSL_CITATION {"citationItems":[{"id":"ITEM-1","itemData":{"DOI":"10.2134/jeq2014.02.0084","ISSN":"0047-2425","PMID":"25602205","abstract":"The leaching of trace metals from anthropogenically contaminated sites poses the risk of groundwater pollution. Biochar has recently been proposed as a soil additive to reduce trace-metal concentrations in the soil solution and to increase water retention, thus reducing drainage. However, field studies on the effects of biochar addition on trace-metal leaching are scarce. Therefore, we added 0, 1, 2.5, and 5 g 100 g of biochar derived from giant miscanthus ( x J.M. Greef &amp; Deuter ex Hodk. &amp; Renvoize) to soil contaminated by former wastewater irrigation and examined water retention and cumulative leaching of Zn, Cd, Cu, and Pb in a 2-yr field study. Cumulative trace-metal leaching was determined by self-integrating accumulators (SIAs) based on ion-exchange resins and compared with data calculated from mean concentrations in the soil solution collected with tension lysimeter plates and groundwater recharge rate. The highest rate of biochar addition increased water retention and thus reduced the amount of drainage water. Mean cumulative Zn and Cd fluxes decreased due to both reduced concentrations in the soil solution and reduced drainage. Although Cu and Pb concentrations in the soil solution increased with biochar addition, the reduced drainage resulted in similar fluxes in the biochar and the control treatment. The cumulative Zn, Cd, and Cu fluxes determined with SIAs were in the same range as the calculated values, while SIA-based Pb fluxes were much higher than those calculated. Since the suction plates excluded colloids, the high SIA-based Pb fluxes indicate colloidal transport and reveal the importance to elucidate the colloidal pathway for risk assessment.","author":[{"dropping-particle":"","family":"Schweiker","given":"Carolin","non-dropping-particle":"","parse-names":false,"suffix":""},{"dropping-particle":"","family":"Wagner","given":"Anne","non-dropping-particle":"","parse-names":false,"suffix":""},{"dropping-particle":"","family":"Peters","given":"Andre","non-dropping-particle":"","parse-names":false,"suffix":""},{"dropping-particle":"","family":"Bischoff","given":"Wolf-Anno","non-dropping-particle":"","parse-names":false,"suffix":""},{"dropping-particle":"","family":"Kaupenjohann","given":"Martin","non-dropping-particle":"","parse-names":false,"suffix":""}],"container-title":"Journal of Environment Quality","id":"ITEM-1","issue":"6","issued":{"date-parts":[["2014"]]},"page":"1886-1893","title":"Biochar reduces zinc and cadmium but not copper and lead leaching on a former sewage field","type":"article-journal","volume":"43"},"uris":["http://www.mendeley.com/documents/?uuid=66f0fb43-05de-4c1b-b1bd-0fd4d9346fad"]}],"mendeley":{"formattedCitation":"(Schweiker et al., 2014)","manualFormatting":"Schweiker et al. (2014)","plainTextFormattedCitation":"(Schweiker et al., 2014)","previouslyFormattedCitation":"(Schweiker et al., 2014)"},"properties":{"noteIndex":0},"schema":"https://github.com/citation-style-language/schema/raw/master/csl-citation.json"}</w:instrText>
      </w:r>
      <w:r w:rsidRPr="00216965">
        <w:fldChar w:fldCharType="separate"/>
      </w:r>
      <w:r w:rsidRPr="00216965">
        <w:rPr>
          <w:noProof/>
        </w:rPr>
        <w:t xml:space="preserve">Schweiker </w:t>
      </w:r>
      <w:r w:rsidRPr="00216965">
        <w:rPr>
          <w:iCs/>
          <w:noProof/>
        </w:rPr>
        <w:t>et al</w:t>
      </w:r>
      <w:r w:rsidRPr="00216965">
        <w:rPr>
          <w:i/>
          <w:noProof/>
        </w:rPr>
        <w:t>.</w:t>
      </w:r>
      <w:r w:rsidRPr="00216965">
        <w:rPr>
          <w:noProof/>
        </w:rPr>
        <w:t xml:space="preserve"> (2014)</w:t>
      </w:r>
      <w:r w:rsidRPr="00216965">
        <w:fldChar w:fldCharType="end"/>
      </w:r>
      <w:r w:rsidRPr="00216965">
        <w:t xml:space="preserve"> added Miscanthus biochar to a soil contaminated by wastewater irrigation, noting that Zn and Cd in the soil solution were reduced over the 2 year experiment while Pb and Cu were increased. </w:t>
      </w:r>
    </w:p>
    <w:p w14:paraId="6E01300F" w14:textId="6F517F1B" w:rsidR="00B45740" w:rsidRPr="00216965" w:rsidRDefault="00B45740" w:rsidP="008A33DA">
      <w:pPr>
        <w:spacing w:line="360" w:lineRule="auto"/>
        <w:jc w:val="both"/>
      </w:pPr>
      <w:r w:rsidRPr="00216965">
        <w:t>Similarly, the reduced HM concentrations observed in the bioavailable (acid soluble) fraction of the soil demonstrated that the addition of the organic treatments effectively reduced the bioavailability of Pb and Zn. From the data it appeared as if compost treatments were more effective than biochar in the immobilization of bioavailable HMs (</w:t>
      </w:r>
      <w:r w:rsidRPr="00216965">
        <w:rPr>
          <w:b/>
          <w:bCs/>
        </w:rPr>
        <w:fldChar w:fldCharType="begin"/>
      </w:r>
      <w:r w:rsidRPr="00216965">
        <w:rPr>
          <w:b/>
          <w:bCs/>
        </w:rPr>
        <w:instrText xml:space="preserve"> REF _Ref84191784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5</w:t>
      </w:r>
      <w:r w:rsidRPr="00216965">
        <w:rPr>
          <w:b/>
          <w:bCs/>
        </w:rPr>
        <w:fldChar w:fldCharType="end"/>
      </w:r>
      <w:r w:rsidRPr="00216965">
        <w:rPr>
          <w:b/>
        </w:rPr>
        <w:t>).</w:t>
      </w:r>
      <w:r w:rsidRPr="00216965">
        <w:t xml:space="preserve"> However, compost addition on weight basis was 6 times higher than biochar addition; when considering the amount of HMs removed by kg of organic amendment </w:t>
      </w:r>
      <w:r w:rsidRPr="00216965">
        <w:lastRenderedPageBreak/>
        <w:t>added, biochar was the better adsorbent, as it immobilised 1900-2100 mg of Pb and 100-137 mg of Zn per kg of biochar added while garden waste compost immobilised 417-424 mg of Pb and 44-47 mg of Zn per kg of compost added.</w:t>
      </w:r>
    </w:p>
    <w:p w14:paraId="750B2256" w14:textId="3CFAC6E8" w:rsidR="00AB2390" w:rsidRPr="00216965" w:rsidRDefault="00B45740" w:rsidP="008A33DA">
      <w:pPr>
        <w:spacing w:line="360" w:lineRule="auto"/>
        <w:jc w:val="both"/>
      </w:pPr>
      <w:r w:rsidRPr="00216965">
        <w:t xml:space="preserve">HM availability depends on sorption reactions with mineral and organic soil phases, which are controlled by pH, ionic strength, surface area and the concentration of complexing ligands, among other factors </w:t>
      </w:r>
      <w:r w:rsidRPr="00216965">
        <w:fldChar w:fldCharType="begin" w:fldLock="1"/>
      </w:r>
      <w:r w:rsidR="006C06AA" w:rsidRPr="00216965">
        <w:instrText>ADDIN CSL_CITATION {"citationItems":[{"id":"ITEM-1","itemData":{"DOI":"10.1007/s11356-016-7250-8","ISSN":"16147499","abstract":"Remediation strategies using soil amendments should consider the time dependence of metal availability to identify amendments that can sustainably reduce available pollutant concentrations over time. Drying-wetting cycles were applied on amendments, soils and soil + amendment mixtures, to mimic ageing at field level and investigate its effect on extractable Cd, Cu, Ni, Pb and Zn concentrations from three contaminated soils. The amendments investigated were municipal waste organic compost and biochars. The amendments, soils and mixtures were characterised by their physicochemical properties at different ageing times. The amendments were also characterised in terms of sorption capacity for Cd and Cu. The sorption capacity and the physicochemical properties of the amendments remained constant over the period examined. When mixed with the soils, amendments, especially the compost, immediately reduced the extractable metals in the soils with low pH and acid neutralisation capacity, due to the increase in pH and buffering capacity of the mixtures. The amendments had a relatively minor impact on the metal availability concentrations for the soil with substantially high acid neutralisation capacity. The most important changes in extractable metal concentrations were observed at the beginning of the experiments, ageing having a minor effect on metal concentrations when compared with the initial effect of amendments. © 2016 Springer-Verlag Berlin Heidelberg","author":[{"dropping-particle":"","family":"Venegas","given":"A.","non-dropping-particle":"","parse-names":false,"suffix":""},{"dropping-particle":"","family":"Rigol","given":"A.","non-dropping-particle":"","parse-names":false,"suffix":""},{"dropping-particle":"","family":"Vidal","given":"M.","non-dropping-particle":"","parse-names":false,"suffix":""}],"container-title":"Environmental Science and Pollution Research","id":"ITEM-1","issue":"20","issued":{"date-parts":[["2016"]]},"page":"20619-20627","publisher":"Environmental Science and Pollution Research","title":"Effect of ageing on the availability of heavy metals in soils amended with compost and biochar: evaluation of changes in soil and amendment properties","type":"article-journal","volume":"23"},"uris":["http://www.mendeley.com/documents/?uuid=4f6b4466-61da-4665-bb63-c0b88ebc42c0"]}],"mendeley":{"formattedCitation":"(Venegas et al., 2016)","plainTextFormattedCitation":"(Venegas et al., 2016)","previouslyFormattedCitation":"(Venegas et al., 2016)"},"properties":{"noteIndex":0},"schema":"https://github.com/citation-style-language/schema/raw/master/csl-citation.json"}</w:instrText>
      </w:r>
      <w:r w:rsidRPr="00216965">
        <w:fldChar w:fldCharType="separate"/>
      </w:r>
      <w:r w:rsidR="001974AA" w:rsidRPr="00216965">
        <w:rPr>
          <w:noProof/>
        </w:rPr>
        <w:t>(Venegas et al., 2016)</w:t>
      </w:r>
      <w:r w:rsidRPr="00216965">
        <w:fldChar w:fldCharType="end"/>
      </w:r>
      <w:r w:rsidRPr="00216965">
        <w:t xml:space="preserve">. However, </w:t>
      </w:r>
      <w:r w:rsidRPr="00216965">
        <w:fldChar w:fldCharType="begin" w:fldLock="1"/>
      </w:r>
      <w:r w:rsidR="006C06AA" w:rsidRPr="00216965">
        <w:instrText>ADDIN CSL_CITATION {"citationItems":[{"id":"ITEM-1","itemData":{"DOI":"10.1016/j.jhazmat.2010.09.082","abstract":"a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Materials","id":"ITEM-1","issued":{"date-parts":[["2011"]]},"page":"549-574","title":"Role of organic amendments on enhanced bioremediation of heavy metal(loid) contaminated soils","type":"article-journal","volume":"185"},"uris":["http://www.mendeley.com/documents/?uuid=057ae436-4376-3486-a8cd-3e21b8c989a9"]}],"mendeley":{"formattedCitation":"(Park et al., 2011b)","manualFormatting":"Park et al. (2010)","plainTextFormattedCitation":"(Park et al., 2011b)","previouslyFormattedCitation":"(Park et al., 2011b)"},"properties":{"noteIndex":0},"schema":"https://github.com/citation-style-language/schema/raw/master/csl-citation.json"}</w:instrText>
      </w:r>
      <w:r w:rsidRPr="00216965">
        <w:fldChar w:fldCharType="separate"/>
      </w:r>
      <w:r w:rsidRPr="00216965">
        <w:rPr>
          <w:noProof/>
        </w:rPr>
        <w:t xml:space="preserve">Park </w:t>
      </w:r>
      <w:r w:rsidR="009B2252" w:rsidRPr="00216965">
        <w:rPr>
          <w:noProof/>
        </w:rPr>
        <w:t>et al</w:t>
      </w:r>
      <w:r w:rsidRPr="00216965">
        <w:rPr>
          <w:noProof/>
        </w:rPr>
        <w:t>. (2010)</w:t>
      </w:r>
      <w:r w:rsidRPr="00216965">
        <w:fldChar w:fldCharType="end"/>
      </w:r>
      <w:r w:rsidRPr="00216965">
        <w:t xml:space="preserve"> stated that soil pH is the most significant factor influencing metal(loid)–soil chemistry. In this study it is suggested that HM immobilisation by biochar was mainly controlled by pH, whereas HM immobilisation by compost is attributed to the formation of organo-metallic complexes. </w:t>
      </w:r>
    </w:p>
    <w:p w14:paraId="3E9DA4F0" w14:textId="078096F6" w:rsidR="00B45740" w:rsidRPr="00216965" w:rsidRDefault="00B45740" w:rsidP="008A33DA">
      <w:pPr>
        <w:spacing w:line="360" w:lineRule="auto"/>
        <w:jc w:val="both"/>
      </w:pPr>
      <w:r w:rsidRPr="00216965">
        <w:t>This is consistent with the correlation between soil properties and bioavailable HM concentrations and HM tissue concentrations (</w:t>
      </w:r>
      <w:r w:rsidRPr="00216965">
        <w:rPr>
          <w:b/>
          <w:bCs/>
        </w:rPr>
        <w:fldChar w:fldCharType="begin"/>
      </w:r>
      <w:r w:rsidRPr="00216965">
        <w:rPr>
          <w:b/>
          <w:bCs/>
        </w:rPr>
        <w:instrText xml:space="preserve"> REF _Ref84093285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8</w:t>
      </w:r>
      <w:r w:rsidRPr="00216965">
        <w:rPr>
          <w:b/>
          <w:bCs/>
        </w:rPr>
        <w:fldChar w:fldCharType="end"/>
      </w:r>
      <w:r w:rsidRPr="00216965">
        <w:t xml:space="preserve">), which indicated that the bioavailability of these elements was strongly negatively correlated with soil pH, base cations (cross-correlated with pH) and OM. These results are in agreement with those of </w:t>
      </w:r>
      <w:r w:rsidRPr="00216965">
        <w:fldChar w:fldCharType="begin" w:fldLock="1"/>
      </w:r>
      <w:r w:rsidR="006C06AA" w:rsidRPr="00216965">
        <w:instrText>ADDIN CSL_CITATION {"citationItems":[{"id":"ITEM-1","itemData":{"DOI":"10.1016/j.jenvman.2016.05.068","ISSN":"10958630","PMID":"27264699","abstract":"Biochar has emerged as an efficient tool to affect bioavailability of heavy metals in contaminated soils. Although partially understood, a carefully designed incubation experiment was performed to examine the effect of biochar on mobility and redistribution of Cd, Cu, Pb and Zn in a sandy loam soil collected from the surroundings of a copper smelter. Bamboo and rice straw biochars with different mesh sizes (&lt;0.25 mm and &lt;1 mm), were applied at three rates (0, 1, and 5% w/w). Heavy metal concentrations in pore water were determined after extraction with 0.01 M CaCl2. Phytoavailable metals were extracted using DTPA/TEA (pH 7.3). The European Union Bureau of Reference (EUBCR) sequential extraction procedure was adopted to determine metal partitioning and redistribution of heavy metals. Results showed that CaCl2-and DTPA-extractable Cd, Cu, Pb and Zn concentrations were significantly (p &lt; 0.05) lower in the bamboo and rice straw biochar treated soils, especially at 5% application rate, than those in the unamended soil. Soil pH values were significantly correlated with CaCl2-extractable metal concentrations (p &lt; 0.01). The EUBCR sequential extraction procedure revealed that the acid extractable fractions of Cd, Cu, Pb and Zn decreased significantly (p &lt; 0.05) with biochar addition. Rice straw biochar was more effective than bamboo biochar in decreasing the acid extractable metal fractions, and the effect was more pronounced with increasing biochar application rate. The effect of biochar particle size on extractable metal concentrations was not consistent. The 5% rice straw biochar treatment reduced the DTPA-extractable metal concentrations in the order of Cd &lt; Cu &lt; Pb &lt; Zn, and reduced the acid extractable pool of Cd, Cu, Pb and Zn by 11, 17, 34 and 6%, respectively, compared to the control. In the same 5% rice straw biochar treatments, the organic bound fraction increased by 37, 58, 68 and 18% for Cd, Cu, Pb and Zn, respectively, compared to the control, indicating that the immobilized metals were mainly bound in the soil organic matter fraction. The results demonstrated that the rice straw biochar can effectively immobilize heavy metals, thereby reducing their mobility and bioavailability in contaminated soils.","author":[{"dropping-particle":"","family":"Lu","given":"Kouping","non-dropping-particle":"","parse-names":false,"suffix":""},{"dropping-particle":"","family":"Yang","given":"Xing","non-dropping-particle":"","parse-names":false,"suffix":""},{"dropping-particle":"","family":"Gielen","given":"Gerty","non-dropping-particle":"","parse-names":false,"suffix":""},{"dropping-particle":"","family":"Bolan","given":"Nanthi","non-dropping-particle":"","parse-names":false,"suffix":""},{"dropping-particle":"","family":"Ok","given":"Yong Sik","non-dropping-particle":"","parse-names":false,"suffix":""},{"dropping-particle":"","family":"Niazi","given":"Nabeel Khan","non-dropping-particle":"","parse-names":false,"suffix":""},{"dropping-particle":"","family":"Xu","given":"Song","non-dropping-particle":"","parse-names":false,"suffix":""},{"dropping-particle":"","family":"Yuan","given":"Guodong","non-dropping-particle":"","parse-names":false,"suffix":""},{"dropping-particle":"","family":"Chen","given":"Xin","non-dropping-particle":"","parse-names":false,"suffix":""},{"dropping-particle":"","family":"Zhang","given":"Xiaokai","non-dropping-particle":"","parse-names":false,"suffix":""},{"dropping-particle":"","family":"Liu","given":"Dan","non-dropping-particle":"","parse-names":false,"suffix":""},{"dropping-particle":"","family":"Song","given":"Zhaoliang","non-dropping-particle":"","parse-names":false,"suffix":""},{"dropping-particle":"","family":"Liu","given":"Xingyuan","non-dropping-particle":"","parse-names":false,"suffix":""},{"dropping-particle":"","family":"Wang","given":"Hailong","non-dropping-particle":"","parse-names":false,"suffix":""}],"container-title":"Journal of Environmental Management","id":"ITEM-1","issued":{"date-parts":[["2017"]]},"page":"285-292","publisher":"Elsevier Ltd","title":"Effect of bamboo and rice straw biochars on the mobility and redistribution of heavy metals (Cd, Cu, Pb and Zn) in contaminated soil","type":"article-journal","volume":"186"},"uris":["http://www.mendeley.com/documents/?uuid=42444baf-4bb9-4726-854b-79b724c0a71e"]}],"mendeley":{"formattedCitation":"(Lu et al., 2017)","manualFormatting":"Lu et al. (2017)","plainTextFormattedCitation":"(Lu et al., 2017)","previouslyFormattedCitation":"(Lu et al., 2017)"},"properties":{"noteIndex":0},"schema":"https://github.com/citation-style-language/schema/raw/master/csl-citation.json"}</w:instrText>
      </w:r>
      <w:r w:rsidRPr="00216965">
        <w:fldChar w:fldCharType="separate"/>
      </w:r>
      <w:r w:rsidRPr="00216965">
        <w:rPr>
          <w:noProof/>
        </w:rPr>
        <w:t xml:space="preserve">Lu </w:t>
      </w:r>
      <w:r w:rsidR="009B2252" w:rsidRPr="00216965">
        <w:rPr>
          <w:noProof/>
        </w:rPr>
        <w:t>et al</w:t>
      </w:r>
      <w:r w:rsidRPr="00216965">
        <w:rPr>
          <w:noProof/>
        </w:rPr>
        <w:t>. (2017)</w:t>
      </w:r>
      <w:r w:rsidRPr="00216965">
        <w:fldChar w:fldCharType="end"/>
      </w:r>
      <w:r w:rsidRPr="00216965">
        <w:t xml:space="preserve">, who reported that bamboo and rice straw biochar treatments at 5 % increased soil pH significantly, resulting in a significant correlation between biochar-induced changes in pH and pore water concentrations of Cd, Cu, Pb and Zn. </w:t>
      </w:r>
    </w:p>
    <w:p w14:paraId="40CD5DD5" w14:textId="5E593020" w:rsidR="00B45740" w:rsidRPr="00216965" w:rsidRDefault="00B45740" w:rsidP="008A33DA">
      <w:pPr>
        <w:spacing w:line="360" w:lineRule="auto"/>
        <w:jc w:val="both"/>
      </w:pPr>
      <w:r w:rsidRPr="00216965">
        <w:t xml:space="preserve">HMs are more mobile at low pH than at moderately acidic pH up to slightly alkaline soil pH </w:t>
      </w:r>
      <w:r w:rsidRPr="00216965">
        <w:fldChar w:fldCharType="begin" w:fldLock="1"/>
      </w:r>
      <w:r w:rsidR="006C06AA" w:rsidRPr="00216965">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2015)","plainTextFormattedCitation":"(Kim et al., 2015)","previouslyFormattedCitation":"(Kim et al., 2015)"},"properties":{"noteIndex":0},"schema":"https://github.com/citation-style-language/schema/raw/master/csl-citation.json"}</w:instrText>
      </w:r>
      <w:r w:rsidRPr="00216965">
        <w:fldChar w:fldCharType="separate"/>
      </w:r>
      <w:r w:rsidR="00C83E62" w:rsidRPr="00216965">
        <w:rPr>
          <w:noProof/>
        </w:rPr>
        <w:t>(Kim et al., 2015)</w:t>
      </w:r>
      <w:r w:rsidRPr="00216965">
        <w:fldChar w:fldCharType="end"/>
      </w:r>
      <w:r w:rsidRPr="00216965">
        <w:t>. Soil organic matter has a high affinity for metal cations due to the presence of ligands or functional groups. When soil pH increases H</w:t>
      </w:r>
      <w:r w:rsidRPr="00216965">
        <w:rPr>
          <w:vertAlign w:val="superscript"/>
        </w:rPr>
        <w:t>+</w:t>
      </w:r>
      <w:r w:rsidRPr="00216965">
        <w:t xml:space="preserve"> dissociates from functional groups such as carboxyl, phenolic, hydroxyl, and carbonyl functional groups, increasing the affinity for metal cations, hence reducing HM bioavailability and mobility </w:t>
      </w:r>
      <w:r w:rsidRPr="00216965">
        <w:fldChar w:fldCharType="begin" w:fldLock="1"/>
      </w:r>
      <w:r w:rsidR="006C06AA" w:rsidRPr="00216965">
        <w:instrText>ADDIN CSL_CITATION {"citationItems":[{"id":"ITEM-1","itemData":{"DOI":"10.1016/j.jhazmat.2010.09.082","abstract":"a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Materials","id":"ITEM-1","issued":{"date-parts":[["2011"]]},"page":"549-574","title":"Role of organic amendments on enhanced bioremediation of heavy metal(loid) contaminated soils","type":"article-journal","volume":"185"},"uris":["http://www.mendeley.com/documents/?uuid=057ae436-4376-3486-a8cd-3e21b8c989a9"]}],"mendeley":{"formattedCitation":"(Park et al., 2011b)","plainTextFormattedCitation":"(Park et al., 2011b)","previouslyFormattedCitation":"(Park et al., 2011b)"},"properties":{"noteIndex":0},"schema":"https://github.com/citation-style-language/schema/raw/master/csl-citation.json"}</w:instrText>
      </w:r>
      <w:r w:rsidRPr="00216965">
        <w:fldChar w:fldCharType="separate"/>
      </w:r>
      <w:r w:rsidR="001974AA" w:rsidRPr="00216965">
        <w:rPr>
          <w:noProof/>
        </w:rPr>
        <w:t>(Park et al., 2011b)</w:t>
      </w:r>
      <w:r w:rsidRPr="00216965">
        <w:fldChar w:fldCharType="end"/>
      </w:r>
      <w:r w:rsidRPr="00216965">
        <w:t xml:space="preserve">. After the addition of mature OM, such as compost, the formation of stable, insoluble chelates with humic substances, as well as metal adsorption on the surface of OM, may decrease HM availability and plant uptake </w:t>
      </w:r>
      <w:r w:rsidRPr="00216965">
        <w:fldChar w:fldCharType="begin" w:fldLock="1"/>
      </w:r>
      <w:r w:rsidR="006C06AA" w:rsidRPr="00216965">
        <w:instrText>ADDIN CSL_CITATION {"citationItems":[{"id":"ITEM-1","itemData":{"DOI":"10.1007/s11356-012-1439-2","ISBN":"1135601214392","ISSN":"09441344","PMID":"23292226","abstract":"The addition of organic matter in soil can modify the bioavailability of heavy metals. A greenhouse pot experiment was carried out using an edible plant species Eruca vesicaria L. Cavalieri grown on an artificially contaminated soil with Zn (665 mg kg(-1)). In this study, the effect of compost at 20 t ha(-1) (C20) and at 60 t ha(-1) (C60), manure at 10 t ha(-1) (M10) and at 30 t ha(-1) (M30), and chemical fertilizers (NPK) on Zn fate in a soil-plant system was evaluated. At the end of the experiment, the main growth parameters and Zn content in plants were determined. In addition, Zn speciation in the soil was assessed using the original Community Bureau of Reference sequential extraction and diethylene triamine pentaacetic acid extraction. Zinc, though an essential element for plant growth, caused toxicity effects in plants grown on control and manure treatments, while in the compost treatments, plants showed no visual toxicity symptoms. The concentrations of Zn in roots were similar for all treatments, while significant differences were observed for shoots. In fact, in the compost treatments, plants showed the lowest Zn concentration in shoots. Zinc speciation seems not to be affected by the applied treatments. Indeed, Zn plant content and translocation to shoots seems to be affected. Compost amendments significantly reduced Zn content and translocation in comparison to other treatments.","author":[{"dropping-particle":"","family":"Chami","given":"Ziad","non-dropping-particle":"Al","parse-names":false,"suffix":""},{"dropping-particle":"","family":"Cavoski","given":"Ivana","non-dropping-particle":"","parse-names":false,"suffix":""},{"dropping-particle":"","family":"Mondelli","given":"Donato","non-dropping-particle":"","parse-names":false,"suffix":""},{"dropping-particle":"","family":"Miano","given":"Teodoro","non-dropping-particle":"","parse-names":false,"suffix":""}],"container-title":"Environmental Science and Pollution Research","id":"ITEM-1","issue":"7","issued":{"date-parts":[["2013"]]},"page":"4766-4776","title":"Effect of compost and manure amendments on zinc soil speciation, plant content, and translocation in an artificially contaminated soil","type":"article-journal","volume":"20"},"uris":["http://www.mendeley.com/documents/?uuid=d785e606-09d5-41f1-a2f6-3b0611bdaaad"]}],"mendeley":{"formattedCitation":"(Al Chami et al., 2013)","plainTextFormattedCitation":"(Al Chami et al., 2013)","previouslyFormattedCitation":"(Al Chami et al., 2013)"},"properties":{"noteIndex":0},"schema":"https://github.com/citation-style-language/schema/raw/master/csl-citation.json"}</w:instrText>
      </w:r>
      <w:r w:rsidRPr="00216965">
        <w:fldChar w:fldCharType="separate"/>
      </w:r>
      <w:r w:rsidR="00C83E62" w:rsidRPr="00216965">
        <w:rPr>
          <w:noProof/>
        </w:rPr>
        <w:t>(Al Chami et al., 2013)</w:t>
      </w:r>
      <w:r w:rsidRPr="00216965">
        <w:fldChar w:fldCharType="end"/>
      </w:r>
      <w:r w:rsidRPr="00216965">
        <w:t xml:space="preserve">. In addition, it is known that the stability constants of metal–organic complexes increase with increasing pH </w:t>
      </w:r>
      <w:r w:rsidRPr="00216965">
        <w:fldChar w:fldCharType="begin" w:fldLock="1"/>
      </w:r>
      <w:r w:rsidR="006C06AA" w:rsidRPr="00216965">
        <w:instrText>ADDIN CSL_CITATION {"citationItems":[{"id":"ITEM-1","itemData":{"DOI":"10.1007/s10653-015-9695-y","ISBN":"1065301596","ISSN":"15732983","PMID":"25841357","abstract":"Worldwide regulatory frameworks for the assessment and remediation of contaminated soils have moved towards a risk-based approach, taking contaminant bioavailability into consideration. However, there is much debate on the precise definition of bioavailability and on the standardization of methods for the measurement of bioavailability so that it can be reliably applied as a tool for risk assessment. Therefore, in this paper, we reviewed the existing definitions of heavy metal bioavailability in relation to plant uptake (phytoavailability), in order to better understand both the conceptual and operational aspects of bioavailability. The related concepts of specific and non-specific adsorption, as well as complex formation and organic ligand affinity were also intensively discussed to explain the variations of heavy metal solubility and mobility in soils. Further, the most frequently used methods to measure bioavailable metal soil fractions based on both chemical extractions and mechanistic geochemical models were reviewed. For relatively highly mobile metals (Cd, Ni, and Zn), a neutral salt solution such as 0.01 M CaCl2 or 1 M NH4NO3 was recommended, whereas a strong acid or chelating solution such as 0.43 M HNO3 or 0.05 M DTPA was recommended for strongly soil-adsorbed and less mobile metals (Cu, Cr, and Pb). While methods which assessed the free metal ion activity in the pore water such as DGT and DMT or WHAM/Model VI, NICA-Donnan model, and TBLM are advantageous for providing a more direct measure of bioavailability, few of these models have to date been properly validated.","author":[{"dropping-particle":"","family":"Kim","given":"Rog Young","non-dropping-particle":"","parse-names":false,"suffix":""},{"dropping-particle":"","family":"Yoon","given":"Jeong Ki","non-dropping-particle":"","parse-names":false,"suffix":""},{"dropping-particle":"","family":"Kim","given":"Tae Seung","non-dropping-particle":"","parse-names":false,"suffix":""},{"dropping-particle":"","family":"Yang","given":"Jae E.","non-dropping-particle":"","parse-names":false,"suffix":""},{"dropping-particle":"","family":"Owens","given":"Gary","non-dropping-particle":"","parse-names":false,"suffix":""},{"dropping-particle":"","family":"Kim","given":"Kwon Rae","non-dropping-particle":"","parse-names":false,"suffix":""}],"container-title":"Environmental Geochemistry and Health","id":"ITEM-1","issue":"6","issued":{"date-parts":[["2015"]]},"page":"1041-1061","publisher":"Springer Netherlands","title":"Bioavailability of heavy metals in soils: definitions and practical implementation—a critical review","type":"article-journal","volume":"37"},"uris":["http://www.mendeley.com/documents/?uuid=a499b4d6-df8c-4834-ba4a-1d5dbc21ef92"]}],"mendeley":{"formattedCitation":"(Kim et al., 2015)","plainTextFormattedCitation":"(Kim et al., 2015)","previouslyFormattedCitation":"(Kim et al., 2015)"},"properties":{"noteIndex":0},"schema":"https://github.com/citation-style-language/schema/raw/master/csl-citation.json"}</w:instrText>
      </w:r>
      <w:r w:rsidRPr="00216965">
        <w:fldChar w:fldCharType="separate"/>
      </w:r>
      <w:r w:rsidR="00C83E62" w:rsidRPr="00216965">
        <w:rPr>
          <w:noProof/>
        </w:rPr>
        <w:t>(Kim et al., 2015)</w:t>
      </w:r>
      <w:r w:rsidRPr="00216965">
        <w:fldChar w:fldCharType="end"/>
      </w:r>
      <w:r w:rsidRPr="00216965">
        <w:t xml:space="preserve">. </w:t>
      </w:r>
    </w:p>
    <w:p w14:paraId="440F929E" w14:textId="038E31A8" w:rsidR="00AB2390" w:rsidRPr="00216965" w:rsidRDefault="00B45740" w:rsidP="008A33DA">
      <w:pPr>
        <w:spacing w:line="360" w:lineRule="auto"/>
        <w:jc w:val="both"/>
      </w:pPr>
      <w:r w:rsidRPr="00216965">
        <w:t xml:space="preserve">Zinc is generally relatively insoluble at pH &gt; 7 </w:t>
      </w:r>
      <w:r w:rsidRPr="00216965">
        <w:fldChar w:fldCharType="begin" w:fldLock="1"/>
      </w:r>
      <w:r w:rsidR="006C06AA" w:rsidRPr="00216965">
        <w:instrText>ADDIN CSL_CITATION {"citationItems":[{"id":"ITEM-1","itemData":{"DOI":"10.1016/j.heliyon.2020.e05388","ISSN":"24058440","abstract":"Environmental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F.","non-dropping-particle":"","parse-names":false,"suffix":""}],"container-title":"Heliyon","id":"ITEM-1","issued":{"date-parts":[["2020"]]},"page":"e05388","title":"The relationship between properties of plant-based biochars and sorption of Cd(II), Pb(II) and Zn(II) in soil model systems","type":"article-journal","volume":"6"},"uris":["http://www.mendeley.com/documents/?uuid=4cc1f56a-b6ca-4b2c-b02c-91ce5243ff75"]},{"id":"ITEM-2","itemData":{"DOI":"10.1016/j.jhazmat.2010.09.082","abstract":"a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Materials","id":"ITEM-2","issued":{"date-parts":[["2011"]]},"page":"549-574","title":"Role of organic amendments on enhanced bioremediation of heavy metal(loid) contaminated soils","type":"article-journal","volume":"185"},"uris":["http://www.mendeley.com/documents/?uuid=057ae436-4376-3486-a8cd-3e21b8c989a9"]}],"mendeley":{"formattedCitation":"(Park et al., 2011b; Soria et al., 2020)","plainTextFormattedCitation":"(Park et al., 2011b; Soria et al., 2020)","previouslyFormattedCitation":"(Park et al., 2011b; Soria et al., 2020)"},"properties":{"noteIndex":0},"schema":"https://github.com/citation-style-language/schema/raw/master/csl-citation.json"}</w:instrText>
      </w:r>
      <w:r w:rsidRPr="00216965">
        <w:fldChar w:fldCharType="separate"/>
      </w:r>
      <w:r w:rsidR="001974AA" w:rsidRPr="00216965">
        <w:rPr>
          <w:noProof/>
        </w:rPr>
        <w:t>(Park et al., 2011b; Soria et al., 2020)</w:t>
      </w:r>
      <w:r w:rsidRPr="00216965">
        <w:fldChar w:fldCharType="end"/>
      </w:r>
      <w:r w:rsidRPr="00216965">
        <w:t xml:space="preserve">. Likewise, the amount of Pb sorption is a function of pH and increases sharply with pH, up to pH 5 and reaches a maximum at pH 8.0 </w:t>
      </w:r>
      <w:r w:rsidRPr="00216965">
        <w:fldChar w:fldCharType="begin" w:fldLock="1"/>
      </w:r>
      <w:r w:rsidR="006C06AA" w:rsidRPr="00216965">
        <w:instrText>ADDIN CSL_CITATION {"citationItems":[{"id":"ITEM-1","itemData":{"DOI":"10.1016/j.jhazmat.2010.09.082","abstract":"a b s t r a c t As land application becomes one of the important waste utilization and disposal practices, soil is increas-ingly being seen as a major source of metal(loid)s reaching food chain, mainly through plant uptake and animal transfer. With greater public awareness of the implications of contaminated soils on human and animal health there has been increasing interest in developing technologies to remediate contami-nated sites. Bioremediation is a natural process which relies on soil microorganisms and higher plants to alter metal(loid) bioavailability and can be enhanced by addition of organic amendments to soils. Large quantities of organic amendments, such as manure compost, biosolid and municipal solid wastes are used as a source of nutrients and also as a conditioner to improve the physical properties and fertility of soils. These organic amendments that are low in metal(loid)s can be used as a sink for reducing the bioavailability of metal(loid)s in contaminated soils and sediments through their effect on the adsorp-tion, complexation, reduction and volatilization of metal(loid)s. This review examines the mechanisms for the enhanced bioremediation of metal(loid)s by organic amendments and discusses the practical implications in relation to sequestration and bioavailability of metal(loid)s in soils.","author":[{"dropping-particle":"","family":"Park","given":"Jin Hee","non-dropping-particle":"","parse-names":false,"suffix":""},{"dropping-particle":"","family":"Lamb","given":"Dane","non-dropping-particle":"","parse-names":false,"suffix":""},{"dropping-particle":"","family":"Paneerselvam","given":"Periyasamy","non-dropping-particle":"","parse-names":false,"suffix":""},{"dropping-particle":"","family":"Choppala","given":"Girish","non-dropping-particle":"","parse-names":false,"suffix":""},{"dropping-particle":"","family":"Bolan","given":"Nanthi","non-dropping-particle":"","parse-names":false,"suffix":""},{"dropping-particle":"","family":"Chung","given":"Jae-Woo","non-dropping-particle":"","parse-names":false,"suffix":""}],"container-title":"Journal of Hazardous Materials","id":"ITEM-1","issued":{"date-parts":[["2011"]]},"page":"549-574","title":"Role of organic amendments on enhanced bioremediation of heavy metal(loid) contaminated soils","type":"article-journal","volume":"185"},"uris":["http://www.mendeley.com/documents/?uuid=057ae436-4376-3486-a8cd-3e21b8c989a9"]}],"mendeley":{"formattedCitation":"(Park et al., 2011b)","plainTextFormattedCitation":"(Park et al., 2011b)","previouslyFormattedCitation":"(Park et al., 2011b)"},"properties":{"noteIndex":0},"schema":"https://github.com/citation-style-language/schema/raw/master/csl-citation.json"}</w:instrText>
      </w:r>
      <w:r w:rsidRPr="00216965">
        <w:fldChar w:fldCharType="separate"/>
      </w:r>
      <w:r w:rsidR="001974AA" w:rsidRPr="00216965">
        <w:rPr>
          <w:noProof/>
        </w:rPr>
        <w:t>(Park et al., 2011b)</w:t>
      </w:r>
      <w:r w:rsidRPr="00216965">
        <w:fldChar w:fldCharType="end"/>
      </w:r>
      <w:r w:rsidRPr="00216965">
        <w:t xml:space="preserve">.  Therefore, increases in soil pH with the application of biochar, compost or the combination of both would have </w:t>
      </w:r>
      <w:r w:rsidRPr="00216965">
        <w:lastRenderedPageBreak/>
        <w:t xml:space="preserve">reduced the solubility of these metals as suggested by </w:t>
      </w:r>
      <w:r w:rsidRPr="00216965">
        <w:fldChar w:fldCharType="begin" w:fldLock="1"/>
      </w:r>
      <w:r w:rsidR="006C06AA" w:rsidRPr="00216965">
        <w:instrText>ADDIN CSL_CITATION {"citationItems":[{"id":"ITEM-1","itemData":{"DOI":"10.1016/j.envpol.2010.02.003","ISBN":"1873-6424 (Electronic)\\n0269-7491 (Linking)","ISSN":"02697491","PMID":"20219274","abstract":"Applying amendments to multi-element contaminated soils can have contradictory effects on the mobility, bioavailability and toxicity of specific elements, depending on the amendment. Trace elements and PAHs were monitored in a contaminated soil amended with biochar and greenwaste compost over 60 days field exposure, after which phytotoxicity was assessed by a simple bio-indicator test. Copper and As concentrations in soil pore water increased more than 30 fold after adding both amendments, associated with significant increases in dissolved organic carbon and pH, whereas Zn and Cd significantly decreased. Biochar was most effective, resulting in a 10 fold decrease of Cd in pore water and a resultant reduction in phytotoxicity. Concentrations of PAHs were also reduced by biochar, with greater than 50% decreases of the heavier, more toxicologically relevant PAHs. The results highlight the potential of biochar for contaminated land remediation. ?? 2010 Elsevier Ltd. All rights reserved.","author":[{"dropping-particle":"","family":"Beesley","given":"Luke","non-dropping-particle":"","parse-names":false,"suffix":""},{"dropping-particle":"","family":"Moreno","given":"Eduardo","non-dropping-particle":"","parse-names":false,"suffix":""},{"dropping-particle":"","family":"Gomez","given":"Jose","non-dropping-particle":"","parse-names":false,"suffix":""}],"container-title":"Environmental Pollution","id":"ITEM-1","issue":"6","issued":{"date-parts":[["2010"]]},"page":"2282-2287","title":"Effects of biochar and greenwaste compost amendments on mobility, bioavailability and toxicity of inorganic and organic contaminants in a multi-element polluted soil","type":"article-journal","volume":"158"},"uris":["http://www.mendeley.com/documents/?uuid=82b97d1e-c40c-4f11-95c0-fbd3c838b5a9"]}],"mendeley":{"formattedCitation":"(Beesley et al., 2010)","manualFormatting":"Beesley et al. (2010)","plainTextFormattedCitation":"(Beesley et al., 2010)","previouslyFormattedCitation":"(Beesley et al., 2010)"},"properties":{"noteIndex":0},"schema":"https://github.com/citation-style-language/schema/raw/master/csl-citation.json"}</w:instrText>
      </w:r>
      <w:r w:rsidRPr="00216965">
        <w:fldChar w:fldCharType="separate"/>
      </w:r>
      <w:r w:rsidRPr="00216965">
        <w:rPr>
          <w:noProof/>
        </w:rPr>
        <w:t xml:space="preserve">Beesley </w:t>
      </w:r>
      <w:r w:rsidR="009B2252" w:rsidRPr="00216965">
        <w:rPr>
          <w:iCs/>
          <w:noProof/>
        </w:rPr>
        <w:t>et al</w:t>
      </w:r>
      <w:r w:rsidRPr="00216965">
        <w:rPr>
          <w:noProof/>
        </w:rPr>
        <w:t>. (2010)</w:t>
      </w:r>
      <w:r w:rsidRPr="00216965">
        <w:fldChar w:fldCharType="end"/>
      </w:r>
      <w:r w:rsidRPr="00216965">
        <w:t xml:space="preserve">. Considering the pH of the amended soils and the speciation of these elements at different pH conducted in </w:t>
      </w:r>
      <w:r w:rsidR="005B3A55" w:rsidRPr="00216965">
        <w:rPr>
          <w:b/>
          <w:bCs/>
        </w:rPr>
        <w:fldChar w:fldCharType="begin"/>
      </w:r>
      <w:r w:rsidR="005B3A55" w:rsidRPr="00216965">
        <w:rPr>
          <w:b/>
          <w:bCs/>
        </w:rPr>
        <w:instrText xml:space="preserve"> REF _Ref86412333 \r \h  \* MERGEFORMAT </w:instrText>
      </w:r>
      <w:r w:rsidR="005B3A55" w:rsidRPr="00216965">
        <w:rPr>
          <w:b/>
          <w:bCs/>
        </w:rPr>
      </w:r>
      <w:r w:rsidR="005B3A55" w:rsidRPr="00216965">
        <w:rPr>
          <w:b/>
          <w:bCs/>
        </w:rPr>
        <w:fldChar w:fldCharType="separate"/>
      </w:r>
      <w:r w:rsidR="006E23EA" w:rsidRPr="00216965">
        <w:rPr>
          <w:b/>
          <w:bCs/>
        </w:rPr>
        <w:t>Chapter 3</w:t>
      </w:r>
      <w:r w:rsidR="005B3A55" w:rsidRPr="00216965">
        <w:rPr>
          <w:b/>
          <w:bCs/>
        </w:rPr>
        <w:fldChar w:fldCharType="end"/>
      </w:r>
      <w:r w:rsidR="005B3A55" w:rsidRPr="00216965">
        <w:t xml:space="preserve"> </w:t>
      </w:r>
      <w:r w:rsidR="005B3A55" w:rsidRPr="00216965">
        <w:rPr>
          <w:b/>
          <w:bCs/>
        </w:rPr>
        <w:t xml:space="preserve">section </w:t>
      </w:r>
      <w:r w:rsidR="000B1D8F" w:rsidRPr="00216965">
        <w:rPr>
          <w:b/>
          <w:bCs/>
        </w:rPr>
        <w:fldChar w:fldCharType="begin"/>
      </w:r>
      <w:r w:rsidR="000B1D8F" w:rsidRPr="00216965">
        <w:rPr>
          <w:b/>
          <w:bCs/>
        </w:rPr>
        <w:instrText xml:space="preserve"> REF _Ref86419146 \r \h </w:instrText>
      </w:r>
      <w:r w:rsidR="005B3A55" w:rsidRPr="00216965">
        <w:rPr>
          <w:b/>
          <w:bCs/>
        </w:rPr>
        <w:instrText xml:space="preserve"> \* MERGEFORMAT </w:instrText>
      </w:r>
      <w:r w:rsidR="000B1D8F" w:rsidRPr="00216965">
        <w:rPr>
          <w:b/>
          <w:bCs/>
        </w:rPr>
      </w:r>
      <w:r w:rsidR="000B1D8F" w:rsidRPr="00216965">
        <w:rPr>
          <w:b/>
          <w:bCs/>
        </w:rPr>
        <w:fldChar w:fldCharType="separate"/>
      </w:r>
      <w:r w:rsidR="006E23EA" w:rsidRPr="00216965">
        <w:rPr>
          <w:b/>
          <w:bCs/>
        </w:rPr>
        <w:t>3.3.2.2</w:t>
      </w:r>
      <w:r w:rsidR="000B1D8F" w:rsidRPr="00216965">
        <w:rPr>
          <w:b/>
          <w:bCs/>
        </w:rPr>
        <w:fldChar w:fldCharType="end"/>
      </w:r>
      <w:r w:rsidR="005B3A55" w:rsidRPr="00216965">
        <w:t xml:space="preserve"> </w:t>
      </w:r>
      <w:r w:rsidRPr="00216965">
        <w:t xml:space="preserve">and published as </w:t>
      </w:r>
      <w:r w:rsidRPr="00216965">
        <w:fldChar w:fldCharType="begin" w:fldLock="1"/>
      </w:r>
      <w:r w:rsidR="006C06AA" w:rsidRPr="00216965">
        <w:instrText>ADDIN CSL_CITATION {"citationItems":[{"id":"ITEM-1","itemData":{"DOI":"10.1016/j.heliyon.2020.e05388","ISSN":"24058440","abstract":"Environmental chemistry; Environmental management; Environmental pollution; Soil chemistry; Soil pollution; Soil pore water, Cooperative sorption, S-shape isotherm, Hill-isotherm, Correlation analysis, Trace elements.","author":[{"dropping-particle":"","family":"Soria","given":"Rosa I.","non-dropping-particle":"","parse-names":false,"suffix":""},{"dropping-particle":"","family":"Rolfe","given":"Stephen A.","non-dropping-particle":"","parse-names":false,"suffix":""},{"dropping-particle":"","family":"Betancourth","given":"Mauro Pazmiño","non-dropping-particle":"","parse-names":false,"suffix":""},{"dropping-particle":"","family":"Thornton","given":"Steven F.","non-dropping-particle":"","parse-names":false,"suffix":""}],"container-title":"Heliyon","id":"ITEM-1","issued":{"date-parts":[["2020"]]},"page":"e05388","title":"The relationship between properties of plant-based biochars and sorption of Cd(II), Pb(II) and Zn(II) in soil model systems","type":"article-journal","volume":"6"},"uris":["http://www.mendeley.com/documents/?uuid=4cc1f56a-b6ca-4b2c-b02c-91ce5243ff75"]}],"mendeley":{"formattedCitation":"(Soria et al., 2020)","manualFormatting":"Soria et al. (2020)","plainTextFormattedCitation":"(Soria et al., 2020)","previouslyFormattedCitation":"(Soria et al., 2020)"},"properties":{"noteIndex":0},"schema":"https://github.com/citation-style-language/schema/raw/master/csl-citation.json"}</w:instrText>
      </w:r>
      <w:r w:rsidRPr="00216965">
        <w:fldChar w:fldCharType="separate"/>
      </w:r>
      <w:r w:rsidRPr="00216965">
        <w:rPr>
          <w:noProof/>
        </w:rPr>
        <w:t xml:space="preserve">Soria </w:t>
      </w:r>
      <w:r w:rsidR="009B2252" w:rsidRPr="00216965">
        <w:rPr>
          <w:iCs/>
          <w:noProof/>
        </w:rPr>
        <w:t>et al</w:t>
      </w:r>
      <w:r w:rsidRPr="00216965">
        <w:rPr>
          <w:noProof/>
        </w:rPr>
        <w:t>. (2020)</w:t>
      </w:r>
      <w:r w:rsidRPr="00216965">
        <w:fldChar w:fldCharType="end"/>
      </w:r>
      <w:r w:rsidRPr="00216965">
        <w:t>, Zn would be mainly present as Zn</w:t>
      </w:r>
      <w:r w:rsidRPr="00216965">
        <w:rPr>
          <w:vertAlign w:val="superscript"/>
        </w:rPr>
        <w:t>2+</w:t>
      </w:r>
      <w:r w:rsidRPr="00216965">
        <w:t xml:space="preserve"> and in small amounts as Zn(OH)</w:t>
      </w:r>
      <w:r w:rsidRPr="00216965">
        <w:rPr>
          <w:vertAlign w:val="subscript"/>
        </w:rPr>
        <w:t>2</w:t>
      </w:r>
      <w:r w:rsidRPr="00216965">
        <w:t xml:space="preserve"> and ZnOH</w:t>
      </w:r>
      <w:r w:rsidRPr="00216965">
        <w:rPr>
          <w:vertAlign w:val="superscript"/>
        </w:rPr>
        <w:t>+</w:t>
      </w:r>
      <w:r w:rsidRPr="00216965">
        <w:t xml:space="preserve"> while Pb would be mainly present as Pb</w:t>
      </w:r>
      <w:r w:rsidRPr="00216965">
        <w:rPr>
          <w:vertAlign w:val="superscript"/>
        </w:rPr>
        <w:t>2+</w:t>
      </w:r>
      <w:r w:rsidRPr="00216965">
        <w:t xml:space="preserve"> and its hydrolysed form PbOH</w:t>
      </w:r>
      <w:r w:rsidRPr="00216965">
        <w:rPr>
          <w:vertAlign w:val="superscript"/>
        </w:rPr>
        <w:t>+</w:t>
      </w:r>
      <w:r w:rsidRPr="00216965">
        <w:t xml:space="preserve"> in biochar treated soil and as Pb</w:t>
      </w:r>
      <w:r w:rsidRPr="00216965">
        <w:rPr>
          <w:vertAlign w:val="superscript"/>
        </w:rPr>
        <w:t xml:space="preserve">2+ </w:t>
      </w:r>
      <w:r w:rsidRPr="00216965">
        <w:t>and</w:t>
      </w:r>
      <w:r w:rsidRPr="00216965">
        <w:rPr>
          <w:vertAlign w:val="superscript"/>
        </w:rPr>
        <w:t xml:space="preserve">  </w:t>
      </w:r>
      <w:r w:rsidRPr="00216965">
        <w:t>Pb(OH)</w:t>
      </w:r>
      <w:r w:rsidRPr="00216965">
        <w:rPr>
          <w:vertAlign w:val="subscript"/>
        </w:rPr>
        <w:t>2</w:t>
      </w:r>
      <w:r w:rsidRPr="00216965">
        <w:rPr>
          <w:vertAlign w:val="superscript"/>
        </w:rPr>
        <w:t xml:space="preserve"> </w:t>
      </w:r>
      <w:r w:rsidRPr="00216965">
        <w:t xml:space="preserve">in the compost treatment. </w:t>
      </w:r>
    </w:p>
    <w:p w14:paraId="3E82D8B0" w14:textId="46F072F9" w:rsidR="00AB2390" w:rsidRPr="00216965" w:rsidRDefault="00B45740" w:rsidP="008A33DA">
      <w:pPr>
        <w:spacing w:line="360" w:lineRule="auto"/>
        <w:jc w:val="both"/>
      </w:pPr>
      <w:r w:rsidRPr="00216965">
        <w:t>Thus, it is inferred that Zn immobilization by biochar was mainly due to electrostatic attractions (outer-sphere complexes) between biochar functional groups and the positively charged species Zn</w:t>
      </w:r>
      <w:r w:rsidRPr="00216965">
        <w:rPr>
          <w:vertAlign w:val="superscript"/>
        </w:rPr>
        <w:t>2+</w:t>
      </w:r>
      <w:r w:rsidRPr="00216965">
        <w:t xml:space="preserve"> or cationic exchange with base cations from biochar and in a lesser extent to precipitation. </w:t>
      </w:r>
      <w:r w:rsidRPr="00216965">
        <w:fldChar w:fldCharType="begin" w:fldLock="1"/>
      </w:r>
      <w:r w:rsidR="006C06AA" w:rsidRPr="00216965">
        <w:instrText>ADDIN CSL_CITATION {"citationItems":[{"id":"ITEM-1","itemData":{"DOI":"10.3390/environments6060069","abstract":"Mining activities could produce a large volume of spoils, waste rocks, and tailings, which are usually deposited at the surface and become a source of metal pollution. Phytostabilization of the mine spoils could limit the spread of these heavy metals. Phytostabilization can be enhanced by using soil amendments such as manure-based biochars capable of immobilizing metal(loid)s when combined with plant species that are tolerant of high levels of contaminants while simultaneously improving properties of mine soils. However, the use of manure-based biochars and other organic amendments for mine spoil remediation are still unclear. In this greenhouse study, we evaluated the interactive effect of biochar additions (BA) with or without the manure-based compost (MBC) on the shoots biomass (SBY), roots biomass (RBY), uptake, and bioconcentration factor (BCF) of Zn and Cd in corn (Zea mays L.) grown in mine soil. Biochar additions consisting of beef cattle manure (BCM); poultry litter (PL); and lodge pole pine (LPP) were applied at 0, 2.5, and 5.0% (w/w) in combination with different rates (0, 2.5, and 5.0%, w/w) of MBC, respectively. Shoots and roots uptake of Cd and Zn were significantly affected by BA, MBC, and the interaction of BA and MBC. Corn plants that received 2.5% PL and 2.5% BCM had the greatest Cd and Zn shoot uptake, respectively. Corn plants with 5% BCM had the greatest Cd and Zn root uptake. When averaged across BA, the greatest BCF for Cd in the shoot of 92.3 was from the application of BCM and the least BCF was from the application of PL (72.8). Our results suggest that the incorporation of biochar enhanced phytostabilization of Cd and Zn with concentrations of water-soluble Cd and Zn lowest in soils amended with manure-based biochars while improving the biomass productivity of corn. Overall, the phytostabilization technique and biochar additions have the potential to be combined in the remediation of heavy metals polluted soils.","author":[{"dropping-particle":"","family":"Sigua","given":"Gilbert C","non-dropping-particle":"","parse-names":false,"suffix":""},{"dropping-particle":"","family":"Novak","given":"Jeff M","non-dropping-particle":"","parse-names":false,"suffix":""},{"dropping-particle":"","family":"Watts","given":"Don W","non-dropping-particle":"","parse-names":false,"suffix":""},{"dropping-particle":"","family":"Ippolito","given":"Jim A","non-dropping-particle":"","parse-names":false,"suffix":""},{"dropping-particle":"","family":"Ducey","given":"Thomas F","non-dropping-particle":"","parse-names":false,"suffix":""},{"dropping-particle":"","family":"Johnson","given":"Mark G","non-dropping-particle":"","parse-names":false,"suffix":""},{"dropping-particle":"","family":"Spokas","given":"Kurt A","non-dropping-particle":"","parse-names":false,"suffix":""}],"container-title":"Environments","id":"ITEM-1","issue":"69","issued":{"date-parts":[["2019"]]},"page":"1-19","title":"Phytostabilization of Zn and Cd in mine soil using corn in combination with biochars and manure-based compost","type":"article-journal","volume":"6"},"uris":["http://www.mendeley.com/documents/?uuid=52056e93-45f1-316c-88c4-d88a31ca0b09"]}],"mendeley":{"formattedCitation":"(Sigua et al., 2019)","manualFormatting":"Sigua et al. (2019)","plainTextFormattedCitation":"(Sigua et al., 2019)","previouslyFormattedCitation":"(Sigua et al., 2019)"},"properties":{"noteIndex":0},"schema":"https://github.com/citation-style-language/schema/raw/master/csl-citation.json"}</w:instrText>
      </w:r>
      <w:r w:rsidRPr="00216965">
        <w:fldChar w:fldCharType="separate"/>
      </w:r>
      <w:r w:rsidRPr="00216965">
        <w:rPr>
          <w:noProof/>
        </w:rPr>
        <w:t xml:space="preserve">Sigua </w:t>
      </w:r>
      <w:r w:rsidR="009B2252" w:rsidRPr="00216965">
        <w:rPr>
          <w:iCs/>
          <w:noProof/>
        </w:rPr>
        <w:t>et al</w:t>
      </w:r>
      <w:r w:rsidRPr="00216965">
        <w:rPr>
          <w:noProof/>
        </w:rPr>
        <w:t>. (2019)</w:t>
      </w:r>
      <w:r w:rsidRPr="00216965">
        <w:fldChar w:fldCharType="end"/>
      </w:r>
      <w:r w:rsidRPr="00216965">
        <w:t xml:space="preserve"> reported that the specific mechanism for Zn immobilization in the biochar treatments with increased soil pH, was likely a result of  the formation of precipitates Zn(OH)</w:t>
      </w:r>
      <w:r w:rsidRPr="00216965">
        <w:rPr>
          <w:vertAlign w:val="subscript"/>
        </w:rPr>
        <w:t>2</w:t>
      </w:r>
      <w:r w:rsidRPr="00216965">
        <w:t xml:space="preserve">. </w:t>
      </w:r>
    </w:p>
    <w:p w14:paraId="21959BA2" w14:textId="32A4B1F3" w:rsidR="00B45740" w:rsidRPr="00216965" w:rsidRDefault="00B45740" w:rsidP="008A33DA">
      <w:pPr>
        <w:spacing w:line="360" w:lineRule="auto"/>
        <w:jc w:val="both"/>
      </w:pPr>
      <w:r w:rsidRPr="00216965">
        <w:t>Pb immobilisation by biochar was probably due to electrostatic attractions with the positively charged Pb</w:t>
      </w:r>
      <w:r w:rsidRPr="00216965">
        <w:rPr>
          <w:vertAlign w:val="superscript"/>
        </w:rPr>
        <w:t>2+</w:t>
      </w:r>
      <w:r w:rsidRPr="00216965">
        <w:t xml:space="preserve"> species, complexation with functional groups or due to precipitation. Pb precipitation with cations such as K</w:t>
      </w:r>
      <w:r w:rsidRPr="00216965">
        <w:rPr>
          <w:vertAlign w:val="superscript"/>
        </w:rPr>
        <w:t>+</w:t>
      </w:r>
      <w:r w:rsidRPr="00216965">
        <w:t>, Na</w:t>
      </w:r>
      <w:r w:rsidRPr="00216965">
        <w:rPr>
          <w:vertAlign w:val="superscript"/>
        </w:rPr>
        <w:t>+</w:t>
      </w:r>
      <w:r w:rsidRPr="00216965">
        <w:t>,Ca</w:t>
      </w:r>
      <w:r w:rsidRPr="00216965">
        <w:rPr>
          <w:vertAlign w:val="superscript"/>
        </w:rPr>
        <w:t>2+,</w:t>
      </w:r>
      <w:r w:rsidRPr="00216965">
        <w:t xml:space="preserve"> and Mg</w:t>
      </w:r>
      <w:r w:rsidRPr="00216965">
        <w:rPr>
          <w:vertAlign w:val="superscript"/>
        </w:rPr>
        <w:t>2+</w:t>
      </w:r>
      <w:r w:rsidRPr="00216965">
        <w:t xml:space="preserve"> and anions such as OH</w:t>
      </w:r>
      <w:r w:rsidRPr="00216965">
        <w:rPr>
          <w:vertAlign w:val="superscript"/>
        </w:rPr>
        <w:t>-</w:t>
      </w:r>
      <w:r w:rsidRPr="00216965">
        <w:t>,Cl</w:t>
      </w:r>
      <w:r w:rsidRPr="00216965">
        <w:rPr>
          <w:vertAlign w:val="superscript"/>
        </w:rPr>
        <w:t>-</w:t>
      </w:r>
      <w:r w:rsidRPr="00216965">
        <w:t>,CO</w:t>
      </w:r>
      <w:r w:rsidRPr="00216965">
        <w:rPr>
          <w:vertAlign w:val="subscript"/>
        </w:rPr>
        <w:t>3</w:t>
      </w:r>
      <w:r w:rsidRPr="00216965">
        <w:rPr>
          <w:vertAlign w:val="superscript"/>
        </w:rPr>
        <w:t>-2</w:t>
      </w:r>
      <w:r w:rsidRPr="00216965">
        <w:t>,PO</w:t>
      </w:r>
      <w:r w:rsidRPr="00216965">
        <w:rPr>
          <w:vertAlign w:val="subscript"/>
        </w:rPr>
        <w:t>4</w:t>
      </w:r>
      <w:r w:rsidRPr="00216965">
        <w:rPr>
          <w:vertAlign w:val="superscript"/>
        </w:rPr>
        <w:t>3-</w:t>
      </w:r>
      <w:r w:rsidRPr="00216965">
        <w:t>,SO</w:t>
      </w:r>
      <w:r w:rsidRPr="00216965">
        <w:rPr>
          <w:vertAlign w:val="subscript"/>
        </w:rPr>
        <w:t>4</w:t>
      </w:r>
      <w:r w:rsidRPr="00216965">
        <w:rPr>
          <w:vertAlign w:val="superscript"/>
        </w:rPr>
        <w:t>2-</w:t>
      </w:r>
      <w:r w:rsidRPr="00216965">
        <w:t xml:space="preserve"> on the surface of biochar and electrostatic interactions have been previously identified as the primary mechanisms for Pb immobilization by vegetable waste biochars produced at 500 °C </w:t>
      </w:r>
      <w:r w:rsidRPr="00216965">
        <w:rPr>
          <w:lang w:val="en-US"/>
        </w:rPr>
        <w:fldChar w:fldCharType="begin" w:fldLock="1"/>
      </w:r>
      <w:r w:rsidR="006C06AA" w:rsidRPr="00216965">
        <w:rPr>
          <w:lang w:val="en-US"/>
        </w:rPr>
        <w:instrText>ADDIN CSL_CITATION {"citationItems":[{"id":"ITEM-1","itemData":{"DOI":"10.1016/j.chemosphere.2017.01.148","ISSN":"18791298","PMID":"28193592","abstract":"In order to determine the efficacy of vegetable waste and pine cone biochar for immobilization of metal/metalloid (lead and arsenic) and abundance of microbial community in different agricultural soils, we applied the biochar produced at two different temperatures to two contaminated soils. Biochar was produced by vegetable waste, pine cone, and their mixture (1:1 ww−1) at 200 °C (torrefied biomass) and 500 °C (biochar). Contaminated soils were incubated with 5% (ww−1) torrefied biomass or biochar. Sequential extraction, thermodynamic modeling, and scanning electron microscopy equipped with energy-dispersive X-ray spectroscopy were used to evaluate the metal immobilization. Microbial communities were characterized by microbial fatty acid profiles and microbial activity was assessed by dehydrogenase activity. Vegetable waste and the mixture of vegetable waste and pine cone biochar exhibited greater ability for Pb immobilization than pine cone biochar and three torrefied biomass, and vegetable waste biochar was found to be most effective. However, torrefied biomass was most effective in increasing both microbial community and dehydrogenase activity. This study confirms that vegetable waste could be a vital biomass to produce biochar to immobilize Pb, and increase the microbial communities and enzyme activity in soils. Biomass and pyrolytic temperature were not found to be effective in the immobilization of As in this study.","author":[{"dropping-particle":"","family":"Igalavithana","given":"Avanthi Deshani","non-dropping-particle":"","parse-names":false,"suffix":""},{"dropping-particle":"","family":"Lee","given":"Sung Eun","non-dropping-particle":"","parse-names":false,"suffix":""},{"dropping-particle":"","family":"Lee","given":"Young Han","non-dropping-particle":"","parse-names":false,"suffix":""},{"dropping-particle":"","family":"Tsang","given":"Daniel C.W.","non-dropping-particle":"","parse-names":false,"suffix":""},{"dropping-particle":"","family":"Rinklebe","given":"Jörg","non-dropping-particle":"","parse-names":false,"suffix":""},{"dropping-particle":"","family":"Kwon","given":"Eilhann E.","non-dropping-particle":"","parse-names":false,"suffix":""},{"dropping-particle":"","family":"Ok","given":"Yong Sik","non-dropping-particle":"","parse-names":false,"suffix":""}],"container-title":"Chemosphere","id":"ITEM-1","issued":{"date-parts":[["2017","5","1"]]},"page":"593-603","publisher":"Elsevier Ltd","title":"Heavy metal immobilization and microbial community abundance by vegetable waste and pine cone biochar of agricultural soils","type":"article-journal","volume":"174"},"uris":["http://www.mendeley.com/documents/?uuid=912ea230-9583-333a-a4f5-f79899ad2594"]}],"mendeley":{"formattedCitation":"(Igalavithana et al., 2017)","plainTextFormattedCitation":"(Igalavithana et al., 2017)","previouslyFormattedCitation":"(Igalavithana et al., 2017)"},"properties":{"noteIndex":0},"schema":"https://github.com/citation-style-language/schema/raw/master/csl-citation.json"}</w:instrText>
      </w:r>
      <w:r w:rsidRPr="00216965">
        <w:rPr>
          <w:lang w:val="en-US"/>
        </w:rPr>
        <w:fldChar w:fldCharType="separate"/>
      </w:r>
      <w:r w:rsidR="00C83E62" w:rsidRPr="00216965">
        <w:rPr>
          <w:noProof/>
          <w:lang w:val="en-US"/>
        </w:rPr>
        <w:t>(Igalavithana et al., 2017)</w:t>
      </w:r>
      <w:r w:rsidRPr="00216965">
        <w:rPr>
          <w:lang w:val="en-US"/>
        </w:rPr>
        <w:fldChar w:fldCharType="end"/>
      </w:r>
      <w:r w:rsidRPr="00216965">
        <w:t xml:space="preserve">. On the other hand, the immobilisation of Pb and Zn triggered by compost is suggested to be mainly due to the formation of organo-metallic complexes. </w:t>
      </w:r>
      <w:r w:rsidRPr="00216965">
        <w:fldChar w:fldCharType="begin" w:fldLock="1"/>
      </w:r>
      <w:r w:rsidR="006C06AA" w:rsidRPr="00216965">
        <w:instrText>ADDIN CSL_CITATION {"citationItems":[{"id":"ITEM-1","itemData":{"DOI":"10.1016/J.CHEMOSPHERE.2004.05.020","ISSN":"0045-6535","abstract":"Chenopodium album L. was found to be one of the initial plant species colonising a heavy metal-contaminated site, polluted by pyritic (sulphide-rich) waste from the Aznalcóllar mine spill (South-western Spain). This indicates its importance in the re-vegetation of this soil. In a pot experiment, C. album was sown in soil collected from the contaminated site, either non-amended or amended with cow manure or compost produced from olive leaves and olive mill wastewater, in order to study the effect on heavy metal bioavailability and soil pH. In non-amended and compost-amended soils, soil acidification, probably resulting from oxidation and hydrolysis of sulphide, led to increases in the concentrations of soluble sulphate and plant-available Cu, Zn and Mn in the soil (extractable with 0.1 M CaCl2). Under these conditions, shoot growth of C. album was negligible and shoot concentrations of Zn (2420-5585 μgg-1) and Mn (5513-8994 μgg-1) were phytotoxic. Manure application greatly increased shoot growth and reduced the shoot concentrations of Cu, Zn, and Mn, and their plant-available concentrations in the soil. These effects appeared to be related to an increase of soil pH, due to an inhibition of sulphide oxidation/hydrolysis, relative to the non-amended soil. For metal sulphides-contaminated soil, liable to acidification, manure application appears to be able to enhance the initial stages of re-vegetation, by species such as C. album. © 2004 Elsevier Ltd. All rights reserved.","author":[{"dropping-particle":"","family":"Walker","given":"David J.","non-dropping-particle":"","parse-names":false,"suffix":""},{"dropping-particle":"","family":"Clemente","given":"Rafael","non-dropping-particle":"","parse-names":false,"suffix":""},{"dropping-particle":"","family":"Bernal","given":"M. Pilar","non-dropping-particle":"","parse-names":false,"suffix":""}],"container-title":"Chemosphere","id":"ITEM-1","issue":"3","issued":{"date-parts":[["2004","10","1"]]},"page":"215-224","publisher":"Pergamon","title":"Contrasting effects of manure and compost on soil pH, heavy metal availability and growth of Chenopodium album L. in a soil contaminated by pyritic mine waste","type":"article-journal","volume":"57"},"uris":["http://www.mendeley.com/documents/?uuid=ed11c32b-c10d-3689-86f5-7fef82e45ff2"]}],"mendeley":{"formattedCitation":"(Walker et al., 2004)","manualFormatting":"Walker et al. (2004)","plainTextFormattedCitation":"(Walker et al., 2004)","previouslyFormattedCitation":"(Walker et al., 2004)"},"properties":{"noteIndex":0},"schema":"https://github.com/citation-style-language/schema/raw/master/csl-citation.json"}</w:instrText>
      </w:r>
      <w:r w:rsidRPr="00216965">
        <w:fldChar w:fldCharType="separate"/>
      </w:r>
      <w:r w:rsidRPr="00216965">
        <w:rPr>
          <w:noProof/>
        </w:rPr>
        <w:t xml:space="preserve">Walker </w:t>
      </w:r>
      <w:r w:rsidR="009B2252" w:rsidRPr="00216965">
        <w:rPr>
          <w:iCs/>
          <w:noProof/>
        </w:rPr>
        <w:t>et al</w:t>
      </w:r>
      <w:r w:rsidRPr="00216965">
        <w:rPr>
          <w:noProof/>
        </w:rPr>
        <w:t>. (2004)</w:t>
      </w:r>
      <w:r w:rsidRPr="00216965">
        <w:fldChar w:fldCharType="end"/>
      </w:r>
      <w:r w:rsidRPr="00216965">
        <w:t xml:space="preserve"> reported reduced availability and plant uptake of Pb  due to immobilisation of Pb by humified OM from compost addition.</w:t>
      </w:r>
    </w:p>
    <w:p w14:paraId="6D449945" w14:textId="77777777" w:rsidR="00B45740" w:rsidRPr="00216965" w:rsidRDefault="00B45740" w:rsidP="008A33DA">
      <w:pPr>
        <w:pStyle w:val="Heading3"/>
      </w:pPr>
      <w:bookmarkStart w:id="413" w:name="_Toc86504713"/>
      <w:r w:rsidRPr="00216965">
        <w:t>Distribution of HMs in soil</w:t>
      </w:r>
      <w:bookmarkEnd w:id="413"/>
    </w:p>
    <w:p w14:paraId="0198ED1A" w14:textId="0CAF655A" w:rsidR="00AB2390" w:rsidRPr="00216965" w:rsidRDefault="00B45740" w:rsidP="008A33DA">
      <w:pPr>
        <w:spacing w:line="360" w:lineRule="auto"/>
        <w:jc w:val="both"/>
      </w:pPr>
      <w:r w:rsidRPr="00216965">
        <w:t xml:space="preserve">The addition of biochar and compost mediated the transformation of bioavailable Pb and Zn species into forms less available for the studied plants and microbiota. In the context of sequential extraction procedures, the acid-soluble fraction can be easily absorbed by plants and microorganisms as it is more mobile and most of the available metal and metalloid species are in this fraction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samples","type":"article-journal","volume":"4"},"uris":["http://www.mendeley.com/documents/?uuid=2e486f2f-667e-4f6b-8f5d-ce9fdb80ce75"]}],"mendeley":{"formattedCitation":"(Filgueiras et al., 2002)","plainTextFormattedCitation":"(Filgueiras et al., 2002)","previouslyFormattedCitation":"(Filgueiras et al., 2002)"},"properties":{"noteIndex":0},"schema":"https://github.com/citation-style-language/schema/raw/master/csl-citation.json"}</w:instrText>
      </w:r>
      <w:r w:rsidRPr="00216965">
        <w:fldChar w:fldCharType="separate"/>
      </w:r>
      <w:r w:rsidR="001974AA" w:rsidRPr="00216965">
        <w:rPr>
          <w:noProof/>
        </w:rPr>
        <w:t>(Filgueiras et al., 2002)</w:t>
      </w:r>
      <w:r w:rsidRPr="00216965">
        <w:fldChar w:fldCharType="end"/>
      </w:r>
      <w:r w:rsidRPr="00216965">
        <w:t xml:space="preserve">. Conversely, the reducible and oxidizable fractions can be transformed into acid soluble (bioavailable) species depending on changes in soil conditions. For example, the degradation of organic matter under oxidising conditions can release soluble trace metals bound to the oxidisable </w:t>
      </w:r>
      <w:r w:rsidRPr="00216965">
        <w:lastRenderedPageBreak/>
        <w:t xml:space="preserve">fraction </w:t>
      </w:r>
      <w:r w:rsidRPr="00216965">
        <w:fldChar w:fldCharType="begin" w:fldLock="1"/>
      </w:r>
      <w:r w:rsidR="006C06AA" w:rsidRPr="00216965">
        <w:instrText>ADDIN CSL_CITATION {"citationItems":[{"id":"ITEM-1","itemData":{"DOI":"10.1039/b207574c","author":[{"dropping-particle":"V","family":"Filgueiras","given":"A","non-dropping-particle":"","parse-names":false,"suffix":""},{"dropping-particle":"","family":"Lavilla","given":"I","non-dropping-particle":"","parse-names":false,"suffix":""},{"dropping-particle":"","family":"Bendicho","given":"C","non-dropping-particle":"","parse-names":false,"suffix":""}],"container-title":"Journal of Environmental Monitoring","id":"ITEM-1","issued":{"date-parts":[["2002"]]},"page":"823-857","title":"Chemical sequential extraction for metal partitioning in environmental solid samples","type":"article-journal","volume":"4"},"uris":["http://www.mendeley.com/documents/?uuid=2e486f2f-667e-4f6b-8f5d-ce9fdb80ce75"]},{"id":"ITEM-2","itemData":{"DOI":"10.4172/scientificreports.1","author":[{"dropping-particle":"","family":"Okoro","given":"Hussein K","non-dropping-particle":"","parse-names":false,"suffix":""},{"dropping-particle":"","family":"Fatoki","given":"Olalekan S","non-dropping-particle":"","parse-names":false,"suffix":""},{"dropping-particle":"","family":"Adekola","given":"Folahan A","non-dropping-particle":"","parse-names":false,"suffix":""},{"dropping-particle":"","family":"Ximba","given":"Bhekumusa J","non-dropping-particle":"","parse-names":false,"suffix":""},{"dropping-particle":"","family":"Snyman","given":"Reinette G","non-dropping-particle":"","parse-names":false,"suffix":""}],"container-title":"Open Access Scientific Reports","id":"ITEM-2","issue":"3","issued":{"date-parts":[["2012"]]},"page":"181","title":"A review of sequential extraction procedures for heavy metals speciation in soil and sediments","type":"article-journal","volume":"1"},"uris":["http://www.mendeley.com/documents/?uuid=19cf9187-8aee-460e-ad8e-5187b017ed8a"]}],"mendeley":{"formattedCitation":"(Filgueiras et al., 2002; Okoro et al., 2012)","plainTextFormattedCitation":"(Filgueiras et al., 2002; Okoro et al., 2012)","previouslyFormattedCitation":"(Filgueiras et al., 2002; Okoro et al., 2012)"},"properties":{"noteIndex":0},"schema":"https://github.com/citation-style-language/schema/raw/master/csl-citation.json"}</w:instrText>
      </w:r>
      <w:r w:rsidRPr="00216965">
        <w:fldChar w:fldCharType="separate"/>
      </w:r>
      <w:r w:rsidR="001974AA" w:rsidRPr="00216965">
        <w:rPr>
          <w:noProof/>
        </w:rPr>
        <w:t>(Filgueiras et al., 2002; Okoro et al., 2012)</w:t>
      </w:r>
      <w:r w:rsidRPr="00216965">
        <w:fldChar w:fldCharType="end"/>
      </w:r>
      <w:r w:rsidRPr="00216965">
        <w:t xml:space="preserve">, hence reducible and oxidisable fractions are considered to be slow release fractions. Finally, the residual fraction contains metals bound to the crystalline lattice of minerals and is considered to be a biologically unavailable fraction </w:t>
      </w:r>
      <w:r w:rsidRPr="00216965">
        <w:fldChar w:fldCharType="begin" w:fldLock="1"/>
      </w:r>
      <w:r w:rsidR="006C06AA" w:rsidRPr="00216965">
        <w:instrText>ADDIN CSL_CITATION {"citationItems":[{"id":"ITEM-1","itemData":{"DOI":"10.1007/s11270-015-2680-3","abstract":"Biochar has great advantages and potentials on soil amendment and polluted soil remediation. In order to explore these applications, a pot experiment was carried out to research the effect of biochar on the heavy metal speciation in paddy soil and the heavy metal accumulation of paddy rice from Chengdu plain, Sichuan Province. The experimental results show that wine lees-derived biochar can efficiently increase soil pH, decrease the contents of soil exchangeable heavy metals, and promote heavy metal transformation to re-sidual fraction. Moreover, application of biochar can reduce the accumulation of heavy metals in paddy plant, decrease the migration ability of heavy metals to the aboveground part of the plant, and consequently cut down contents of heavy metals in rice. When biochar dosage was 0.5 % in weight, the contents of soil ex-changeable Cr, Ni, Cu, Pb, Zn, and Cd decreased 18.8, 29.6, 26.3, 23.0, 23.01, and 48.14 %, respectively, which all significantly differed from CK (P&lt;0.05), and the contents of heavy metals in plant roots, stems, leaves, rice husk, and rice all decreased accordingly, among which Zn, Cd, and Pb decreased 10.96, 8.89, and 8.33 % respectively. When biochar dosage in-creased to 1 %, heavy metal contents in roots, stems, leaves, rice husk, and rice decreased further. Therefore, wine lees-derived biochar shows a great potential in remediation of heavy-metal-polluted soil, and this work provides theoretical basis for restoring heavy-metal-polluted soil using biochar.","author":[{"dropping-particle":"","family":"Zhu","given":"Qihong","non-dropping-particle":"","parse-names":false,"suffix":""},{"dropping-particle":"","family":"Wu","given":"Jun","non-dropping-particle":"","parse-names":false,"suffix":""},{"dropping-particle":"","family":"Wang","given":"Lilin","non-dropping-particle":"","parse-names":false,"suffix":""},{"dropping-particle":"","family":"Yang","given":"Gang","non-dropping-particle":"","parse-names":false,"suffix":""},{"dropping-particle":"","family":"Zhang","given":"Xiaohong","non-dropping-particle":"","parse-names":false,"suffix":""}],"container-title":"Water, Air, and Soil Pollution","id":"ITEM-1","issued":{"date-parts":[["2015"]]},"page":"429","title":"Effect of biochar on heavy metal speciation of paddy soil","type":"article-journal","volume":"226"},"uris":["http://www.mendeley.com/documents/?uuid=bd113688-0cce-3f39-883f-9b3afe068f8d"]}],"mendeley":{"formattedCitation":"(Zhu et al., 2015)","plainTextFormattedCitation":"(Zhu et al., 2015)","previouslyFormattedCitation":"(Zhu et al., 2015)"},"properties":{"noteIndex":0},"schema":"https://github.com/citation-style-language/schema/raw/master/csl-citation.json"}</w:instrText>
      </w:r>
      <w:r w:rsidRPr="00216965">
        <w:fldChar w:fldCharType="separate"/>
      </w:r>
      <w:r w:rsidR="00C83E62" w:rsidRPr="00216965">
        <w:rPr>
          <w:noProof/>
        </w:rPr>
        <w:t>(Zhu et al., 2015)</w:t>
      </w:r>
      <w:r w:rsidRPr="00216965">
        <w:fldChar w:fldCharType="end"/>
      </w:r>
      <w:r w:rsidRPr="00216965">
        <w:t xml:space="preserve">. </w:t>
      </w:r>
    </w:p>
    <w:p w14:paraId="7BB8D6FC" w14:textId="14970B4B" w:rsidR="00B45740" w:rsidRPr="00216965" w:rsidRDefault="00B45740" w:rsidP="008A33DA">
      <w:pPr>
        <w:spacing w:line="360" w:lineRule="auto"/>
        <w:jc w:val="both"/>
      </w:pPr>
      <w:r w:rsidRPr="00216965">
        <w:t>Hence, it is suggested that in the presence of biochar bioavailable Pb species were transformed into the most stable fraction, whereas the addition of compost reduced Pb bioavailability but transformed this element into a reservoir that can be released back into the soil solution. The bioavailability of Zn was reduced with both amendments, although the immobilization mechanisms in compost treatments could be reversible upon changes in soil conditions, as Zn was redistributed into the slow release fractions.</w:t>
      </w:r>
    </w:p>
    <w:p w14:paraId="644ADFF4" w14:textId="71145E57" w:rsidR="00AB2390" w:rsidRPr="00216965" w:rsidRDefault="00B45740" w:rsidP="008A33DA">
      <w:pPr>
        <w:spacing w:line="360" w:lineRule="auto"/>
        <w:jc w:val="both"/>
      </w:pPr>
      <w:r w:rsidRPr="00216965">
        <w:t>The redistribution of HMs induced by biochar and compost is consistent with the proposed immobilization mechanisms (</w:t>
      </w:r>
      <w:r w:rsidRPr="00216965">
        <w:rPr>
          <w:b/>
          <w:bCs/>
        </w:rPr>
        <w:t>section</w:t>
      </w:r>
      <w:r w:rsidR="005B3A55" w:rsidRPr="00216965">
        <w:rPr>
          <w:b/>
          <w:bCs/>
        </w:rPr>
        <w:t xml:space="preserve"> </w:t>
      </w:r>
      <w:r w:rsidR="005B3A55" w:rsidRPr="00216965">
        <w:rPr>
          <w:b/>
          <w:bCs/>
        </w:rPr>
        <w:fldChar w:fldCharType="begin"/>
      </w:r>
      <w:r w:rsidR="005B3A55" w:rsidRPr="00216965">
        <w:rPr>
          <w:b/>
          <w:bCs/>
        </w:rPr>
        <w:instrText xml:space="preserve"> REF _Ref86419227 \r \h </w:instrText>
      </w:r>
      <w:r w:rsidR="005B3A55" w:rsidRPr="00216965">
        <w:rPr>
          <w:b/>
          <w:bCs/>
        </w:rPr>
      </w:r>
      <w:r w:rsidR="00216965" w:rsidRPr="00216965">
        <w:rPr>
          <w:b/>
          <w:bCs/>
        </w:rPr>
        <w:instrText xml:space="preserve"> \* MERGEFORMAT </w:instrText>
      </w:r>
      <w:r w:rsidR="005B3A55" w:rsidRPr="00216965">
        <w:rPr>
          <w:b/>
          <w:bCs/>
        </w:rPr>
        <w:fldChar w:fldCharType="separate"/>
      </w:r>
      <w:r w:rsidR="006E23EA" w:rsidRPr="00216965">
        <w:rPr>
          <w:b/>
          <w:bCs/>
        </w:rPr>
        <w:t>5.4.3</w:t>
      </w:r>
      <w:r w:rsidR="005B3A55" w:rsidRPr="00216965">
        <w:rPr>
          <w:b/>
          <w:bCs/>
        </w:rPr>
        <w:fldChar w:fldCharType="end"/>
      </w:r>
      <w:r w:rsidRPr="00216965">
        <w:t xml:space="preserve">). It was suggested that immobilization of Pb by biochar was mainly due to the formation of surface complexes and precipitation, which are in agreement with the increase of Pb in the residual fraction. The formation of Pb organo-metallic complexes following compost addition is consistent with the observed increase in the oxidisable fraction. </w:t>
      </w:r>
    </w:p>
    <w:p w14:paraId="7D1C898A" w14:textId="4C8F2967" w:rsidR="00B45740" w:rsidRPr="00216965" w:rsidRDefault="00B45740" w:rsidP="008A33DA">
      <w:pPr>
        <w:spacing w:line="360" w:lineRule="auto"/>
        <w:jc w:val="both"/>
      </w:pPr>
      <w:r w:rsidRPr="00216965">
        <w:t xml:space="preserve">Similarly, the electrostatic attractions proposed for Zn immobilization are consistent with the relocation of Zn into the reducible and oxidisable fractions after compost addition. Similar findings have been reported previously. </w:t>
      </w:r>
      <w:r w:rsidRPr="00216965">
        <w:fldChar w:fldCharType="begin" w:fldLock="1"/>
      </w:r>
      <w:r w:rsidR="006C06AA" w:rsidRPr="00216965">
        <w:instrText>ADDIN CSL_CITATION {"citationItems":[{"id":"ITEM-1","itemData":{"DOI":"10.1016/j.jes.2018.11.007","ISSN":"18787320","PMID":"30784468","abstract":"Because of its high adsorption capacity, biochar has been used to stabilize metals when remediating contaminated soils; to date, however, it has seldom been used to remediate contaminated sediment. A biochar was used as a stabilization agent to remediate Cu- and Pb-contaminated sediments, collected from three locations in or close to Beijing. The sediments were mixed with a palm sawdust gasified biochar at a range of weight ratios (2.5%, 5%, and 10%) and incubated for 10, 30, or 60 days. The performance of the different treatments and the heavy metal fractions in the sediments were assessed using four extraction methods, including diffusive gradients in thin films, the porewater concentration, a sequential extraction, and the toxicity characteristic leaching procedure. The results showed that biochar could enhance the stability of heavy metals in contaminated sediments. The degree of stability increased as both the dose of biochar and the incubation time increased. The sediment pH and the morphology of the metal crystals adsorbed onto the biochar changed as the contact time increased. Our results showed that adsorption, metal crystallization, and the pH were the main controls on the stabilization of metals in contaminated sediment by biochar.","author":[{"dropping-particle":"","family":"Wang","given":"Mingming","non-dropping-particle":"","parse-names":false,"suffix":""},{"dropping-particle":"","family":"Ren","given":"Liangsuo","non-dropping-particle":"","parse-names":false,"suffix":""},{"dropping-particle":"","family":"Wang","given":"Dayang","non-dropping-particle":"","parse-names":false,"suffix":""},{"dropping-particle":"","family":"Cai","given":"Zuansi","non-dropping-particle":"","parse-names":false,"suffix":""},{"dropping-particle":"","family":"Xia","given":"Xuefeng","non-dropping-particle":"","parse-names":false,"suffix":""},{"dropping-particle":"","family":"Ding","given":"Aizhong","non-dropping-particle":"","parse-names":false,"suffix":""}],"container-title":"Journal of Environmental Sciences (China)","id":"ITEM-1","issued":{"date-parts":[["2019","5","1"]]},"page":"91-99","publisher":"Chinese Academy of Sciences","title":"Assessing the capacity of biochar to stabilize copper and lead in contaminated sediments using chemical and extraction methods","type":"article-journal","volume":"79"},"uris":["http://www.mendeley.com/documents/?uuid=f7684fed-93ab-3937-8f8d-bd6da3b4589b"]}],"mendeley":{"formattedCitation":"(M. Wang et al., 2019)","manualFormatting":"Wang et al. (2019)","plainTextFormattedCitation":"(M. Wang et al., 2019)","previouslyFormattedCitation":"(M. Wang et al., 2019)"},"properties":{"noteIndex":0},"schema":"https://github.com/citation-style-language/schema/raw/master/csl-citation.json"}</w:instrText>
      </w:r>
      <w:r w:rsidRPr="00216965">
        <w:fldChar w:fldCharType="separate"/>
      </w:r>
      <w:r w:rsidRPr="00216965">
        <w:rPr>
          <w:noProof/>
        </w:rPr>
        <w:t xml:space="preserve">Wang </w:t>
      </w:r>
      <w:r w:rsidR="009B2252" w:rsidRPr="00216965">
        <w:rPr>
          <w:noProof/>
        </w:rPr>
        <w:t>et al</w:t>
      </w:r>
      <w:r w:rsidRPr="00216965">
        <w:rPr>
          <w:i/>
          <w:noProof/>
        </w:rPr>
        <w:t>.</w:t>
      </w:r>
      <w:r w:rsidRPr="00216965">
        <w:rPr>
          <w:noProof/>
        </w:rPr>
        <w:t xml:space="preserve"> (2019)</w:t>
      </w:r>
      <w:r w:rsidRPr="00216965">
        <w:fldChar w:fldCharType="end"/>
      </w:r>
      <w:r w:rsidRPr="00216965">
        <w:t xml:space="preserve"> reported that the addition of palm sawdust biochar reduced Cu and Pb from the bioavailable fraction but increased their concentration in the residual fraction of a polluted sediment. </w:t>
      </w:r>
      <w:r w:rsidR="00D27A60" w:rsidRPr="00216965">
        <w:t xml:space="preserve">C. </w:t>
      </w:r>
      <w:r w:rsidRPr="00216965">
        <w:fldChar w:fldCharType="begin" w:fldLock="1"/>
      </w:r>
      <w:r w:rsidR="006C06AA" w:rsidRPr="00216965">
        <w:instrText>ADDIN CSL_CITATION {"citationItems":[{"id":"ITEM-1","itemData":{"DOI":"10.1016/j.envpol.2020.114133","ISSN":"18736424","PMID":"32078879","abstract":"Biochar has a wide range of feedstocks, and different feedstocks often resulted in different properties, such as element distribution and heavy metal immobilization performance. In this work, batch experiments were conducted to assess the effectiveness of biochar pyrolyzed from kitchen waste (KWB), corn straw (CSB), and peanut hulls (PHB) on immobilization of Cd and Pb in contaminated soil by planting swamp cabbage (Ipomoea aquatica Forsk.) with a combination of toxicological and physiological tests. The results showed that biochar could all enhance the soil pH, and reduce extractable Pb and Cd in soil by 22.61%–71.01% (KWB), 18.54%–64.35% (CSB), and 3.28%–60.25% (PHB), respectively. The biochar led to a drop in Cd and Pb accumulation in roots, stems, and leaves by 45.43%–97.68%, 59.13%–96.64%, and 63.90%–99.28% at the dosage of 60.00 mg/kg, respectively. The root length and fresh weight of swamp cabbage were promoted, while superoxide dismutase (SOD) and peroxidase (POD) decreased after biochar treatment. The distribution of heavy metal fractions before and after biochar treatment indicated that biochar could transform Cd and Pb into a state of lower bioavailability, thus inhibiting Cd and Pb uptake by swamp cabbage. Biochar with different feedstocks could be ranked by the following order according to immobilization performance: KWB &gt; CSB &gt; PHB.","author":[{"dropping-particle":"","family":"Xu","given":"Congbin","non-dropping-particle":"","parse-names":false,"suffix":""},{"dropping-particle":"","family":"Zhao","given":"Jiwei","non-dropping-particle":"","parse-names":false,"suffix":""},{"dropping-particle":"","family":"Yang","given":"Wenjie","non-dropping-particle":"","parse-names":false,"suffix":""},{"dropping-particle":"","family":"He","given":"Li","non-dropping-particle":"","parse-names":false,"suffix":""},{"dropping-particle":"","family":"Wei","given":"Wenxia","non-dropping-particle":"","parse-names":false,"suffix":""},{"dropping-particle":"","family":"Tan","given":"Xiao","non-dropping-particle":"","parse-names":false,"suffix":""},{"dropping-particle":"","family":"Wang","given":"Jun","non-dropping-particle":"","parse-names":false,"suffix":""},{"dropping-particle":"","family":"Lin","given":"Aijun","non-dropping-particle":"","parse-names":false,"suffix":""}],"container-title":"Environmental Pollution","id":"ITEM-1","issued":{"date-parts":[["2020","6","1"]]},"page":"114133","publisher":"Elsevier Ltd","title":"Evaluation of biochar pyrolyzed from kitchen waste, corn straw, and peanut hulls on immobilization of Pb and Cd in contaminated soil","type":"article-journal","volume":"261"},"uris":["http://www.mendeley.com/documents/?uuid=6eee545a-7fee-346b-8aa7-47b79f2eb8fe"]}],"mendeley":{"formattedCitation":"(C. Xu et al., 2020)","manualFormatting":"Xu et al. (2020)","plainTextFormattedCitation":"(C. Xu et al., 2020)","previouslyFormattedCitation":"(C. Xu et al., 2020)"},"properties":{"noteIndex":0},"schema":"https://github.com/citation-style-language/schema/raw/master/csl-citation.json"}</w:instrText>
      </w:r>
      <w:r w:rsidRPr="00216965">
        <w:fldChar w:fldCharType="separate"/>
      </w:r>
      <w:r w:rsidRPr="00216965">
        <w:rPr>
          <w:noProof/>
        </w:rPr>
        <w:t xml:space="preserve">Xu </w:t>
      </w:r>
      <w:r w:rsidR="009B2252" w:rsidRPr="00216965">
        <w:rPr>
          <w:noProof/>
        </w:rPr>
        <w:t>et al</w:t>
      </w:r>
      <w:r w:rsidRPr="00216965">
        <w:rPr>
          <w:i/>
          <w:noProof/>
        </w:rPr>
        <w:t>.</w:t>
      </w:r>
      <w:r w:rsidRPr="00216965">
        <w:rPr>
          <w:noProof/>
        </w:rPr>
        <w:t xml:space="preserve"> (2020)</w:t>
      </w:r>
      <w:r w:rsidRPr="00216965">
        <w:fldChar w:fldCharType="end"/>
      </w:r>
      <w:r w:rsidRPr="00216965">
        <w:t xml:space="preserve"> reported that kitchen waste, corn straw, and peanut hulls biochars could convert Pb and Cd from an acid soluble and reducible state to a residual and oxidizable state, thus reducing their bioavailability and uptake by swamp cabbage. </w:t>
      </w:r>
      <w:r w:rsidRPr="00216965">
        <w:fldChar w:fldCharType="begin" w:fldLock="1"/>
      </w:r>
      <w:r w:rsidR="006C06AA" w:rsidRPr="00216965">
        <w:instrText>ADDIN CSL_CITATION {"citationItems":[{"id":"ITEM-1","itemData":{"DOI":"10.1039/c5ra04834f","ISSN":"20462069","abstract":"Biochar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Advances","id":"ITEM-1","issue":"44","issued":{"date-parts":[["2015"]]},"page":"34541-34548","publisher":"Royal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soil","type":"article-journal","volume":"5"},"uris":["http://www.mendeley.com/documents/?uuid=ebb20dbb-cbd3-3e20-a001-a39f6f139234"]}],"mendeley":{"formattedCitation":"(Zeng et al., 2015)","manualFormatting":"Zeng et al. (2015)","plainTextFormattedCitation":"(Zeng et al., 2015)","previouslyFormattedCitation":"(Zeng et al., 2015)"},"properties":{"noteIndex":0},"schema":"https://github.com/citation-style-language/schema/raw/master/csl-citation.json"}</w:instrText>
      </w:r>
      <w:r w:rsidRPr="00216965">
        <w:fldChar w:fldCharType="separate"/>
      </w:r>
      <w:r w:rsidRPr="00216965">
        <w:rPr>
          <w:noProof/>
        </w:rPr>
        <w:t xml:space="preserve">Zeng </w:t>
      </w:r>
      <w:r w:rsidR="009B2252" w:rsidRPr="00216965">
        <w:rPr>
          <w:noProof/>
        </w:rPr>
        <w:t>et al</w:t>
      </w:r>
      <w:r w:rsidRPr="00216965">
        <w:rPr>
          <w:i/>
          <w:noProof/>
        </w:rPr>
        <w:t>.</w:t>
      </w:r>
      <w:r w:rsidRPr="00216965">
        <w:rPr>
          <w:noProof/>
        </w:rPr>
        <w:t xml:space="preserve"> (2015)</w:t>
      </w:r>
      <w:r w:rsidRPr="00216965">
        <w:fldChar w:fldCharType="end"/>
      </w:r>
      <w:r w:rsidRPr="00216965">
        <w:t xml:space="preserve"> demonstrated that biochar and compost can reduce bioavailable fractions of Cd, Zn and Pb and increase the concentrations of these elements in carbonate-, Fe/Mn-, organic matter-bound fractions and residual fraction of heavy metals from a mining-contaminated soil.</w:t>
      </w:r>
    </w:p>
    <w:p w14:paraId="4AD5670C" w14:textId="77777777" w:rsidR="00B45740" w:rsidRPr="00216965" w:rsidRDefault="00B45740" w:rsidP="008A33DA">
      <w:pPr>
        <w:pStyle w:val="Heading3"/>
      </w:pPr>
      <w:bookmarkStart w:id="414" w:name="_Toc86504714"/>
      <w:r w:rsidRPr="00216965">
        <w:lastRenderedPageBreak/>
        <w:t>Plant performance and its effect on soil properties and HM bioavailability</w:t>
      </w:r>
      <w:bookmarkEnd w:id="414"/>
    </w:p>
    <w:p w14:paraId="3BFDCE08" w14:textId="06FD9114" w:rsidR="00AB2390" w:rsidRPr="00216965" w:rsidRDefault="00B45740" w:rsidP="008A33DA">
      <w:pPr>
        <w:spacing w:line="360" w:lineRule="auto"/>
        <w:jc w:val="both"/>
      </w:pPr>
      <w:r w:rsidRPr="00216965">
        <w:t>Ryegrass (</w:t>
      </w:r>
      <w:r w:rsidRPr="00216965">
        <w:rPr>
          <w:i/>
        </w:rPr>
        <w:t>Lolium perenne</w:t>
      </w:r>
      <w:r w:rsidRPr="00216965">
        <w:t xml:space="preserve">) has been reported widely as a suitable pasture to grow in HM-contaminated sites </w:t>
      </w:r>
      <w:r w:rsidRPr="00216965">
        <w:fldChar w:fldCharType="begin" w:fldLock="1"/>
      </w:r>
      <w:r w:rsidR="006C06AA" w:rsidRPr="00216965">
        <w:instrText>ADDIN CSL_CITATION {"citationItems":[{"id":"ITEM-1","itemData":{"DOI":"10.1155/2018/7803408","abstract":"Intercropping can increase the biomass of plants and reduce the accumulation of heavy metals in plants. However, the mechanisms of intercropping increasing plant biomass and resistance to heavy metals are still unclear. Therefore, the pot experiment had been conducted to investigate the effect of intercropping treatment on the growth of gramineous pasture ryegrass (Lolium perenne L.) and leguminous forage alfalfa (Medicago sativa L.) in metal-contaminated soil. Our results showed that intercropping alleviated inhibition of heavy metals to plant growth and increased nitrogen and chlorophyll contents in the shoots and roots. Moreover, the Pb concentrations in the shoots and roots of ryegrass and alfalfa in the intercropping were significantly lower than those in the monoculture. And, the contents of saccharase and alkaline phosphatase were significantly increased in the intercropping treatment. Additionally, the intercropping treatment could reduce the oxidative damage and increase enzymatic antioxidant activities to improve the resistance of plants in contaminated soil. The intercropping treatment can increase the resistance of plants to heavy metals through reduction of plant oxidative damage and increase of antioxidant activity. It could provide us with a strategy that intercropping of ryegrass and alfalfa can increase biomass and reduce the absorption of Pb on forage plants.","author":[{"dropping-particle":"","family":"Cui","given":"Tuantuan","non-dropping-particle":"","parse-names":false,"suffix":""},{"dropping-particle":"","family":"Fang","given":"Linchuan","non-dropping-particle":"","parse-names":false,"suffix":""},{"dropping-particle":"","family":"Wang","given":"Mengke","non-dropping-particle":"","parse-names":false,"suffix":""},{"dropping-particle":"","family":"Jiang","given":"Mao","non-dropping-particle":"","parse-names":false,"suffix":""},{"dropping-particle":"","family":"Shen","given":"Guoting","non-dropping-particle":"","parse-names":false,"suffix":""}],"container-title":"Journal of Chemistry","id":"ITEM-1","issued":{"date-parts":[["2018"]]},"page":"7803408","publisher":"Hindawi Limited","title":"Intercropping of gramineous pasture ryegrass (Lolium perenne L.) and leguminous forage alfalfa (Medicago sativa L.) increases the resistance of plants to heavy metals","type":"article-journal","volume":"2018"},"uris":["http://www.mendeley.com/documents/?uuid=349d3e86-3bf5-3757-97a9-75f3c23ca74d"]},{"id":"ITEM-2","itemData":{"abstract":"JSTOR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SUMMARY (1) Lime wastes, which are often available at low cost in industrial areas, were compared with agricultural ground limestone as neutralizing agents for acidic colliery spoil. (2) Dried calcareous slurry contained a higher proportion of fine particles and Leblanc waste a higher proportion of coarse particles than normal agricultural ground limestone. (3) The calcium carbonate equivalents were 86% for dried calcareous slurry, 57% for Leblanc waste and 93% for ground limestone. (4) Initially, dried calcareous slurry was slightly better than ground limestone in raising spoil pH and promoting growth of Lolium perenne. Suppression of growth of Trifolium repens at high liming rates was also less. (5) Leblanc waste neutralized acidity and promoted growth but was less effective than ground limestone. There was evidence of growth inhibition related to the presence of hydroxide at very high application rates. (6) In an experiment on particle size, the pH and growth effects of ground limestone were reduced by increasing particle size at rates up to 50 t ha-' whereas particle size difference did not affect the action of Leblanc waste. (7) It is concluded that there are no ecological disadvantages and several economic advantages in using lime wastes in land reclamation.","author":[{"dropping-particle":"","family":"Gemmell","given":"R P","non-dropping-particle":"","parse-names":false,"suffix":""}],"container-title":"Journal of Applied Ecology","id":"ITEM-2","issue":"18","issued":{"date-parts":[["1981"]]},"page":"879-887","title":"The reclamation of acidic colliery spoil II. The use of lime wastes","type":"article-journal","volume":"18"},"uris":["http://www.mendeley.com/documents/?uuid=bd9789f2-9bf8-33d9-a79a-83aab7962756"]},{"id":"ITEM-3","itemData":{"DOI":"10.1016/j.envpol.2013.11.026","ISBN":"0269-7491","ISSN":"02697491","PMID":"24388869","abstract":"Amending contaminated soils with organic wastes can influence trace element mobility and toxicity. Soluble concentrations of metals and arsenic were measured in pore water and aqueous soil extracts following the amendment of a heavily contaminated mine soil with compost and biochar (10% v:v) in a pot experiment. Speciation modelling and toxicity assays (Vibrio fischeri luminescence inhibition and Lolium perenne germination) were performed to discriminate mechanisms controlling metal mobility and assess toxicity risk thereafter. Biochar reduced free metal concentrations furthest but dissolved organic carbon primarily controlled metal mobility after compost amendment. Individually, both amendments induced considerable solubilisation of arsenic to pore water (&gt;2500 μg l-1) related to pH and soluble phosphate but combining amendments most effectively reduced toxicity due to simultaneous reductions in extractable metals and increases in soluble nutrients (P). Thus the measure-monitor-model approach taken determined that combining the amendments was most effective at mitigating attendant toxicity risk. © 2013 Elsevier Ltd. All rights reserved.","author":[{"dropping-particle":"","family":"Beesley","given":"Luke","non-dropping-particle":"","parse-names":false,"suffix":""},{"dropping-particle":"","family":"Inneh","given":"Onyeka","non-dropping-particle":"","parse-names":false,"suffix":""},{"dropping-particle":"","family":"Norton","given":"Gareth","non-dropping-particle":"","parse-names":false,"suffix":""},{"dropping-particle":"","family":"Moreno","given":"Eduardo","non-dropping-particle":"","parse-names":false,"suffix":""},{"dropping-particle":"","family":"Pardo","given":"Tania","non-dropping-particle":"","parse-names":false,"suffix":""},{"dropping-particle":"","family":"Clemente","given":"Rafael","non-dropping-particle":"","parse-names":false,"suffix":""},{"dropping-particle":"","family":"Dawson","given":"Julian","non-dropping-particle":"","parse-names":false,"suffix":""}],"container-title":"Environmental Pollution","id":"ITEM-3","issued":{"date-parts":[["2014"]]},"page":"195-202","publisher":"Elsevier Ltd","title":"Assessing the influence of compost and biochar amendments on the mobility and toxicity of metals and arsenic in a naturally contaminated mine soil","type":"article-journal","volume":"186"},"uris":["http://www.mendeley.com/documents/?uuid=8820f1ca-eeb1-47d9-bb6c-d1ccd0f1e858"]},{"id":"ITEM-4","itemData":{"DOI":"10.1016/j.jhazmat.2011.04.025","ISBN":"1873-3336 (Electronic)\\n0304-3894 (Linking)","ISSN":"03043894","PMID":"21565444","abstract":"Green waste compost and biochar amendments were assessed for their assistance in regulating the mobility of copper (Cu) and lead (Pb) and the resultant uptake of these metals into vegetation. The amendments were mixed with a heavily Cu and Pb contaminated soil (600 and 21,000mgkg-1, respectively) from a former copper mine in Cheshire (UK), on a volume basis both singly and in combination in greenhouse pot trials. Ryegrass (Lolium perenne L. var. Cadix) was grown for the following 4 months during which biomass, metals in soil pore water and plant uptake were measured in three consecutive harvests. Very high Pb concentrations in pore water from untreated soil (&gt;80mgl-1) were reduced furthest by compost amendment (&lt;5mgl-1) whereas biochar was the more effective treatment at reducing pore water Cu concentrations. Duly, ryegrass shoot Cu levels were reduced and large, significant reductions in shoot Pb levels were observed after biochar and compost amendments, respectively during successive harvests. However, because green waste compost singly and in combination with biochar vividly enhanced biomass yields, harvestable amounts of Pb were only significantly reduced by the compost amendment which had reduced shoot Pb levels furthest. The low biomass of ryegrass with biochar amendment meant that this was the only amendment which did not significantly increase harvestable amounts of Cu. Therefore the two amendments have opposing metal specific suitability for treating this contaminated soil regarding whether it is a maximum reduction in plant tissue metal concentration or a maximum reduction in harvestable amount of metal that is required. © 2011 Elsevier B.V.","author":[{"dropping-particle":"","family":"Karami","given":"Nadia","non-dropping-particle":"","parse-names":false,"suffix":""},{"dropping-particle":"","family":"Clemente","given":"Rafael","non-dropping-particle":"","parse-names":false,"suffix":""},{"dropping-particle":"","family":"Moreno","given":"Eduardo","non-dropping-particle":"","parse-names":false,"suffix":""},{"dropping-particle":"","family":"Lepp","given":"Nicholas","non-dropping-particle":"","parse-names":false,"suffix":""},{"dropping-particle":"","family":"Beesley","given":"Luke","non-dropping-particle":"","parse-names":false,"suffix":""}],"container-title":"Journal of Hazardous Materials","id":"ITEM-4","issue":"1-3","issued":{"date-parts":[["2011"]]},"page":"41-48","publisher":"Elsevier B.V.","title":"Efficiency of green waste compost and biochar soil amendments for reducing lead and copper mobility and uptake to ryegrass","type":"article-journal","volume":"191"},"uris":["http://www.mendeley.com/documents/?uuid=2e021c3e-c811-4cdf-b456-4f53f6ef7853"]}],"mendeley":{"formattedCitation":"(Beesley et al., 2014; Cui et al., 2018; Gemmell, 1981; Karami et al., 2011)","plainTextFormattedCitation":"(Beesley et al., 2014; Cui et al., 2018; Gemmell, 1981; Karami et al., 2011)","previouslyFormattedCitation":"(Beesley et al., 2014; Cui et al., 2018; Gemmell, 1981; Karami et al., 2011)"},"properties":{"noteIndex":0},"schema":"https://github.com/citation-style-language/schema/raw/master/csl-citation.json"}</w:instrText>
      </w:r>
      <w:r w:rsidRPr="00216965">
        <w:fldChar w:fldCharType="separate"/>
      </w:r>
      <w:r w:rsidR="001974AA" w:rsidRPr="00216965">
        <w:rPr>
          <w:noProof/>
        </w:rPr>
        <w:t>(Beesley et al., 2014; Cui et al., 2018; Gemmell, 1981; Karami et al., 2011)</w:t>
      </w:r>
      <w:r w:rsidRPr="00216965">
        <w:fldChar w:fldCharType="end"/>
      </w:r>
      <w:r w:rsidRPr="00216965">
        <w:t xml:space="preserve">, which can help reduce soil erosion and prevent contaminant run off. The addition of biochar and compost reduced Pb and Zn toxicity to </w:t>
      </w:r>
      <w:r w:rsidRPr="00216965">
        <w:rPr>
          <w:i/>
        </w:rPr>
        <w:t xml:space="preserve">Lolium perenne </w:t>
      </w:r>
      <w:r w:rsidRPr="00216965">
        <w:t>plants</w:t>
      </w:r>
      <w:r w:rsidRPr="00216965">
        <w:rPr>
          <w:i/>
        </w:rPr>
        <w:t xml:space="preserve">. </w:t>
      </w:r>
      <w:r w:rsidRPr="00216965">
        <w:t>The reduced concentration of HMs in plant tissue (</w:t>
      </w:r>
      <w:r w:rsidRPr="00216965">
        <w:rPr>
          <w:b/>
          <w:bCs/>
        </w:rPr>
        <w:fldChar w:fldCharType="begin"/>
      </w:r>
      <w:r w:rsidRPr="00216965">
        <w:rPr>
          <w:b/>
          <w:bCs/>
        </w:rPr>
        <w:instrText xml:space="preserve"> REF _Ref83468265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7</w:t>
      </w:r>
      <w:r w:rsidRPr="00216965">
        <w:rPr>
          <w:b/>
          <w:bCs/>
        </w:rPr>
        <w:fldChar w:fldCharType="end"/>
      </w:r>
      <w:r w:rsidRPr="00216965">
        <w:t>) is attributed to the reduced bioavailability of these elements induced by the organic amendments, which is in agreement with the correlation analysis (</w:t>
      </w:r>
      <w:r w:rsidRPr="00216965">
        <w:rPr>
          <w:b/>
          <w:bCs/>
        </w:rPr>
        <w:fldChar w:fldCharType="begin"/>
      </w:r>
      <w:r w:rsidRPr="00216965">
        <w:rPr>
          <w:b/>
          <w:bCs/>
        </w:rPr>
        <w:instrText xml:space="preserve"> REF _Ref84093285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8</w:t>
      </w:r>
      <w:r w:rsidRPr="00216965">
        <w:rPr>
          <w:b/>
          <w:bCs/>
        </w:rPr>
        <w:fldChar w:fldCharType="end"/>
      </w:r>
      <w:r w:rsidRPr="00216965">
        <w:t>).</w:t>
      </w:r>
    </w:p>
    <w:p w14:paraId="77DF1132" w14:textId="31BB905E" w:rsidR="00B45740" w:rsidRPr="00216965" w:rsidRDefault="00B45740" w:rsidP="008A33DA">
      <w:pPr>
        <w:spacing w:line="360" w:lineRule="auto"/>
        <w:jc w:val="both"/>
      </w:pPr>
      <w:r w:rsidRPr="00216965">
        <w:t>The concentrations in above-ground tissue of plants cultivated in the amended soils decreased considerably during the first harvest. However, they were overall higher than levels considered normal in plant tissue, estimated to be 25-150 mg.kg</w:t>
      </w:r>
      <w:r w:rsidRPr="00216965">
        <w:rPr>
          <w:vertAlign w:val="superscript"/>
        </w:rPr>
        <w:t>-1</w:t>
      </w:r>
      <w:r w:rsidRPr="00216965">
        <w:t xml:space="preserve"> Zn and 1-13 mg.kg</w:t>
      </w:r>
      <w:r w:rsidRPr="00216965">
        <w:rPr>
          <w:vertAlign w:val="superscript"/>
        </w:rPr>
        <w:t xml:space="preserve">-1 </w:t>
      </w:r>
      <w:r w:rsidRPr="00216965">
        <w:t xml:space="preserve">Pb according to </w:t>
      </w:r>
      <w:r w:rsidRPr="00216965">
        <w:fldChar w:fldCharType="begin" w:fldLock="1"/>
      </w:r>
      <w:r w:rsidR="006C06AA" w:rsidRPr="00216965">
        <w:instrText>ADDIN CSL_CITATION {"citationItems":[{"id":"ITEM-1","itemData":{"DOI":"10.1007/s10311-010-0297-8","ISBN":"1610-3653","ISSN":"16103653","abstract":"Metal contamination issues are becoming increasingly common in India and elsewhere, with many documented cases of metal toxicity in mining industries, foundries, smelters, coal-burning power plants and agriculture. Heavy metals, such as cadmium, copper, lead, chromium and mercury are major environmental pollutants, particularly in areas with high anthropogenic pressure. Heavy metal accumulation in soils is of concern in agricultural production due to the adverse effects on food safety and marketability, crop growth due to phytotoxicity, and environmental health of soil organisms. The influence of plants and their metabolic activities affects the geological and biological redistribution of heavy metals through pollution of the air, water and soil. This article details the range of heavy metals, their occurrence and toxicity for plants. Metal toxicity has high impact and relevance to plants and consequently it affects the ecosystem, where the plants form an integral component. Plants growing in metal-polluted sites exhibit altered metabolism, growth reduction, lower biomass production and metal accumulation. Various physiological and biochemical processes in plants are affected by metals. The contemporary investigations into toxicity and tolerance in metal-stressed plants are prompted by the growing metal pollution in the environment. A few metals, including copper, manganese, cobalt, zinc and chromium are, however, essential to plant metabolism in trace amounts. It is only when metals are present in bioavailable forms and at excessive levels, they have the potential to become toxic to plants. This review focuses mainly on zinc, cadmium, copper, mercury, chromium, lead, arsenic, cobalt, nickel, manganese and iron.","author":[{"dropping-particle":"","family":"Nagajyoti","given":"P. C.","non-dropping-particle":"","parse-names":false,"suffix":""},{"dropping-particle":"","family":"Lee","given":"K. D.","non-dropping-particle":"","parse-names":false,"suffix":""},{"dropping-particle":"","family":"Sreekanth","given":"T. V.M.","non-dropping-particle":"","parse-names":false,"suffix":""}],"container-title":"Environmental Chemistry Letters","id":"ITEM-1","issue":"3","issued":{"date-parts":[["2010"]]},"page":"199-216","title":"Heavy metals, occurrence and toxicity for plants: A review","type":"article-journal","volume":"8"},"uris":["http://www.mendeley.com/documents/?uuid=c3cf0d3a-0f37-4d68-898c-8d5404c4a140"]}],"mendeley":{"formattedCitation":"(Nagajyoti et al., 2010)","manualFormatting":"Nagajyoti et al. (2010)","plainTextFormattedCitation":"(Nagajyoti et al., 2010)","previouslyFormattedCitation":"(Nagajyoti et al., 2010)"},"properties":{"noteIndex":0},"schema":"https://github.com/citation-style-language/schema/raw/master/csl-citation.json"}</w:instrText>
      </w:r>
      <w:r w:rsidRPr="00216965">
        <w:fldChar w:fldCharType="separate"/>
      </w:r>
      <w:r w:rsidRPr="00216965">
        <w:rPr>
          <w:noProof/>
        </w:rPr>
        <w:t xml:space="preserve">Nagajyoti </w:t>
      </w:r>
      <w:r w:rsidR="009B2252" w:rsidRPr="00216965">
        <w:rPr>
          <w:noProof/>
        </w:rPr>
        <w:t>et al</w:t>
      </w:r>
      <w:r w:rsidRPr="00216965">
        <w:rPr>
          <w:i/>
          <w:noProof/>
        </w:rPr>
        <w:t>.</w:t>
      </w:r>
      <w:r w:rsidRPr="00216965">
        <w:rPr>
          <w:noProof/>
        </w:rPr>
        <w:t xml:space="preserve"> (2010)</w:t>
      </w:r>
      <w:r w:rsidRPr="00216965">
        <w:fldChar w:fldCharType="end"/>
      </w:r>
      <w:r w:rsidRPr="00216965">
        <w:t xml:space="preserve">. </w:t>
      </w:r>
      <w:r w:rsidR="007D51F9" w:rsidRPr="00216965">
        <w:t>Nevertheless</w:t>
      </w:r>
      <w:r w:rsidRPr="00216965">
        <w:t>, during the second harvest treatments containing compost (S+C and S+C+B) reduced Pb tissue concentrations to levels considered normal (9-12 mg.kg</w:t>
      </w:r>
      <w:r w:rsidRPr="00216965">
        <w:rPr>
          <w:vertAlign w:val="superscript"/>
        </w:rPr>
        <w:t>-1</w:t>
      </w:r>
      <w:r w:rsidRPr="00216965">
        <w:t>), which was not achieved by biochar. In comparison, Zn concentrations during the second harvest reached levels considered normal in all the treatments containing organic amendments S+B, S+C and S+C+B (135, 42 -50 mg kg</w:t>
      </w:r>
      <w:r w:rsidRPr="00216965">
        <w:rPr>
          <w:vertAlign w:val="superscript"/>
        </w:rPr>
        <w:t>-1</w:t>
      </w:r>
      <w:r w:rsidRPr="00216965">
        <w:t xml:space="preserve">). </w:t>
      </w:r>
    </w:p>
    <w:p w14:paraId="326B6AEE" w14:textId="77777777" w:rsidR="00AB2390" w:rsidRPr="00216965" w:rsidRDefault="00B45740" w:rsidP="008A33DA">
      <w:pPr>
        <w:spacing w:line="360" w:lineRule="auto"/>
        <w:jc w:val="both"/>
      </w:pPr>
      <w:r w:rsidRPr="00216965">
        <w:t xml:space="preserve">Despite the reduced bioavailability of HMs due biochar and compost addition, the plant above-ground biomass did not increase at first. Greater biomass was only observed during the second harvest in the S+C and S+C+B treatments, which is consistent with the levels of Pb and Zn in plant tissue considered to fall within the normal range in plants, as mentioned previously. The order of toxicity in terms of root growth inhibition for </w:t>
      </w:r>
      <w:r w:rsidRPr="00216965">
        <w:rPr>
          <w:i/>
        </w:rPr>
        <w:t>Lolium perenne</w:t>
      </w:r>
      <w:r w:rsidRPr="00216965">
        <w:t xml:space="preserve"> is reported to be Pb &gt; Zn </w:t>
      </w:r>
      <w:r w:rsidRPr="00216965">
        <w:fldChar w:fldCharType="begin" w:fldLock="1"/>
      </w:r>
      <w:r w:rsidR="00F56BD7" w:rsidRPr="00216965">
        <w:instrText>ADDIN CSL_CITATION {"citationItems":[{"id":"ITEM-1","itemData":{"DOI":"10.1007/BF00009920","ISSN":"0032079X","abstract":"Perennial rye-grass plants were grown at 15°C in microcosms containing soil sampled from field plots that had been maintained at constant pH for the last 30 years. Six soil pH values were tested in the experiment, with pH ranging from 4.3-6.5. After 3 weeks growth in the microcosms, plant shoots were exposed to a pulse of 14C-CO2. The fate of this label was determined by monitoring 14C-CO2 respired by the plant roots/soil and by the shoots. The 14C remaining in plant roots and shoots was determined when the plants were harvested 7 days after receiving the pulse label. The amount of 14C (expressed as a percentage of the total 14C fixed by the plant) lost from the plant roots increased from 12.3 to 30.6% with increasing soil pH from 4.3 to 6. Although a greater percentage of the fixed 14C was respired by the root/soil as soil pH increased, plant biomass was greater with increasing soil pH. Possible reasons for observed changes in the pattern of 14C distribution are discussed and, it is suggested that changes in the soil microbial biomass and in plant nitrogen nutrition may, in particular be key factors which led to increased loss of carbon from plant roots with increasing soil pH. © 1990 Kluwer Academic Publishers.","author":[{"dropping-particle":"","family":"Meharg","given":"A. A.","non-dropping-particle":"","parse-names":false,"suffix":""},{"dropping-particle":"","family":"Killham","given":"K.","non-dropping-particle":"","parse-names":false,"suffix":""}],"container-title":"Plant and Soil","id":"ITEM-1","issue":"1","issued":{"date-parts":[["1990"]]},"page":"1-7","title":"The effect of soil pH on rhizosphere carbon flow of Lolium perenne","type":"article-journal","volume":"123"},"uris":["http://www.mendeley.com/documents/?uuid=45690da6-a29c-488c-a1ef-6d6a73135ef2"]}],"mendeley":{"formattedCitation":"(Meharg and Killham, 1990)","plainTextFormattedCitation":"(Meharg and Killham, 1990)","previouslyFormattedCitation":"(Meharg and Killham, 1990)"},"properties":{"noteIndex":0},"schema":"https://github.com/citation-style-language/schema/raw/master/csl-citation.json"}</w:instrText>
      </w:r>
      <w:r w:rsidRPr="00216965">
        <w:fldChar w:fldCharType="separate"/>
      </w:r>
      <w:r w:rsidR="00330A4F" w:rsidRPr="00216965">
        <w:rPr>
          <w:noProof/>
        </w:rPr>
        <w:t>(Meharg and Killham, 1990)</w:t>
      </w:r>
      <w:r w:rsidRPr="00216965">
        <w:fldChar w:fldCharType="end"/>
      </w:r>
      <w:r w:rsidRPr="00216965">
        <w:t xml:space="preserve">. This explains why the biochar treatment did not enhance plant growth despite achieving Zn levels in plant tissue that are considered normal during the second harvest, as the Pb was still within the toxic range for plants. </w:t>
      </w:r>
    </w:p>
    <w:p w14:paraId="43A3A333" w14:textId="61BFC144" w:rsidR="00B45740" w:rsidRPr="00216965" w:rsidRDefault="00B45740" w:rsidP="008A33DA">
      <w:pPr>
        <w:spacing w:line="360" w:lineRule="auto"/>
        <w:jc w:val="both"/>
      </w:pPr>
      <w:r w:rsidRPr="00216965">
        <w:t xml:space="preserve">Similar results were presented by </w:t>
      </w:r>
      <w:r w:rsidRPr="00216965">
        <w:fldChar w:fldCharType="begin" w:fldLock="1"/>
      </w:r>
      <w:r w:rsidR="006C06AA" w:rsidRPr="00216965">
        <w:instrText>ADDIN CSL_CITATION {"citationItems":[{"id":"ITEM-1","itemData":{"DOI":"10.1007/s11368-012-0571-4","ISBN":"1439-0108 1614-7480","ISSN":"14390108","abstract":"An addition of biochar mixed into the substrate of constructed wetlands may alleviate toxicity of metals such as cadmium (Cd) to emergent wetland plants, leading to a better performance in terms of pollutant removal from wastewater. The objective of this study was to investigate the impact of biochars on soil Cd immobilization and phytoavailability, growth of plants, and Cd concentration, accumulation, and translocation in plant tissues in Cd-contaminated soils under waterlogged conditions. A glasshouse experiment was conducted to investigate the effect of biochars derived from different organic sources (pyrolysis of oil mallee plants or wheat chaff at 550 A degrees C) with varied application amounts (0, 0.5, and 5 % w/w) on mitigating Cd (0, 10, and 50 mg kg(-1)) toxicity to Juncus subsecundus under waterlogged soil condition. Soil pH and CaCl2/EDTA-extractable soil Cd were determined before and after plant growth. Plant shoot number and height were monitored during the experiment. The total root length and dry weight of aboveground and belowground tissues were recorded. The concentration of Cd in plant tissues was determined. After 3 weeks of soil incubation, pH increased and CaCl2-extractable Cd decreased significantly with biochar additions. After 9 weeks of plant growth, biochar additions significantly increased soil pH and electrical conductivity and reduced CaCl2-extractable Cd. EDTA-extractable soil Cd significantly decreased with biochar additions (except for oil mallee biochar at the low application rate) in the high-Cd treatment, but not in the low-Cd treatment. Growth and biomass significantly decreased with Cd additions, and biochar additions did not significantly improve plant growth regardless of biochar type or application rate. The concentration, accumulation, and translocation of Cd in plants were significantly influenced by the interaction of Cd and biochar treatments. The addition of biochars reduced Cd accumulation, but less so Cd translocation in plants, at least in the low-Cd-contaminated soils. Biochars immobilized soil Cd, but did not improve growth of the emergent wetland plant species at the early growth stage, probably due to the interaction between biochars and waterlogged environment. Further study is needed to elucidate the underlying mechanisms.","author":[{"dropping-particle":"","family":"Zhang","given":"Zhenhua","non-dropping-particle":"","parse-names":false,"suffix":""},{"dropping-particle":"","family":"Solaiman","given":"Zakaria M.","non-dropping-particle":"","parse-names":false,"suffix":""},{"dropping-particle":"","family":"Meney","given":"Kathy","non-dropping-particle":"","parse-names":false,"suffix":""},{"dropping-particle":"V.","family":"Murphy","given":"Daniel","non-dropping-particle":"","parse-names":false,"suffix":""},{"dropping-particle":"","family":"Rengel","given":"Zed","non-dropping-particle":"","parse-names":false,"suffix":""}],"container-title":"Journal of Soils and Sediments","id":"ITEM-1","issue":"1","issued":{"date-parts":[["2013"]]},"page":"140-151","title":"Biochars immobilize soil cadmium, but do not improve growth of emergent wetland species Juncus subsecundus in cadmium-contaminated soil","type":"article-journal","volume":"13"},"uris":["http://www.mendeley.com/documents/?uuid=eccab6ec-c639-4948-a905-557443574af7"]}],"mendeley":{"formattedCitation":"(Zhang et al., 2013)","manualFormatting":"Zhang et al. (2013)","plainTextFormattedCitation":"(Zhang et al., 2013)","previouslyFormattedCitation":"(Zhang et al., 2013)"},"properties":{"noteIndex":0},"schema":"https://github.com/citation-style-language/schema/raw/master/csl-citation.json"}</w:instrText>
      </w:r>
      <w:r w:rsidRPr="00216965">
        <w:fldChar w:fldCharType="separate"/>
      </w:r>
      <w:r w:rsidRPr="00216965">
        <w:rPr>
          <w:noProof/>
        </w:rPr>
        <w:t xml:space="preserve">Zhang </w:t>
      </w:r>
      <w:r w:rsidR="009B2252" w:rsidRPr="00216965">
        <w:rPr>
          <w:noProof/>
        </w:rPr>
        <w:t>et al</w:t>
      </w:r>
      <w:r w:rsidRPr="00216965">
        <w:rPr>
          <w:i/>
          <w:noProof/>
        </w:rPr>
        <w:t>.</w:t>
      </w:r>
      <w:r w:rsidRPr="00216965">
        <w:rPr>
          <w:noProof/>
        </w:rPr>
        <w:t xml:space="preserve"> (2013)</w:t>
      </w:r>
      <w:r w:rsidRPr="00216965">
        <w:fldChar w:fldCharType="end"/>
      </w:r>
      <w:r w:rsidRPr="00216965">
        <w:t xml:space="preserve">, who reported a reduction in bioavailable concentrations of Cd due to addition of oil mallee or wheat chaff biochar in an artificially-contaminated soil, but without significant growth of </w:t>
      </w:r>
      <w:r w:rsidRPr="00216965">
        <w:rPr>
          <w:i/>
        </w:rPr>
        <w:t>Juncus subsecundus</w:t>
      </w:r>
      <w:r w:rsidRPr="00216965">
        <w:t xml:space="preserve"> plants regardless of biochar type or application rate. In addition, the results of HM plant tissue concentrations suggest indirectly that HMs were further immobilised with aging of </w:t>
      </w:r>
      <w:r w:rsidRPr="00216965">
        <w:lastRenderedPageBreak/>
        <w:t xml:space="preserve">the organic amendments, although this could not be verified as concentrations in the soil pore water taken at different times were below the detection limit, and soil chemical analysis were conducted at the end of the experiment. Hence this did not provide information about the evolution of HMs concentrations over time. </w:t>
      </w:r>
    </w:p>
    <w:p w14:paraId="28393189" w14:textId="135DFAA9" w:rsidR="00AB2390" w:rsidRPr="00216965" w:rsidRDefault="00B45740" w:rsidP="008A33DA">
      <w:pPr>
        <w:spacing w:line="360" w:lineRule="auto"/>
        <w:jc w:val="both"/>
      </w:pPr>
      <w:r w:rsidRPr="00216965">
        <w:t xml:space="preserve">The presence of plants in the amended soils influenced the bioavailability of HMs and soil pore water pH. Treatments planted with </w:t>
      </w:r>
      <w:r w:rsidRPr="00216965">
        <w:rPr>
          <w:i/>
        </w:rPr>
        <w:t xml:space="preserve">Lolium perenne, </w:t>
      </w:r>
      <w:r w:rsidRPr="00216965">
        <w:t>particularly the control soil and biochar-amended soil, had lower bioavailable HMs than the unplanted treatments, confirming that some bioavailable HM was taken up by the plants (</w:t>
      </w:r>
      <w:r w:rsidRPr="00216965">
        <w:rPr>
          <w:b/>
          <w:bCs/>
        </w:rPr>
        <w:fldChar w:fldCharType="begin"/>
      </w:r>
      <w:r w:rsidRPr="00216965">
        <w:rPr>
          <w:b/>
          <w:bCs/>
        </w:rPr>
        <w:instrText xml:space="preserve"> REF _Ref84191784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w:t>
      </w:r>
      <w:r w:rsidR="006E23EA" w:rsidRPr="00216965">
        <w:rPr>
          <w:b/>
          <w:noProof/>
        </w:rPr>
        <w:t>5</w:t>
      </w:r>
      <w:r w:rsidR="006E23EA" w:rsidRPr="00216965">
        <w:rPr>
          <w:b/>
          <w:noProof/>
        </w:rPr>
        <w:noBreakHyphen/>
        <w:t>5</w:t>
      </w:r>
      <w:r w:rsidRPr="00216965">
        <w:rPr>
          <w:b/>
          <w:bCs/>
        </w:rPr>
        <w:fldChar w:fldCharType="end"/>
      </w:r>
      <w:r w:rsidRPr="00216965">
        <w:t xml:space="preserve">). Interestingly, this was not observed in the treatments containing compost, possibly due to the reduced bioavailability of these elements after compost addition. Similar findings were presented by </w:t>
      </w:r>
      <w:r w:rsidRPr="00216965">
        <w:fldChar w:fldCharType="begin" w:fldLock="1"/>
      </w:r>
      <w:r w:rsidR="006C06AA" w:rsidRPr="00216965">
        <w:instrText>ADDIN CSL_CITATION {"citationItems":[{"id":"ITEM-1","itemData":{"DOI":"10.1016/j.jenvman.2015.05.036","ISSN":"10958630","PMID":"26048395","abstract":"Heavy metals in soil are naturally occurring but may be enhanced by anthropogenic activities such as mining. Bio-accumulation of heavy metals in the food chain, following their uptake to plants can increase the ecotoxicological risks associated with remediation of contaminated soils using plants. In the current experiment sugar cane straw-derived biochar (BC), produced at 700??C, was applied to a heavy metal contaminated mine soil at 1.5%, 3.0% and 5.0% (w/w). Jack bean (Canavalia ensiformis) and Mucuna aterrima were grown in pots containing soil and biochar mixtures, and control pots without biochar. Pore water was sampled from each pot to confirm the effects of biochar on metal solubility, whilst soils were analyzed by DTPA extraction to confirm available metal concentrations. Leaves were sampled for SEM analysis to detect possible morphological and anatomical changes. The application of BC decreased the available concentrations of Cd, Pb and Zn in 56, 50 and 54% respectively, in the mine contaminated soil leading to a consistent reduction in the concentration of Zn in the pore water (1st collect: 99 to 39??gL&lt;sup&gt;-1&lt;/sup&gt;, 2nd: 97 to 57??gL&lt;sup&gt;-1&lt;/sup&gt; and 3rd: 71 to 12??gL&lt;sup&gt;-1&lt;/sup&gt;). The application of BC reduced the uptake of Cd, Pb and Zn by plants with the jack bean translocating high proportions of metals (especially Cd) to shoots. Metals were also taken up by Mucuna aterrima but translocation to shoot was more limited than for jack bean. There were no differences in the internal structures of leaves observed by scanning electron microscopy. This study indicates that biochar application during mine soil remediation reduce plant concentrations of potential toxic metals.","author":[{"dropping-particle":"","family":"Puga","given":"A. P.","non-dropping-particle":"","parse-names":false,"suffix":""},{"dropping-particle":"","family":"Abreu","given":"C. A.","non-dropping-particle":"","parse-names":false,"suffix":""},{"dropping-particle":"","family":"Melo","given":"L. C A","non-dropping-particle":"","parse-names":false,"suffix":""},{"dropping-particle":"","family":"Beesley","given":"L.","non-dropping-particle":"","parse-names":false,"suffix":""}],"container-title":"Journal of Environmental Management","id":"ITEM-1","issued":{"date-parts":[["2015"]]},"page":"86-93","publisher":"Elsevier Ltd","title":"Biochar application to a contaminated soil reduces the availability and plant uptake of zinc, lead and cadmium","type":"article-journal","volume":"159"},"uris":["http://www.mendeley.com/documents/?uuid=d81a5f4f-09c2-480c-8ac8-2c21cb1ed496"]}],"mendeley":{"formattedCitation":"(Puga et al., 2015a)","manualFormatting":"Puga et al. (2015)","plainTextFormattedCitation":"(Puga et al., 2015a)","previouslyFormattedCitation":"(Puga et al., 2015a)"},"properties":{"noteIndex":0},"schema":"https://github.com/citation-style-language/schema/raw/master/csl-citation.json"}</w:instrText>
      </w:r>
      <w:r w:rsidRPr="00216965">
        <w:fldChar w:fldCharType="separate"/>
      </w:r>
      <w:r w:rsidRPr="00216965">
        <w:rPr>
          <w:noProof/>
        </w:rPr>
        <w:t xml:space="preserve">Puga </w:t>
      </w:r>
      <w:r w:rsidR="009B2252" w:rsidRPr="00216965">
        <w:rPr>
          <w:noProof/>
        </w:rPr>
        <w:t>et al</w:t>
      </w:r>
      <w:r w:rsidRPr="00216965">
        <w:rPr>
          <w:i/>
          <w:noProof/>
        </w:rPr>
        <w:t xml:space="preserve">. </w:t>
      </w:r>
      <w:r w:rsidRPr="00216965">
        <w:rPr>
          <w:noProof/>
        </w:rPr>
        <w:t>(2015)</w:t>
      </w:r>
      <w:r w:rsidRPr="00216965">
        <w:fldChar w:fldCharType="end"/>
      </w:r>
      <w:r w:rsidRPr="00216965">
        <w:t xml:space="preserve">, who suggested that despite reduced bioavailability of Cd, Pb and Zn in a mining soil amended with sugar cane straw biochar, </w:t>
      </w:r>
      <w:r w:rsidRPr="00216965">
        <w:rPr>
          <w:i/>
        </w:rPr>
        <w:t xml:space="preserve">Mucuna aterrima </w:t>
      </w:r>
      <w:r w:rsidRPr="00216965">
        <w:t xml:space="preserve">and Jack bean plants still accumulated HMs in plant tissue. </w:t>
      </w:r>
    </w:p>
    <w:p w14:paraId="451B66BC" w14:textId="1A38F7E8" w:rsidR="00AB2390" w:rsidRPr="00216965" w:rsidRDefault="00B45740" w:rsidP="008A33DA">
      <w:pPr>
        <w:spacing w:line="360" w:lineRule="auto"/>
        <w:jc w:val="both"/>
      </w:pPr>
      <w:r w:rsidRPr="00216965">
        <w:t xml:space="preserve">The pH of the soil pore water tended to be higher in soil cultivated with </w:t>
      </w:r>
      <w:r w:rsidRPr="00216965">
        <w:rPr>
          <w:i/>
        </w:rPr>
        <w:t>Lolium perenne</w:t>
      </w:r>
      <w:r w:rsidRPr="00216965">
        <w:t xml:space="preserve"> over the 18 month period (</w:t>
      </w:r>
      <w:r w:rsidRPr="00216965">
        <w:rPr>
          <w:b/>
          <w:bCs/>
        </w:rPr>
        <w:fldChar w:fldCharType="begin"/>
      </w:r>
      <w:r w:rsidRPr="00216965">
        <w:rPr>
          <w:b/>
          <w:bCs/>
        </w:rPr>
        <w:instrText xml:space="preserve"> REF _Ref83402624 \h  \* MERGEFORMAT </w:instrText>
      </w:r>
      <w:r w:rsidRPr="00216965">
        <w:rPr>
          <w:b/>
          <w:bCs/>
        </w:rPr>
      </w:r>
      <w:r w:rsidRPr="00216965">
        <w:rPr>
          <w:b/>
          <w:bCs/>
        </w:rPr>
        <w:fldChar w:fldCharType="separate"/>
      </w:r>
      <w:r w:rsidR="006E23EA" w:rsidRPr="00216965">
        <w:rPr>
          <w:b/>
          <w:bCs/>
        </w:rPr>
        <w:t>Fig.</w:t>
      </w:r>
      <w:r w:rsidR="006E23EA" w:rsidRPr="00216965">
        <w:rPr>
          <w:b/>
          <w:bCs/>
          <w:noProof/>
        </w:rPr>
        <w:t xml:space="preserve"> 5</w:t>
      </w:r>
      <w:r w:rsidR="006E23EA" w:rsidRPr="00216965">
        <w:rPr>
          <w:b/>
          <w:bCs/>
          <w:noProof/>
        </w:rPr>
        <w:noBreakHyphen/>
        <w:t>4</w:t>
      </w:r>
      <w:r w:rsidRPr="00216965">
        <w:rPr>
          <w:b/>
          <w:bCs/>
        </w:rPr>
        <w:fldChar w:fldCharType="end"/>
      </w:r>
      <w:r w:rsidRPr="00216965">
        <w:t>), although this was not observed in the bulk soil pH (</w:t>
      </w:r>
      <w:r w:rsidR="005B3A55" w:rsidRPr="00216965">
        <w:rPr>
          <w:b/>
          <w:bCs/>
        </w:rPr>
        <w:t xml:space="preserve">section </w:t>
      </w:r>
      <w:r w:rsidR="005B3A55" w:rsidRPr="00216965">
        <w:rPr>
          <w:b/>
          <w:bCs/>
        </w:rPr>
        <w:fldChar w:fldCharType="begin"/>
      </w:r>
      <w:r w:rsidR="005B3A55" w:rsidRPr="00216965">
        <w:rPr>
          <w:b/>
          <w:bCs/>
        </w:rPr>
        <w:instrText xml:space="preserve"> REF _Ref86419271 \r \h  \* MERGEFORMAT </w:instrText>
      </w:r>
      <w:r w:rsidR="005B3A55" w:rsidRPr="00216965">
        <w:rPr>
          <w:b/>
          <w:bCs/>
        </w:rPr>
      </w:r>
      <w:r w:rsidR="005B3A55" w:rsidRPr="00216965">
        <w:rPr>
          <w:b/>
          <w:bCs/>
        </w:rPr>
        <w:fldChar w:fldCharType="separate"/>
      </w:r>
      <w:r w:rsidR="006E23EA" w:rsidRPr="00216965">
        <w:rPr>
          <w:b/>
          <w:bCs/>
        </w:rPr>
        <w:t>5.3.2</w:t>
      </w:r>
      <w:r w:rsidR="005B3A55" w:rsidRPr="00216965">
        <w:rPr>
          <w:b/>
          <w:bCs/>
        </w:rPr>
        <w:fldChar w:fldCharType="end"/>
      </w:r>
      <w:r w:rsidRPr="00216965">
        <w:t xml:space="preserve">). The higher pH in the soil pore water of planted treatments could be due to root-induced changes in the rhizosphere. Rhizosphere pH is affected by the source of mineral N to the plant, decreasing when ammonium is the dominant N source, and increasing when nitrate is the dominant N source </w:t>
      </w:r>
      <w:r w:rsidRPr="00216965">
        <w:fldChar w:fldCharType="begin" w:fldLock="1"/>
      </w:r>
      <w:r w:rsidR="00F56BD7" w:rsidRPr="00216965">
        <w:instrText>ADDIN CSL_CITATION {"citationItems":[{"id":"ITEM-1","itemData":{"DOI":"10.1007/BF00009920","ISSN":"0032079X","abstract":"Perennial rye-grass plants were grown at 15°C in microcosms containing soil sampled from field plots that had been maintained at constant pH for the last 30 years. Six soil pH values were tested in the experiment, with pH ranging from 4.3-6.5. After 3 weeks growth in the microcosms, plant shoots were exposed to a pulse of 14C-CO2. The fate of this label was determined by monitoring 14C-CO2 respired by the plant roots/soil and by the shoots. The 14C remaining in plant roots and shoots was determined when the plants were harvested 7 days after receiving the pulse label. The amount of 14C (expressed as a percentage of the total 14C fixed by the plant) lost from the plant roots increased from 12.3 to 30.6% with increasing soil pH from 4.3 to 6. Although a greater percentage of the fixed 14C was respired by the root/soil as soil pH increased, plant biomass was greater with increasing soil pH. Possible reasons for observed changes in the pattern of 14C distribution are discussed and, it is suggested that changes in the soil microbial biomass and in plant nitrogen nutrition may, in particular be key factors which led to increased loss of carbon from plant roots with increasing soil pH. © 1990 Kluwer Academic Publishers.","author":[{"dropping-particle":"","family":"Meharg","given":"A. A.","non-dropping-particle":"","parse-names":false,"suffix":""},{"dropping-particle":"","family":"Killham","given":"K.","non-dropping-particle":"","parse-names":false,"suffix":""}],"container-title":"Plant and Soil","id":"ITEM-1","issue":"1","issued":{"date-parts":[["1990"]]},"page":"1-7","title":"The effect of soil pH on rhizosphere carbon flow of Lolium perenne","type":"article-journal","volume":"123"},"uris":["http://www.mendeley.com/documents/?uuid=45690da6-a29c-488c-a1ef-6d6a73135ef2"]}],"mendeley":{"formattedCitation":"(Meharg and Killham, 1990)","plainTextFormattedCitation":"(Meharg and Killham, 1990)","previouslyFormattedCitation":"(Meharg and Killham, 1990)"},"properties":{"noteIndex":0},"schema":"https://github.com/citation-style-language/schema/raw/master/csl-citation.json"}</w:instrText>
      </w:r>
      <w:r w:rsidRPr="00216965">
        <w:fldChar w:fldCharType="separate"/>
      </w:r>
      <w:r w:rsidR="00330A4F" w:rsidRPr="00216965">
        <w:rPr>
          <w:noProof/>
        </w:rPr>
        <w:t>(Meharg and Killham, 1990)</w:t>
      </w:r>
      <w:r w:rsidRPr="00216965">
        <w:fldChar w:fldCharType="end"/>
      </w:r>
      <w:r w:rsidRPr="00216965">
        <w:t>. Plant root uptake of ammonium is balanced by the release of hydrogen ions into the soil (net H</w:t>
      </w:r>
      <w:r w:rsidRPr="00216965">
        <w:rPr>
          <w:vertAlign w:val="superscript"/>
        </w:rPr>
        <w:t>+</w:t>
      </w:r>
      <w:r w:rsidRPr="00216965">
        <w:t xml:space="preserve"> efflux from roots), while plant uptake of nitrate is balanced by the release of bicarbonate (HCO₃</w:t>
      </w:r>
      <w:sdt>
        <w:sdtPr>
          <w:tag w:val="goog_rdk_4"/>
          <w:id w:val="629830707"/>
        </w:sdtPr>
        <w:sdtEndPr/>
        <w:sdtContent>
          <w:r w:rsidRPr="00216965">
            <w:rPr>
              <w:rFonts w:ascii="Gungsuh" w:eastAsia="Gungsuh" w:hAnsi="Gungsuh" w:cs="Gungsuh"/>
              <w:vertAlign w:val="superscript"/>
            </w:rPr>
            <w:t>−</w:t>
          </w:r>
        </w:sdtContent>
      </w:sdt>
      <w:r w:rsidRPr="00216965">
        <w:t xml:space="preserve">) and hydroxyl ions </w:t>
      </w:r>
      <w:r w:rsidRPr="00216965">
        <w:fldChar w:fldCharType="begin" w:fldLock="1"/>
      </w:r>
      <w:r w:rsidR="006C06AA" w:rsidRPr="00216965">
        <w:instrText>ADDIN CSL_CITATION {"citationItems":[{"id":"ITEM-1","itemData":{"DOI":"10.1080/01904168709363645","ISBN":"0190416870936","ISSN":"15324087","abstract":"Nutrient availability in the rhizosphere differs in many respects from that in the bulk soil. Factors of major importance for the mineral nutrition of plants are root-induced changes in rhizosphere pH, in reducing capacity of the roots, and in amount and composition of root exudates. These changes are in many instances root-responses to the nutritional status of plants. Examples are given for zinc, iron, and phosphorus nutritional status in plants. Changes in nutrient availability in the rhizosphere may also be a consequence of alterations in the rhizosphere microflora. Root-induced changes are important components for the adaptation of plants to extreme chemical soil conditions and for efficient use of soil and fertilizer nutrients. © 1987, Taylor &amp; Francis Group, LLC. All rights reserved.","author":[{"dropping-particle":"","family":"Marschner","given":"H.","non-dropping-particle":"","parse-names":false,"suffix":""},{"dropping-particle":"","family":"Römheld","given":"V.","non-dropping-particle":"","parse-names":false,"suffix":""},{"dropping-particle":"","family":"Cakmak","given":"I.","non-dropping-particle":"","parse-names":false,"suffix":""}],"container-title":"Journal of Plant Nutrition","id":"ITEM-1","issued":{"date-parts":[["1987"]]},"page":"1175-1184","title":"Root-induced changes of nutrient availability in the rhizosphere","type":"article-journal","volume":"10"},"uris":["http://www.mendeley.com/documents/?uuid=bf934543-0785-4901-bc07-71e8b3f0da0e"]},{"id":"ITEM-2","itemData":{"DOI":"10.1111/j.1399-3054.2009.01317.x","ISSN":"00319317","PMID":"19947965","abstract":"The effect of pH on nitrate and ammonium uptake in the high-affinity transport system and low-affinity transport system ranges was compared in two conifers and one crop species. Many conifers grow on acidic soils, thus their preference for ammonium vs nitrate uptake can differ from that of crop plants, and the effect of pH on nitrogen (N) uptake may differroton, ammonium and nitrate net fluxes were measured at seedling root tips and 5, 10, 20 and 30 mm from the tips using a non-invasive microelectrode ion flux measurement system in solutions of 50 or 1500 μM NH4NO3 at pH 4 and 7. In Glycine max and Pinus contorta, efflux of protons was observed at pH 7 while pH 4 resulted in net proton uptake in some root regionsseudotsuga menziesii roots consistently showed proton efflux behind the root tip, and thus appear better adapted to maintain proton efflux in acid soils. menziesii's ability to maintain ammonium uptake at low pH may relate to its ability to maintain proton efflux. In all three species, net nitrate uptake was greatest at neutral pH. Net ammonium uptake in G. max and net nitrate uptake in P. menziesii were greatly reduced at pH 4, particularly at high N concentration, thus N concentration should be considered when determining optimum pH for N uptake. In P. menziesii and G. max, net N uptake was greater in 1500 than 50 μM NH4NO 3 solution, but flux profiles of all ions varied among species. © 2009 Physiologia Plantarum.","author":[{"dropping-particle":"","family":"Hawkins","given":"Barbara J.","non-dropping-particle":"","parse-names":false,"suffix":""},{"dropping-particle":"","family":"Robbins","given":"Samantha","non-dropping-particle":"","parse-names":false,"suffix":""}],"container-title":"Physiologia Plantarum","id":"ITEM-2","issue":"2","issued":{"date-parts":[["2010"]]},"page":"238-247","title":"pH affects ammonium, nitrate and proton fluxes in the apical region of conifer and soybean roots","type":"article-journal","volume":"138"},"uris":["http://www.mendeley.com/documents/?uuid=64150704-006d-42b7-bc17-d86620e75465"]}],"mendeley":{"formattedCitation":"(Hawkins and Robbins, 2010; Marschner et al., 1987)","plainTextFormattedCitation":"(Hawkins and Robbins, 2010; Marschner et al., 1987)","previouslyFormattedCitation":"(Hawkins and Robbins, 2010; Marschner et al., 1987)"},"properties":{"noteIndex":0},"schema":"https://github.com/citation-style-language/schema/raw/master/csl-citation.json"}</w:instrText>
      </w:r>
      <w:r w:rsidRPr="00216965">
        <w:fldChar w:fldCharType="separate"/>
      </w:r>
      <w:r w:rsidR="001974AA" w:rsidRPr="00216965">
        <w:rPr>
          <w:noProof/>
        </w:rPr>
        <w:t>(Hawkins and Robbins, 2010; Marschner et al., 1987)</w:t>
      </w:r>
      <w:r w:rsidRPr="00216965">
        <w:fldChar w:fldCharType="end"/>
      </w:r>
      <w:r w:rsidRPr="00216965">
        <w:t xml:space="preserve">. </w:t>
      </w:r>
    </w:p>
    <w:p w14:paraId="77B8B510" w14:textId="35742E76" w:rsidR="00B45740" w:rsidRPr="00216965" w:rsidRDefault="00B45740" w:rsidP="008A33DA">
      <w:pPr>
        <w:spacing w:line="360" w:lineRule="auto"/>
        <w:jc w:val="both"/>
      </w:pPr>
      <w:r w:rsidRPr="00216965">
        <w:t xml:space="preserve">Therefore, it is possible that in the treatments planted with </w:t>
      </w:r>
      <w:r w:rsidRPr="00216965">
        <w:rPr>
          <w:i/>
        </w:rPr>
        <w:t>Lolium perenne</w:t>
      </w:r>
      <w:r w:rsidRPr="00216965">
        <w:t xml:space="preserve"> nitrate was the main source of N and hence increased the pH of the rhizosphere, which was reflected in the soil pore water pH. This proposed mechanism is consistent with the higher concentration of NO₃</w:t>
      </w:r>
      <w:r w:rsidRPr="00216965">
        <w:rPr>
          <w:vertAlign w:val="superscript"/>
        </w:rPr>
        <w:t>-</w:t>
      </w:r>
      <w:r w:rsidRPr="00216965">
        <w:t xml:space="preserve"> found in the soil treatments relative to NH₄</w:t>
      </w:r>
      <w:r w:rsidRPr="00216965">
        <w:rPr>
          <w:vertAlign w:val="superscript"/>
        </w:rPr>
        <w:t>+</w:t>
      </w:r>
      <w:r w:rsidRPr="00216965">
        <w:t xml:space="preserve"> concentrations (</w:t>
      </w:r>
      <w:r w:rsidR="005B3A55" w:rsidRPr="00216965">
        <w:fldChar w:fldCharType="begin"/>
      </w:r>
      <w:r w:rsidR="005B3A55" w:rsidRPr="00216965">
        <w:instrText xml:space="preserve"> REF _Ref86418474 \h </w:instrText>
      </w:r>
      <w:r w:rsidR="00216965" w:rsidRPr="00216965">
        <w:instrText xml:space="preserve"> \* MERGEFORMAT </w:instrText>
      </w:r>
      <w:r w:rsidR="005B3A55" w:rsidRPr="00216965">
        <w:fldChar w:fldCharType="separate"/>
      </w:r>
      <w:r w:rsidR="006E23EA" w:rsidRPr="00216965">
        <w:rPr>
          <w:b/>
        </w:rPr>
        <w:t xml:space="preserve">Fig. </w:t>
      </w:r>
      <w:r w:rsidR="006E23EA" w:rsidRPr="00216965">
        <w:rPr>
          <w:b/>
          <w:bCs/>
          <w:noProof/>
        </w:rPr>
        <w:t>5</w:t>
      </w:r>
      <w:r w:rsidR="006E23EA" w:rsidRPr="00216965">
        <w:rPr>
          <w:b/>
        </w:rPr>
        <w:noBreakHyphen/>
      </w:r>
      <w:r w:rsidR="006E23EA" w:rsidRPr="00216965">
        <w:rPr>
          <w:b/>
          <w:bCs/>
          <w:noProof/>
        </w:rPr>
        <w:t>3</w:t>
      </w:r>
      <w:r w:rsidR="005B3A55" w:rsidRPr="00216965">
        <w:fldChar w:fldCharType="end"/>
      </w:r>
      <w:r w:rsidRPr="00216965">
        <w:t xml:space="preserve">). Similarly, </w:t>
      </w:r>
      <w:r w:rsidRPr="00216965">
        <w:fldChar w:fldCharType="begin" w:fldLock="1"/>
      </w:r>
      <w:r w:rsidR="006C06AA" w:rsidRPr="00216965">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soils","type":"article-journal","volume":"420"},"uris":["http://www.mendeley.com/documents/?uuid=b0bef5de-6b79-303c-b578-f0d24a093e00"]}],"mendeley":{"formattedCitation":"(Bandara et al., 2021)","manualFormatting":"Bandara et al. (2021)","plainTextFormattedCitation":"(Bandara et al., 2021)","previouslyFormattedCitation":"(Bandara et al., 2021)"},"properties":{"noteIndex":0},"schema":"https://github.com/citation-style-language/schema/raw/master/csl-citation.json"}</w:instrText>
      </w:r>
      <w:r w:rsidRPr="00216965">
        <w:fldChar w:fldCharType="separate"/>
      </w:r>
      <w:r w:rsidRPr="00216965">
        <w:rPr>
          <w:noProof/>
        </w:rPr>
        <w:t xml:space="preserve">Bandara </w:t>
      </w:r>
      <w:r w:rsidR="009B2252" w:rsidRPr="00216965">
        <w:rPr>
          <w:noProof/>
        </w:rPr>
        <w:t>et al</w:t>
      </w:r>
      <w:r w:rsidRPr="00216965">
        <w:rPr>
          <w:i/>
          <w:noProof/>
        </w:rPr>
        <w:t>.</w:t>
      </w:r>
      <w:r w:rsidRPr="00216965">
        <w:rPr>
          <w:noProof/>
        </w:rPr>
        <w:t xml:space="preserve"> (2021)</w:t>
      </w:r>
      <w:r w:rsidRPr="00216965">
        <w:fldChar w:fldCharType="end"/>
      </w:r>
      <w:r w:rsidRPr="00216965">
        <w:t xml:space="preserve"> mentioned that a rise in pH due to biochar addition can stimulate soil nitrifiers in acid soils and hence nitrification, as evidenced by a higher NO</w:t>
      </w:r>
      <w:r w:rsidRPr="00216965">
        <w:rPr>
          <w:vertAlign w:val="subscript"/>
        </w:rPr>
        <w:t>3</w:t>
      </w:r>
      <w:r w:rsidRPr="00216965">
        <w:rPr>
          <w:vertAlign w:val="superscript"/>
        </w:rPr>
        <w:t>-</w:t>
      </w:r>
      <w:r w:rsidRPr="00216965">
        <w:t xml:space="preserve"> than NH</w:t>
      </w:r>
      <w:r w:rsidRPr="00216965">
        <w:rPr>
          <w:vertAlign w:val="subscript"/>
        </w:rPr>
        <w:t>4</w:t>
      </w:r>
      <w:r w:rsidRPr="00216965">
        <w:rPr>
          <w:vertAlign w:val="superscript"/>
        </w:rPr>
        <w:t>+</w:t>
      </w:r>
      <w:r w:rsidRPr="00216965">
        <w:t xml:space="preserve"> concentration in the biochar treated soils after 270 days. This preference is because NO</w:t>
      </w:r>
      <w:r w:rsidRPr="00216965">
        <w:rPr>
          <w:vertAlign w:val="subscript"/>
        </w:rPr>
        <w:t>3</w:t>
      </w:r>
      <w:r w:rsidRPr="00216965">
        <w:rPr>
          <w:vertAlign w:val="superscript"/>
        </w:rPr>
        <w:t>-</w:t>
      </w:r>
      <w:r w:rsidRPr="00216965">
        <w:t xml:space="preserve"> is the most available source of N for plants and microbes, whereas </w:t>
      </w:r>
      <w:r w:rsidRPr="00216965">
        <w:lastRenderedPageBreak/>
        <w:t xml:space="preserve">ammonium is bound to minerals or organic colloids in the soil and therefore less soluble </w:t>
      </w:r>
      <w:r w:rsidRPr="00216965">
        <w:fldChar w:fldCharType="begin" w:fldLock="1"/>
      </w:r>
      <w:r w:rsidR="006C06AA" w:rsidRPr="00216965">
        <w:instrText>ADDIN CSL_CITATION {"citationItems":[{"id":"ITEM-1","itemData":{"DOI":"10.1002/jsfa.7364","author":[{"dropping-particle":"","family":"Florio","given":"Alessandro","non-dropping-particle":"","parse-names":false,"suffix":""},{"dropping-particle":"","family":"Felici","given":"Barbara","non-dropping-particle":"","parse-names":false,"suffix":""},{"dropping-particle":"","family":"Migliore","given":"Melania","non-dropping-particle":"","parse-names":false,"suffix":""},{"dropping-particle":"","family":"Teresa","given":"Maria","non-dropping-particle":"","parse-names":false,"suffix":""},{"dropping-particle":"","family":"Abate","given":"Dell","non-dropping-particle":"","parse-names":false,"suffix":""},{"dropping-particle":"","family":"Benedetti","given":"Anna","non-dropping-particle":"","parse-names":false,"suffix":""}],"container-title":"Society of Chemical Industry","id":"ITEM-1","issued":{"date-parts":[["2015"]]},"page":"2440–2450","title":"Nitrogen losses, uptake and abundance of ammonia oxidizers in soil under mineral and organo-mineral fertilization regimes","type":"article-journal","volume":"96"},"uris":["http://www.mendeley.com/documents/?uuid=f47f151d-8a69-4f97-b3eb-e69f2bab3e39"]},{"id":"ITEM-2","itemData":{"DOI":"10.1080/01904168709363645","ISBN":"0190416870936","ISSN":"15324087","abstract":"Nutrient availability in the rhizosphere differs in many respects from that in the bulk soil. Factors of major importance for the mineral nutrition of plants are root-induced changes in rhizosphere pH, in reducing capacity of the roots, and in amount and composition of root exudates. These changes are in many instances root-responses to the nutritional status of plants. Examples are given for zinc, iron, and phosphorus nutritional status in plants. Changes in nutrient availability in the rhizosphere may also be a consequence of alterations in the rhizosphere microflora. Root-induced changes are important components for the adaptation of plants to extreme chemical soil conditions and for efficient use of soil and fertilizer nutrients. © 1987, Taylor &amp; Francis Group, LLC. All rights reserved.","author":[{"dropping-particle":"","family":"Marschner","given":"H.","non-dropping-particle":"","parse-names":false,"suffix":""},{"dropping-particle":"","family":"Römheld","given":"V.","non-dropping-particle":"","parse-names":false,"suffix":""},{"dropping-particle":"","family":"Cakmak","given":"I.","non-dropping-particle":"","parse-names":false,"suffix":""}],"container-title":"Journal of Plant Nutrition","id":"ITEM-2","issued":{"date-parts":[["1987"]]},"page":"1175-1184","title":"Root-induced changes of nutrient availability in the rhizosphere","type":"article-journal","volume":"10"},"uris":["http://www.mendeley.com/documents/?uuid=bf934543-0785-4901-bc07-71e8b3f0da0e"]}],"mendeley":{"formattedCitation":"(Florio et al., 2015; Marschner et al., 1987)","plainTextFormattedCitation":"(Florio et al., 2015; Marschner et al., 1987)","previouslyFormattedCitation":"(Florio et al., 2015; Marschner et al., 1987)"},"properties":{"noteIndex":0},"schema":"https://github.com/citation-style-language/schema/raw/master/csl-citation.json"}</w:instrText>
      </w:r>
      <w:r w:rsidRPr="00216965">
        <w:fldChar w:fldCharType="separate"/>
      </w:r>
      <w:r w:rsidR="001974AA" w:rsidRPr="00216965">
        <w:rPr>
          <w:noProof/>
        </w:rPr>
        <w:t>(Florio et al., 2015; Marschner et al., 1987)</w:t>
      </w:r>
      <w:r w:rsidRPr="00216965">
        <w:fldChar w:fldCharType="end"/>
      </w:r>
      <w:r w:rsidRPr="00216965">
        <w:t xml:space="preserve">. </w:t>
      </w:r>
    </w:p>
    <w:p w14:paraId="04072957" w14:textId="77777777" w:rsidR="00B45740" w:rsidRPr="00216965" w:rsidRDefault="00B45740" w:rsidP="008A33DA">
      <w:pPr>
        <w:pStyle w:val="Heading3"/>
      </w:pPr>
      <w:bookmarkStart w:id="415" w:name="_Toc86504715"/>
      <w:r w:rsidRPr="00216965">
        <w:t>Aging effect on organic amendments</w:t>
      </w:r>
      <w:bookmarkEnd w:id="415"/>
    </w:p>
    <w:p w14:paraId="28046500" w14:textId="7C44ED54" w:rsidR="00AB2390" w:rsidRPr="00216965" w:rsidRDefault="00B45740" w:rsidP="008A33DA">
      <w:pPr>
        <w:spacing w:line="360" w:lineRule="auto"/>
        <w:jc w:val="both"/>
      </w:pPr>
      <w:bookmarkStart w:id="416" w:name="_heading=h.1v1yuxt" w:colFirst="0" w:colLast="0"/>
      <w:bookmarkEnd w:id="416"/>
      <w:r w:rsidRPr="00216965">
        <w:t>This study demonstrated that after an initial increase of soil pore water pH, observed until month 6 in the amended soils, the pH decreased in later months as the organic amendments aged. At the beginning of the experiment the solubilization of alkaline base cations in the biochar ash and compost may have increased the soil pH. However, as the soil and amendments aged outdoors, leaching of alkaline ions and the carbonation of the system (biochar can sorb CO</w:t>
      </w:r>
      <w:r w:rsidRPr="00216965">
        <w:rPr>
          <w:vertAlign w:val="subscript"/>
        </w:rPr>
        <w:t>2</w:t>
      </w:r>
      <w:r w:rsidRPr="00216965">
        <w:t xml:space="preserve"> from the environment to form a new carbonate, decreasing soil alkalinity) may have contributed to a drop in pH, as suggested previously </w:t>
      </w:r>
      <w:r w:rsidRPr="00216965">
        <w:fldChar w:fldCharType="begin" w:fldLock="1"/>
      </w:r>
      <w:r w:rsidR="006C06AA" w:rsidRPr="00216965">
        <w:instrText>ADDIN CSL_CITATION {"citationItems":[{"id":"ITEM-1","itemData":{"DOI":"10.1016/j.envpol.2018.08.012","ISSN":"18736424","PMID":"30138828","abstract":"Biochar has been used for immobilizing heavy metals in soils due to its abundant surface functional groups and mineral components. However, as carbonaceous material, biochar in soils is susceptible to natural aging, which could alter its structural properties and ability to retain heavy metals. In this study, the impacts of pre- and post-application aging on the properties of dairy manure and sawdust biochars and the significance of different mechanisms of complexation with surface functional groups and mineral precipitation for Cd immobilization in soils were investigated. The simulated natural aging including 25 dry-wet cycles and 25 freeze-thaw cycles decreased the pH of biochar from 8.2 to 10.7 to 7.5–9.7 while increased the release of dissolved organic carbon from 4.1 to 10.9 to 5.9–21.3 mg L−1, O/C ratios from 0.09 to 0.30 to 0.17–0.33, and O-containing functional groups, especially -OH and -C=O groups. New minerals such as CaC2O4 and MgO·MgCO3 were formed during freeze-thaw cycles. The capacity of pre-aged biochars to immobilize Cd in soils decreased from 57-70% to 53–63%, compared to that of fresh biochar, which was mainly due to decrease of CdCO3 or Cd3(PO4)2 precipitation as evidenced by XRD and MINTEQ modeling. By contrast, post-aging of biochar application in soil with dry-wet and freeze-thaw cycling had little effect on the biochar's alkalinity while increased the O/C ratios from 0.10 to 0.24 to 0.15–0.27 and intensity of O-containing functional groups. The immobilization capacity of biochars for Cd in soil increased from 44-68% to 59–73% due to the enhanced surface complexation with O-containing groups. In short, biochar subjected to pre-aging had a reduced capacity to immobilize Cd, while biochars with post-aging in soil increased its Cd immobilization capacity as a soil amendment. Biochar subjected to pre-application aging had a reduced capacity to immobilize Cd, while biochar with post-aging increased its Cd immobilization capacity.","author":[{"dropping-particle":"","family":"Xu","given":"Zibo","non-dropping-particle":"","parse-names":false,"suffix":""},{"dropping-particle":"","family":"Xu","given":"Xiaoyun","non-dropping-particle":"","parse-names":false,"suffix":""},{"dropping-particle":"","family":"Tsang","given":"Daniel C.W.","non-dropping-particle":"","parse-names":false,"suffix":""},{"dropping-particle":"","family":"Cao","given":"Xinde","non-dropping-particle":"","parse-names":false,"suffix":""}],"container-title":"Environmental Pollution","id":"ITEM-1","issued":{"date-parts":[["2018"]]},"page":"1362-1370","publisher":"Elsevier Ltd","title":"Contrasting impacts of pre- and post-application aging of biochar on the immobilization of Cd in contaminated soils","type":"article-journal","volume":"242"},"uris":["http://www.mendeley.com/documents/?uuid=f532971f-a618-4bb6-8f70-e350daf13ada"]},{"id":"ITEM-2","itemData":{"DOI":"10.1016/J.CHEMOSPHERE.2010.05.026","ISSN":"0045-6535","abstract":"Although there are many studies on the characterization of C in biochar and its C sequestration potential, there is little knowledge on the mineral fraction in biochar and its weathering. The latter, however, can have powerful implications on nutrient availability. In the present study, a modified Soxhlet reactor was used to simulate the long-term geochemical weathering of an ash-rich biochar produced from sewage sludge of a non-industrial area in New Zealand. The weathering process took place during a period of 300. h, with and without the addition of humic acid (1.00. g added to 20.00. g of biochar), and the treatments were referred to as treatment BC-HA and BC-B, respectively. Both the leaching kinetics and the transformations within the solid phase were studied. The results revealed that substantial amounts of K (8.5-10.2%) and S (20.2-28.3%) were recovered in the weathering solutions. Noticeable Ca (17.9-20.7%) and P (15.4%) in the solid were released but only a few were recovered in the weathering solutions because of the precipitation. The presence of humic acids increased this dissolution and thus the availability of K, S, Ca, Mg and P, but induced N immobilization. Nitrogen availability was already very low (&lt;1.0% of the total N) due to the probable recalcitrant heterocyclic N structure. The pH of the biochar samples dropped from 8.4 to 7.5; this was mainly attributed to loss of base cations through leaching and probable carbonation of the system. The XPS spectra evidenced the oxidation of C in biochar during the weathering process with the formation of carbonyl and carboxylic functional groups. The results obtained in this study showed some promise for the positive use of modified Soxhlet extractor in simulating the geochemical weathering in ash-rich biochars and providing a better understanding on the kinetics of nutrient release. This will be key information in assessing the added value of biochars as soil amendments. © 2010 Elsevier Ltd.","author":[{"dropping-particle":"","family":"Yao","given":"F. X.","non-dropping-particle":"","parse-names":false,"suffix":""},{"dropping-particle":"","family":"Arbestain","given":"M. Camps","non-dropping-particle":"","parse-names":false,"suffix":""},{"dropping-particle":"","family":"Virgel","given":"S.","non-dropping-particle":"","parse-names":false,"suffix":""},{"dropping-particle":"","family":"Blanco","given":"F.","non-dropping-particle":"","parse-names":false,"suffix":""},{"dropping-particle":"","family":"Arostegui","given":"J.","non-dropping-particle":"","parse-names":false,"suffix":""},{"dropping-particle":"","family":"Maciá-Agulló","given":"J. A.","non-dropping-particle":"","parse-names":false,"suffix":""},{"dropping-particle":"","family":"Macías","given":"F.","non-dropping-particle":"","parse-names":false,"suffix":""}],"container-title":"Chemosphere","id":"ITEM-2","issue":"7","issued":{"date-parts":[["2010","8","1"]]},"page":"724-732","publisher":"Pergamon","title":"Simulated geochemical weathering of a mineral ash-rich biochar in a modified Soxhlet reactor","type":"article-journal","volume":"80"},"uris":["http://www.mendeley.com/documents/?uuid=77ade1ef-56e0-34db-8ec3-25c387dcf2e0"]}],"mendeley":{"formattedCitation":"(Xu et al., 2018; Yao et al., 2010)","plainTextFormattedCitation":"(Xu et al., 2018; Yao et al., 2010)","previouslyFormattedCitation":"(Xu et al., 2018; Yao et al., 2010)"},"properties":{"noteIndex":0},"schema":"https://github.com/citation-style-language/schema/raw/master/csl-citation.json"}</w:instrText>
      </w:r>
      <w:r w:rsidRPr="00216965">
        <w:fldChar w:fldCharType="separate"/>
      </w:r>
      <w:r w:rsidR="001974AA" w:rsidRPr="00216965">
        <w:rPr>
          <w:noProof/>
        </w:rPr>
        <w:t>(Xu et al., 2018; Yao et al., 2010)</w:t>
      </w:r>
      <w:r w:rsidRPr="00216965">
        <w:fldChar w:fldCharType="end"/>
      </w:r>
      <w:r w:rsidRPr="00216965">
        <w:t xml:space="preserve">. </w:t>
      </w:r>
    </w:p>
    <w:p w14:paraId="57804069" w14:textId="2A9FCD10" w:rsidR="00AB2390" w:rsidRPr="00216965" w:rsidRDefault="00B45740" w:rsidP="008A33DA">
      <w:pPr>
        <w:spacing w:line="360" w:lineRule="auto"/>
        <w:jc w:val="both"/>
      </w:pPr>
      <w:r w:rsidRPr="00216965">
        <w:t>Changes in soil pH during aging of amended soils have been reported previously.</w:t>
      </w:r>
      <w:r w:rsidRPr="00216965">
        <w:rPr>
          <w:color w:val="403D39"/>
        </w:rPr>
        <w:t xml:space="preserve"> </w:t>
      </w:r>
      <w:r w:rsidRPr="00216965">
        <w:fldChar w:fldCharType="begin" w:fldLock="1"/>
      </w:r>
      <w:r w:rsidR="006C06AA" w:rsidRPr="00216965">
        <w:instrText>ADDIN CSL_CITATION {"citationItems":[{"id":"ITEM-1","itemData":{"DOI":"10.5194/se-5-693-2014","abstract":"Predicting the effects of pyrogenic organic matter (OM) addition (either natural or intentional as in the case of biochar amendment) on soil chemistry and crop yields has been hampered by a lack of understanding of how pyrogenic OM evolves in the environment over time. This work compared the physicochemical characteristics of newly made and 15-month-field-aged biochars and biochar-soil mixtures. After aging, biochars made by pyrolysis of wood and grass at 250, 400 and 650 • C exhibited 5-fold increases in cation exchange capacity (CEC), on average; appearance of anion exchange capacity (AEC); and significant decreases in pH, ash content and nanopore surface area. Cross polarization 13 C nuclear magnetic resonance (NMR) analyses indicated relative increases in O-containing functional groups, including substituted aryl, carboxyl and carbonyl C, and losses of O-alkyl groups. Similar chemical trends were observed for soil-biochar mixtures, suggesting the same biochar aging processes occurred in the soil environment. However, there was evidence for a role of soil OM-microbe-biochar interaction during aging. Field aging of soil with biochar resulted in large increases in C and N content (up to 124 and 143 %, respectively) and exchange capacity (up to 43 %) beyond that calculated by the weighted addition of the properties of biochar and soil aged separately. These beneficial interactive effects varied with soil and biochar type. Scanning electronic microscopy (SEM) images of biochar particles aged with soil showed colonization by microbes and widespread OM coatings. Thus, sorption of both microbially produced and soil OM are likely processes that enhanced biochar aging. Thus, biochar's full beneficial effects on soil properties likely increase over time, and proper assignment of C sequestration credits to biochar users will require consideration of soil-biochar interactions.","author":[{"dropping-particle":"","family":"Mukherjee","given":"A","non-dropping-particle":"","parse-names":false,"suffix":""},{"dropping-particle":"","family":"Zimmerman","given":"A R","non-dropping-particle":"","parse-names":false,"suffix":""},{"dropping-particle":"","family":"Hamdan","given":"R","non-dropping-particle":"","parse-names":false,"suffix":""},{"dropping-particle":"","family":"Cooper","given":"W T","non-dropping-particle":"","parse-names":false,"suffix":""}],"container-title":"Solid Earth","id":"ITEM-1","issued":{"date-parts":[["2014"]]},"page":"693-704","title":"Physicochemical changes in pyrogenic organic matter (biochar) after 15 months of field aging","type":"article-journal","volume":"5"},"uris":["http://www.mendeley.com/documents/?uuid=f904ae96-9ecd-35af-9c81-9e0747bed8e1"]}],"mendeley":{"formattedCitation":"(Mukherjee et al., 2014)","manualFormatting":"Mukherjee et al. (2014)","plainTextFormattedCitation":"(Mukherjee et al., 2014)","previouslyFormattedCitation":"(Mukherjee et al., 2014)"},"properties":{"noteIndex":0},"schema":"https://github.com/citation-style-language/schema/raw/master/csl-citation.json"}</w:instrText>
      </w:r>
      <w:r w:rsidRPr="00216965">
        <w:fldChar w:fldCharType="separate"/>
      </w:r>
      <w:r w:rsidRPr="00216965">
        <w:rPr>
          <w:noProof/>
        </w:rPr>
        <w:t xml:space="preserve">Mukherjee </w:t>
      </w:r>
      <w:r w:rsidR="009B2252" w:rsidRPr="00216965">
        <w:rPr>
          <w:iCs/>
          <w:noProof/>
        </w:rPr>
        <w:t>et al</w:t>
      </w:r>
      <w:r w:rsidRPr="00216965">
        <w:rPr>
          <w:noProof/>
        </w:rPr>
        <w:t>. (2014)</w:t>
      </w:r>
      <w:r w:rsidRPr="00216965">
        <w:fldChar w:fldCharType="end"/>
      </w:r>
      <w:r w:rsidRPr="00216965">
        <w:t xml:space="preserve"> reported that after aging a mixture of soil and biochars (wood and grass biochars) over 15 months, the soil pH decreased significantly whereas the soil cation exchange capacity increased, which was attributed to extensive oxidation of biochar. </w:t>
      </w:r>
      <w:r w:rsidRPr="00216965">
        <w:fldChar w:fldCharType="begin" w:fldLock="1"/>
      </w:r>
      <w:r w:rsidR="006C06AA" w:rsidRPr="00216965">
        <w:instrText>ADDIN CSL_CITATION {"citationItems":[{"id":"ITEM-1","itemData":{"DOI":"10.1016/j.envpol.2018.08.012","ISSN":"18736424","PMID":"30138828","abstract":"Biochar has been used for immobilizing heavy metals in soils due to its abundant surface functional groups and mineral components. However, as carbonaceous material, biochar in soils is susceptible to natural aging, which could alter its structural properties and ability to retain heavy metals. In this study, the impacts of pre- and post-application aging on the properties of dairy manure and sawdust biochars and the significance of different mechanisms of complexation with surface functional groups and mineral precipitation for Cd immobilization in soils were investigated. The simulated natural aging including 25 dry-wet cycles and 25 freeze-thaw cycles decreased the pH of biochar from 8.2 to 10.7 to 7.5–9.7 while increased the release of dissolved organic carbon from 4.1 to 10.9 to 5.9–21.3 mg L−1, O/C ratios from 0.09 to 0.30 to 0.17–0.33, and O-containing functional groups, especially -OH and -C=O groups. New minerals such as CaC2O4 and MgO·MgCO3 were formed during freeze-thaw cycles. The capacity of pre-aged biochars to immobilize Cd in soils decreased from 57-70% to 53–63%, compared to that of fresh biochar, which was mainly due to decrease of CdCO3 or Cd3(PO4)2 precipitation as evidenced by XRD and MINTEQ modeling. By contrast, post-aging of biochar application in soil with dry-wet and freeze-thaw cycling had little effect on the biochar's alkalinity while increased the O/C ratios from 0.10 to 0.24 to 0.15–0.27 and intensity of O-containing functional groups. The immobilization capacity of biochars for Cd in soil increased from 44-68% to 59–73% due to the enhanced surface complexation with O-containing groups. In short, biochar subjected to pre-aging had a reduced capacity to immobilize Cd, while biochars with post-aging in soil increased its Cd immobilization capacity as a soil amendment. Biochar subjected to pre-application aging had a reduced capacity to immobilize Cd, while biochar with post-aging increased its Cd immobilization capacity.","author":[{"dropping-particle":"","family":"Xu","given":"Zibo","non-dropping-particle":"","parse-names":false,"suffix":""},{"dropping-particle":"","family":"Xu","given":"Xiaoyun","non-dropping-particle":"","parse-names":false,"suffix":""},{"dropping-particle":"","family":"Tsang","given":"Daniel C.W.","non-dropping-particle":"","parse-names":false,"suffix":""},{"dropping-particle":"","family":"Cao","given":"Xinde","non-dropping-particle":"","parse-names":false,"suffix":""}],"container-title":"Environmental Pollution","id":"ITEM-1","issued":{"date-parts":[["2018"]]},"page":"1362-1370","publisher":"Elsevier Ltd","title":"Contrasting impacts of pre- and post-application aging of biochar on the immobilization of Cd in contaminated soils","type":"article-journal","volume":"242"},"uris":["http://www.mendeley.com/documents/?uuid=f532971f-a618-4bb6-8f70-e350daf13ada"]}],"mendeley":{"formattedCitation":"(Xu et al., 2018)","manualFormatting":"Xu et al. (2018)","plainTextFormattedCitation":"(Xu et al., 2018)","previouslyFormattedCitation":"(Xu et al., 2018)"},"properties":{"noteIndex":0},"schema":"https://github.com/citation-style-language/schema/raw/master/csl-citation.json"}</w:instrText>
      </w:r>
      <w:r w:rsidRPr="00216965">
        <w:fldChar w:fldCharType="separate"/>
      </w:r>
      <w:r w:rsidRPr="00216965">
        <w:rPr>
          <w:noProof/>
        </w:rPr>
        <w:t xml:space="preserve">Xu </w:t>
      </w:r>
      <w:r w:rsidR="009B2252" w:rsidRPr="00216965">
        <w:rPr>
          <w:noProof/>
        </w:rPr>
        <w:t>et al</w:t>
      </w:r>
      <w:r w:rsidRPr="00216965">
        <w:rPr>
          <w:i/>
          <w:noProof/>
        </w:rPr>
        <w:t>.</w:t>
      </w:r>
      <w:r w:rsidRPr="00216965">
        <w:rPr>
          <w:noProof/>
        </w:rPr>
        <w:t xml:space="preserve"> (2018)</w:t>
      </w:r>
      <w:r w:rsidRPr="00216965">
        <w:fldChar w:fldCharType="end"/>
      </w:r>
      <w:r w:rsidRPr="00216965">
        <w:t xml:space="preserve"> associated the decreased alkalinity of biochars during aging to three possible reasons: i) oxidation processes that led to the formation of O-containing functional groups, ii) carbonation of the soil, and iii) decomposition of organic C on biochar into low molecular-weight organic acids during aging. </w:t>
      </w:r>
    </w:p>
    <w:p w14:paraId="21C9B245" w14:textId="4BA36C58" w:rsidR="00B45740" w:rsidRPr="00216965" w:rsidRDefault="00B45740" w:rsidP="008A33DA">
      <w:pPr>
        <w:spacing w:line="360" w:lineRule="auto"/>
        <w:jc w:val="both"/>
      </w:pPr>
      <w:r w:rsidRPr="00216965">
        <w:t>In the case of biochar treatment there was no evidence of base cations leaching, as the concentrations of Ca, Mg, K and Na in the soil pore water remained constant over the 18 months period (</w:t>
      </w:r>
      <w:r w:rsidR="0052024F" w:rsidRPr="00216965">
        <w:rPr>
          <w:b/>
          <w:bCs/>
        </w:rPr>
        <w:fldChar w:fldCharType="begin"/>
      </w:r>
      <w:r w:rsidR="0052024F" w:rsidRPr="00216965">
        <w:rPr>
          <w:b/>
          <w:bCs/>
        </w:rPr>
        <w:instrText xml:space="preserve"> REF _Ref86438709 \h  \* MERGEFORMAT </w:instrText>
      </w:r>
      <w:r w:rsidR="0052024F" w:rsidRPr="00216965">
        <w:rPr>
          <w:b/>
          <w:bCs/>
        </w:rPr>
      </w:r>
      <w:r w:rsidR="0052024F" w:rsidRPr="00216965">
        <w:rPr>
          <w:b/>
          <w:bCs/>
        </w:rPr>
        <w:fldChar w:fldCharType="separate"/>
      </w:r>
      <w:r w:rsidR="006E23EA" w:rsidRPr="00216965">
        <w:rPr>
          <w:b/>
          <w:bCs/>
        </w:rPr>
        <w:t>Appendix 5</w:t>
      </w:r>
      <w:r w:rsidR="0052024F" w:rsidRPr="00216965">
        <w:rPr>
          <w:b/>
          <w:bCs/>
        </w:rPr>
        <w:fldChar w:fldCharType="end"/>
      </w:r>
      <w:r w:rsidRPr="00216965">
        <w:t xml:space="preserve">). Hence, it is suggested that the decrease in pH is related to the formation of </w:t>
      </w:r>
      <w:r w:rsidR="007D51F9" w:rsidRPr="00216965">
        <w:t xml:space="preserve">Oxygen </w:t>
      </w:r>
      <w:r w:rsidRPr="00216965">
        <w:t>functional groups associated with the oxidation of</w:t>
      </w:r>
      <w:r w:rsidR="007D51F9" w:rsidRPr="00216965">
        <w:t xml:space="preserve"> biochar</w:t>
      </w:r>
      <w:r w:rsidRPr="00216965">
        <w:t>. This proposed mechanism is consistent with the decreased tissue concentrations observed in the second harvest, which suggested that immobilization of HMs by biochar increased with aging. Conversely, the treatments containing compost did exhibit a decrease of base cations over time, suggesting that the decrease in pH of these soils was due to leaching, although microbial</w:t>
      </w:r>
      <w:r w:rsidR="007D51F9" w:rsidRPr="00216965">
        <w:t xml:space="preserve"> decomposition of OM into low-molecular weight organic acids might have contributed</w:t>
      </w:r>
      <w:r w:rsidRPr="00216965">
        <w:t xml:space="preserve">. </w:t>
      </w:r>
    </w:p>
    <w:p w14:paraId="51C8B55E" w14:textId="06A34FB8" w:rsidR="00B45740" w:rsidRPr="00216965" w:rsidRDefault="00B45740" w:rsidP="008A33DA">
      <w:pPr>
        <w:spacing w:line="360" w:lineRule="auto"/>
        <w:jc w:val="both"/>
        <w:rPr>
          <w:color w:val="403D39"/>
        </w:rPr>
      </w:pPr>
      <w:r w:rsidRPr="00216965">
        <w:lastRenderedPageBreak/>
        <w:t xml:space="preserve">The reduction of EC with aging was only observed in treatments containing compost and has been related to the decrease in mineralizable carbon, suggesting that compounds contributing </w:t>
      </w:r>
      <w:sdt>
        <w:sdtPr>
          <w:tag w:val="goog_rdk_5"/>
          <w:id w:val="869962525"/>
        </w:sdtPr>
        <w:sdtEndPr/>
        <w:sdtContent/>
      </w:sdt>
      <w:r w:rsidRPr="00216965">
        <w:t xml:space="preserve">to EC are present in the compost and progressively decompose during soil amendment </w:t>
      </w:r>
      <w:r w:rsidRPr="00216965">
        <w:fldChar w:fldCharType="begin" w:fldLock="1"/>
      </w:r>
      <w:r w:rsidR="006C06AA" w:rsidRPr="00216965">
        <w:instrText>ADDIN CSL_CITATION {"citationItems":[{"id":"ITEM-1","itemData":{"DOI":"10.1016/J.WASMAN.2007.08.026","ISSN":"0956-053X","abstract":"Compost can provide a rich organic nutrient source and soil conditioner for agricultural and horticultural applications. Ideal compost amendment rates, however, vary based on starting material and compost maturity or their interaction, and there is little consensus on appropriate methods to gauge maturity. In this study, electrical conductivity, carbon-to-nitrogen ratio, and carbon mineralization measurements were made on compost-amended soils and compared to phytotoxicity measured as cress (Lepidium sativum) germination. Cress germination in soil and compost mixtures incubated for 8-10 days significantly decreased with increasing electrical conductivity and carbon mineralization rate of the mixture and with carbon mineralization rate and mineralizable carbon associated with the compost. Cress germination was not related to carbon-to-nitrogen ratio or pH of soil and compost mixtures. The electrical conductivity of the soil and compost mixtures significantly decreased with decreasing mineralizable carbon suggesting that compounds contributing to electrical conductivity were present in the compost and decomposed upon soil amendment. The results of this study indicate that measurements of mineralizable carbon and mineralization rate of composts in soil, and electrical conductivity and mineralization rate of soil and compost mixtures, can be used as indicators of compost maturity. © 2007 Elsevier Ltd. All rights reserved.","author":[{"dropping-particle":"","family":"Aslam","given":"Danielle N.","non-dropping-particle":"","parse-names":false,"suffix":""},{"dropping-particle":"","family":"Horwath","given":"William","non-dropping-particle":"","parse-names":false,"suffix":""},{"dropping-particle":"","family":"VanderGheynst","given":"Jean S.","non-dropping-particle":"","parse-names":false,"suffix":""}],"container-title":"Waste Management","id":"ITEM-1","issue":"11","issued":{"date-parts":[["2008","11","1"]]},"page":"2070-2076","publisher":"Pergamon","title":"Comparison of several maturity indicators for estimating phytotoxicity in compost-amended soil","type":"article-journal","volume":"28"},"uris":["http://www.mendeley.com/documents/?uuid=b2889acb-7f59-35be-a552-55047bb1a730"]}],"mendeley":{"formattedCitation":"(Aslam et al., 2008)","plainTextFormattedCitation":"(Aslam et al., 2008)","previouslyFormattedCitation":"(Aslam et al., 2008)"},"properties":{"noteIndex":0},"schema":"https://github.com/citation-style-language/schema/raw/master/csl-citation.json"}</w:instrText>
      </w:r>
      <w:r w:rsidRPr="00216965">
        <w:fldChar w:fldCharType="separate"/>
      </w:r>
      <w:r w:rsidR="001974AA" w:rsidRPr="00216965">
        <w:rPr>
          <w:noProof/>
        </w:rPr>
        <w:t>(Aslam et al., 2008)</w:t>
      </w:r>
      <w:r w:rsidRPr="00216965">
        <w:fldChar w:fldCharType="end"/>
      </w:r>
      <w:r w:rsidRPr="00216965">
        <w:t xml:space="preserve">. Similarly, after the initial increase of macro and micro elements (Ca, K, Na, Mg and B) in soil pore water with the addition of compost, </w:t>
      </w:r>
      <w:r w:rsidR="00761390" w:rsidRPr="00216965">
        <w:t>based cations</w:t>
      </w:r>
      <w:r w:rsidRPr="00216965">
        <w:t xml:space="preserve"> decreased towards the end of experiment. This is related to the leaching of base cations, although the changes in pH and EC due to aging could have affected the solubility of these elements. </w:t>
      </w:r>
      <w:r w:rsidRPr="00216965">
        <w:rPr>
          <w:shd w:val="clear" w:color="auto" w:fill="FFFFFF"/>
        </w:rPr>
        <w:fldChar w:fldCharType="begin" w:fldLock="1"/>
      </w:r>
      <w:r w:rsidR="006C06AA" w:rsidRPr="00216965">
        <w:rPr>
          <w:shd w:val="clear" w:color="auto" w:fill="FFFFFF"/>
        </w:rPr>
        <w:instrText>ADDIN CSL_CITATION {"citationItems":[{"id":"ITEM-1","itemData":{"DOI":"10.1590/18069657RBCS20150152","ISSN":"1806-9657","abstract":"ABSTRACT The composition of organic waste (OW) and its effect on soil processes may change soil fertility and electrical conductivity (EC). The side effects of waste use in crop fertilization are poorly understood for Brazilian soils. This study examined the effect of the addition of 15 different organic wastes to Oxisols and a Neosol on pH, base saturation, EC, cation exchange capacity (CEC at pH 7), and the availability of Al, macro (P, K, Ca2+, Mg2+ and S) and micronutrients (B, Fe2+, Mn2+, Cu2+ and Zn2+). Soil samples (150 g) were treated with chicken, pig, horse, cattle, and quail manures, sewage sludge 1 and 2, eucalyptus sawdust, plant substrate, coconut fiber, pine bark, coffee husk, peat, limed compost, and biochar. Wastes were added considering a fixed amount of C (2 g kg-1), which resulted in waste rates ranging from 2.5 to 25.6 Mg ha-1. The soil-waste mixtures were incubated for 330 days in laboratory conditions. The waste liming or acidification values were soil-dependent. The use of some manures and compost increased the pH to levels above of those considered adequate for plant growth. The soil EC was slightly increased in the Neosol and in the medium textured Oxisol, but it was sharply changed (from 195 to 394 µS cm-1) by the addition of organic wastes in the clayey Oxisol, although the EC values were below the range considered safe for plant growth. Changes in the soil availability of P, K+, Ca2+ and Zn2+ were highly related to the inputs of these nutrients by the wastes, and other factors in soil changed due to waste use. Organic waste use simultaneously affects different soil fertility attributes; thus, in addition to the target nutrient added to the soil, the soil acidity buffering capacity and the waste liming and agronomic value must be taken into account in the waste rate definition.","author":[{"dropping-particle":"do","family":"Carmo","given":"Davi Lopes","non-dropping-particle":"","parse-names":false,"suffix":""},{"dropping-particle":"de","family":"Lima","given":"Laís Botelho","non-dropping-particle":"","parse-names":false,"suffix":""},{"dropping-particle":"","family":"Silva","given":"Carlos Alberto","non-dropping-particle":"","parse-names":false,"suffix":""}],"container-title":"Revista Brasileira de Ciência do Solo","id":"ITEM-1","issued":{"date-parts":[["2016","8","15"]]},"page":"e0150152","publisher":"Sociedade Brasileira de Ciência do Solo","title":"Soil fertility and electrical conductivity affected by organic waste rates and nutrient inputs","type":"article-journal","volume":"40"},"uris":["http://www.mendeley.com/documents/?uuid=fe2322e7-35a1-34f2-a3b8-819a2841966f"]}],"mendeley":{"formattedCitation":"(Carmo et al., 2016)","manualFormatting":"Carmo et al. (2016)","plainTextFormattedCitation":"(Carmo et al., 2016)","previouslyFormattedCitation":"(Carmo et al., 2016)"},"properties":{"noteIndex":0},"schema":"https://github.com/citation-style-language/schema/raw/master/csl-citation.json"}</w:instrText>
      </w:r>
      <w:r w:rsidRPr="00216965">
        <w:rPr>
          <w:shd w:val="clear" w:color="auto" w:fill="FFFFFF"/>
        </w:rPr>
        <w:fldChar w:fldCharType="separate"/>
      </w:r>
      <w:r w:rsidRPr="00216965">
        <w:rPr>
          <w:noProof/>
          <w:shd w:val="clear" w:color="auto" w:fill="FFFFFF"/>
        </w:rPr>
        <w:t xml:space="preserve">Carmo </w:t>
      </w:r>
      <w:r w:rsidR="009B2252" w:rsidRPr="00216965">
        <w:rPr>
          <w:noProof/>
          <w:shd w:val="clear" w:color="auto" w:fill="FFFFFF"/>
        </w:rPr>
        <w:t>et al</w:t>
      </w:r>
      <w:r w:rsidRPr="00216965">
        <w:rPr>
          <w:i/>
          <w:noProof/>
          <w:shd w:val="clear" w:color="auto" w:fill="FFFFFF"/>
        </w:rPr>
        <w:t>.</w:t>
      </w:r>
      <w:r w:rsidRPr="00216965">
        <w:rPr>
          <w:noProof/>
          <w:shd w:val="clear" w:color="auto" w:fill="FFFFFF"/>
        </w:rPr>
        <w:t xml:space="preserve"> (2016)</w:t>
      </w:r>
      <w:r w:rsidRPr="00216965">
        <w:rPr>
          <w:shd w:val="clear" w:color="auto" w:fill="FFFFFF"/>
        </w:rPr>
        <w:fldChar w:fldCharType="end"/>
      </w:r>
      <w:r w:rsidRPr="00216965">
        <w:rPr>
          <w:shd w:val="clear" w:color="auto" w:fill="FFFFFF"/>
        </w:rPr>
        <w:t xml:space="preserve"> </w:t>
      </w:r>
      <w:r w:rsidRPr="00216965">
        <w:t>indicated that changes in pH and soil OM mineralization rates are key factors regulating the solubility and availability of nutrients in soil amended with compost.</w:t>
      </w:r>
      <w:r w:rsidRPr="00216965">
        <w:rPr>
          <w:color w:val="403D39"/>
        </w:rPr>
        <w:t xml:space="preserve"> </w:t>
      </w:r>
    </w:p>
    <w:p w14:paraId="59B86746" w14:textId="7C618D70" w:rsidR="00AB2390" w:rsidRPr="00216965" w:rsidRDefault="00B45740" w:rsidP="008A33DA">
      <w:pPr>
        <w:spacing w:line="360" w:lineRule="auto"/>
        <w:jc w:val="both"/>
      </w:pPr>
      <w:r w:rsidRPr="00216965">
        <w:t xml:space="preserve">Despite observed changes in soil properties with the natural aging of the organic amendments in soil, the immobilization of HMs was not affected and the reduction of labile Pb and Zn remained consistent with the concentrations in soil pore water, near or below the detection limit over the 18 months period. Similarly, </w:t>
      </w:r>
      <w:bookmarkStart w:id="417" w:name="_Hlk84888508"/>
      <w:r w:rsidRPr="00216965">
        <w:fldChar w:fldCharType="begin" w:fldLock="1"/>
      </w:r>
      <w:r w:rsidR="006C06AA" w:rsidRPr="00216965">
        <w:instrText>ADDIN CSL_CITATION {"citationItems":[{"id":"ITEM-1","itemData":{"DOI":"10.1016/j.jhazmat.2014.03.017","abstract":"h i g h l i g h t s • Biochar significantly increased soil pH, organic matter and immobilized soil Cd and Pb. • Biochar treatment consistently reduced rice Cd and Pb content in three years. • Contaminated biochar from the study field contained much higher heavy metals than fresh biochar. • Biochar caused metal immobilization primarily due to the precipitation and surface adsorption. a b s t r a c t Heavy metal contamination in croplands has been a serious concern because of its high health risk through soil-food chain transfer. A field experiment was conducted in 2010-2012 in a contaminated rice paddy in southern China to determine if bioavailability of soil Cd and Pb could be reduced while grain yield was sustained over 3 years after a single soil amendment of wheat straw biochar. Contaminated biochar particles were separated from the biochar amended soil and microscopically analyzed to help determine where, and how, metals were immobilized with biochar. Biochar soil amendment (BSA) consistently and significantly increased soil pH, total organic carbon and decreased soil extractable Cd and Pb over the 3 year period. While rice plant tissues' Cd content was significantly reduced, depending on biochar application rate, reduction in plant Pb concentration was found only in root tissue. Analysis of the fresh and contaminated biochar particles indicated that Cd and Pb had probably been bonded with the mineral phases of Al, Fe and P on and around and inside the contaminated biochar particle. Immobilization of the Pb and Cd also occurred to cation exchange on the porous carbon structure. Abbreviations: BSA, biochar soil amendment; LA-ICP-MS, laser ablation induc-tively coupled plasma mass spectrometry; XPS, X-ray photoelectron spectroscopy; SEM, scanning electron microscope; TEM, transmission electron microscope; EDS, energy dispersive X-ray spectroscopy; DAP, diammonium phosphate.","author":[{"dropping-particle":"","family":"Bian","given":"Rongjun","non-dropping-particle":"","parse-names":false,"suffix":""},{"dropping-particle":"","family":"Joseph","given":"Stephen","non-dropping-particle":"","parse-names":false,"suffix":""},{"dropping-particle":"","family":"Cui","given":"Liqiang","non-dropping-particle":"","parse-names":false,"suffix":""},{"dropping-particle":"","family":"Pan","given":"Genxing","non-dropping-particle":"","parse-names":false,"suffix":""},{"dropping-particle":"","family":"Li","given":"Lianqing","non-dropping-particle":"","parse-names":false,"suffix":""},{"dropping-particle":"","family":"Liu","given":"Xiaoyu","non-dropping-particle":"","parse-names":false,"suffix":""},{"dropping-particle":"","family":"Zhang","given":"Afeng","non-dropping-particle":"","parse-names":false,"suffix":""},{"dropping-particle":"","family":"Rutlidge","given":"Helen","non-dropping-particle":"","parse-names":false,"suffix":""},{"dropping-particle":"","family":"Wong","given":"Singwei","non-dropping-particle":"","parse-names":false,"suffix":""},{"dropping-particle":"","family":"Chia","given":"Chee","non-dropping-particle":"","parse-names":false,"suffix":""},{"dropping-particle":"","family":"Marjo","given":"Chris","non-dropping-particle":"","parse-names":false,"suffix":""},{"dropping-particle":"","family":"Munroe","given":"Paul","non-dropping-particle":"","parse-names":false,"suffix":""},{"dropping-particle":"","family":"Donne","given":"Scott","non-dropping-particle":"","parse-names":false,"suffix":""}],"container-title":"Journal of Hazardous Materials","id":"ITEM-1","issued":{"date-parts":[["2014"]]},"page":"121-128","title":"A three-year experiment confirms continuous immobilization of cadmium and lead in contaminated paddy field with biochar amendment","type":"article-journal","volume":"272"},"uris":["http://www.mendeley.com/documents/?uuid=c5fbc57e-3d38-34ea-ab47-728dd694ce90"]}],"mendeley":{"formattedCitation":"(Bian et al., 2014)","manualFormatting":"Bian et al. (2014)","plainTextFormattedCitation":"(Bian et al., 2014)","previouslyFormattedCitation":"(Bian et al., 2014)"},"properties":{"noteIndex":0},"schema":"https://github.com/citation-style-language/schema/raw/master/csl-citation.json"}</w:instrText>
      </w:r>
      <w:r w:rsidRPr="00216965">
        <w:fldChar w:fldCharType="separate"/>
      </w:r>
      <w:r w:rsidRPr="00216965">
        <w:rPr>
          <w:noProof/>
        </w:rPr>
        <w:t xml:space="preserve">Bian </w:t>
      </w:r>
      <w:r w:rsidR="009B2252" w:rsidRPr="00216965">
        <w:rPr>
          <w:noProof/>
        </w:rPr>
        <w:t>et al</w:t>
      </w:r>
      <w:r w:rsidRPr="00216965">
        <w:rPr>
          <w:i/>
          <w:noProof/>
        </w:rPr>
        <w:t>.</w:t>
      </w:r>
      <w:r w:rsidRPr="00216965">
        <w:rPr>
          <w:noProof/>
        </w:rPr>
        <w:t xml:space="preserve"> (2014)</w:t>
      </w:r>
      <w:r w:rsidRPr="00216965">
        <w:fldChar w:fldCharType="end"/>
      </w:r>
      <w:bookmarkEnd w:id="417"/>
      <w:r w:rsidRPr="00216965">
        <w:t xml:space="preserve"> reported a consistent and significant reduction of extractable Cd and Pb over a three years period following addition of wheat straw biochar to a contaminated rice paddy.</w:t>
      </w:r>
    </w:p>
    <w:p w14:paraId="1BE2A8BF" w14:textId="039E28D7" w:rsidR="00B45740" w:rsidRPr="00216965" w:rsidRDefault="00B45740" w:rsidP="008A33DA">
      <w:pPr>
        <w:spacing w:line="360" w:lineRule="auto"/>
        <w:jc w:val="both"/>
      </w:pPr>
      <w:r w:rsidRPr="00216965">
        <w:t xml:space="preserve">Contrary to these findings, changes in soil conditions during biochar or compost aging could have negative effects on HM immobilization. </w:t>
      </w:r>
      <w:r w:rsidRPr="00216965">
        <w:fldChar w:fldCharType="begin" w:fldLock="1"/>
      </w:r>
      <w:r w:rsidR="006C06AA" w:rsidRPr="00216965">
        <w:instrText>ADDIN CSL_CITATION {"citationItems":[{"id":"ITEM-1","itemData":{"DOI":"10.1016/j.envpol.2018.08.012","ISSN":"18736424","PMID":"30138828","abstract":"Biochar has been used for immobilizing heavy metals in soils due to its abundant surface functional groups and mineral components. However, as carbonaceous material, biochar in soils is susceptible to natural aging, which could alter its structural properties and ability to retain heavy metals. In this study, the impacts of pre- and post-application aging on the properties of dairy manure and sawdust biochars and the significance of different mechanisms of complexation with surface functional groups and mineral precipitation for Cd immobilization in soils were investigated. The simulated natural aging including 25 dry-wet cycles and 25 freeze-thaw cycles decreased the pH of biochar from 8.2 to 10.7 to 7.5–9.7 while increased the release of dissolved organic carbon from 4.1 to 10.9 to 5.9–21.3 mg L−1, O/C ratios from 0.09 to 0.30 to 0.17–0.33, and O-containing functional groups, especially -OH and -C=O groups. New minerals such as CaC2O4 and MgO·MgCO3 were formed during freeze-thaw cycles. The capacity of pre-aged biochars to immobilize Cd in soils decreased from 57-70% to 53–63%, compared to that of fresh biochar, which was mainly due to decrease of CdCO3 or Cd3(PO4)2 precipitation as evidenced by XRD and MINTEQ modeling. By contrast, post-aging of biochar application in soil with dry-wet and freeze-thaw cycling had little effect on the biochar's alkalinity while increased the O/C ratios from 0.10 to 0.24 to 0.15–0.27 and intensity of O-containing functional groups. The immobilization capacity of biochars for Cd in soil increased from 44-68% to 59–73% due to the enhanced surface complexation with O-containing groups. In short, biochar subjected to pre-aging had a reduced capacity to immobilize Cd, while biochars with post-aging in soil increased its Cd immobilization capacity as a soil amendment. Biochar subjected to pre-application aging had a reduced capacity to immobilize Cd, while biochar with post-aging increased its Cd immobilization capacity.","author":[{"dropping-particle":"","family":"Xu","given":"Zibo","non-dropping-particle":"","parse-names":false,"suffix":""},{"dropping-particle":"","family":"Xu","given":"Xiaoyun","non-dropping-particle":"","parse-names":false,"suffix":""},{"dropping-particle":"","family":"Tsang","given":"Daniel C.W.","non-dropping-particle":"","parse-names":false,"suffix":""},{"dropping-particle":"","family":"Cao","given":"Xinde","non-dropping-particle":"","parse-names":false,"suffix":""}],"container-title":"Environmental Pollution","id":"ITEM-1","issued":{"date-parts":[["2018"]]},"page":"1362-1370","publisher":"Elsevier Ltd","title":"Contrasting impacts of pre- and post-application aging of biochar on the immobilization of Cd in contaminated soils","type":"article-journal","volume":"242"},"uris":["http://www.mendeley.com/documents/?uuid=f532971f-a618-4bb6-8f70-e350daf13ada"]}],"mendeley":{"formattedCitation":"(Xu et al., 2018)","manualFormatting":"Xu et al. (2018)","plainTextFormattedCitation":"(Xu et al., 2018)","previouslyFormattedCitation":"(Xu et al., 2018)"},"properties":{"noteIndex":0},"schema":"https://github.com/citation-style-language/schema/raw/master/csl-citation.json"}</w:instrText>
      </w:r>
      <w:r w:rsidRPr="00216965">
        <w:fldChar w:fldCharType="separate"/>
      </w:r>
      <w:r w:rsidRPr="00216965">
        <w:rPr>
          <w:noProof/>
        </w:rPr>
        <w:t xml:space="preserve">Xu </w:t>
      </w:r>
      <w:r w:rsidR="009B2252" w:rsidRPr="00216965">
        <w:rPr>
          <w:noProof/>
        </w:rPr>
        <w:t>et al</w:t>
      </w:r>
      <w:r w:rsidRPr="00216965">
        <w:rPr>
          <w:noProof/>
        </w:rPr>
        <w:t>. (2018)</w:t>
      </w:r>
      <w:r w:rsidRPr="00216965">
        <w:fldChar w:fldCharType="end"/>
      </w:r>
      <w:r w:rsidRPr="00216965">
        <w:t xml:space="preserve"> stated that carbonaceous material, such as biochar in soils, is susceptible to natural aging, which could alter its structural properties and ability to retain heavy metals. For example, </w:t>
      </w:r>
      <w:r w:rsidRPr="00216965">
        <w:fldChar w:fldCharType="begin" w:fldLock="1"/>
      </w:r>
      <w:r w:rsidR="006C06AA" w:rsidRPr="00216965">
        <w:instrText>ADDIN CSL_CITATION {"citationItems":[{"id":"ITEM-1","itemData":{"DOI":"10.1016/J.JHAZMAT.2021.126666","ISSN":"0304-3894","abstract":"The effects of biochar aging on heavy-metal bioavailability and microbial activity are not fully understood. This study determined the effect over 270 days of poultry-litter biochar (PBC) and sugar-gum-wood biochar (SBC) on the bioavailability of Cd and microbial activity in acidic soils differing in organic matter content. Soil basal and substrate-induced respirations, microbial properties, Cd bioavailability and plant Cd bioaccumulation were evaluated at 1, 30, 90 and 270 days. The addition of PBC decreased Cd bioaccumulation by 81% and 85% while SBC decreased bioaccumulation by 47% and 56% in high (Chromosol) and low (Sodosol) organic matter soils, respectively, at Day 1. By Day 270, Cd bioaccumulation significantly (P &lt; 0.05) increased in SBC-amended soils but decreased in PBC-amended soils. The addition of PBC increased both basal and substrate-induced microbial respirations compared to the other treatments over 270-day aging. However, SBC increased microbial biomass C compared to the PBC after Day 30. Aging decreased microbial respiration and biomass C in biochar-amended soils. It is concluded that Cd bioaccumulation increased in SBC-amended soils during aging whereas the PBC decreased Cd bioaccumulation of Cd and that the selection of biochar is important to enhanced remediation efficiency in the long term.","author":[{"dropping-particle":"","family":"Bandara","given":"Tharanga","non-dropping-particle":"","parse-names":false,"suffix":""},{"dropping-particle":"","family":"Franks","given":"Ashley","non-dropping-particle":"","parse-names":false,"suffix":""},{"dropping-particle":"","family":"Xu","given":"Jianming","non-dropping-particle":"","parse-names":false,"suffix":""},{"dropping-particle":"","family":"Chathurika","given":"J.B.A.J.","non-dropping-particle":"","parse-names":false,"suffix":""},{"dropping-particle":"","family":"Tang","given":"Caixian","non-dropping-particle":"","parse-names":false,"suffix":""}],"container-title":"Journal of Hazardous Materials","id":"ITEM-1","issued":{"date-parts":[["2021","10","15"]]},"page":"126666","publisher":"Elsevier","title":"Biochar aging alters the bioavailability of cadmium and microbial activity in acid contaminated soils","type":"article-journal","volume":"420"},"uris":["http://www.mendeley.com/documents/?uuid=b0bef5de-6b79-303c-b578-f0d24a093e00"]}],"mendeley":{"formattedCitation":"(Bandara et al., 2021)","manualFormatting":"Bandara et al. (2021)","plainTextFormattedCitation":"(Bandara et al., 2021)","previouslyFormattedCitation":"(Bandara et al., 2021)"},"properties":{"noteIndex":0},"schema":"https://github.com/citation-style-language/schema/raw/master/csl-citation.json"}</w:instrText>
      </w:r>
      <w:r w:rsidRPr="00216965">
        <w:fldChar w:fldCharType="separate"/>
      </w:r>
      <w:r w:rsidRPr="00216965">
        <w:rPr>
          <w:noProof/>
        </w:rPr>
        <w:t xml:space="preserve">Bandara </w:t>
      </w:r>
      <w:r w:rsidR="009B2252" w:rsidRPr="00216965">
        <w:rPr>
          <w:noProof/>
        </w:rPr>
        <w:t>et al</w:t>
      </w:r>
      <w:r w:rsidRPr="00216965">
        <w:rPr>
          <w:i/>
          <w:noProof/>
        </w:rPr>
        <w:t>.</w:t>
      </w:r>
      <w:r w:rsidRPr="00216965">
        <w:rPr>
          <w:noProof/>
        </w:rPr>
        <w:t xml:space="preserve"> (2021)</w:t>
      </w:r>
      <w:r w:rsidRPr="00216965">
        <w:fldChar w:fldCharType="end"/>
      </w:r>
      <w:r w:rsidRPr="00216965">
        <w:t xml:space="preserve"> reported that the pH of a chromosol amended with poultry litter biochar and sugar gum-wood biochar decreased by 0.20 and 0.28 units after 270 days of incubation compared to the initial soil pH. Following a significant decrease in Cd bioavailability with both biochars after day one, at day 90 there was a bioaccumulation of Cd in the sugar-wood biochar-amended soil, which was associated with the decrease in soil pH. </w:t>
      </w:r>
      <w:r w:rsidRPr="00216965">
        <w:fldChar w:fldCharType="begin" w:fldLock="1"/>
      </w:r>
      <w:r w:rsidR="006C06AA" w:rsidRPr="00216965">
        <w:instrText>ADDIN CSL_CITATION {"citationItems":[{"id":"ITEM-1","itemData":{"DOI":"10.1016/j.envpol.2018.08.012","ISSN":"18736424","PMID":"30138828","abstract":"Biochar has been used for immobilizing heavy metals in soils due to its abundant surface functional groups and mineral components. However, as carbonaceous material, biochar in soils is susceptible to natural aging, which could alter its structural properties and ability to retain heavy metals. In this study, the impacts of pre- and post-application aging on the properties of dairy manure and sawdust biochars and the significance of different mechanisms of complexation with surface functional groups and mineral precipitation for Cd immobilization in soils were investigated. The simulated natural aging including 25 dry-wet cycles and 25 freeze-thaw cycles decreased the pH of biochar from 8.2 to 10.7 to 7.5–9.7 while increased the release of dissolved organic carbon from 4.1 to 10.9 to 5.9–21.3 mg L−1, O/C ratios from 0.09 to 0.30 to 0.17–0.33, and O-containing functional groups, especially -OH and -C=O groups. New minerals such as CaC2O4 and MgO·MgCO3 were formed during freeze-thaw cycles. The capacity of pre-aged biochars to immobilize Cd in soils decreased from 57-70% to 53–63%, compared to that of fresh biochar, which was mainly due to decrease of CdCO3 or Cd3(PO4)2 precipitation as evidenced by XRD and MINTEQ modeling. By contrast, post-aging of biochar application in soil with dry-wet and freeze-thaw cycling had little effect on the biochar's alkalinity while increased the O/C ratios from 0.10 to 0.24 to 0.15–0.27 and intensity of O-containing functional groups. The immobilization capacity of biochars for Cd in soil increased from 44-68% to 59–73% due to the enhanced surface complexation with O-containing groups. In short, biochar subjected to pre-aging had a reduced capacity to immobilize Cd, while biochars with post-aging in soil increased its Cd immobilization capacity as a soil amendment. Biochar subjected to pre-application aging had a reduced capacity to immobilize Cd, while biochar with post-aging increased its Cd immobilization capacity.","author":[{"dropping-particle":"","family":"Xu","given":"Zibo","non-dropping-particle":"","parse-names":false,"suffix":""},{"dropping-particle":"","family":"Xu","given":"Xiaoyun","non-dropping-particle":"","parse-names":false,"suffix":""},{"dropping-particle":"","family":"Tsang","given":"Daniel C.W.","non-dropping-particle":"","parse-names":false,"suffix":""},{"dropping-particle":"","family":"Cao","given":"Xinde","non-dropping-particle":"","parse-names":false,"suffix":""}],"container-title":"Environmental Pollution","id":"ITEM-1","issued":{"date-parts":[["2018"]]},"page":"1362-1370","publisher":"Elsevier Ltd","title":"Contrasting impacts of pre- and post-application aging of biochar on the immobilization of Cd in contaminated soils","type":"article-journal","volume":"242"},"uris":["http://www.mendeley.com/documents/?uuid=f532971f-a618-4bb6-8f70-e350daf13ada"]}],"mendeley":{"formattedCitation":"(Xu et al., 2018)","manualFormatting":"Xu et al. (2018)","plainTextFormattedCitation":"(Xu et al., 2018)","previouslyFormattedCitation":"(Xu et al., 2018)"},"properties":{"noteIndex":0},"schema":"https://github.com/citation-style-language/schema/raw/master/csl-citation.json"}</w:instrText>
      </w:r>
      <w:r w:rsidRPr="00216965">
        <w:fldChar w:fldCharType="separate"/>
      </w:r>
      <w:r w:rsidRPr="00216965">
        <w:rPr>
          <w:noProof/>
        </w:rPr>
        <w:t xml:space="preserve">Xu </w:t>
      </w:r>
      <w:r w:rsidR="009B2252" w:rsidRPr="00216965">
        <w:rPr>
          <w:noProof/>
        </w:rPr>
        <w:t>et al</w:t>
      </w:r>
      <w:r w:rsidRPr="00216965">
        <w:rPr>
          <w:i/>
          <w:noProof/>
        </w:rPr>
        <w:t>.</w:t>
      </w:r>
      <w:r w:rsidRPr="00216965">
        <w:rPr>
          <w:noProof/>
        </w:rPr>
        <w:t xml:space="preserve"> (2018)</w:t>
      </w:r>
      <w:r w:rsidRPr="00216965">
        <w:fldChar w:fldCharType="end"/>
      </w:r>
      <w:r w:rsidRPr="00216965">
        <w:t xml:space="preserve"> reported that a decrease in the alkalinity of biochars during aging was associated with a reduced biochar capacity for Cd immobilization during a simulated natural aging study.</w:t>
      </w:r>
    </w:p>
    <w:p w14:paraId="617079CE" w14:textId="77777777" w:rsidR="00B45740" w:rsidRPr="00216965" w:rsidRDefault="00B45740" w:rsidP="008A33DA">
      <w:pPr>
        <w:spacing w:line="360" w:lineRule="auto"/>
        <w:jc w:val="both"/>
      </w:pPr>
      <w:r w:rsidRPr="00216965">
        <w:t xml:space="preserve">The findings of this study suggest that biochar could be a more stable adsorbent for HMs in the long term as it demonstrated a more stable behaviour during aging as well as promoted the redistribution of bioavailable Pb into the most stable soil fraction. </w:t>
      </w:r>
      <w:r w:rsidRPr="00216965">
        <w:lastRenderedPageBreak/>
        <w:t>Conversely, compost was substantially affected by aging, which changed some properties associated with HM immobilisation, such as pH, EC and base cations. This suggests that the stability of HMs immobilised by this material could be affected in the future. Studies with a longer duration are needed to assess if HM remain immobilised after a single application of organic amendments and for how long, or if re-application of compost and biochar is required to ensure conditions for HM immobilisation.</w:t>
      </w:r>
    </w:p>
    <w:p w14:paraId="32FDCC8C" w14:textId="77777777" w:rsidR="00B45740" w:rsidRPr="00216965" w:rsidRDefault="00B45740" w:rsidP="008A33DA">
      <w:pPr>
        <w:pStyle w:val="Heading3"/>
      </w:pPr>
      <w:bookmarkStart w:id="418" w:name="_Toc86504716"/>
      <w:r w:rsidRPr="00216965">
        <w:t>Microbial diversity and abundance</w:t>
      </w:r>
      <w:bookmarkEnd w:id="418"/>
    </w:p>
    <w:p w14:paraId="5849E2FF" w14:textId="2352B71C" w:rsidR="00AB2390" w:rsidRPr="00216965" w:rsidRDefault="00B45740" w:rsidP="008A33DA">
      <w:pPr>
        <w:spacing w:line="360" w:lineRule="auto"/>
        <w:jc w:val="both"/>
      </w:pPr>
      <w:r w:rsidRPr="00216965">
        <w:t xml:space="preserve">Soil quality can impact the diversity, composition and abundance of soil microbial communities </w:t>
      </w:r>
      <w:r w:rsidRPr="00216965">
        <w:fldChar w:fldCharType="begin" w:fldLock="1"/>
      </w:r>
      <w:r w:rsidR="006C06AA" w:rsidRPr="00216965">
        <w:instrText>ADDIN CSL_CITATION {"citationItems":[{"id":"ITEM-1","itemData":{"DOI":"10.1016/j.jenvman.2015.10.006","ISSN":"10958630","abstract":"Biochar is gaining attention as a potential soil amendment to remediate and revitalize the contaminated soils. Simultaneous effects of biochar on metals mobility, microbial abundance, bacterial diversity and carbon storage in soil are scarcely addressed. This study assessed the effect of biochars on metal mobility, microbial abundance, bacterial community, and carbon storage in an agricultural soil contaminated with heavy metals. Biochars derived from soybean stover at 300 and 700 °C (S-BC300 and S-BC700, respectively) and pine needles at the same temperatures (P-BC300 and P-BC700, respectively) were used. A maximum reduction of Pb mobility by 95% was observed from a soil treated with S-BC700, associated with precipitation of chloropyromorphite and hydroxylpyromorphite. In contrast, As was desorbed from soil particles because of P competition. The abundance of Gram-positive and negative bacteria, fungi, actinomycetes, and arbuscular mycorrhizal fungi increased in the soils treated with biochar produced at 300 °C, possibly due to the high dissolved organic and active organic carbons. Microbial abundance in the soils treated with S-BC700 and P-BC700 was constant due to the existence of fixed or non-labile carbon. Changes to bacterial communities in the biochar-treated soils depended on feedstock type and pyrolysis temperature. Actinobacteria substantially increased whereas Acidobacteria and Chloroflexi decreased in the biochar-treated soils. The non-labile carbon fraction was ~25 fold higher in the biochar-treated soil than the control soil, indicating long-term carbon storage.","author":[{"dropping-particle":"","family":"Ahmad","given":"Mahtab","non-dropping-particle":"","parse-names":false,"suffix":""},{"dropping-particle":"","family":"Ok","given":"Yong Sik","non-dropping-particle":"","parse-names":false,"suffix":""},{"dropping-particle":"","family":"Kim","given":"Byung Yong","non-dropping-particle":"","parse-names":false,"suffix":""},{"dropping-particle":"","family":"Ahn","given":"Jae Hyung","non-dropping-particle":"","parse-names":false,"suffix":""},{"dropping-particle":"","family":"Lee","given":"Young Han","non-dropping-particle":"","parse-names":false,"suffix":""},{"dropping-particle":"","family":"Zhang","given":"Ming","non-dropping-particle":"","parse-names":false,"suffix":""},{"dropping-particle":"","family":"Moon","given":"Deok Hyun","non-dropping-particle":"","parse-names":false,"suffix":""},{"dropping-particle":"","family":"Al-Wabel","given":"Mohammad I.","non-dropping-particle":"","parse-names":false,"suffix":""},{"dropping-particle":"","family":"Lee","given":"Sang Soo","non-dropping-particle":"","parse-names":false,"suffix":""}],"container-title":"Journal of Environmental Management","id":"ITEM-1","issued":{"date-parts":[["2016","1","15"]]},"page":"131-139","publisher":"Academic Press","title":"Impact of soybean stover- and pine needle-derived biochars on Pb and As mobility, microbial community, and carbon stability in a contaminated agricultural soil","type":"article-journal","volume":"166"},"uris":["http://www.mendeley.com/documents/?uuid=323abb5e-343f-38c4-9a02-93e9578fcd7a"]},{"id":"ITEM-2","itemData":{"abstract":"Three soil types -Calcaric Phaeozem, Eutric Cambisol and Dystric Lithosol -in large container pots were experimentally contaminated with heavy metals at four different levels (light pollution: 300 ppm Zn, 100 ppm Cu, 50 ppm Ni, 50 ppm V and 3 ppm Cd; med-ium pollution: twofold concentrations; heavy pollution: threefold concentrations; uncontaminated control). We in-vestigated the prognostic potential of 16 soil microbial properties (microbial biomass, respiration, N-mineraliza-tion, 13 soil enzymes involved in cycling of C, N, P and S) with regard to their ability to differentiate the four con-tamination levels. Microbial biomass and enzyme activities decreased with increasing heavy metal pollution, but the amount of decrease differed among the enzymes. Enzymes involved in the C-cycling were least affected, whereas var-ious enzyme activities related to the cycling of N, P and S showed a considerable decrease in activity. In particular, arylsulfatase and phosphatase activities were dramatically affected. Their activity decreased to a level of a few per-cent of their activities in the corresponding unpolluted controls. The data suggest that aside from the loss of rare biochemical capabilities -such as the growth of organisms at the expense of aromatics (Reber 1992) -heavy metal contaminated soils lose very common biochemical proper-titles which are necessary for the functioning of the eco-system. Cluster analysis as well as discriminant analysis underline the similarity of the enzyme activity pattern among the controls and among the polluted soils. The trend toward a significant functional diversity loss be-comes obvious already at the lowest pollution level. This implies that concentrations of heavy metals in soils near the current EC limits will most probably lead to a consid-erable reduction in decomposition and nutrient cycling rates. We conclude that heavy metal pollution severely de-creases the functional diversity of the soil microbial com-munity and impairs specific pathways of nutrient cycling.","author":[{"dropping-particle":"","family":"Kandeler","given":"E","non-dropping-particle":"","parse-names":false,"suffix":""},{"dropping-particle":"","family":"Kampichler","given":"C","non-dropping-particle":"","parse-names":false,"suffix":""},{"dropping-particle":"","family":"Horak","given":"O","non-dropping-particle":"","parse-names":false,"suffix":""}],"container-title":"Biology and Fertility of Soils","id":"ITEM-2","issued":{"date-parts":[["1996"]]},"page":"299-306","title":"Influence of heavy metals on the functional diversity of soil microbial communities","type":"article-journal","volume":"23"},"uris":["http://www.mendeley.com/documents/?uuid=8f4fa6bc-7359-31b0-b8ab-02b225e20a1b"]}],"mendeley":{"formattedCitation":"(Ahmad et al., 2016; Kandeler et al., 1996)","plainTextFormattedCitation":"(Ahmad et al., 2016; Kandeler et al., 1996)","previouslyFormattedCitation":"(Ahmad et al., 2016; Kandeler et al., 1996)"},"properties":{"noteIndex":0},"schema":"https://github.com/citation-style-language/schema/raw/master/csl-citation.json"}</w:instrText>
      </w:r>
      <w:r w:rsidRPr="00216965">
        <w:fldChar w:fldCharType="separate"/>
      </w:r>
      <w:r w:rsidR="001974AA" w:rsidRPr="00216965">
        <w:rPr>
          <w:noProof/>
        </w:rPr>
        <w:t>(Ahmad et al., 2016; Kandeler et al., 1996)</w:t>
      </w:r>
      <w:r w:rsidRPr="00216965">
        <w:fldChar w:fldCharType="end"/>
      </w:r>
      <w:r w:rsidRPr="00216965">
        <w:t xml:space="preserve">. The addition of biochar to Wemyss soil changed microbial relative abundance and composition but total abundance was not affected, whereas compost addition changed soil microbial composition, relative abundance and increased total abundance. </w:t>
      </w:r>
    </w:p>
    <w:p w14:paraId="4D9CE23D" w14:textId="4ED2FD62" w:rsidR="00B45740" w:rsidRPr="00216965" w:rsidRDefault="00B45740" w:rsidP="008A33DA">
      <w:pPr>
        <w:spacing w:line="360" w:lineRule="auto"/>
        <w:jc w:val="both"/>
      </w:pPr>
      <w:r w:rsidRPr="00216965">
        <w:fldChar w:fldCharType="begin" w:fldLock="1"/>
      </w:r>
      <w:r w:rsidR="006C06AA" w:rsidRPr="00216965">
        <w:instrText>ADDIN CSL_CITATION {"citationItems":[{"id":"ITEM-1","itemData":{"DOI":"10.1039/c5ra04834f","ISSN":"20462069","abstract":"Biochar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Advances","id":"ITEM-1","issue":"44","issued":{"date-parts":[["2015"]]},"page":"34541-34548","publisher":"Royal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soil","type":"article-journal","volume":"5"},"uris":["http://www.mendeley.com/documents/?uuid=ebb20dbb-cbd3-3e20-a001-a39f6f139234"]}],"mendeley":{"formattedCitation":"(Zeng et al., 2015)","manualFormatting":"Zeng et al. (2015)","plainTextFormattedCitation":"(Zeng et al., 2015)","previouslyFormattedCitation":"(Zeng et al., 2015)"},"properties":{"noteIndex":0},"schema":"https://github.com/citation-style-language/schema/raw/master/csl-citation.json"}</w:instrText>
      </w:r>
      <w:r w:rsidRPr="00216965">
        <w:fldChar w:fldCharType="separate"/>
      </w:r>
      <w:r w:rsidRPr="00216965">
        <w:rPr>
          <w:noProof/>
        </w:rPr>
        <w:t xml:space="preserve">Zeng </w:t>
      </w:r>
      <w:r w:rsidR="009B2252" w:rsidRPr="00216965">
        <w:rPr>
          <w:noProof/>
        </w:rPr>
        <w:t>et al</w:t>
      </w:r>
      <w:r w:rsidRPr="00216965">
        <w:rPr>
          <w:i/>
          <w:noProof/>
        </w:rPr>
        <w:t>.</w:t>
      </w:r>
      <w:r w:rsidRPr="00216965">
        <w:rPr>
          <w:noProof/>
        </w:rPr>
        <w:t xml:space="preserve"> (2015)</w:t>
      </w:r>
      <w:r w:rsidRPr="00216965">
        <w:fldChar w:fldCharType="end"/>
      </w:r>
      <w:r w:rsidRPr="00216965">
        <w:t xml:space="preserve"> reported that the addition of biochar and compost to a wetland soil contaminated by Cd, Cu, Zn and Pb significantly changed soil microbial biomass and also affected soil microbial community structure. </w:t>
      </w:r>
      <w:r w:rsidRPr="00216965">
        <w:fldChar w:fldCharType="begin" w:fldLock="1"/>
      </w:r>
      <w:r w:rsidR="006C06AA" w:rsidRPr="00216965">
        <w:instrText>ADDIN CSL_CITATION {"citationItems":[{"id":"ITEM-1","itemData":{"DOI":"10.1016/j.jenvman.2015.10.006","ISSN":"10958630","abstract":"Biochar is gaining attention as a potential soil amendment to remediate and revitalize the contaminated soils. Simultaneous effects of biochar on metals mobility, microbial abundance, bacterial diversity and carbon storage in soil are scarcely addressed. This study assessed the effect of biochars on metal mobility, microbial abundance, bacterial community, and carbon storage in an agricultural soil contaminated with heavy metals. Biochars derived from soybean stover at 300 and 700 °C (S-BC300 and S-BC700, respectively) and pine needles at the same temperatures (P-BC300 and P-BC700, respectively) were used. A maximum reduction of Pb mobility by 95% was observed from a soil treated with S-BC700, associated with precipitation of chloropyromorphite and hydroxylpyromorphite. In contrast, As was desorbed from soil particles because of P competition. The abundance of Gram-positive and negative bacteria, fungi, actinomycetes, and arbuscular mycorrhizal fungi increased in the soils treated with biochar produced at 300 °C, possibly due to the high dissolved organic and active organic carbons. Microbial abundance in the soils treated with S-BC700 and P-BC700 was constant due to the existence of fixed or non-labile carbon. Changes to bacterial communities in the biochar-treated soils depended on feedstock type and pyrolysis temperature. Actinobacteria substantially increased whereas Acidobacteria and Chloroflexi decreased in the biochar-treated soils. The non-labile carbon fraction was ~25 fold higher in the biochar-treated soil than the control soil, indicating long-term carbon storage.","author":[{"dropping-particle":"","family":"Ahmad","given":"Mahtab","non-dropping-particle":"","parse-names":false,"suffix":""},{"dropping-particle":"","family":"Ok","given":"Yong Sik","non-dropping-particle":"","parse-names":false,"suffix":""},{"dropping-particle":"","family":"Kim","given":"Byung Yong","non-dropping-particle":"","parse-names":false,"suffix":""},{"dropping-particle":"","family":"Ahn","given":"Jae Hyung","non-dropping-particle":"","parse-names":false,"suffix":""},{"dropping-particle":"","family":"Lee","given":"Young Han","non-dropping-particle":"","parse-names":false,"suffix":""},{"dropping-particle":"","family":"Zhang","given":"Ming","non-dropping-particle":"","parse-names":false,"suffix":""},{"dropping-particle":"","family":"Moon","given":"Deok Hyun","non-dropping-particle":"","parse-names":false,"suffix":""},{"dropping-particle":"","family":"Al-Wabel","given":"Mohammad I.","non-dropping-particle":"","parse-names":false,"suffix":""},{"dropping-particle":"","family":"Lee","given":"Sang Soo","non-dropping-particle":"","parse-names":false,"suffix":""}],"container-title":"Journal of Environmental Management","id":"ITEM-1","issued":{"date-parts":[["2016","1","15"]]},"page":"131-139","publisher":"Academic Press","title":"Impact of soybean stover- and pine needle-derived biochars on Pb and As mobility, microbial community, and carbon stability in a contaminated agricultural soil","type":"article-journal","volume":"166"},"uris":["http://www.mendeley.com/documents/?uuid=323abb5e-343f-38c4-9a02-93e9578fcd7a"]}],"mendeley":{"formattedCitation":"(Ahmad et al., 2016)","manualFormatting":"Ahmad et al. (2016)","plainTextFormattedCitation":"(Ahmad et al., 2016)","previouslyFormattedCitation":"(Ahmad et al., 2016)"},"properties":{"noteIndex":0},"schema":"https://github.com/citation-style-language/schema/raw/master/csl-citation.json"}</w:instrText>
      </w:r>
      <w:r w:rsidRPr="00216965">
        <w:fldChar w:fldCharType="separate"/>
      </w:r>
      <w:r w:rsidRPr="00216965">
        <w:rPr>
          <w:noProof/>
        </w:rPr>
        <w:t>Ahmad</w:t>
      </w:r>
      <w:r w:rsidRPr="00216965">
        <w:rPr>
          <w:i/>
          <w:noProof/>
        </w:rPr>
        <w:t xml:space="preserve"> </w:t>
      </w:r>
      <w:r w:rsidR="009B2252" w:rsidRPr="00216965">
        <w:rPr>
          <w:noProof/>
        </w:rPr>
        <w:t>et al</w:t>
      </w:r>
      <w:r w:rsidRPr="00216965">
        <w:rPr>
          <w:noProof/>
        </w:rPr>
        <w:t>. (2016)</w:t>
      </w:r>
      <w:r w:rsidRPr="00216965">
        <w:fldChar w:fldCharType="end"/>
      </w:r>
      <w:r w:rsidRPr="00216965">
        <w:t xml:space="preserve"> reported that bacterial diversity in Pb- and As-contaminated soils treated with pine needle biochar was dramatically changed compared to the soil treated with soybean stover biochar. In this study, the addition of the organic amendments did not affect microbial diversity indexes (except Inverse Simpson). Similar findings were reported by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2021)","manualFormatting":"Li et al. (2021)","plainTextFormattedCitation":"(Li et al., 2021)","previouslyFormattedCitation":"(Li et al., 2021)"},"properties":{"noteIndex":0},"schema":"https://github.com/citation-style-language/schema/raw/master/csl-citation.json"}</w:instrText>
      </w:r>
      <w:r w:rsidRPr="00216965">
        <w:fldChar w:fldCharType="separate"/>
      </w:r>
      <w:r w:rsidRPr="00216965">
        <w:rPr>
          <w:noProof/>
        </w:rPr>
        <w:t xml:space="preserve">Li </w:t>
      </w:r>
      <w:r w:rsidR="009B2252" w:rsidRPr="00216965">
        <w:rPr>
          <w:noProof/>
        </w:rPr>
        <w:t>et al</w:t>
      </w:r>
      <w:r w:rsidRPr="00216965">
        <w:rPr>
          <w:i/>
          <w:noProof/>
        </w:rPr>
        <w:t>.</w:t>
      </w:r>
      <w:r w:rsidRPr="00216965">
        <w:rPr>
          <w:noProof/>
        </w:rPr>
        <w:t xml:space="preserve"> (2021)</w:t>
      </w:r>
      <w:r w:rsidRPr="00216965">
        <w:fldChar w:fldCharType="end"/>
      </w:r>
      <w:r w:rsidRPr="00216965">
        <w:t>, who found that the addition of compost changed the structure of bacterial populations but with no significant effect on bacterial diversity indexes.</w:t>
      </w:r>
    </w:p>
    <w:p w14:paraId="0E134E8C" w14:textId="09A4A2A3" w:rsidR="00AB2390" w:rsidRPr="00216965" w:rsidRDefault="00B45740" w:rsidP="008A33DA">
      <w:pPr>
        <w:spacing w:line="360" w:lineRule="auto"/>
        <w:jc w:val="both"/>
      </w:pPr>
      <w:r w:rsidRPr="00216965">
        <w:t xml:space="preserve">In this study, both bacteria and fungi were significantly affected by the addition of compost to the soil, whereas biochar had little effect on soil microbial relative abundance and composition. Conversely, the combination of biochar and compost did not produce any major difference relative to the addition of compost only. Similarly, </w:t>
      </w:r>
      <w:r w:rsidRPr="00216965">
        <w:fldChar w:fldCharType="begin" w:fldLock="1"/>
      </w:r>
      <w:r w:rsidR="006C06AA" w:rsidRPr="00216965">
        <w:instrText>ADDIN CSL_CITATION {"citationItems":[{"id":"ITEM-1","itemData":{"DOI":"10.1155/2017/3158207","ISSN":"16878167","abstract":"Impacts of biochar application in combination with organic fertilizer, such as compost, are not fully understood. In this study, we tested the effects of biochar amendment, compost addition, and their combination on lettuce plants grown in a soil poor in nutrients; soil microbiological, chemical, and physical characteristics were analyzed, together with plant growth and physiology. An initial screening was also done to evaluate the effect of biochar and compost toxicity, using cress plants and earthworms. Results showed that compost amendment had clear and positive effects on plant growth and yield and on soil chemical characteristics. However, we demonstrated that also the biochar alone stimulated lettuce leaves number and total biomass, improving soil total nitrogen and phosphorus contents, as well as total carbon, and enhancing related microbial communities. Nevertheless, combining biochar and compost, no positive synergic and summative effects were observed. Our results thus demonstrate that in a soil poor in nutrients the biochar alone could be effectively used to enhance soil fertility and plant growth and biomass yield. However, we can speculate that the combination of compost and biochar may enhance and sustain soil biophysical and chemical characteristics and improve crop productivity over time.","author":[{"dropping-particle":"","family":"Trupiano","given":"Dalila","non-dropping-particle":"","parse-names":false,"suffix":""},{"dropping-particle":"","family":"Cocozza","given":"Claudia","non-dropping-particle":"","parse-names":false,"suffix":""},{"dropping-particle":"","family":"Baronti","given":"Silvia","non-dropping-particle":"","parse-names":false,"suffix":""},{"dropping-particle":"","family":"Amendola","given":"Carla","non-dropping-particle":"","parse-names":false,"suffix":""},{"dropping-particle":"","family":"Vaccari","given":"Francesco Primo","non-dropping-particle":"","parse-names":false,"suffix":""},{"dropping-particle":"","family":"Lustrato","given":"Giuseppe","non-dropping-particle":"","parse-names":false,"suffix":""},{"dropping-particle":"","family":"Lonardo","given":"Sara","non-dropping-particle":"Di","parse-names":false,"suffix":""},{"dropping-particle":"","family":"Fantasma","given":"Francesca","non-dropping-particle":"","parse-names":false,"suffix":""},{"dropping-particle":"","family":"Tognetti","given":"Roberto","non-dropping-particle":"","parse-names":false,"suffix":""},{"dropping-particle":"","family":"Scippa","given":"Gabriella Stefania","non-dropping-particle":"","parse-names":false,"suffix":""}],"container-title":"International Journal of Agronomy","id":"ITEM-1","issued":{"date-parts":[["2017"]]},"page":"3158207","title":"The effects of biochar and its combination with compost on lettuce (Lactuca sativa L.) growth, soil properties, and soil microbial activity and abundance","type":"article-journal","volume":"2017"},"uris":["http://www.mendeley.com/documents/?uuid=6457cdf1-f525-43a8-b25e-2be97013479d"]}],"mendeley":{"formattedCitation":"(Trupiano et al., 2017)","manualFormatting":"Trupiano et al. (2017)","plainTextFormattedCitation":"(Trupiano et al., 2017)","previouslyFormattedCitation":"(Trupiano et al., 2017)"},"properties":{"noteIndex":0},"schema":"https://github.com/citation-style-language/schema/raw/master/csl-citation.json"}</w:instrText>
      </w:r>
      <w:r w:rsidRPr="00216965">
        <w:fldChar w:fldCharType="separate"/>
      </w:r>
      <w:r w:rsidRPr="00216965">
        <w:rPr>
          <w:noProof/>
        </w:rPr>
        <w:t xml:space="preserve">Trupiano </w:t>
      </w:r>
      <w:r w:rsidR="009B2252" w:rsidRPr="00216965">
        <w:rPr>
          <w:noProof/>
        </w:rPr>
        <w:t>et al</w:t>
      </w:r>
      <w:r w:rsidRPr="00216965">
        <w:rPr>
          <w:i/>
          <w:noProof/>
        </w:rPr>
        <w:t>.</w:t>
      </w:r>
      <w:r w:rsidRPr="00216965">
        <w:rPr>
          <w:noProof/>
        </w:rPr>
        <w:t xml:space="preserve"> (2017)</w:t>
      </w:r>
      <w:r w:rsidRPr="00216965">
        <w:fldChar w:fldCharType="end"/>
      </w:r>
      <w:r w:rsidRPr="00216965">
        <w:t xml:space="preserve"> also reported no positive synergic and summative effects on microbial dynamics after combining biochar and compost in soil. Also, </w:t>
      </w:r>
      <w:r w:rsidRPr="00216965">
        <w:fldChar w:fldCharType="begin" w:fldLock="1"/>
      </w:r>
      <w:r w:rsidR="006C06AA" w:rsidRPr="00216965">
        <w:instrText>ADDIN CSL_CITATION {"citationItems":[{"id":"ITEM-1","itemData":{"DOI":"10.1016/j.agee.2014.12.001","ISSN":"01678809","abstract":"The use of copper (Cu) fungicides in agriculture has led to Cu accumulation in European topsoils. This study is the first to investigate the in situ efficacy of biochar and biochar-compost as Cu immobilizers, reducing Cu uptake by plants and increasing microbial abundance and activity, in a temperate vineyard topsoil (0-10cm). After application of biochar, compost and biochar-compost in April 2011, plant and soil samples were taken in November 2011, April 2012, August 2012, and November 2012. Similar amounts of exchangeable Cu fractions (CuDTPA) in all treatments showed that there was no significant effect on Cu immobilization in soil. In contrast, cover crops grown between vine rows were observed to take up a significant amount of Cu (38.7mg Cu kg-1), reducing soil Cu concentrations over time. Treatments with biochar and/or compost initially increased total carbon, with compost and biochar-compost additionally increasing extractable organic carbon in soil. Compost and biochar-compost significantly increased microbial biomass, phospholipid fatty acids (PLFAs), enzyme activities (phosphatase, arylsulfatase) and bacterial taxa abundances (Actinobacteria, α-Proteobacteria, β-Proteobacteria, Firmicutes, Gemmatimonadetes). A high abundance of gram+ Actinobacteria in all treatments suggested that they are adapted to heavy metals, likely due to their specific cell membrane structures. Additionally, each treatment was characterized by a specific microbial community composition. Compost and biochar-compost increased the relative abundance of Firmicutes, while control and biochar increased Acidobacteria, Gemmatimonadetes and Actinobacteria. In conclusion, biochar and/or compost were not viable Cu remediation options, but compost and biochar-compost provided ecosystem services by reinforcing the microbial community.","author":[{"dropping-particle":"","family":"Mackie","given":"K. A.","non-dropping-particle":"","parse-names":false,"suffix":""},{"dropping-particle":"","family":"Marhan","given":"S.","non-dropping-particle":"","parse-names":false,"suffix":""},{"dropping-particle":"","family":"Ditterich","given":"F.","non-dropping-particle":"","parse-names":false,"suffix":""},{"dropping-particle":"","family":"Schmidt","given":"H. P.","non-dropping-particle":"","parse-names":false,"suffix":""},{"dropping-particle":"","family":"Kandeler","given":"E.","non-dropping-particle":"","parse-names":false,"suffix":""}],"container-title":"Agriculture, Ecosystems and Environment","id":"ITEM-1","issued":{"date-parts":[["2015"]]},"page":"58-69","publisher":"Elsevier B.V.","title":"The effects of biochar and compost amendments on copper immobilization and soil microorganisms in a temperate vineyard","type":"article-journal","volume":"201"},"uris":["http://www.mendeley.com/documents/?uuid=589ebaf4-6f08-4981-ad8b-ebcfd1a24fc9"]}],"mendeley":{"formattedCitation":"(Mackie et al., 2015)","manualFormatting":"Mackie et al. (2015)","plainTextFormattedCitation":"(Mackie et al., 2015)","previouslyFormattedCitation":"(Mackie et al., 2015)"},"properties":{"noteIndex":0},"schema":"https://github.com/citation-style-language/schema/raw/master/csl-citation.json"}</w:instrText>
      </w:r>
      <w:r w:rsidRPr="00216965">
        <w:fldChar w:fldCharType="separate"/>
      </w:r>
      <w:r w:rsidRPr="00216965">
        <w:rPr>
          <w:noProof/>
        </w:rPr>
        <w:t xml:space="preserve">Mackie </w:t>
      </w:r>
      <w:r w:rsidR="009B2252" w:rsidRPr="00216965">
        <w:rPr>
          <w:noProof/>
        </w:rPr>
        <w:t>et al</w:t>
      </w:r>
      <w:r w:rsidRPr="00216965">
        <w:rPr>
          <w:i/>
          <w:noProof/>
        </w:rPr>
        <w:t>.</w:t>
      </w:r>
      <w:r w:rsidRPr="00216965">
        <w:rPr>
          <w:noProof/>
        </w:rPr>
        <w:t xml:space="preserve"> (2015)</w:t>
      </w:r>
      <w:r w:rsidRPr="00216965">
        <w:fldChar w:fldCharType="end"/>
      </w:r>
      <w:r w:rsidRPr="00216965">
        <w:t xml:space="preserve"> stated that biochar addition had no significant effect on soil microbial abundance or activity, whereas the addition of compost and biochar–compost amendments significantly increased microbial abundance and enzyme activities. They concluded that the addition of biochar to compost has no added benefit for soil microbes. </w:t>
      </w:r>
    </w:p>
    <w:p w14:paraId="74D9F511" w14:textId="1BD9ABBC" w:rsidR="00AB2390" w:rsidRPr="00216965" w:rsidRDefault="00B45740" w:rsidP="008A33DA">
      <w:pPr>
        <w:spacing w:line="360" w:lineRule="auto"/>
        <w:jc w:val="both"/>
        <w:rPr>
          <w:lang w:val="fr-FR"/>
        </w:rPr>
      </w:pPr>
      <w:r w:rsidRPr="00216965">
        <w:lastRenderedPageBreak/>
        <w:t>The significant impact of compost in shaping the microbial community probably reflects three main reasons: i) a decreased HM toxicity due to the formation of organo-metallic complexes that reduced HM bioavailability, ii) an increase in soil pH, and iii) the nutrients (Ca, Mg, K, B, PO</w:t>
      </w:r>
      <w:r w:rsidRPr="00216965">
        <w:rPr>
          <w:vertAlign w:val="subscript"/>
        </w:rPr>
        <w:t>4</w:t>
      </w:r>
      <w:r w:rsidRPr="00216965">
        <w:rPr>
          <w:vertAlign w:val="superscript"/>
        </w:rPr>
        <w:t>3-</w:t>
      </w:r>
      <w:r w:rsidRPr="00216965">
        <w:t xml:space="preserve">) and OM supplied by compost. In the case of biochar addition, it is suggested that changes in community composition and relative abundance were due to i) change in the soil pH, and ii) reduced HM toxicity. Previous studies have indicated that changes in soil pH, soil organic matter and nutrients could influence the diversity, composition or function of the soil bacterial community </w:t>
      </w:r>
      <w:r w:rsidRPr="00216965">
        <w:fldChar w:fldCharType="begin" w:fldLock="1"/>
      </w:r>
      <w:r w:rsidR="006C06AA" w:rsidRPr="00216965">
        <w:instrText>ADDIN CSL_CITATION {"citationItems":[{"id":"ITEM-1","itemData":{"DOI":"10.1016/j.apsoil.2020.103744","ISSN":"09291393","abstract":"Application of sewage sludge to forested land has been regarded as a promising method for sewage sludge disposal, because it can improve soil fertility and productivity. It is also likely to alter the soil nutrient cycle, which is mainly mediated by soil microorganisms. However, how the soil bacterial community responds to the application of sewage sludge in subtropical planted forests is poorly understood. Unlike farmland soil, forestland soil is covered with leaf litter, which might influence the effects of sewage sludge on the soil bacterial community. In this study, we investigated the effects of sewage sludge application (30 t/ha) on the soil bacterial community at 0–10 cm depth in three forest plantations (Eucalyptus urophylla, Pinus elliottii, and Schima superba) in southern China. The treatments included sewage sludge addition (treatment S), sewage sludge addition and leaf litter removal (treatment SLR), and a control (CK). The composition of the soil bacterial community differed in the three forest plantations and was affected by treatment S, but the effects of treatment S were not greatly altered by litter removal in the three forest plantations. At the community level, the composition of the soil bacterial community was significantly related to soil pH, available phosphorus (P) and potassium (K), and cadmium (Cd). At the phylum level, the relative abundance of Actinobacteria, Bacteroidetes, and Chloroflexi was increased by treatments S and SLR, while that of Acidobacteria, Proteobacteria, and Verrucomicrobia was decreased. The changes in the abundance of these bacteria were significantly related to the increase in the contents of available nutrients and heavy metals. Sewage sludge application resulted in an increased number of positive interactions among bacterial taxa, lower modularity, and higher connectivity, which indicated an unstable bacterial community. Changes in the composition, co-occurrence pattern, and keystone taxa of the bacterial community might reflect adaptation to sewage sludge application.","author":[{"dropping-particle":"","family":"Zhao","given":"Qian","non-dropping-particle":"","parse-names":false,"suffix":""},{"dropping-particle":"","family":"Chu","given":"Shuangshuang","non-dropping-particle":"","parse-names":false,"suffix":""},{"dropping-particle":"","family":"He","given":"Dan","non-dropping-particle":"","parse-names":false,"suffix":""},{"dropping-particle":"","family":"Wu","given":"Daoming","non-dropping-particle":"","parse-names":false,"suffix":""},{"dropping-particle":"","family":"Mo","given":"Qifeng","non-dropping-particle":"","parse-names":false,"suffix":""},{"dropping-particle":"","family":"Zeng","given":"Shucai","non-dropping-particle":"","parse-names":false,"suffix":""}],"container-title":"Applied Soil Ecology","id":"ITEM-1","issued":{"date-parts":[["2021"]]},"page":"103744","publisher":"Elsevier","title":"Sewage sludge application alters the composition and co-occurrence pattern of the soil bacterial community in southern China forestlands","type":"article-journal","volume":"157"},"uris":["http://www.mendeley.com/documents/?uuid=e3354dc4-b1c8-4645-a269-558f8b6249d3"]},{"id":"ITEM-2","itemData":{"DOI":"10.1016/J.ECOENV.2021.112497","ISSN":"0147-6513","abstract":"Sewage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Safety","id":"ITEM-2","issued":{"date-parts":[["2021","10","1"]]},"page":"112497","publisher":"Academic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 Zhao et al., 2021)","plainTextFormattedCitation":"(Li et al., 2021; Zhao et al., 2021)","previouslyFormattedCitation":"(Li et al., 2021; Zhao et al., 2021)"},"properties":{"noteIndex":0},"schema":"https://github.com/citation-style-language/schema/raw/master/csl-citation.json"}</w:instrText>
      </w:r>
      <w:r w:rsidRPr="00216965">
        <w:fldChar w:fldCharType="separate"/>
      </w:r>
      <w:r w:rsidR="00C83E62" w:rsidRPr="00216965">
        <w:rPr>
          <w:noProof/>
          <w:lang w:val="fr-FR"/>
        </w:rPr>
        <w:t>(Li et al., 2021; Zhao et al., 2021)</w:t>
      </w:r>
      <w:r w:rsidRPr="00216965">
        <w:fldChar w:fldCharType="end"/>
      </w:r>
      <w:r w:rsidRPr="00216965">
        <w:rPr>
          <w:lang w:val="fr-FR"/>
        </w:rPr>
        <w:t xml:space="preserve">. </w:t>
      </w:r>
    </w:p>
    <w:p w14:paraId="16A00DA9" w14:textId="2AED06B4" w:rsidR="00B45740" w:rsidRPr="00216965" w:rsidRDefault="00B45740" w:rsidP="008A33DA">
      <w:pPr>
        <w:spacing w:line="360" w:lineRule="auto"/>
        <w:jc w:val="both"/>
      </w:pPr>
      <w:r w:rsidRPr="00216965">
        <w:fldChar w:fldCharType="begin" w:fldLock="1"/>
      </w:r>
      <w:r w:rsidR="006C06AA" w:rsidRPr="00216965">
        <w:instrText>ADDIN CSL_CITATION {"citationItems":[{"id":"ITEM-1","itemData":{"DOI":"10.3390/molecules26164783","ISSN":"14203049","PMID":"34443371","abstract":"The purpose of this study was to clarify the effects of biochar on the diversity of bacteria and fungi in the rice root zone and to reveal the changes in soil microbial community structure in the root zone after biochar application to provide a scientific basis for the improvement of albic soil. Rice and corn stalk biochar were mixed with albic soil in a pot experiment. Soil samples were collected at the rice maturity stage, soil nutrients were determined, and genomic DNA was extracted. The library was established using polymerase chain reaction (PCR) amplification. The abundance, diversity index, and community structure of the soil bacterial 16SrRNA gene V3 + V4 region and the fungal internal transcribed spacer-1 (ITS1) region were analyzed using Illumina second-generation high-throughput sequencing technology on the MiSeq platform with related bioinformatics. The results revealed that the biochar increased the soil nutrient content of albic soil. The bacteria ACE indexes of treatments of rice straw biochar (SD) and corn straw biochar (SY) were increased by 3.10% and 2.06%, respectively, and the fungi ACE and Chao indices of SD were increased by 7.86% and 14.16%, respectively, compared to conventional control treatment with no biochar (SBCK). The numbers of bacterial and fungal operational taxonomic units (OUT) in SD and SY were increased, respectively, compared to that of SBCK. The relationship between soil bacteria and fungi in the biochar-treated groups was stronger than that in the SBCK. The bacterial and fungal populations were correlated with soil nutrients, which suggested that the impacts of biochar on the soil bacteria and fungi community were indirectly driven by alternation of soil nutrient characteristics. The addition of two types of biochar altered the soil microbial community structure and the effect of rice straw biochar treatment on SD was more pronounced. This study aimed to provide a reference and basic understanding for albic soil improvement by biochar, with good application prospects.","author":[{"dropping-particle":"","family":"Yin","given":"Dawei","non-dropping-particle":"","parse-names":false,"suffix":""},{"dropping-particle":"","family":"Li","given":"Hongyu","non-dropping-particle":"","parse-names":false,"suffix":""},{"dropping-particle":"","family":"Wang","given":"Haize","non-dropping-particle":"","parse-names":false,"suffix":""},{"dropping-particle":"","family":"Guo","given":"Xiaohong","non-dropping-particle":"","parse-names":false,"suffix":""},{"dropping-particle":"","family":"Wang","given":"Zhihui","non-dropping-particle":"","parse-names":false,"suffix":""},{"dropping-particle":"","family":"Lv","given":"Yandong","non-dropping-particle":"","parse-names":false,"suffix":""},{"dropping-particle":"","family":"Ding","given":"Guohua","non-dropping-particle":"","parse-names":false,"suffix":""},{"dropping-particle":"","family":"Jin","given":"Liang","non-dropping-particle":"","parse-names":false,"suffix":""},{"dropping-particle":"","family":"Lan","given":"Yu","non-dropping-particle":"","parse-names":false,"suffix":""}],"container-title":"Molecules","id":"ITEM-1","issued":{"date-parts":[["2021"]]},"page":"4783","title":"Impact of different biochars on microbial community structure in the rhizospheric soil of rice grown in albic soil","type":"article-journal","volume":"26"},"uris":["http://www.mendeley.com/documents/?uuid=cd021ef5-47e0-478d-bf99-e7193c6a0e64"]}],"mendeley":{"formattedCitation":"(Yin et al., 2021)","manualFormatting":"Yin et al. (2021)","plainTextFormattedCitation":"(Yin et al., 2021)","previouslyFormattedCitation":"(Yin et al., 2021)"},"properties":{"noteIndex":0},"schema":"https://github.com/citation-style-language/schema/raw/master/csl-citation.json"}</w:instrText>
      </w:r>
      <w:r w:rsidRPr="00216965">
        <w:fldChar w:fldCharType="separate"/>
      </w:r>
      <w:r w:rsidRPr="00216965">
        <w:rPr>
          <w:noProof/>
        </w:rPr>
        <w:t xml:space="preserve">Yin </w:t>
      </w:r>
      <w:r w:rsidR="009B2252" w:rsidRPr="00216965">
        <w:rPr>
          <w:iCs/>
          <w:noProof/>
        </w:rPr>
        <w:t>et al</w:t>
      </w:r>
      <w:r w:rsidRPr="00216965">
        <w:rPr>
          <w:noProof/>
        </w:rPr>
        <w:t>. (2021)</w:t>
      </w:r>
      <w:r w:rsidRPr="00216965">
        <w:fldChar w:fldCharType="end"/>
      </w:r>
      <w:r w:rsidRPr="00216965">
        <w:t xml:space="preserve"> attributed the changes in microbial community composition of an albic soil to changes in soil properties, such as soil pH, after addition of rice and corn stalk biochars. The CCA analysis further supports the proposed reasons by which compost and biochar shaped the soil microbial communities. The main drivers of the separation of bacterial and fungal groups in the CCA were bioavailable Pb and Zn, and on the other side, bioavailable Ca, K, Mg, </w:t>
      </w:r>
      <w:r w:rsidR="007D51F9" w:rsidRPr="00216965">
        <w:t xml:space="preserve">OM, </w:t>
      </w:r>
      <w:r w:rsidRPr="00216965">
        <w:t xml:space="preserve">phosphate and soil pH. After analysing the composition of bacterial communities in soil samples from 110 sites </w:t>
      </w:r>
      <w:r w:rsidRPr="00216965">
        <w:fldChar w:fldCharType="begin" w:fldLock="1"/>
      </w:r>
      <w:r w:rsidR="006C06AA" w:rsidRPr="00216965">
        <w:instrText>ADDIN CSL_CITATION {"citationItems":[{"id":"ITEM-1","itemData":{"DOI":"10.1128/AEM.02826-16","author":[{"dropping-particle":"","family":"Hermans","given":"Syrie M","non-dropping-particle":"","parse-names":false,"suffix":""},{"dropping-particle":"","family":"Buckley","given":"Hannah L","non-dropping-particle":"","parse-names":false,"suffix":""},{"dropping-particle":"","family":"Case","given":"Bradley S","non-dropping-particle":"","parse-names":false,"suffix":""},{"dropping-particle":"","family":"Curran-cournane","given":"Fiona","non-dropping-particle":"","parse-names":false,"suffix":""},{"dropping-particle":"","family":"Taylor","given":"Matthew","non-dropping-particle":"","parse-names":false,"suffix":""}],"container-title":"Applied and Environmental Microbiology","id":"ITEM-1","issue":"1","issued":{"date-parts":[["2017"]]},"page":"e02826-16","title":"Bacteria as emerging indicators of soil condition","type":"article-journal","volume":"83"},"uris":["http://www.mendeley.com/documents/?uuid=7127a410-fdc3-4be0-8d23-ca0ff1d6d20c"]}],"mendeley":{"formattedCitation":"(Hermans et al., 2017)","manualFormatting":"Hermans et al. (2017)","plainTextFormattedCitation":"(Hermans et al., 2017)","previouslyFormattedCitation":"(Hermans et al., 2017)"},"properties":{"noteIndex":0},"schema":"https://github.com/citation-style-language/schema/raw/master/csl-citation.json"}</w:instrText>
      </w:r>
      <w:r w:rsidRPr="00216965">
        <w:fldChar w:fldCharType="separate"/>
      </w:r>
      <w:r w:rsidRPr="00216965">
        <w:rPr>
          <w:noProof/>
        </w:rPr>
        <w:t xml:space="preserve">Hermans </w:t>
      </w:r>
      <w:r w:rsidR="009B2252" w:rsidRPr="00216965">
        <w:rPr>
          <w:noProof/>
        </w:rPr>
        <w:t>et al</w:t>
      </w:r>
      <w:r w:rsidRPr="00216965">
        <w:rPr>
          <w:i/>
          <w:noProof/>
        </w:rPr>
        <w:t>.</w:t>
      </w:r>
      <w:r w:rsidRPr="00216965">
        <w:rPr>
          <w:noProof/>
        </w:rPr>
        <w:t xml:space="preserve"> (2017)</w:t>
      </w:r>
      <w:r w:rsidRPr="00216965">
        <w:fldChar w:fldCharType="end"/>
      </w:r>
      <w:r w:rsidRPr="00216965">
        <w:t xml:space="preserve"> concluded that most of the bacterial phyla showed a positive relationship with pH, increasing in abundance as soils became more neutral. Similarly, other authors have mentioned that the diversity of soil bacterial communities is often strongly correlated with soil pH </w:t>
      </w:r>
      <w:r w:rsidRPr="00216965">
        <w:fldChar w:fldCharType="begin" w:fldLock="1"/>
      </w:r>
      <w:r w:rsidR="006C06AA" w:rsidRPr="00216965">
        <w:instrText>ADDIN CSL_CITATION {"citationItems":[{"id":"ITEM-1","itemData":{"DOI":"10.1038/ismej.2010.58","ISBN":"17517362/10","abstract":"Soils collected across a long-term liming experiment (pH 4.0-8.3), in which variation in factors other than pH have been minimized, were used to investigate the direct influence of pH on the abundance and composition of the two major soil microbial taxa, fungi and bacteria. We hypothesized that bacterial communities would be more strongly influenced by pH than fungal communities. To determine the relative abundance of bacteria and fungi, we used quantitative PCR (qPCR), and to analyze the composition and diversity of the bacterial and fungal communities, we used a bar-coded pyrosequencing technique. Both the relative abundance and diversity of bacteria were positively related to pH, the latter nearly doubling between pH 4 and 8. In contrast, the relative abundance of fungi was unaffected by pH and fungal diversity was only weakly related with pH. The composition of the bacterial communities was closely defined by soil pH; there was as much variability in bacterial community composition across the 180-m distance of this liming experiment as across soils collected from a wide range of biomes in North and South America, emphasizing the dominance of pH in structuring bacterial communities. The apparent direct influence of pH on bacterial community composition is probably due to the narrow pH ranges for optimal growth of bacteria. Fungal community composition was less strongly affected by pH, which is consistent with pure culture studies, demonstrating that fungi generally exhibit wider pH ranges for optimal growth.","author":[{"dropping-particle":"","family":"Rousk","given":"Johannes","non-dropping-particle":"","parse-names":false,"suffix":""},{"dropping-particle":"","family":"Bååth","given":"Erland","non-dropping-particle":"","parse-names":false,"suffix":""},{"dropping-particle":"","family":"Brookes","given":"Philip C","non-dropping-particle":"","parse-names":false,"suffix":""},{"dropping-particle":"","family":"Lauber","given":"Christian L","non-dropping-particle":"","parse-names":false,"suffix":""},{"dropping-particle":"","family":"Lozupone","given":"Catherine","non-dropping-particle":"","parse-names":false,"suffix":""},{"dropping-particle":"","family":"Caporaso","given":"J Gregory","non-dropping-particle":"","parse-names":false,"suffix":""},{"dropping-particle":"","family":"Knight","given":"Rob","non-dropping-particle":"","parse-names":false,"suffix":""},{"dropping-particle":"","family":"Fierer","given":"Noah","non-dropping-particle":"","parse-names":false,"suffix":""}],"container-title":"The ISME Journal","id":"ITEM-1","issued":{"date-parts":[["2010"]]},"page":"1340-1351","title":"Soil bacterial and fungal communities across a pH gradient in an arable soil","type":"article-journal","volume":"4"},"uris":["http://www.mendeley.com/documents/?uuid=5dc0a291-b247-3367-85f6-d653c65ec775"]}],"mendeley":{"formattedCitation":"(Rousk et al., 2010)","plainTextFormattedCitation":"(Rousk et al., 2010)","previouslyFormattedCitation":"(Rousk et al., 2010)"},"properties":{"noteIndex":0},"schema":"https://github.com/citation-style-language/schema/raw/master/csl-citation.json"}</w:instrText>
      </w:r>
      <w:r w:rsidRPr="00216965">
        <w:fldChar w:fldCharType="separate"/>
      </w:r>
      <w:r w:rsidR="00C83E62" w:rsidRPr="00216965">
        <w:rPr>
          <w:noProof/>
        </w:rPr>
        <w:t>(Rousk et al., 2010)</w:t>
      </w:r>
      <w:r w:rsidRPr="00216965">
        <w:fldChar w:fldCharType="end"/>
      </w:r>
      <w:r w:rsidRPr="00216965">
        <w:t xml:space="preserve">. This would explain why in the compost treatments, which had the highest pH, total bacterial abundance increased, while in the biochar treatment this was not observed as the pH increase was moderate. Besides, it is generally accepted that most biochar-C is largely unavailable to microbes, unlike compost </w:t>
      </w:r>
      <w:r w:rsidRPr="00216965">
        <w:fldChar w:fldCharType="begin" w:fldLock="1"/>
      </w:r>
      <w:r w:rsidR="006C06AA" w:rsidRPr="00216965">
        <w:instrText>ADDIN CSL_CITATION {"citationItems":[{"id":"ITEM-1","itemData":{"DOI":"10.1016/J.PEDOBI.2011.07.005","ISSN":"0031-4056","abstract":"It is generally accepted that biochar-C is largely unavailable to soil microbes but changes in soil physicochemical properties and the introduction of metabolically available labile-C compounds associated with the biochar may shift the soil microbial community structure. In the event that biochar becomes widely applied to agricultural soils as a soil conditioner, this research focuses on understanding how biochar application to soil influences bacterial community structure and biogeochemical function. A controlled pot experiment was designed to investigate temporal changes in soil microbial ecology and physicochemical parameters in the presence and absence of biochar. Bacterial communities were investigated in both the rhizosphere and bulk soil using TRFLP coupled with a 454 new generation sequencing database to make tentative taxonomic assignments to TRFLP peaks that showed statistically significant change over time. When comparing biochar amended soils with controls, temporal changes in bacterial family abundances that were &gt; 5% included: Bradyrhizobiaceae (~8%), Hyphomicrobiaceae (~14%), Streptosporangineae (~6%) and Thermomonosporaceae (~8%), where the biochar had a positive influence - either promoting an increase in abundance or reducing the magnitude of loss, and; Streptomycetaceae (~-11%) and Micromonosporaceae (~-7%), where biochar was perceived to have a negative effect on bacterial family abundance. The Bradyrhizobiaceae and Hyphomicrobiaceae have significant involvement nitrogen cycling, with genera/species identified by 454 involved in nitrate (NO3-) denitrification through to N2. The data also suggests that organisms involved in nitrification of ammonium (NH4+) to nitrite (NO2-) are less abundant while mycobacterial nitrate reduction to NH4+ increases along with N2 fixation. Coupled to the observation that biochar can adsorb NH4+, these results provide an explanation for the reductions in N2O emissions observed from soils when biochar is added. Results from this study also indicate that biochar promotes phosphate solubilising bacteria, alters C-fluxes through increasing the abundance of bacterial families that can degrade more recalcitrant C compounds, and potentially decreases bacterial plant pathogens. © 2011 Elsevier GmbH.","author":[{"dropping-particle":"","family":"Anderson","given":"Craig R.","non-dropping-particle":"","parse-names":false,"suffix":""},{"dropping-particle":"","family":"Condron","given":"Leo M.","non-dropping-particle":"","parse-names":false,"suffix":""},{"dropping-particle":"","family":"Clough","given":"Tim J.","non-dropping-particle":"","parse-names":false,"suffix":""},{"dropping-particle":"","family":"Fiers","given":"Mark","non-dropping-particle":"","parse-names":false,"suffix":""},{"dropping-particle":"","family":"Stewart","given":"Alison","non-dropping-particle":"","parse-names":false,"suffix":""},{"dropping-particle":"","family":"Hill","given":"Robert A.","non-dropping-particle":"","parse-names":false,"suffix":""},{"dropping-particle":"","family":"Sherlock","given":"Robert R.","non-dropping-particle":"","parse-names":false,"suffix":""}],"container-title":"Pedobiologia","id":"ITEM-1","issue":"5-6","issued":{"date-parts":[["2011","10","10"]]},"page":"309-320","publisher":"Urban &amp; Fischer","title":"Biochar induced soil microbial community change: Implications for biogeochemical cycling of carbon, nitrogen and phosphorus","type":"article-journal","volume":"54"},"uris":["http://www.mendeley.com/documents/?uuid=45d3c737-583a-3e36-86c1-c50bdbd4f773"]}],"mendeley":{"formattedCitation":"(Anderson et al., 2011)","plainTextFormattedCitation":"(Anderson et al., 2011)","previouslyFormattedCitation":"(Anderson et al., 2011)"},"properties":{"noteIndex":0},"schema":"https://github.com/citation-style-language/schema/raw/master/csl-citation.json"}</w:instrText>
      </w:r>
      <w:r w:rsidRPr="00216965">
        <w:fldChar w:fldCharType="separate"/>
      </w:r>
      <w:r w:rsidR="00C83E62" w:rsidRPr="00216965">
        <w:rPr>
          <w:noProof/>
        </w:rPr>
        <w:t>(Anderson et al., 2011)</w:t>
      </w:r>
      <w:r w:rsidRPr="00216965">
        <w:fldChar w:fldCharType="end"/>
      </w:r>
      <w:r w:rsidRPr="00216965">
        <w:t>, hence further explaining why biochar addition did not impact the soil microbial community to the same extent as compost.</w:t>
      </w:r>
    </w:p>
    <w:p w14:paraId="330A0E4C" w14:textId="03603BB9" w:rsidR="00AB2390" w:rsidRPr="00216965" w:rsidRDefault="00B45740" w:rsidP="008A33DA">
      <w:pPr>
        <w:spacing w:line="360" w:lineRule="auto"/>
        <w:jc w:val="both"/>
      </w:pPr>
      <w:r w:rsidRPr="00216965">
        <w:t xml:space="preserve">The presence or absence of plants did not cause any significant difference in microbial communities (less than 10% of ASV changed when comparing planted treatments with unplanted). This is probably because the soil samples were not collected from the rhizosphere but from bulk soil. Regardless of the presence or absence of plants, in the treatments containing compost the dominant phyla were Proteobacteria, Actinobacteria, Firmicutes and Myxococcota while Acidobacteria decreased. Similarly, in the biochar treatment Proteobacteria and Actinobacteria dominated, whereas Acidobacteria </w:t>
      </w:r>
      <w:r w:rsidRPr="00216965">
        <w:lastRenderedPageBreak/>
        <w:t xml:space="preserve">decreased relative to the control treatment. Similar results were reported by </w:t>
      </w:r>
      <w:r w:rsidRPr="00216965">
        <w:fldChar w:fldCharType="begin" w:fldLock="1"/>
      </w:r>
      <w:r w:rsidR="006C06AA" w:rsidRPr="00216965">
        <w:instrText>ADDIN CSL_CITATION {"citationItems":[{"id":"ITEM-1","itemData":{"DOI":"10.1016/j.jenvman.2015.10.006","ISSN":"10958630","abstract":"Biochar is gaining attention as a potential soil amendment to remediate and revitalize the contaminated soils. Simultaneous effects of biochar on metals mobility, microbial abundance, bacterial diversity and carbon storage in soil are scarcely addressed. This study assessed the effect of biochars on metal mobility, microbial abundance, bacterial community, and carbon storage in an agricultural soil contaminated with heavy metals. Biochars derived from soybean stover at 300 and 700 °C (S-BC300 and S-BC700, respectively) and pine needles at the same temperatures (P-BC300 and P-BC700, respectively) were used. A maximum reduction of Pb mobility by 95% was observed from a soil treated with S-BC700, associated with precipitation of chloropyromorphite and hydroxylpyromorphite. In contrast, As was desorbed from soil particles because of P competition. The abundance of Gram-positive and negative bacteria, fungi, actinomycetes, and arbuscular mycorrhizal fungi increased in the soils treated with biochar produced at 300 °C, possibly due to the high dissolved organic and active organic carbons. Microbial abundance in the soils treated with S-BC700 and P-BC700 was constant due to the existence of fixed or non-labile carbon. Changes to bacterial communities in the biochar-treated soils depended on feedstock type and pyrolysis temperature. Actinobacteria substantially increased whereas Acidobacteria and Chloroflexi decreased in the biochar-treated soils. The non-labile carbon fraction was ~25 fold higher in the biochar-treated soil than the control soil, indicating long-term carbon storage.","author":[{"dropping-particle":"","family":"Ahmad","given":"Mahtab","non-dropping-particle":"","parse-names":false,"suffix":""},{"dropping-particle":"","family":"Ok","given":"Yong Sik","non-dropping-particle":"","parse-names":false,"suffix":""},{"dropping-particle":"","family":"Kim","given":"Byung Yong","non-dropping-particle":"","parse-names":false,"suffix":""},{"dropping-particle":"","family":"Ahn","given":"Jae Hyung","non-dropping-particle":"","parse-names":false,"suffix":""},{"dropping-particle":"","family":"Lee","given":"Young Han","non-dropping-particle":"","parse-names":false,"suffix":""},{"dropping-particle":"","family":"Zhang","given":"Ming","non-dropping-particle":"","parse-names":false,"suffix":""},{"dropping-particle":"","family":"Moon","given":"Deok Hyun","non-dropping-particle":"","parse-names":false,"suffix":""},{"dropping-particle":"","family":"Al-Wabel","given":"Mohammad I.","non-dropping-particle":"","parse-names":false,"suffix":""},{"dropping-particle":"","family":"Lee","given":"Sang Soo","non-dropping-particle":"","parse-names":false,"suffix":""}],"container-title":"Journal of Environmental Management","id":"ITEM-1","issued":{"date-parts":[["2016","1","15"]]},"page":"131-139","publisher":"Academic Press","title":"Impact of soybean stover- and pine needle-derived biochars on Pb and As mobility, microbial community, and carbon stability in a contaminated agricultural soil","type":"article-journal","volume":"166"},"uris":["http://www.mendeley.com/documents/?uuid=323abb5e-343f-38c4-9a02-93e9578fcd7a"]}],"mendeley":{"formattedCitation":"(Ahmad et al., 2016)","manualFormatting":"Ahmad et al. (2016)","plainTextFormattedCitation":"(Ahmad et al., 2016)","previouslyFormattedCitation":"(Ahmad et al., 2016)"},"properties":{"noteIndex":0},"schema":"https://github.com/citation-style-language/schema/raw/master/csl-citation.json"}</w:instrText>
      </w:r>
      <w:r w:rsidRPr="00216965">
        <w:fldChar w:fldCharType="separate"/>
      </w:r>
      <w:r w:rsidRPr="00216965">
        <w:rPr>
          <w:noProof/>
        </w:rPr>
        <w:t xml:space="preserve">Ahmad </w:t>
      </w:r>
      <w:r w:rsidR="009B2252" w:rsidRPr="00216965">
        <w:rPr>
          <w:noProof/>
        </w:rPr>
        <w:t>et al</w:t>
      </w:r>
      <w:r w:rsidRPr="00216965">
        <w:rPr>
          <w:i/>
          <w:noProof/>
        </w:rPr>
        <w:t>.</w:t>
      </w:r>
      <w:r w:rsidRPr="00216965">
        <w:rPr>
          <w:noProof/>
        </w:rPr>
        <w:t xml:space="preserve"> (2016)</w:t>
      </w:r>
      <w:r w:rsidRPr="00216965">
        <w:fldChar w:fldCharType="end"/>
      </w:r>
      <w:r w:rsidRPr="00216965">
        <w:t xml:space="preserve">, who indicated that the relative abundance of the Actinobacteria phylum was substantially increased in soils treated with pine biochars, whereas the relative abundance of the phyla Acidobacteria and Chloroflexi was reduced. </w:t>
      </w:r>
      <w:r w:rsidRPr="00216965">
        <w:fldChar w:fldCharType="begin" w:fldLock="1"/>
      </w:r>
      <w:r w:rsidR="006C06AA" w:rsidRPr="00216965">
        <w:instrText>ADDIN CSL_CITATION {"citationItems":[{"id":"ITEM-1","itemData":{"DOI":"10.1016/j.agee.2014.12.001","ISSN":"01678809","abstract":"The use of copper (Cu) fungicides in agriculture has led to Cu accumulation in European topsoils. This study is the first to investigate the in situ efficacy of biochar and biochar-compost as Cu immobilizers, reducing Cu uptake by plants and increasing microbial abundance and activity, in a temperate vineyard topsoil (0-10cm). After application of biochar, compost and biochar-compost in April 2011, plant and soil samples were taken in November 2011, April 2012, August 2012, and November 2012. Similar amounts of exchangeable Cu fractions (CuDTPA) in all treatments showed that there was no significant effect on Cu immobilization in soil. In contrast, cover crops grown between vine rows were observed to take up a significant amount of Cu (38.7mg Cu kg-1), reducing soil Cu concentrations over time. Treatments with biochar and/or compost initially increased total carbon, with compost and biochar-compost additionally increasing extractable organic carbon in soil. Compost and biochar-compost significantly increased microbial biomass, phospholipid fatty acids (PLFAs), enzyme activities (phosphatase, arylsulfatase) and bacterial taxa abundances (Actinobacteria, α-Proteobacteria, β-Proteobacteria, Firmicutes, Gemmatimonadetes). A high abundance of gram+ Actinobacteria in all treatments suggested that they are adapted to heavy metals, likely due to their specific cell membrane structures. Additionally, each treatment was characterized by a specific microbial community composition. Compost and biochar-compost increased the relative abundance of Firmicutes, while control and biochar increased Acidobacteria, Gemmatimonadetes and Actinobacteria. In conclusion, biochar and/or compost were not viable Cu remediation options, but compost and biochar-compost provided ecosystem services by reinforcing the microbial community.","author":[{"dropping-particle":"","family":"Mackie","given":"K. A.","non-dropping-particle":"","parse-names":false,"suffix":""},{"dropping-particle":"","family":"Marhan","given":"S.","non-dropping-particle":"","parse-names":false,"suffix":""},{"dropping-particle":"","family":"Ditterich","given":"F.","non-dropping-particle":"","parse-names":false,"suffix":""},{"dropping-particle":"","family":"Schmidt","given":"H. P.","non-dropping-particle":"","parse-names":false,"suffix":""},{"dropping-particle":"","family":"Kandeler","given":"E.","non-dropping-particle":"","parse-names":false,"suffix":""}],"container-title":"Agriculture, Ecosystems and Environment","id":"ITEM-1","issued":{"date-parts":[["2015"]]},"page":"58-69","publisher":"Elsevier B.V.","title":"The effects of biochar and compost amendments on copper immobilization and soil microorganisms in a temperate vineyard","type":"article-journal","volume":"201"},"uris":["http://www.mendeley.com/documents/?uuid=589ebaf4-6f08-4981-ad8b-ebcfd1a24fc9"]}],"mendeley":{"formattedCitation":"(Mackie et al., 2015)","manualFormatting":"Mackie et al. (2015)","plainTextFormattedCitation":"(Mackie et al., 2015)","previouslyFormattedCitation":"(Mackie et al., 2015)"},"properties":{"noteIndex":0},"schema":"https://github.com/citation-style-language/schema/raw/master/csl-citation.json"}</w:instrText>
      </w:r>
      <w:r w:rsidRPr="00216965">
        <w:fldChar w:fldCharType="separate"/>
      </w:r>
      <w:r w:rsidRPr="00216965">
        <w:rPr>
          <w:noProof/>
        </w:rPr>
        <w:t xml:space="preserve">Mackie </w:t>
      </w:r>
      <w:r w:rsidR="009B2252" w:rsidRPr="00216965">
        <w:rPr>
          <w:noProof/>
        </w:rPr>
        <w:t>et al</w:t>
      </w:r>
      <w:r w:rsidRPr="00216965">
        <w:rPr>
          <w:iCs/>
          <w:noProof/>
        </w:rPr>
        <w:t>.</w:t>
      </w:r>
      <w:r w:rsidRPr="00216965">
        <w:rPr>
          <w:noProof/>
        </w:rPr>
        <w:t xml:space="preserve"> (2015)</w:t>
      </w:r>
      <w:r w:rsidRPr="00216965">
        <w:fldChar w:fldCharType="end"/>
      </w:r>
      <w:r w:rsidRPr="00216965">
        <w:t xml:space="preserve"> reported that the addition of compost and compost mixed with biochar increased the relative abundance of Firmicutes, while biochar increased Acidobacteria, Gemmatimonadetes and Actinobacteria in vineyard topsoil contaminated with Cu. </w:t>
      </w:r>
    </w:p>
    <w:p w14:paraId="7A01F94E" w14:textId="7C21F794" w:rsidR="00AB2390" w:rsidRPr="00216965" w:rsidRDefault="00B45740" w:rsidP="008A33DA">
      <w:pPr>
        <w:spacing w:line="360" w:lineRule="auto"/>
        <w:jc w:val="both"/>
      </w:pPr>
      <w:r w:rsidRPr="00216965">
        <w:t xml:space="preserve">Phylum Acidobacteria is driven by environmental factors such as pH and nutrients; the abundance of most Acidobacteria subdivisions show a positive correlation with soil pH with predominance in low pH conditions </w:t>
      </w:r>
      <w:r w:rsidRPr="00216965">
        <w:rPr>
          <w:shd w:val="clear" w:color="auto" w:fill="FFFFFF"/>
        </w:rPr>
        <w:fldChar w:fldCharType="begin" w:fldLock="1"/>
      </w:r>
      <w:r w:rsidR="006C06AA" w:rsidRPr="00216965">
        <w:rPr>
          <w:shd w:val="clear" w:color="auto" w:fill="FFFFFF"/>
        </w:rPr>
        <w:instrText>ADDIN CSL_CITATION {"citationItems":[{"id":"ITEM-1","itemData":{"DOI":"10.3389/FMICB.2016.00744","ISSN":"1664-302X","abstract":"The phylum Acidobacteria is one of the most widespread and abundant on the planet, yet remarkably our knowledge of the role of these diverse organisms in the functioning of terrestrial ecosystems remains surprisingly rudimentary. This blatant knowledge gap stems to a large degree from the difficulties associated with the cultivation of these bacteria by classical means. Given the phylogenetic breadth of the Acidobacteria, which is similar to the metabolically diverse Proteobacteria, it is clear that detailed and functional descriptions of acidobacterial assemblages are necessary. Fortunately, recent advances are providing a glimpse into the ecology of members of the phylum Acidobacteria. These include novel cultivation and enrichment strategies, genomic characterization and analyses of metagenomic DNA from environmental samples. Here, we couple the data from these complementary approaches for a better understanding of their role in the environment, thereby providing some initial insights into the ecology of this important phylum. All cultured acidobacterial type species are heterotrophic, and members of subdivisions 1, 3, and 4 appear to be more versatile in carbohydrate utilization. Genomic and metagenomic data predict a number of ecologically relevant capabilities for some acidobacteria, including the ability to: use of nitrite as N source, respond to soil macro-, micro nutrients and soil acidity, express multiple active transporters, degrade gellan gum and produce exopolysaccharide (EPS). Although these predicted properties allude to a competitive life style in soil, only very few of these predictions have been confirmed via physiological studies. The increased availability of genomic and physiological information, coupled to distribution data in field surveys and experiments, should direct future progress in unraveling the ecology of this important but still enigmatic phylum.","author":[{"dropping-particle":"","family":"Kielak","given":"Anna M.","non-dropping-particle":"","parse-names":false,"suffix":""},{"dropping-particle":"","family":"Barreto","given":"Cristine C.","non-dropping-particle":"","parse-names":false,"suffix":""},{"dropping-particle":"","family":"Kowalchuk","given":"George A.","non-dropping-particle":"","parse-names":false,"suffix":""},{"dropping-particle":"","family":"Veen","given":"Johannes A.","non-dropping-particle":"van","parse-names":false,"suffix":""},{"dropping-particle":"","family":"Kuramae","given":"Eiko E.","non-dropping-particle":"","parse-names":false,"suffix":""}],"container-title":"Frontiers in Microbiology","id":"ITEM-1","issued":{"date-parts":[["2016"]]},"page":"744","publisher":"Frontiers","title":"The ecology of acidobacteria: Moving beyond genes and genomes","type":"article-journal","volume":"7"},"uris":["http://www.mendeley.com/documents/?uuid=96ac8761-71b7-3838-ac32-5c56a409f715"]}],"mendeley":{"formattedCitation":"(Kielak et al., 2016)","plainTextFormattedCitation":"(Kielak et al., 2016)","previouslyFormattedCitation":"(Kielak et al., 2016)"},"properties":{"noteIndex":0},"schema":"https://github.com/citation-style-language/schema/raw/master/csl-citation.json"}</w:instrText>
      </w:r>
      <w:r w:rsidRPr="00216965">
        <w:rPr>
          <w:shd w:val="clear" w:color="auto" w:fill="FFFFFF"/>
        </w:rPr>
        <w:fldChar w:fldCharType="separate"/>
      </w:r>
      <w:r w:rsidR="00C83E62" w:rsidRPr="00216965">
        <w:rPr>
          <w:noProof/>
          <w:shd w:val="clear" w:color="auto" w:fill="FFFFFF"/>
        </w:rPr>
        <w:t>(Kielak et al., 2016)</w:t>
      </w:r>
      <w:r w:rsidRPr="00216965">
        <w:rPr>
          <w:shd w:val="clear" w:color="auto" w:fill="FFFFFF"/>
        </w:rPr>
        <w:fldChar w:fldCharType="end"/>
      </w:r>
      <w:r w:rsidRPr="00216965">
        <w:t xml:space="preserve">. Besides, </w:t>
      </w:r>
      <w:r w:rsidRPr="00216965">
        <w:fldChar w:fldCharType="begin" w:fldLock="1"/>
      </w:r>
      <w:r w:rsidR="006C06AA" w:rsidRPr="00216965">
        <w:instrText>ADDIN CSL_CITATION {"citationItems":[{"id":"ITEM-1","itemData":{"DOI":"10.1016/j.apsoil.2020.103744","ISSN":"09291393","abstract":"Application of sewage sludge to forested land has been regarded as a promising method for sewage sludge disposal, because it can improve soil fertility and productivity. It is also likely to alter the soil nutrient cycle, which is mainly mediated by soil microorganisms. However, how the soil bacterial community responds to the application of sewage sludge in subtropical planted forests is poorly understood. Unlike farmland soil, forestland soil is covered with leaf litter, which might influence the effects of sewage sludge on the soil bacterial community. In this study, we investigated the effects of sewage sludge application (30 t/ha) on the soil bacterial community at 0–10 cm depth in three forest plantations (Eucalyptus urophylla, Pinus elliottii, and Schima superba) in southern China. The treatments included sewage sludge addition (treatment S), sewage sludge addition and leaf litter removal (treatment SLR), and a control (CK). The composition of the soil bacterial community differed in the three forest plantations and was affected by treatment S, but the effects of treatment S were not greatly altered by litter removal in the three forest plantations. At the community level, the composition of the soil bacterial community was significantly related to soil pH, available phosphorus (P) and potassium (K), and cadmium (Cd). At the phylum level, the relative abundance of Actinobacteria, Bacteroidetes, and Chloroflexi was increased by treatments S and SLR, while that of Acidobacteria, Proteobacteria, and Verrucomicrobia was decreased. The changes in the abundance of these bacteria were significantly related to the increase in the contents of available nutrients and heavy metals. Sewage sludge application resulted in an increased number of positive interactions among bacterial taxa, lower modularity, and higher connectivity, which indicated an unstable bacterial community. Changes in the composition, co-occurrence pattern, and keystone taxa of the bacterial community might reflect adaptation to sewage sludge application.","author":[{"dropping-particle":"","family":"Zhao","given":"Qian","non-dropping-particle":"","parse-names":false,"suffix":""},{"dropping-particle":"","family":"Chu","given":"Shuangshuang","non-dropping-particle":"","parse-names":false,"suffix":""},{"dropping-particle":"","family":"He","given":"Dan","non-dropping-particle":"","parse-names":false,"suffix":""},{"dropping-particle":"","family":"Wu","given":"Daoming","non-dropping-particle":"","parse-names":false,"suffix":""},{"dropping-particle":"","family":"Mo","given":"Qifeng","non-dropping-particle":"","parse-names":false,"suffix":""},{"dropping-particle":"","family":"Zeng","given":"Shucai","non-dropping-particle":"","parse-names":false,"suffix":""}],"container-title":"Applied Soil Ecology","id":"ITEM-1","issued":{"date-parts":[["2021"]]},"page":"103744","publisher":"Elsevier","title":"Sewage sludge application alters the composition and co-occurrence pattern of the soil bacterial community in southern China forestlands","type":"article-journal","volume":"157"},"uris":["http://www.mendeley.com/documents/?uuid=e3354dc4-b1c8-4645-a269-558f8b6249d3"]}],"mendeley":{"formattedCitation":"(Zhao et al., 2021)","manualFormatting":"Zhao et al. (2021)","plainTextFormattedCitation":"(Zhao et al., 2021)","previouslyFormattedCitation":"(Zhao et al., 2021)"},"properties":{"noteIndex":0},"schema":"https://github.com/citation-style-language/schema/raw/master/csl-citation.json"}</w:instrText>
      </w:r>
      <w:r w:rsidRPr="00216965">
        <w:fldChar w:fldCharType="separate"/>
      </w:r>
      <w:r w:rsidRPr="00216965">
        <w:rPr>
          <w:noProof/>
        </w:rPr>
        <w:t xml:space="preserve">Zhao </w:t>
      </w:r>
      <w:r w:rsidR="009B2252" w:rsidRPr="00216965">
        <w:rPr>
          <w:iCs/>
          <w:noProof/>
        </w:rPr>
        <w:t>et al</w:t>
      </w:r>
      <w:r w:rsidRPr="00216965">
        <w:rPr>
          <w:i/>
          <w:iCs/>
          <w:noProof/>
        </w:rPr>
        <w:t>.</w:t>
      </w:r>
      <w:r w:rsidRPr="00216965">
        <w:rPr>
          <w:noProof/>
        </w:rPr>
        <w:t xml:space="preserve"> (2021)</w:t>
      </w:r>
      <w:r w:rsidRPr="00216965">
        <w:fldChar w:fldCharType="end"/>
      </w:r>
      <w:r w:rsidRPr="00216965">
        <w:t xml:space="preserve"> reported that Acidobacteria phyla appeared to be adapted to nutrient-poor soil (i.e. appeared to be oligotrophic) and have also been reported to show strong tolerance to heavy metals in agricultural soil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2021)","plainTextFormattedCitation":"(Li et al., 2021)","previouslyFormattedCitation":"(Li et al., 2021)"},"properties":{"noteIndex":0},"schema":"https://github.com/citation-style-language/schema/raw/master/csl-citation.json"}</w:instrText>
      </w:r>
      <w:r w:rsidRPr="00216965">
        <w:fldChar w:fldCharType="separate"/>
      </w:r>
      <w:r w:rsidR="00C83E62" w:rsidRPr="00216965">
        <w:rPr>
          <w:noProof/>
        </w:rPr>
        <w:t>(Li et al., 2021)</w:t>
      </w:r>
      <w:r w:rsidRPr="00216965">
        <w:fldChar w:fldCharType="end"/>
      </w:r>
      <w:r w:rsidRPr="00216965">
        <w:t xml:space="preserve">. These characteristics of Acidobacteria explain why it was dominant in the control soil (acidic pH and elevated concentrations of HMs) and decreased with the addition of biochar and compost. </w:t>
      </w:r>
    </w:p>
    <w:p w14:paraId="22536B0F" w14:textId="49009407" w:rsidR="00AB2390" w:rsidRPr="00216965" w:rsidRDefault="00B45740" w:rsidP="008A33DA">
      <w:pPr>
        <w:spacing w:line="360" w:lineRule="auto"/>
        <w:jc w:val="both"/>
      </w:pPr>
      <w:r w:rsidRPr="00216965">
        <w:t xml:space="preserve">The Firmicutes and Proteobacteria are dominated by heterotrophic species </w:t>
      </w:r>
      <w:r w:rsidRPr="00216965">
        <w:fldChar w:fldCharType="begin" w:fldLock="1"/>
      </w:r>
      <w:r w:rsidR="006C06AA" w:rsidRPr="00216965">
        <w:instrText>ADDIN CSL_CITATION {"citationItems":[{"id":"ITEM-1","itemData":{"DOI":"10.1139/CJM-2020-0143","abstract":"Manure amendment generally bolsters soil organisms but not all bacteria equally. To understand why different taxa respond differently, we used shotgun metagenomic approaches to profile functional p...","author":[{"dropping-particle":"","family":"Li","given":"Wenxi","non-dropping-particle":"","parse-names":false,"suffix":""},{"dropping-particle":"","family":"Zhang","given":"Yueping","non-dropping-particle":"","parse-names":false,"suffix":""},{"dropping-particle":"","family":"Mao","given":"Wei","non-dropping-particle":"","parse-names":false,"suffix":""},{"dropping-particle":"","family":"Wang","given":"Changsong","non-dropping-particle":"","parse-names":false,"suffix":""},{"dropping-particle":"","family":"Yin","given":"Shixue","non-dropping-particle":"","parse-names":false,"suffix":""}],"container-title":"Canadian Journal of Microbiology","id":"ITEM-1","issued":{"date-parts":[["2020"]]},"page":"689-697","publisher":"NRC Research Press 1840 Woodward Drive, Suite 1, Ottawa, ON K2C 0P7","title":"Functional potential differences between Firmicutes and Proteobacteria in response to manure amendment in a reclaimed soil","type":"article-journal","volume":"66"},"uris":["http://www.mendeley.com/documents/?uuid=79b5fe51-7789-3c6a-9aa4-7308da7e5eac"]}],"mendeley":{"formattedCitation":"(Li et al., 2020)","plainTextFormattedCitation":"(Li et al., 2020)","previouslyFormattedCitation":"(Li et al., 2020)"},"properties":{"noteIndex":0},"schema":"https://github.com/citation-style-language/schema/raw/master/csl-citation.json"}</w:instrText>
      </w:r>
      <w:r w:rsidRPr="00216965">
        <w:fldChar w:fldCharType="separate"/>
      </w:r>
      <w:r w:rsidR="00C83E62" w:rsidRPr="00216965">
        <w:rPr>
          <w:noProof/>
        </w:rPr>
        <w:t>(Li et al., 2020)</w:t>
      </w:r>
      <w:r w:rsidRPr="00216965">
        <w:fldChar w:fldCharType="end"/>
      </w:r>
      <w:r w:rsidRPr="00216965">
        <w:t xml:space="preserve">. The addition of the organic amendments, particularly compost, provide carbon and nutrients, supporting the proliferation of both phyla. Proteobacteria accounted for the largest proportion (relative abundance) in the soils treated with compost and biochar which is consistent with the findings of </w:t>
      </w:r>
      <w:r w:rsidRPr="00216965">
        <w:fldChar w:fldCharType="begin" w:fldLock="1"/>
      </w:r>
      <w:r w:rsidR="006C06AA" w:rsidRPr="00216965">
        <w:instrText>ADDIN CSL_CITATION {"citationItems":[{"id":"ITEM-1","itemData":{"DOI":"10.3390/molecules26164783","ISSN":"14203049","PMID":"34443371","abstract":"The purpose of this study was to clarify the effects of biochar on the diversity of bacteria and fungi in the rice root zone and to reveal the changes in soil microbial community structure in the root zone after biochar application to provide a scientific basis for the improvement of albic soil. Rice and corn stalk biochar were mixed with albic soil in a pot experiment. Soil samples were collected at the rice maturity stage, soil nutrients were determined, and genomic DNA was extracted. The library was established using polymerase chain reaction (PCR) amplification. The abundance, diversity index, and community structure of the soil bacterial 16SrRNA gene V3 + V4 region and the fungal internal transcribed spacer-1 (ITS1) region were analyzed using Illumina second-generation high-throughput sequencing technology on the MiSeq platform with related bioinformatics. The results revealed that the biochar increased the soil nutrient content of albic soil. The bacteria ACE indexes of treatments of rice straw biochar (SD) and corn straw biochar (SY) were increased by 3.10% and 2.06%, respectively, and the fungi ACE and Chao indices of SD were increased by 7.86% and 14.16%, respectively, compared to conventional control treatment with no biochar (SBCK). The numbers of bacterial and fungal operational taxonomic units (OUT) in SD and SY were increased, respectively, compared to that of SBCK. The relationship between soil bacteria and fungi in the biochar-treated groups was stronger than that in the SBCK. The bacterial and fungal populations were correlated with soil nutrients, which suggested that the impacts of biochar on the soil bacteria and fungi community were indirectly driven by alternation of soil nutrient characteristics. The addition of two types of biochar altered the soil microbial community structure and the effect of rice straw biochar treatment on SD was more pronounced. This study aimed to provide a reference and basic understanding for albic soil improvement by biochar, with good application prospects.","author":[{"dropping-particle":"","family":"Yin","given":"Dawei","non-dropping-particle":"","parse-names":false,"suffix":""},{"dropping-particle":"","family":"Li","given":"Hongyu","non-dropping-particle":"","parse-names":false,"suffix":""},{"dropping-particle":"","family":"Wang","given":"Haize","non-dropping-particle":"","parse-names":false,"suffix":""},{"dropping-particle":"","family":"Guo","given":"Xiaohong","non-dropping-particle":"","parse-names":false,"suffix":""},{"dropping-particle":"","family":"Wang","given":"Zhihui","non-dropping-particle":"","parse-names":false,"suffix":""},{"dropping-particle":"","family":"Lv","given":"Yandong","non-dropping-particle":"","parse-names":false,"suffix":""},{"dropping-particle":"","family":"Ding","given":"Guohua","non-dropping-particle":"","parse-names":false,"suffix":""},{"dropping-particle":"","family":"Jin","given":"Liang","non-dropping-particle":"","parse-names":false,"suffix":""},{"dropping-particle":"","family":"Lan","given":"Yu","non-dropping-particle":"","parse-names":false,"suffix":""}],"container-title":"Molecules","id":"ITEM-1","issued":{"date-parts":[["2021"]]},"page":"4783","title":"Impact of different biochars on microbial community structure in the rhizospheric soil of rice grown in albic soil","type":"article-journal","volume":"26"},"uris":["http://www.mendeley.com/documents/?uuid=cd021ef5-47e0-478d-bf99-e7193c6a0e64"]}],"mendeley":{"formattedCitation":"(Yin et al., 2021)","manualFormatting":"Yin et al. (2021)","plainTextFormattedCitation":"(Yin et al., 2021)","previouslyFormattedCitation":"(Yin et al., 2021)"},"properties":{"noteIndex":0},"schema":"https://github.com/citation-style-language/schema/raw/master/csl-citation.json"}</w:instrText>
      </w:r>
      <w:r w:rsidRPr="00216965">
        <w:fldChar w:fldCharType="separate"/>
      </w:r>
      <w:r w:rsidRPr="00216965">
        <w:rPr>
          <w:noProof/>
        </w:rPr>
        <w:t xml:space="preserve">Yin </w:t>
      </w:r>
      <w:r w:rsidR="009B2252" w:rsidRPr="00216965">
        <w:rPr>
          <w:noProof/>
        </w:rPr>
        <w:t>et al</w:t>
      </w:r>
      <w:r w:rsidRPr="00216965">
        <w:rPr>
          <w:i/>
          <w:noProof/>
        </w:rPr>
        <w:t>.</w:t>
      </w:r>
      <w:r w:rsidRPr="00216965">
        <w:rPr>
          <w:noProof/>
        </w:rPr>
        <w:t xml:space="preserve"> (2021)</w:t>
      </w:r>
      <w:r w:rsidRPr="00216965">
        <w:fldChar w:fldCharType="end"/>
      </w:r>
      <w:r w:rsidRPr="00216965">
        <w:t xml:space="preserve">, who attributed the increase of this group to the improved nutrient properties in soils after biochar application. </w:t>
      </w:r>
    </w:p>
    <w:p w14:paraId="1538DB86" w14:textId="60BEB65C" w:rsidR="00B45740" w:rsidRPr="00216965" w:rsidRDefault="00B45740" w:rsidP="008A33DA">
      <w:pPr>
        <w:spacing w:line="360" w:lineRule="auto"/>
        <w:jc w:val="both"/>
      </w:pPr>
      <w:r w:rsidRPr="00216965">
        <w:t xml:space="preserve">Actinobacteria are copiotrophic bacteria, which are favoured by nutrient-rich environments and can thrive in soils with low-nutrient content upon nutrient addition </w:t>
      </w:r>
      <w:r w:rsidRPr="00216965">
        <w:fldChar w:fldCharType="begin" w:fldLock="1"/>
      </w:r>
      <w:r w:rsidR="006C06AA" w:rsidRPr="00216965">
        <w:instrText>ADDIN CSL_CITATION {"citationItems":[{"id":"ITEM-1","itemData":{"DOI":"10.1016/j.apsoil.2020.103744","ISSN":"09291393","abstract":"Application of sewage sludge to forested land has been regarded as a promising method for sewage sludge disposal, because it can improve soil fertility and productivity. It is also likely to alter the soil nutrient cycle, which is mainly mediated by soil microorganisms. However, how the soil bacterial community responds to the application of sewage sludge in subtropical planted forests is poorly understood. Unlike farmland soil, forestland soil is covered with leaf litter, which might influence the effects of sewage sludge on the soil bacterial community. In this study, we investigated the effects of sewage sludge application (30 t/ha) on the soil bacterial community at 0–10 cm depth in three forest plantations (Eucalyptus urophylla, Pinus elliottii, and Schima superba) in southern China. The treatments included sewage sludge addition (treatment S), sewage sludge addition and leaf litter removal (treatment SLR), and a control (CK). The composition of the soil bacterial community differed in the three forest plantations and was affected by treatment S, but the effects of treatment S were not greatly altered by litter removal in the three forest plantations. At the community level, the composition of the soil bacterial community was significantly related to soil pH, available phosphorus (P) and potassium (K), and cadmium (Cd). At the phylum level, the relative abundance of Actinobacteria, Bacteroidetes, and Chloroflexi was increased by treatments S and SLR, while that of Acidobacteria, Proteobacteria, and Verrucomicrobia was decreased. The changes in the abundance of these bacteria were significantly related to the increase in the contents of available nutrients and heavy metals. Sewage sludge application resulted in an increased number of positive interactions among bacterial taxa, lower modularity, and higher connectivity, which indicated an unstable bacterial community. Changes in the composition, co-occurrence pattern, and keystone taxa of the bacterial community might reflect adaptation to sewage sludge application.","author":[{"dropping-particle":"","family":"Zhao","given":"Qian","non-dropping-particle":"","parse-names":false,"suffix":""},{"dropping-particle":"","family":"Chu","given":"Shuangshuang","non-dropping-particle":"","parse-names":false,"suffix":""},{"dropping-particle":"","family":"He","given":"Dan","non-dropping-particle":"","parse-names":false,"suffix":""},{"dropping-particle":"","family":"Wu","given":"Daoming","non-dropping-particle":"","parse-names":false,"suffix":""},{"dropping-particle":"","family":"Mo","given":"Qifeng","non-dropping-particle":"","parse-names":false,"suffix":""},{"dropping-particle":"","family":"Zeng","given":"Shucai","non-dropping-particle":"","parse-names":false,"suffix":""}],"container-title":"Applied Soil Ecology","id":"ITEM-1","issued":{"date-parts":[["2021"]]},"page":"103744","publisher":"Elsevier","title":"Sewage sludge application alters the composition and co-occurrence pattern of the soil bacterial community in southern China forestlands","type":"article-journal","volume":"157"},"uris":["http://www.mendeley.com/documents/?uuid=e3354dc4-b1c8-4645-a269-558f8b6249d3"]}],"mendeley":{"formattedCitation":"(Zhao et al., 2021)","plainTextFormattedCitation":"(Zhao et al., 2021)","previouslyFormattedCitation":"(Zhao et al., 2021)"},"properties":{"noteIndex":0},"schema":"https://github.com/citation-style-language/schema/raw/master/csl-citation.json"}</w:instrText>
      </w:r>
      <w:r w:rsidRPr="00216965">
        <w:fldChar w:fldCharType="separate"/>
      </w:r>
      <w:r w:rsidR="00C83E62" w:rsidRPr="00216965">
        <w:rPr>
          <w:noProof/>
        </w:rPr>
        <w:t>(Zhao et al., 2021)</w:t>
      </w:r>
      <w:r w:rsidRPr="00216965">
        <w:fldChar w:fldCharType="end"/>
      </w:r>
      <w:r w:rsidRPr="00216965">
        <w:t xml:space="preserve">. Previously, Actinobacteria, Chloroflexi and Proteobacteria have been identified in a mining soil, suggesting these can tolerate HM toxicity </w:t>
      </w:r>
      <w:r w:rsidRPr="00216965">
        <w:fldChar w:fldCharType="begin" w:fldLock="1"/>
      </w:r>
      <w:r w:rsidR="006C06AA" w:rsidRPr="00216965">
        <w:instrText>ADDIN CSL_CITATION {"citationItems":[{"id":"ITEM-1","itemData":{"DOI":"10.1038/s41598-017-00650-6","ISBN":"4159801700650","ISSN":"20452322","abstract":"© 2017 The Author(s).Mining of mineral resources produces substantial volumes of crushed rock based wastes that are characterised by poor physical structure and hydrology, unstable geochemistry and potentially toxic chemical conditions. Recycling of these substrates is desirable and can be achieved by blending waste with native soil to form a 'novel substrate' which may be used in future landscape restoration. However, these post-mining substrate based 'soils' are likely to contain significant abiotic constraints for both plant and microbial growth. Effective use of these novel substrates for ecosystem restoration will depend on the efficacy of stored topsoil as a potential microbial inoculum as well as the subsequent generation of key microbial soil functions originally apparent in local pristine sites. Here, using both marker gene and shotgun metagenome sequencing, we show that topsoil storage and the blending of soil and waste substrates to form planting substrates gives rise to variable bacterial and archaeal phylogenetic composition but a high degree of metabolic conservation at the community metagenome level. Our data indicates that whilst low phylogenetic conservation is apparent across substrate blends we observe high functional redundancy in relation to key soil microbial pathways, allowing the potential for functional recovery of key belowground pathways under targeted management.","author":[{"dropping-particle":"","family":"Kumaresan","given":"Deepak","non-dropping-particle":"","parse-names":false,"suffix":""},{"dropping-particle":"","family":"Cross","given":"Adam T.","non-dropping-particle":"","parse-names":false,"suffix":""},{"dropping-particle":"","family":"Moreira-Grez","given":"Benjamin","non-dropping-particle":"","parse-names":false,"suffix":""},{"dropping-particle":"","family":"Kariman","given":"Khalil","non-dropping-particle":"","parse-names":false,"suffix":""},{"dropping-particle":"","family":"Nevill","given":"Paul","non-dropping-particle":"","parse-names":false,"suffix":""},{"dropping-particle":"","family":"Stevens","given":"Jason","non-dropping-particle":"","parse-names":false,"suffix":""},{"dropping-particle":"","family":"Allcock","given":"Richard J.N.","non-dropping-particle":"","parse-names":false,"suffix":""},{"dropping-particle":"","family":"O'Donnell","given":"Anthony G.","non-dropping-particle":"","parse-names":false,"suffix":""},{"dropping-particle":"","family":"Dixon","given":"Kingsley W.","non-dropping-particle":"","parse-names":false,"suffix":""},{"dropping-particle":"","family":"Whiteley","given":"Andrew S.","non-dropping-particle":"","parse-names":false,"suffix":""}],"container-title":"Scientific Reports","id":"ITEM-1","issue":"1","issued":{"date-parts":[["2017"]]},"page":"1-10","title":"Microbial functional capacity is preserved within engineered soil formulations used in mine site restoration","type":"article-journal","volume":"7"},"uris":["http://www.mendeley.com/documents/?uuid=1c4bf531-bba9-4dfb-9a05-bbc4c1386b09"]}],"mendeley":{"formattedCitation":"(Kumaresan et al., 2017)","plainTextFormattedCitation":"(Kumaresan et al., 2017)","previouslyFormattedCitation":"(Kumaresan et al., 2017)"},"properties":{"noteIndex":0},"schema":"https://github.com/citation-style-language/schema/raw/master/csl-citation.json"}</w:instrText>
      </w:r>
      <w:r w:rsidRPr="00216965">
        <w:fldChar w:fldCharType="separate"/>
      </w:r>
      <w:r w:rsidR="00C83E62" w:rsidRPr="00216965">
        <w:rPr>
          <w:noProof/>
        </w:rPr>
        <w:t>(Kumaresan et al., 2017)</w:t>
      </w:r>
      <w:r w:rsidRPr="00216965">
        <w:fldChar w:fldCharType="end"/>
      </w:r>
      <w:r w:rsidRPr="00216965">
        <w:t>. This ability combined with the favourable soil conditions created with the addition organic amendments may have also supported the proliferation of these groups in the amended soil.</w:t>
      </w:r>
    </w:p>
    <w:p w14:paraId="414A4FF6" w14:textId="65E0170F" w:rsidR="00B45740" w:rsidRPr="00216965" w:rsidRDefault="00B45740" w:rsidP="008A33DA">
      <w:pPr>
        <w:spacing w:line="360" w:lineRule="auto"/>
        <w:jc w:val="both"/>
      </w:pPr>
      <w:r w:rsidRPr="00216965">
        <w:t xml:space="preserve">By examining bacterial groups at the Family level, potential functional capabilities of the microbial community were inferred (i.e., who is there and potential function). For example, in the compost treatments, there was an increase of Family Rhizobiales, which </w:t>
      </w:r>
      <w:r w:rsidRPr="00216965">
        <w:lastRenderedPageBreak/>
        <w:t xml:space="preserve">commonly fix nitrogen in soil and are correlated positively with soil nitrogen content </w:t>
      </w:r>
      <w:r w:rsidRPr="00216965">
        <w:fldChar w:fldCharType="begin" w:fldLock="1"/>
      </w:r>
      <w:r w:rsidR="00F56BD7" w:rsidRPr="00216965">
        <w:instrText>ADDIN CSL_CITATION {"citationItems":[{"id":"ITEM-1","itemData":{"DOI":"10.1002/9781119053095.ch76","author":[{"dropping-particle":"","family":"Jones","given":"Ryan T","non-dropping-particle":"","parse-names":false,"suffix":""}],"chapter-number":"76","container-title":"Biological nitrogen fixation","edition":"First Edit","editor":[{"dropping-particle":"","family":"Bruijn","given":"Frans J.","non-dropping-particle":"de","parse-names":false,"suffix":""}],"id":"ITEM-1","issued":{"date-parts":[["2015"]]},"page":"769-775","publisher":"John Wiley &amp; Sons, Inc","publisher-place":"Montana","title":"A comprehensive survey of soil rhizobiales diversity using high-throughput DNA sequencing","type":"chapter","volume":"2"},"uris":["http://www.mendeley.com/documents/?uuid=15fe122b-26db-4b77-8a13-ed3a1c475a82"]}],"mendeley":{"formattedCitation":"(Jones, 2015)","plainTextFormattedCitation":"(Jones, 2015)","previouslyFormattedCitation":"(Jones, 2015)"},"properties":{"noteIndex":0},"schema":"https://github.com/citation-style-language/schema/raw/master/csl-citation.json"}</w:instrText>
      </w:r>
      <w:r w:rsidRPr="00216965">
        <w:fldChar w:fldCharType="separate"/>
      </w:r>
      <w:r w:rsidR="00330A4F" w:rsidRPr="00216965">
        <w:rPr>
          <w:noProof/>
        </w:rPr>
        <w:t>(Jones, 2015)</w:t>
      </w:r>
      <w:r w:rsidRPr="00216965">
        <w:fldChar w:fldCharType="end"/>
      </w:r>
      <w:r w:rsidRPr="00216965">
        <w:t>. Hyphomicrobiaceae have a significant involvement in nitrogen cycling, with 454 genera/species identified as contributing to the denitrification of NO</w:t>
      </w:r>
      <w:r w:rsidRPr="00216965">
        <w:rPr>
          <w:vertAlign w:val="subscript"/>
        </w:rPr>
        <w:t>3</w:t>
      </w:r>
      <w:sdt>
        <w:sdtPr>
          <w:tag w:val="goog_rdk_6"/>
          <w:id w:val="-915163642"/>
        </w:sdtPr>
        <w:sdtEndPr/>
        <w:sdtContent>
          <w:r w:rsidRPr="00216965">
            <w:rPr>
              <w:rFonts w:ascii="Gungsuh" w:eastAsia="Gungsuh" w:hAnsi="Gungsuh" w:cs="Gungsuh"/>
              <w:vertAlign w:val="superscript"/>
            </w:rPr>
            <w:t>−</w:t>
          </w:r>
        </w:sdtContent>
      </w:sdt>
      <w:r w:rsidRPr="00216965">
        <w:t xml:space="preserve"> through to N</w:t>
      </w:r>
      <w:r w:rsidRPr="00216965">
        <w:rPr>
          <w:vertAlign w:val="subscript"/>
        </w:rPr>
        <w:t>2</w:t>
      </w:r>
      <w:r w:rsidRPr="00216965">
        <w:t xml:space="preserve"> </w:t>
      </w:r>
      <w:r w:rsidRPr="00216965">
        <w:fldChar w:fldCharType="begin" w:fldLock="1"/>
      </w:r>
      <w:r w:rsidR="006C06AA" w:rsidRPr="00216965">
        <w:instrText>ADDIN CSL_CITATION {"citationItems":[{"id":"ITEM-1","itemData":{"DOI":"10.1016/J.PEDOBI.2011.07.005","ISSN":"0031-4056","abstract":"It is generally accepted that biochar-C is largely unavailable to soil microbes but changes in soil physicochemical properties and the introduction of metabolically available labile-C compounds associated with the biochar may shift the soil microbial community structure. In the event that biochar becomes widely applied to agricultural soils as a soil conditioner, this research focuses on understanding how biochar application to soil influences bacterial community structure and biogeochemical function. A controlled pot experiment was designed to investigate temporal changes in soil microbial ecology and physicochemical parameters in the presence and absence of biochar. Bacterial communities were investigated in both the rhizosphere and bulk soil using TRFLP coupled with a 454 new generation sequencing database to make tentative taxonomic assignments to TRFLP peaks that showed statistically significant change over time. When comparing biochar amended soils with controls, temporal changes in bacterial family abundances that were &gt; 5% included: Bradyrhizobiaceae (~8%), Hyphomicrobiaceae (~14%), Streptosporangineae (~6%) and Thermomonosporaceae (~8%), where the biochar had a positive influence - either promoting an increase in abundance or reducing the magnitude of loss, and; Streptomycetaceae (~-11%) and Micromonosporaceae (~-7%), where biochar was perceived to have a negative effect on bacterial family abundance. The Bradyrhizobiaceae and Hyphomicrobiaceae have significant involvement nitrogen cycling, with genera/species identified by 454 involved in nitrate (NO3-) denitrification through to N2. The data also suggests that organisms involved in nitrification of ammonium (NH4+) to nitrite (NO2-) are less abundant while mycobacterial nitrate reduction to NH4+ increases along with N2 fixation. Coupled to the observation that biochar can adsorb NH4+, these results provide an explanation for the reductions in N2O emissions observed from soils when biochar is added. Results from this study also indicate that biochar promotes phosphate solubilising bacteria, alters C-fluxes through increasing the abundance of bacterial families that can degrade more recalcitrant C compounds, and potentially decreases bacterial plant pathogens. © 2011 Elsevier GmbH.","author":[{"dropping-particle":"","family":"Anderson","given":"Craig R.","non-dropping-particle":"","parse-names":false,"suffix":""},{"dropping-particle":"","family":"Condron","given":"Leo M.","non-dropping-particle":"","parse-names":false,"suffix":""},{"dropping-particle":"","family":"Clough","given":"Tim J.","non-dropping-particle":"","parse-names":false,"suffix":""},{"dropping-particle":"","family":"Fiers","given":"Mark","non-dropping-particle":"","parse-names":false,"suffix":""},{"dropping-particle":"","family":"Stewart","given":"Alison","non-dropping-particle":"","parse-names":false,"suffix":""},{"dropping-particle":"","family":"Hill","given":"Robert A.","non-dropping-particle":"","parse-names":false,"suffix":""},{"dropping-particle":"","family":"Sherlock","given":"Robert R.","non-dropping-particle":"","parse-names":false,"suffix":""}],"container-title":"Pedobiologia","id":"ITEM-1","issue":"5-6","issued":{"date-parts":[["2011","10","10"]]},"page":"309-320","publisher":"Urban &amp; Fischer","title":"Biochar induced soil microbial community change: Implications for biogeochemical cycling of carbon, nitrogen and phosphorus","type":"article-journal","volume":"54"},"uris":["http://www.mendeley.com/documents/?uuid=45d3c737-583a-3e36-86c1-c50bdbd4f773"]}],"mendeley":{"formattedCitation":"(Anderson et al., 2011)","plainTextFormattedCitation":"(Anderson et al., 2011)","previouslyFormattedCitation":"(Anderson et al., 2011)"},"properties":{"noteIndex":0},"schema":"https://github.com/citation-style-language/schema/raw/master/csl-citation.json"}</w:instrText>
      </w:r>
      <w:r w:rsidRPr="00216965">
        <w:fldChar w:fldCharType="separate"/>
      </w:r>
      <w:r w:rsidR="00C83E62" w:rsidRPr="00216965">
        <w:rPr>
          <w:noProof/>
        </w:rPr>
        <w:t>(Anderson et al., 2011)</w:t>
      </w:r>
      <w:r w:rsidRPr="00216965">
        <w:fldChar w:fldCharType="end"/>
      </w:r>
      <w:r w:rsidRPr="00216965">
        <w:t>. As well as being N</w:t>
      </w:r>
      <w:r w:rsidRPr="00216965">
        <w:rPr>
          <w:vertAlign w:val="subscript"/>
        </w:rPr>
        <w:t>2</w:t>
      </w:r>
      <w:r w:rsidRPr="00216965">
        <w:t xml:space="preserve"> fixers, Rhizobiaceae are also efficient P solubilising bacteria </w:t>
      </w:r>
      <w:r w:rsidRPr="00216965">
        <w:fldChar w:fldCharType="begin" w:fldLock="1"/>
      </w:r>
      <w:r w:rsidR="006C06AA" w:rsidRPr="00216965">
        <w:instrText>ADDIN CSL_CITATION {"citationItems":[{"id":"ITEM-1","itemData":{"DOI":"10.1016/J.PEDOBI.2011.07.005","ISSN":"0031-4056","abstract":"It is generally accepted that biochar-C is largely unavailable to soil microbes but changes in soil physicochemical properties and the introduction of metabolically available labile-C compounds associated with the biochar may shift the soil microbial community structure. In the event that biochar becomes widely applied to agricultural soils as a soil conditioner, this research focuses on understanding how biochar application to soil influences bacterial community structure and biogeochemical function. A controlled pot experiment was designed to investigate temporal changes in soil microbial ecology and physicochemical parameters in the presence and absence of biochar. Bacterial communities were investigated in both the rhizosphere and bulk soil using TRFLP coupled with a 454 new generation sequencing database to make tentative taxonomic assignments to TRFLP peaks that showed statistically significant change over time. When comparing biochar amended soils with controls, temporal changes in bacterial family abundances that were &gt; 5% included: Bradyrhizobiaceae (~8%), Hyphomicrobiaceae (~14%), Streptosporangineae (~6%) and Thermomonosporaceae (~8%), where the biochar had a positive influence - either promoting an increase in abundance or reducing the magnitude of loss, and; Streptomycetaceae (~-11%) and Micromonosporaceae (~-7%), where biochar was perceived to have a negative effect on bacterial family abundance. The Bradyrhizobiaceae and Hyphomicrobiaceae have significant involvement nitrogen cycling, with genera/species identified by 454 involved in nitrate (NO3-) denitrification through to N2. The data also suggests that organisms involved in nitrification of ammonium (NH4+) to nitrite (NO2-) are less abundant while mycobacterial nitrate reduction to NH4+ increases along with N2 fixation. Coupled to the observation that biochar can adsorb NH4+, these results provide an explanation for the reductions in N2O emissions observed from soils when biochar is added. Results from this study also indicate that biochar promotes phosphate solubilising bacteria, alters C-fluxes through increasing the abundance of bacterial families that can degrade more recalcitrant C compounds, and potentially decreases bacterial plant pathogens. © 2011 Elsevier GmbH.","author":[{"dropping-particle":"","family":"Anderson","given":"Craig R.","non-dropping-particle":"","parse-names":false,"suffix":""},{"dropping-particle":"","family":"Condron","given":"Leo M.","non-dropping-particle":"","parse-names":false,"suffix":""},{"dropping-particle":"","family":"Clough","given":"Tim J.","non-dropping-particle":"","parse-names":false,"suffix":""},{"dropping-particle":"","family":"Fiers","given":"Mark","non-dropping-particle":"","parse-names":false,"suffix":""},{"dropping-particle":"","family":"Stewart","given":"Alison","non-dropping-particle":"","parse-names":false,"suffix":""},{"dropping-particle":"","family":"Hill","given":"Robert A.","non-dropping-particle":"","parse-names":false,"suffix":""},{"dropping-particle":"","family":"Sherlock","given":"Robert R.","non-dropping-particle":"","parse-names":false,"suffix":""}],"container-title":"Pedobiologia","id":"ITEM-1","issue":"5-6","issued":{"date-parts":[["2011","10","10"]]},"page":"309-320","publisher":"Urban &amp; Fischer","title":"Biochar induced soil microbial community change: Implications for biogeochemical cycling of carbon, nitrogen and phosphorus","type":"article-journal","volume":"54"},"uris":["http://www.mendeley.com/documents/?uuid=45d3c737-583a-3e36-86c1-c50bdbd4f773"]}],"mendeley":{"formattedCitation":"(Anderson et al., 2011)","plainTextFormattedCitation":"(Anderson et al., 2011)","previouslyFormattedCitation":"(Anderson et al., 2011)"},"properties":{"noteIndex":0},"schema":"https://github.com/citation-style-language/schema/raw/master/csl-citation.json"}</w:instrText>
      </w:r>
      <w:r w:rsidRPr="00216965">
        <w:fldChar w:fldCharType="separate"/>
      </w:r>
      <w:r w:rsidR="00C83E62" w:rsidRPr="00216965">
        <w:rPr>
          <w:noProof/>
        </w:rPr>
        <w:t>(Anderson et al., 2011)</w:t>
      </w:r>
      <w:r w:rsidRPr="00216965">
        <w:fldChar w:fldCharType="end"/>
      </w:r>
      <w:r w:rsidRPr="00216965">
        <w:t xml:space="preserve">. Nitrosomonadaceae exert control over nitrification by oxidizing ammonia to nitrite, which is subsequently oxidized by bacterial nitrite oxidizers to nitrate </w:t>
      </w:r>
      <w:r w:rsidRPr="00216965">
        <w:fldChar w:fldCharType="begin" w:fldLock="1"/>
      </w:r>
      <w:r w:rsidR="006C06AA" w:rsidRPr="00216965">
        <w:instrText>ADDIN CSL_CITATION {"citationItems":[{"id":"ITEM-1","itemData":{"DOI":"10.1007/978-3-642-30197-1_372","ISBN":"978-3-642-30197-1","abstract":"The Nitrosomonadaceae comprise a monophyletic phylogenetic group within the betaproteobacteria, all of whose cultivated representatives are lithoautotrophic ammonia oxidizers. Ammonia oxidizers generally exert control over nitrification by oxidizing ammonia to nitrite, which is subsequently oxidized by bacterial nitrite oxidizers to nitrate. They therefore play major roles in control of the nitrogen cycle in terrestrial, freshwater, and marine environments and in wastewater treatment processes. They are also of significant economic and environmental importance, leading to loss of ammonium-based fertilizers, nitrous oxide production, and nitrate pollution. Ammonia oxidation is also carried out by thaumarchaea, gammaproteobacteria, and anammox organisms. Phylogeny of the Nitrosomonadaceae is now based on analysis of 16S rRNA genes and amoA genes that encode subunit A of ammonia monooxygenase, which catalyzes the first step in ammonia oxidation. Sequences of cultivated strains and those obtained directly from environmental DNA and RNA suggest two genera, Nitrosomonas and Nitrosospira, each containing seven lineages, although support for these lineages in Nitrosospira is weaker. Two of these lineages are not represented by a laboratory isolate. Genomic analyses are providing insights into the evolution of the Nitrosomonadaceae and into metabolic processes of relevance to ecological studies.","author":[{"dropping-particle":"","family":"Prosser","given":"James I.","non-dropping-particle":"","parse-names":false,"suffix":""},{"dropping-particle":"","family":"Head","given":"Ian M.","non-dropping-particle":"","parse-names":false,"suffix":""},{"dropping-particle":"","family":"Stein","given":"Lisa Y.","non-dropping-particle":"","parse-names":false,"suffix":""}],"container-title":"The Prokaryotes: Alphaproteobacteria and Betaproteobacteria","id":"ITEM-1","issued":{"date-parts":[["2014","8","1"]]},"page":"901-918","publisher":"Springer","publisher-place":"Heidelberg","title":"The Family Nitrosomonadaceae","type":"chapter","volume":"9783642301"},"uris":["http://www.mendeley.com/documents/?uuid=68d82346-5ede-309d-891e-925399cbafdc"]}],"mendeley":{"formattedCitation":"(Prosser et al., 2014)","plainTextFormattedCitation":"(Prosser et al., 2014)","previouslyFormattedCitation":"(Prosser et al., 2014)"},"properties":{"noteIndex":0},"schema":"https://github.com/citation-style-language/schema/raw/master/csl-citation.json"}</w:instrText>
      </w:r>
      <w:r w:rsidRPr="00216965">
        <w:fldChar w:fldCharType="separate"/>
      </w:r>
      <w:r w:rsidR="001974AA" w:rsidRPr="00216965">
        <w:rPr>
          <w:noProof/>
        </w:rPr>
        <w:t>(Prosser et al., 2014)</w:t>
      </w:r>
      <w:r w:rsidRPr="00216965">
        <w:fldChar w:fldCharType="end"/>
      </w:r>
      <w:r w:rsidRPr="00216965">
        <w:t xml:space="preserve">. Microtrichales are suggested to be important heterotrophs hydrolyzing complex substrates, and hence have a </w:t>
      </w:r>
      <w:r w:rsidRPr="00216965">
        <w:rPr>
          <w:color w:val="222222"/>
        </w:rPr>
        <w:t xml:space="preserve">key role for carbon mineralization </w:t>
      </w:r>
      <w:r w:rsidRPr="00216965">
        <w:rPr>
          <w:color w:val="222222"/>
          <w:shd w:val="clear" w:color="auto" w:fill="FFFFFF"/>
        </w:rPr>
        <w:fldChar w:fldCharType="begin" w:fldLock="1"/>
      </w:r>
      <w:r w:rsidR="006C06AA" w:rsidRPr="00216965">
        <w:rPr>
          <w:color w:val="222222"/>
          <w:shd w:val="clear" w:color="auto" w:fill="FFFFFF"/>
        </w:rPr>
        <w:instrText>ADDIN CSL_CITATION {"citationItems":[{"id":"ITEM-1","itemData":{"DOI":"10.1038/s43705-021-00028-w","ISSN":"2730-6151","abstract":"Coastal sands are biocatalytic filters for dissolved and particulate organic matter of marine and terrestrial origin, thus, acting as centers of organic matter transformation. At high temporal resolution, we accessed the variability of benthic bacterial communities over two annual cycles at Helgoland (North Sea), and compared it with seasonality of communities in Isfjorden (Svalbard, 78°N) sediments, where primary production does not occur during winter. Benthic community structure remained stable in both, temperate and polar sediments on the level of cell counts and 16S rRNA-based taxonomy. Actinobacteriota of uncultured Actinomarinales and Microtrichales were a major group, with 8 ± 1% of total reads (Helgoland) and 31 ± 6% (Svalbard). Their high activity (frequency of dividing cells 28%) and in situ cell numbers of &gt;10% of total microbes in Svalbard sediments, suggest Actinomarinales and Microtrichales as key heterotrophs for carbon mineralization. Even though Helgoland and Svalbard sampling sites showed no phytodetritus-driven changes of the benthic bacterial community structure, they harbored significantly different communities (p &lt; 0.0001, r = 0.963). The temporal stability of benthic bacterial communities is in stark contrast to the dynamic succession typical of coastal waters, suggesting that pelagic and benthic bacterial communities respond to phytoplankton productivity very differently.","author":[{"dropping-particle":"","family":"Miksch","given":"Sebastian","non-dropping-particle":"","parse-names":false,"suffix":""},{"dropping-particle":"","family":"Meiners","given":"Mirja","non-dropping-particle":"","parse-names":false,"suffix":""},{"dropping-particle":"","family":"Meyerdierks","given":"Anke","non-dropping-particle":"","parse-names":false,"suffix":""},{"dropping-particle":"","family":"Probandt","given":"David","non-dropping-particle":"","parse-names":false,"suffix":""},{"dropping-particle":"","family":"Wegener","given":"Gunter","non-dropping-particle":"","parse-names":false,"suffix":""},{"dropping-particle":"","family":"Titschack","given":"Jürgen","non-dropping-particle":"","parse-names":false,"suffix":""},{"dropping-particle":"","family":"Jensen","given":"Maria A.","non-dropping-particle":"","parse-names":false,"suffix":""},{"dropping-particle":"","family":"Ellrott","given":"Andreas","non-dropping-particle":"","parse-names":false,"suffix":""},{"dropping-particle":"","family":"Amann","given":"Rudolf","non-dropping-particle":"","parse-names":false,"suffix":""},{"dropping-particle":"","family":"Knittel","given":"Katrin","non-dropping-particle":"","parse-names":false,"suffix":""}],"container-title":"ISME Communications","id":"ITEM-1","issue":"29","issued":{"date-parts":[["2021","6","28"]]},"page":"1-11","publisher":"Nature Publishing Group","title":"Bacterial communities in temperate and polar coastal sands are seasonally stable","type":"article-journal","volume":"1"},"uris":["http://www.mendeley.com/documents/?uuid=64d34bba-e43a-3a0f-8164-5d4c998ca707"]}],"mendeley":{"formattedCitation":"(Miksch et al., 2021)","plainTextFormattedCitation":"(Miksch et al., 2021)","previouslyFormattedCitation":"(Miksch et al., 2021)"},"properties":{"noteIndex":0},"schema":"https://github.com/citation-style-language/schema/raw/master/csl-citation.json"}</w:instrText>
      </w:r>
      <w:r w:rsidRPr="00216965">
        <w:rPr>
          <w:color w:val="222222"/>
          <w:shd w:val="clear" w:color="auto" w:fill="FFFFFF"/>
        </w:rPr>
        <w:fldChar w:fldCharType="separate"/>
      </w:r>
      <w:r w:rsidR="00C83E62" w:rsidRPr="00216965">
        <w:rPr>
          <w:noProof/>
          <w:color w:val="222222"/>
          <w:shd w:val="clear" w:color="auto" w:fill="FFFFFF"/>
        </w:rPr>
        <w:t>(Miksch et al., 2021)</w:t>
      </w:r>
      <w:r w:rsidRPr="00216965">
        <w:rPr>
          <w:color w:val="222222"/>
          <w:shd w:val="clear" w:color="auto" w:fill="FFFFFF"/>
        </w:rPr>
        <w:fldChar w:fldCharType="end"/>
      </w:r>
      <w:r w:rsidRPr="00216965">
        <w:rPr>
          <w:color w:val="222222"/>
        </w:rPr>
        <w:t>. It is therefore inferred that nutrient cycling was enhanced with compost addition.</w:t>
      </w:r>
    </w:p>
    <w:p w14:paraId="0A9A2E23" w14:textId="4F03CC67" w:rsidR="00AB2390" w:rsidRPr="00216965" w:rsidRDefault="00B45740" w:rsidP="008A33DA">
      <w:pPr>
        <w:spacing w:line="360" w:lineRule="auto"/>
        <w:jc w:val="both"/>
      </w:pPr>
      <w:r w:rsidRPr="00216965">
        <w:t xml:space="preserve">Major shifts were observed in the relative abundance and composition of bacteria rather than fungi, which is due to the natural proportion of bacteria over fungi in Wemyss soil, as reflected by the qPCR total abundance results. Similar results were presented by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2021)","manualFormatting":"Li et al. (2021)","plainTextFormattedCitation":"(Li et al., 2021)","previouslyFormattedCitation":"(Li et al., 2021)"},"properties":{"noteIndex":0},"schema":"https://github.com/citation-style-language/schema/raw/master/csl-citation.json"}</w:instrText>
      </w:r>
      <w:r w:rsidRPr="00216965">
        <w:fldChar w:fldCharType="separate"/>
      </w:r>
      <w:r w:rsidRPr="00216965">
        <w:rPr>
          <w:noProof/>
        </w:rPr>
        <w:t xml:space="preserve">Li </w:t>
      </w:r>
      <w:r w:rsidR="009B2252" w:rsidRPr="00216965">
        <w:rPr>
          <w:noProof/>
        </w:rPr>
        <w:t>et al</w:t>
      </w:r>
      <w:r w:rsidRPr="00216965">
        <w:rPr>
          <w:i/>
          <w:noProof/>
        </w:rPr>
        <w:t>.</w:t>
      </w:r>
      <w:r w:rsidRPr="00216965">
        <w:rPr>
          <w:noProof/>
        </w:rPr>
        <w:t xml:space="preserve"> (2021)</w:t>
      </w:r>
      <w:r w:rsidRPr="00216965">
        <w:fldChar w:fldCharType="end"/>
      </w:r>
      <w:r w:rsidRPr="00216965">
        <w:t xml:space="preserve">, who reported that the addition of sewage sludge compost and garden waste compost to a woodland significantly changed the bacterial community structure, with limited influence on the fungal community structure. </w:t>
      </w:r>
    </w:p>
    <w:p w14:paraId="1515DFA1" w14:textId="33882099" w:rsidR="00AB2390" w:rsidRPr="00216965" w:rsidRDefault="00B45740" w:rsidP="008A33DA">
      <w:pPr>
        <w:spacing w:line="360" w:lineRule="auto"/>
        <w:jc w:val="both"/>
      </w:pPr>
      <w:r w:rsidRPr="00216965">
        <w:t xml:space="preserve">The absence of major changes in the fungal community may be related to the soil pH. In a comparison of bacterial and fungal diversity across a long-term liming experiment the authors demonstrated that pH strongly affected both the relative abundance and diversity of bacteria, while the influence of pH on fungal community composition was weaker </w:t>
      </w:r>
      <w:r w:rsidRPr="00216965">
        <w:fldChar w:fldCharType="begin" w:fldLock="1"/>
      </w:r>
      <w:r w:rsidR="006C06AA" w:rsidRPr="00216965">
        <w:instrText>ADDIN CSL_CITATION {"citationItems":[{"id":"ITEM-1","itemData":{"DOI":"10.1016/j.soilbio.2011.10.012","ISBN":"0038-0717","ISSN":"00380717","abstract":"While many laboratory studies have focused on the short term effects of biochar addition to soil), there have been comparatively few tracing its longer term effects in the field. This study investigated the multiyear impact of biochar on crop performance and soil quality with specific emphasis on carbon (C) and nitrogen (N) cycling over a 3 y period. Biochar was added to an agricultural field at 0, 25 and 50tha -1 and planted with maize (year 1) and grass (years 2 and 3). Biochar addition affected plant performance in the grass crop with significant increases in foliar N (year 2) and above-ground biomass (year 3). Below-ground, biochar increased soil respiration, fungal and bacterial growth rate and turnover in year 2. This change coincided with a shift toward a bacterial dominated decomposer community, suggesting a decrease in the potential for microbially mediated C sequestration. Biochar did not affect dissolved organic C (DOC) and N (DON), NO 3 - or NH 4 + pool sizes. Similarly, biochar addition had limited effects on the turnover of 14C-labelled SOC (plant litter), DOC (sugars and organic acids) and DON (amino acids) and no long term effect on N mineralization, NH 3 volatilization, denitrification and NH 4 + sorption. After 3 years in the field, the alkalinity associated with the biochar had been fully neutralized and biochar lost most of its cations (K, Na, Ca) but had built up an associated microbial community. We conclude that biochar addition to soil causes small and potentially transient changes in a temperate agroecosystem functioning. Importantly, many of the short-term effects of biochar on plant growth and soil behavior reported from laboratory studies were not observed in the field emphasizing the need for long term field trials to help inform agronomic management decisions involving biochar. ?? 2011 Elsevier Ltd.","author":[{"dropping-particle":"","family":"Jones","given":"D. L.","non-dropping-particle":"","parse-names":false,"suffix":""},{"dropping-particle":"","family":"Rousk","given":"J.","non-dropping-particle":"","parse-names":false,"suffix":""},{"dropping-particle":"","family":"Edwards-Jones","given":"G.","non-dropping-particle":"","parse-names":false,"suffix":""},{"dropping-particle":"","family":"DeLuca","given":"T. H.","non-dropping-particle":"","parse-names":false,"suffix":""},{"dropping-particle":"V.","family":"Murphy","given":"D.","non-dropping-particle":"","parse-names":false,"suffix":""}],"container-title":"Soil Biology and Biochemistry","id":"ITEM-1","issued":{"date-parts":[["2012"]]},"page":"113-124","publisher":"Elsevier Ltd","title":"Biochar-mediated changes in soil quality and plant growth in a three year field trial","type":"article-journal","volume":"45"},"uris":["http://www.mendeley.com/documents/?uuid=0da853b2-a014-4706-990e-d13d677f655f"]}],"mendeley":{"formattedCitation":"(Jones et al., 2012)","plainTextFormattedCitation":"(Jones et al., 2012)","previouslyFormattedCitation":"(Jones et al., 2012)"},"properties":{"noteIndex":0},"schema":"https://github.com/citation-style-language/schema/raw/master/csl-citation.json"}</w:instrText>
      </w:r>
      <w:r w:rsidRPr="00216965">
        <w:fldChar w:fldCharType="separate"/>
      </w:r>
      <w:r w:rsidR="00C83E62" w:rsidRPr="00216965">
        <w:rPr>
          <w:noProof/>
        </w:rPr>
        <w:t>(Jones et al., 2012)</w:t>
      </w:r>
      <w:r w:rsidRPr="00216965">
        <w:fldChar w:fldCharType="end"/>
      </w:r>
      <w:r w:rsidRPr="00216965">
        <w:t xml:space="preserve">. Fungi typically have a wide pH optimum, often covering 5–9 pH units without significant inhibition of their growth </w:t>
      </w:r>
      <w:r w:rsidRPr="00216965">
        <w:fldChar w:fldCharType="begin" w:fldLock="1"/>
      </w:r>
      <w:r w:rsidR="006C06AA" w:rsidRPr="00216965">
        <w:instrText>ADDIN CSL_CITATION {"citationItems":[{"id":"ITEM-1","itemData":{"DOI":"10.1016/j.soilbio.2011.10.012","ISBN":"0038-0717","ISSN":"00380717","abstract":"While many laboratory studies have focused on the short term effects of biochar addition to soil), there have been comparatively few tracing its longer term effects in the field. This study investigated the multiyear impact of biochar on crop performance and soil quality with specific emphasis on carbon (C) and nitrogen (N) cycling over a 3 y period. Biochar was added to an agricultural field at 0, 25 and 50tha -1 and planted with maize (year 1) and grass (years 2 and 3). Biochar addition affected plant performance in the grass crop with significant increases in foliar N (year 2) and above-ground biomass (year 3). Below-ground, biochar increased soil respiration, fungal and bacterial growth rate and turnover in year 2. This change coincided with a shift toward a bacterial dominated decomposer community, suggesting a decrease in the potential for microbially mediated C sequestration. Biochar did not affect dissolved organic C (DOC) and N (DON), NO 3 - or NH 4 + pool sizes. Similarly, biochar addition had limited effects on the turnover of 14C-labelled SOC (plant litter), DOC (sugars and organic acids) and DON (amino acids) and no long term effect on N mineralization, NH 3 volatilization, denitrification and NH 4 + sorption. After 3 years in the field, the alkalinity associated with the biochar had been fully neutralized and biochar lost most of its cations (K, Na, Ca) but had built up an associated microbial community. We conclude that biochar addition to soil causes small and potentially transient changes in a temperate agroecosystem functioning. Importantly, many of the short-term effects of biochar on plant growth and soil behavior reported from laboratory studies were not observed in the field emphasizing the need for long term field trials to help inform agronomic management decisions involving biochar. ?? 2011 Elsevier Ltd.","author":[{"dropping-particle":"","family":"Jones","given":"D. L.","non-dropping-particle":"","parse-names":false,"suffix":""},{"dropping-particle":"","family":"Rousk","given":"J.","non-dropping-particle":"","parse-names":false,"suffix":""},{"dropping-particle":"","family":"Edwards-Jones","given":"G.","non-dropping-particle":"","parse-names":false,"suffix":""},{"dropping-particle":"","family":"DeLuca","given":"T. H.","non-dropping-particle":"","parse-names":false,"suffix":""},{"dropping-particle":"V.","family":"Murphy","given":"D.","non-dropping-particle":"","parse-names":false,"suffix":""}],"container-title":"Soil Biology and Biochemistry","id":"ITEM-1","issued":{"date-parts":[["2012"]]},"page":"113-124","publisher":"Elsevier Ltd","title":"Biochar-mediated changes in soil quality and plant growth in a three year field trial","type":"article-journal","volume":"45"},"uris":["http://www.mendeley.com/documents/?uuid=0da853b2-a014-4706-990e-d13d677f655f"]}],"mendeley":{"formattedCitation":"(Jones et al., 2012)","plainTextFormattedCitation":"(Jones et al., 2012)","previouslyFormattedCitation":"(Jones et al., 2012)"},"properties":{"noteIndex":0},"schema":"https://github.com/citation-style-language/schema/raw/master/csl-citation.json"}</w:instrText>
      </w:r>
      <w:r w:rsidRPr="00216965">
        <w:fldChar w:fldCharType="separate"/>
      </w:r>
      <w:r w:rsidR="00C83E62" w:rsidRPr="00216965">
        <w:rPr>
          <w:noProof/>
        </w:rPr>
        <w:t>(Jones et al., 2012)</w:t>
      </w:r>
      <w:r w:rsidRPr="00216965">
        <w:fldChar w:fldCharType="end"/>
      </w:r>
      <w:r w:rsidRPr="00216965">
        <w:t xml:space="preserve">. It is therefore possible that changes in the soil pH did not substantially affect fungi due to this resilience. </w:t>
      </w:r>
    </w:p>
    <w:p w14:paraId="5AEA779E" w14:textId="310E4F17" w:rsidR="00B45740" w:rsidRPr="00216965" w:rsidRDefault="00B45740" w:rsidP="008A33DA">
      <w:pPr>
        <w:spacing w:line="360" w:lineRule="auto"/>
        <w:jc w:val="both"/>
      </w:pPr>
      <w:r w:rsidRPr="00216965">
        <w:t xml:space="preserve">In this study saprotrophs were the major fungal trophic type in treatments containing compost. The saprotrophic fungi belonged to Ascomycota and Basidiomycota, and are able to decompose cellulose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woodland","type":"article-journal","volume":"222"},"uris":["http://www.mendeley.com/documents/?uuid=f2aab728-f3b3-3331-994c-8ddc1da1243e"]}],"mendeley":{"formattedCitation":"(Li et al., 2021)","plainTextFormattedCitation":"(Li et al., 2021)","previouslyFormattedCitation":"(Li et al., 2021)"},"properties":{"noteIndex":0},"schema":"https://github.com/citation-style-language/schema/raw/master/csl-citation.json"}</w:instrText>
      </w:r>
      <w:r w:rsidRPr="00216965">
        <w:fldChar w:fldCharType="separate"/>
      </w:r>
      <w:r w:rsidR="00C83E62" w:rsidRPr="00216965">
        <w:rPr>
          <w:noProof/>
        </w:rPr>
        <w:t>(Li et al., 2021)</w:t>
      </w:r>
      <w:r w:rsidRPr="00216965">
        <w:fldChar w:fldCharType="end"/>
      </w:r>
      <w:r w:rsidRPr="00216965">
        <w:t xml:space="preserve"> and lignin </w:t>
      </w:r>
      <w:r w:rsidRPr="00216965">
        <w:fldChar w:fldCharType="begin" w:fldLock="1"/>
      </w:r>
      <w:r w:rsidR="006C06AA" w:rsidRPr="00216965">
        <w:instrText>ADDIN CSL_CITATION {"citationItems":[{"id":"ITEM-1","itemData":{"DOI":"10.1007/s11356-014-3719-5","ISBN":"1135601437","ISSN":"16147499","PMID":"25345923","abstract":"Amending polycyclic aromatic hydrocarbon (PAH)-contaminated soils with biochar may be cheaper and environmentally friendly than other forms of organic materials. This has led to numerous studies on the use of biochar to either bind or stimulate the microbial degradation of organic compounds in soils. However, very little or no attention have been paid to the fact that biochars can give simultaneous impact on PAH fate processes, such as volatilization, sorption and biodegradation. In this review, we raised and considered the following questions: How does biochar affect microbes and microbial activities in the soil? What are the effects of adding biochar on sorption of PAHs? What are the effects of adding biochar on degradation of PAHs? What are the factors that we can manipulate in the laboratory to enhance the capability of biochars to degrade PAHs? A triphasic concept of how biochar can give simultaneous impact on PAH fate processes in soils was proposed, which involves rapid PAH sorption into biochar, subsequent desorption and modification of soil physicochemical properties by biochar, which in turn stimulates microbial degradation of the desorbed PAHs. It is anticipated that biochar can give simultaneous impact on PAH fate processes in soils.","author":[{"dropping-particle":"","family":"Anyika","given":"Chinedum","non-dropping-particle":"","parse-names":false,"suffix":""},{"dropping-particle":"","family":"Abdul Majid","given":"Zaiton","non-dropping-particle":"","parse-names":false,"suffix":""},{"dropping-particle":"","family":"Ibrahim","given":"Zahara","non-dropping-particle":"","parse-names":false,"suffix":""},{"dropping-particle":"","family":"Zakaria","given":"Mohamad Pauzi","non-dropping-particle":"","parse-names":false,"suffix":""},{"dropping-particle":"","family":"Yahya","given":"Adibah","non-dropping-particle":"","parse-names":false,"suffix":""}],"container-title":"Environmental Science and Pollution Research","id":"ITEM-1","issue":"5","issued":{"date-parts":[["2015"]]},"page":"3314-3341","title":"The impact of biochars on sorption and biodegradation of polycyclic aromatic hydrocarbons in soils—a review","type":"article-journal","volume":"22"},"uris":["http://www.mendeley.com/documents/?uuid=624dbb7f-e926-4a35-9237-44c49ac67b2b"]}],"mendeley":{"formattedCitation":"(Anyika et al., 2015)","plainTextFormattedCitation":"(Anyika et al., 2015)","previouslyFormattedCitation":"(Anyika et al., 2015)"},"properties":{"noteIndex":0},"schema":"https://github.com/citation-style-language/schema/raw/master/csl-citation.json"}</w:instrText>
      </w:r>
      <w:r w:rsidRPr="00216965">
        <w:fldChar w:fldCharType="separate"/>
      </w:r>
      <w:r w:rsidR="00C83E62" w:rsidRPr="00216965">
        <w:rPr>
          <w:noProof/>
        </w:rPr>
        <w:t>(Anyika et al., 2015)</w:t>
      </w:r>
      <w:r w:rsidRPr="00216965">
        <w:fldChar w:fldCharType="end"/>
      </w:r>
      <w:r w:rsidRPr="00216965">
        <w:t xml:space="preserve">. Garden waste compost will contain large amounts of cellulose and lignin, which explains the presence of Ascomycota and Basidiomycota. The Family of Leotiomycetes on the other hand were not detectable in the soil treated with compost. Previously Leotiomycetes have been reported to be correlated with soil C/N ratio </w:t>
      </w:r>
      <w:r w:rsidRPr="00216965">
        <w:fldChar w:fldCharType="begin" w:fldLock="1"/>
      </w:r>
      <w:r w:rsidR="006C06AA" w:rsidRPr="00216965">
        <w:instrText>ADDIN CSL_CITATION {"citationItems":[{"id":"ITEM-1","itemData":{"DOI":"10.3389/FMICB.2018.01815","ISSN":"1664-302X","abstract":"Elevational gradients are associated not only with variations in temperature and precipitation, but also with shifts in vegetation types and changes in soil physicochemical properties. While large-scale elevational patterns of soil microbial diversity, such as monotonic declines and hump-shaped models, have been reported, it is unclear whether within-ecosystem elevational distribution patterns exist for soil fungal communities at the small scale. Using Illumina Miseq DNA sequencing, we present a comprehensive analysis of soil fungal diversity and community compositions in an alpine tundra ecosystem at elevations ranging from 2000 m to 2500 m on the Changbai Mountain, China. Soil fungal community composition differed among elevations, and the fungal diversity (i.e., species richness and Chao1) increased along elevations. Soil fungal richness was negatively correlated with soil carbon/nitrogen (C/N) ratio, and community composition varied according to the C/N ratio. In addition, the relative abundances of Basidiomycota and Leotiomycetes were similarly negatively correlated with C/N ratio. For functional guilds, our data showed that mycoparasite and foliar epiphyte abundances were also influenced by C/N ratio. These results indicated that soil C/N ratio might be a key factor in determining soil fungal distribution at small-scale elevational gradients.","author":[{"dropping-particle":"","family":"Ni","given":"Yingying","non-dropping-particle":"","parse-names":false,"suffix":""},{"dropping-particle":"","family":"Yang","given":"Teng","non-dropping-particle":"","parse-names":false,"suffix":""},{"dropping-particle":"","family":"Zhang","given":"Kaoping","non-dropping-particle":"","parse-names":false,"suffix":""},{"dropping-particle":"","family":"Shen","given":"Congcong","non-dropping-particle":"","parse-names":false,"suffix":""},{"dropping-particle":"","family":"Chu","given":"Haiyan","non-dropping-particle":"","parse-names":false,"suffix":""}],"container-title":"Frontiers in Microbiology","id":"ITEM-1","issue":"1815","issued":{"date-parts":[["2018","8","7"]]},"publisher":"Frontiers","title":"Fungal communities along a small-scale elevational gradient in an alpine tundra are determined by soil carbon nitrogen ratios","type":"article-journal","volume":"9"},"uris":["http://www.mendeley.com/documents/?uuid=e5681041-c537-3832-9c04-36206c39bd7b"]}],"mendeley":{"formattedCitation":"(Ni et al., 2018)","plainTextFormattedCitation":"(Ni et al., 2018)","previouslyFormattedCitation":"(Ni et al., 2018)"},"properties":{"noteIndex":0},"schema":"https://github.com/citation-style-language/schema/raw/master/csl-citation.json"}</w:instrText>
      </w:r>
      <w:r w:rsidRPr="00216965">
        <w:fldChar w:fldCharType="separate"/>
      </w:r>
      <w:r w:rsidR="00C83E62" w:rsidRPr="00216965">
        <w:rPr>
          <w:noProof/>
        </w:rPr>
        <w:t>(Ni et al., 2018)</w:t>
      </w:r>
      <w:r w:rsidRPr="00216965">
        <w:fldChar w:fldCharType="end"/>
      </w:r>
      <w:r w:rsidRPr="00216965">
        <w:t xml:space="preserve">, hence it is suggested </w:t>
      </w:r>
      <w:r w:rsidRPr="00216965">
        <w:lastRenderedPageBreak/>
        <w:t>that due to an enriched environment promoted by compost addition the relative abundance of this group declined in compost-amended soil.</w:t>
      </w:r>
    </w:p>
    <w:p w14:paraId="6FFBCDC6" w14:textId="1B00CBCB" w:rsidR="00B45740" w:rsidRPr="00216965" w:rsidRDefault="00B45740" w:rsidP="008A33DA">
      <w:pPr>
        <w:spacing w:line="360" w:lineRule="auto"/>
        <w:jc w:val="both"/>
      </w:pPr>
      <w:r w:rsidRPr="00216965">
        <w:t xml:space="preserve">The soil microbial community is sensitive to the change of soil environment and is a crucial index of soil fertility and health, hence it can be used as an indicator of ecological risk assessment of soil contamination rather than soil physicochemical properties </w:t>
      </w:r>
      <w:r w:rsidRPr="00216965">
        <w:fldChar w:fldCharType="begin" w:fldLock="1"/>
      </w:r>
      <w:r w:rsidR="006C06AA" w:rsidRPr="00216965">
        <w:instrText>ADDIN CSL_CITATION {"citationItems":[{"id":"ITEM-1","itemData":{"DOI":"10.1016/J.ECOENV.2021.112497","ISSN":"0147-6513","abstract":"Sewage sludge (SS) and garden waste (GW) compost can be used as soil amendments to improve the soil environment. Studies done till date have been focused on the changes of harmful substances during sludge composting, but the safety and efficacy of SS and GW composting on woodland soil environment are still unclear. In the study, a field experiment was performed using to investigate the safety and efficacy of SS and GW compost as a soil amendment on woodland soil. Soil nutrients (such as nitrogen, phosphorus and potassium), organic matter and electrical conductivity were significantly increased after the addition of the SS and GW compost, while there were no significant changes in soil heavy metals content and soil enzyme activities. From these soil properties, it was found that SS and GW compost was safe and efficacious in improving the soil environment. The application of SS and GW compost had no significant effect on microbial diversity. Co-occurrence network analysis revealed that SS and GW compost efficaciously enhanced the interaction between bacterial communities, which proved that it was safe and efficacious. Furthermore, SS and GW compost enhanced ABC transporters and carbohydrate metabolism of bacterial community, while reduced the pathotroph action (such as the plant pathogen) and wood saprotrophs. Overall, these results proved the safety and efficacy of SS and GW compost as soil amendments after being added to the soil. This study contributes to the use of harmless treatments and reutilization processes of SS and GW.","author":[{"dropping-particle":"","family":"Li","given":"Yongshuang","non-dropping-particle":"","parse-names":false,"suffix":""},{"dropping-particle":"","family":"Sun","given":"Bo","non-dropping-particle":"","parse-names":false,"suffix":""},{"dropping-particle":"","family":"Deng","given":"Tingyue","non-dropping-particle":"","parse-names":false,"suffix":""},{"dropping-particle":"","family":"Lian","given":"Peng","non-dropping-particle":"","parse-names":false,"suffix":""},{"dropping-particle":"","family":"Chen","given":"Juhong","non-dropping-particle":"","parse-names":false,"suffix":""},{"dropping-particle":"","family":"Peng","given":"Xiawei","non-dropping-particle":"","parse-names":false,"suffix":""}],"container-title":"Ecotoxicology and Environmental Safety","id":"ITEM-1","issued":{"date-parts":[["2021","10","1"]]},"page":"112497","publisher":"Academic Press","title":"Safety and efficiency of sewage sludge and garden waste compost as a soil amendment based on the field application in woodland","type":"article-journal","volume":"222"},"uris":["http://www.mendeley.com/documents/?uuid=f2aab728-f3b3-3331-994c-8ddc1da1243e"]},{"id":"ITEM-2","itemData":{"DOI":"10.1039/c5ra04834f","ISSN":"20462069","abstract":"Biochar and compost are two inexpensive and effective in situ remediation materials for heavy metal contaminated soils. The interaction between biochar and compost (or composting material) calls for further studies to maximize the potential benefits of both. In this study, we examined the short-time efficiency of compost (C), biochar (B), a mixture of compost and biochar (B + C), composted biochar (Bced) and biochar-composting material (BCing, biochar and biomass mixed before composting) for reducing bioavailability, mobility and ecological risk of Cd, Cu, Zn and Pb in wetland soil. Adding these amendment materials to the contaminated soil changed the total organic carbon (TOC), water-extractable organic carbon (WEOC) and pH. All the materials decreased the available Cd, Cu, Zn and Pb concentrations in the soil (compost increased the available Cu concentration) and Cd, Cu, Zn and Pb concentrations in pore water. As a whole, soil with Bced and BCing had the biggest decrease in these concentrations. These results indicated that all the materials reduced the bioavailability and mobility of heavy metals (compost improved the bioavailability of Cu), and Bced and BCing had the greatest capacity for that. The materials improved soil microbial biomass and BCing created the biggest improvement, which suggested all the amendment materials reduced the ecological risk of heavy metals and BCing had the greatest capacity for that.","author":[{"dropping-particle":"","family":"Zeng","given":"Guangm","non-dropping-particle":"","parse-names":false,"suffix":""},{"dropping-particle":"","family":"Wu","given":"Haipeng","non-dropping-particle":"","parse-names":false,"suffix":""},{"dropping-particle":"","family":"Liang","given":"Jie","non-dropping-particle":"","parse-names":false,"suffix":""},{"dropping-particle":"","family":"Guo","given":"Shenglian","non-dropping-particle":"","parse-names":false,"suffix":""},{"dropping-particle":"","family":"Huang","given":"Lu","non-dropping-particle":"","parse-names":false,"suffix":""},{"dropping-particle":"","family":"Xu","given":"Piao","non-dropping-particle":"","parse-names":false,"suffix":""},{"dropping-particle":"","family":"Liu","given":"Yuanyuan","non-dropping-particle":"","parse-names":false,"suffix":""},{"dropping-particle":"","family":"Yuan","given":"Yujie","non-dropping-particle":"","parse-names":false,"suffix":""},{"dropping-particle":"","family":"He","given":"Xiaoxiao","non-dropping-particle":"","parse-names":false,"suffix":""},{"dropping-particle":"","family":"He","given":"Yan","non-dropping-particle":"","parse-names":false,"suffix":""}],"container-title":"RSC Advances","id":"ITEM-2","issue":"44","issued":{"date-parts":[["2015"]]},"page":"34541-34548","publisher":"Royal Society of Chemistry","title":"Efficiency of biochar and compost (or composting) combined amendments for reducing Cd, Cu, Zn and Pb bioavailability, mobility and ecological risk in wetland soil","type":"article-journal","volume":"5"},"uris":["http://www.mendeley.com/documents/?uuid=ebb20dbb-cbd3-3e20-a001-a39f6f139234"]}],"mendeley":{"formattedCitation":"(Li et al., 2021; Zeng et al., 2015)","plainTextFormattedCitation":"(Li et al., 2021; Zeng et al., 2015)","previouslyFormattedCitation":"(Li et al., 2021; Zeng et al., 2015)"},"properties":{"noteIndex":0},"schema":"https://github.com/citation-style-language/schema/raw/master/csl-citation.json"}</w:instrText>
      </w:r>
      <w:r w:rsidRPr="00216965">
        <w:fldChar w:fldCharType="separate"/>
      </w:r>
      <w:r w:rsidR="001974AA" w:rsidRPr="00216965">
        <w:rPr>
          <w:noProof/>
        </w:rPr>
        <w:t>(Li et al., 2021; Zeng et al., 2015)</w:t>
      </w:r>
      <w:r w:rsidRPr="00216965">
        <w:fldChar w:fldCharType="end"/>
      </w:r>
      <w:r w:rsidRPr="00216965">
        <w:t>. Overall this study confirms that the addition of organic amendments reduce HM toxicity and enhance soil functioning, with compost having a more pronounced effect than biochar.</w:t>
      </w:r>
    </w:p>
    <w:p w14:paraId="2A121BEB" w14:textId="77777777" w:rsidR="00B45740" w:rsidRPr="00216965" w:rsidRDefault="00B45740" w:rsidP="008A33DA">
      <w:pPr>
        <w:pStyle w:val="Heading3"/>
      </w:pPr>
      <w:bookmarkStart w:id="419" w:name="_Toc86504717"/>
      <w:r w:rsidRPr="00216965">
        <w:t>Microbial activity and PLFA</w:t>
      </w:r>
      <w:bookmarkEnd w:id="419"/>
    </w:p>
    <w:p w14:paraId="04A5088B" w14:textId="1B8803CA" w:rsidR="00AB2390" w:rsidRPr="00216965" w:rsidRDefault="00B45740" w:rsidP="008A33DA">
      <w:pPr>
        <w:spacing w:line="360" w:lineRule="auto"/>
        <w:jc w:val="both"/>
      </w:pPr>
      <w:r w:rsidRPr="00216965">
        <w:t xml:space="preserve">The analysis of PLFAs demonstrated that biochar addition did not increase total microbial abundance but promoted changes in microbial structure. PLFA patterns are sensitive to microbial community shifts even though the taxonomic resolution of PLFAs is low </w:t>
      </w:r>
      <w:r w:rsidRPr="00216965">
        <w:fldChar w:fldCharType="begin" w:fldLock="1"/>
      </w:r>
      <w:r w:rsidR="00F56BD7" w:rsidRPr="00216965">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2015)","plainTextFormattedCitation":"(Watzinger, 2015)","previouslyFormattedCitation":"(Watzinger, 2015)"},"properties":{"noteIndex":0},"schema":"https://github.com/citation-style-language/schema/raw/master/csl-citation.json"}</w:instrText>
      </w:r>
      <w:r w:rsidRPr="00216965">
        <w:fldChar w:fldCharType="separate"/>
      </w:r>
      <w:r w:rsidR="00330A4F" w:rsidRPr="00216965">
        <w:rPr>
          <w:noProof/>
        </w:rPr>
        <w:t>(Watzinger, 2015)</w:t>
      </w:r>
      <w:r w:rsidRPr="00216965">
        <w:fldChar w:fldCharType="end"/>
      </w:r>
      <w:r w:rsidRPr="00216965">
        <w:t xml:space="preserve">. Despite the low taxonomic resolution, the analysis showed that after 12 months the fatty acids that dominated in both treatments were i:15 (Gram positive bacteria), 16:00 (bacteria), 181:19ωc (Type II methanotrophs including Alphaproteobacteria) </w:t>
      </w:r>
      <w:r w:rsidRPr="00216965">
        <w:fldChar w:fldCharType="begin" w:fldLock="1"/>
      </w:r>
      <w:r w:rsidR="006C06AA" w:rsidRPr="00216965">
        <w:instrText>ADDIN CSL_CITATION {"citationItems":[{"id":"ITEM-1","itemData":{"DOI":"10.1111/jam.12902","ISSN":"13645072","abstract":"Profiling of microbial communities in environmental samples often utilizes phospholipid fatty acid (PLFA) analysis. This method has been used for more than 35 years and is still popular as a means to characterize microbial communities in a diverse range of environmental matrices. This review examines the various recent applications of PLFA analysis in environmental studies with specific reference to the interpretation of the PLFA results. It is evident that interpretations of PLFA results do not always correlate between different investigations. These discrepancies in interpretation and their subsequent applications to environmental studies are discussed. However, in spite of limitations to the manner in which PLFA data are applied, the approach remains one with great potential for improving our understanding of the relationship between microbial populations and the environment. This review highlights the caveats and provides suggestions towards the practicable application of PLFA data interpretation.","author":[{"dropping-particle":"","family":"Willers","given":"C.","non-dropping-particle":"","parse-names":false,"suffix":""},{"dropping-particle":"","family":"Jansen","given":"P.","non-dropping-particle":"","parse-names":false,"suffix":""},{"dropping-particle":"","family":"Claassens","given":"S.","non-dropping-particle":"","parse-names":false,"suffix":""}],"container-title":"Journal of Applied Microbiology","id":"ITEM-1","issue":"5","issued":{"date-parts":[["2015","11","1"]]},"page":"1207-1218","publisher":"Blackwell Publishing Ltd","title":"Phospholipid fatty acid profiling of microbial communities-a review of interpretations and recent applications","type":"article-journal","volume":"119"},"uris":["http://www.mendeley.com/documents/?uuid=9aad93e4-e852-3a4e-84eb-3ab7f0ba257b"]}],"mendeley":{"formattedCitation":"(Willers et al., 2015)","plainTextFormattedCitation":"(Willers et al., 2015)","previouslyFormattedCitation":"(Willers et al., 2015)"},"properties":{"noteIndex":0},"schema":"https://github.com/citation-style-language/schema/raw/master/csl-citation.json"}</w:instrText>
      </w:r>
      <w:r w:rsidRPr="00216965">
        <w:fldChar w:fldCharType="separate"/>
      </w:r>
      <w:r w:rsidR="001974AA" w:rsidRPr="00216965">
        <w:rPr>
          <w:noProof/>
        </w:rPr>
        <w:t>(Willers et al., 2015)</w:t>
      </w:r>
      <w:r w:rsidRPr="00216965">
        <w:fldChar w:fldCharType="end"/>
      </w:r>
      <w:r w:rsidRPr="00216965">
        <w:t xml:space="preserve">, i17:1ω7c&amp;10Me and 181:ω7&amp;8c, which have been assigned to Actinobacteria </w:t>
      </w:r>
      <w:r w:rsidRPr="00216965">
        <w:fldChar w:fldCharType="begin" w:fldLock="1"/>
      </w:r>
      <w:r w:rsidR="006C06AA" w:rsidRPr="00216965">
        <w:instrText>ADDIN CSL_CITATION {"citationItems":[{"id":"ITEM-1","itemData":{"DOI":"10.2134/agronj2018.09.0628","ISSN":"0002-1962","abstract":"Phospholipid fatty acid (PLFA) analysis is an increasingly popular method for estimating microbial biomass and assessing microbial community structure in soils. In particular, there is a strong interest in the use of PLFA microbial group ratios as benchmarks for soil health assessment and interpretation. Due to the sensitivity of PLFA biomarkers, the recommended procedure for sample handling involves immediate analysis of fresh, field-moist soil, immediate lyophilization with freezer storage, or storage at –80°C. This protocol may not be practical under all circumstances, yet the effects of handling and storage conditions, and the implications for interpretation of PLFA biomarkers, are not fully understood. The primary objective of this study was to evaluate the effects of multiple sample handling and storage conditions on quantification and interpretation of PLFA biomarkers. A suite of soil properties were measured on 17 prairie soil samples, including PLFA analysis. Multiple processing and handling procedures were evaluated by splitting the soil samples and comparing PLFA profiles from (i) fresh soil, (ii) soil stored air-dry for 7 and 14 d, (iii) soil stored field-moist at room temperature for 7 and 14 d, and (iv) soil oven-dried for 24 h at 105°C. All handling and storage procedures resulted in significant losses of PLFA biomarkers relative to fresh, lyophilized samples and microbial groups were disproportionately affected, leading to significant shifts in biomarker ratios. Overall, this study highlights the sensitivity of PLFA biomarkers, the importance of proper sample handling for PLFA analysis, and the potential for error and misinterpretation of PLFA data.","author":[{"dropping-particle":"","family":"Veum","given":"Kristen S.","non-dropping-particle":"","parse-names":false,"suffix":""},{"dropping-particle":"","family":"Lorenz","given":"Todd","non-dropping-particle":"","parse-names":false,"suffix":""},{"dropping-particle":"","family":"Kremer","given":"Robert J.","non-dropping-particle":"","parse-names":false,"suffix":""}],"container-title":"Agronomy Journal","id":"ITEM-1","issue":"3","issued":{"date-parts":[["2019","3","1"]]},"page":"1090-1096","publisher":"American Society of Agronomy","title":"Phospholipid fatty acid profiles of soils under variable handling and storage conditions","type":"article-journal","volume":"111"},"uris":["http://www.mendeley.com/documents/?uuid=bab65970-b87d-3b89-a240-4e3062b533a2"]}],"mendeley":{"formattedCitation":"(Veum et al., 2019)","plainTextFormattedCitation":"(Veum et al., 2019)","previouslyFormattedCitation":"(Veum et al., 2019)"},"properties":{"noteIndex":0},"schema":"https://github.com/citation-style-language/schema/raw/master/csl-citation.json"}</w:instrText>
      </w:r>
      <w:r w:rsidRPr="00216965">
        <w:fldChar w:fldCharType="separate"/>
      </w:r>
      <w:r w:rsidR="001974AA" w:rsidRPr="00216965">
        <w:rPr>
          <w:noProof/>
        </w:rPr>
        <w:t>(Veum et al., 2019)</w:t>
      </w:r>
      <w:r w:rsidRPr="00216965">
        <w:fldChar w:fldCharType="end"/>
      </w:r>
      <w:r w:rsidRPr="00216965">
        <w:t xml:space="preserve">. The 18:2ω6c9c associated with saprotrophic fungi were low, which is consistent with the main groups described with the metataxonomic analysis. </w:t>
      </w:r>
    </w:p>
    <w:p w14:paraId="13C5CAEF" w14:textId="0330DD43" w:rsidR="00B45740" w:rsidRPr="00216965" w:rsidRDefault="00B45740" w:rsidP="008A33DA">
      <w:pPr>
        <w:spacing w:line="360" w:lineRule="auto"/>
        <w:jc w:val="both"/>
      </w:pPr>
      <w:r w:rsidRPr="00216965">
        <w:t xml:space="preserve">Different soil microorganisms utilize different fractions of the complex carbon pool at different times </w:t>
      </w:r>
      <w:r w:rsidRPr="00216965">
        <w:fldChar w:fldCharType="begin" w:fldLock="1"/>
      </w:r>
      <w:r w:rsidR="00F56BD7" w:rsidRPr="00216965">
        <w:instrText>ADDIN CSL_CITATION {"citationItems":[{"id":"ITEM-1","itemData":{"DOI":"10.1016/j.soilbio.2015.03.019","abstract":"This review targets microbial phospholipid biomarkers, their isotope analysis and their ability to reveal soil functions. The amount and composition of phospholipid fatty acids (PLFAs) measured in environmental samples strongly depend on the methodology. To achieve comparable results the extraction, separation and methylation method must be kept constant. PLFAs patterns are sensitive to microbial community shifts even though the taxonomic resolution of PLFAs is low. The possibility to easily link lipid biomarkers with stable isotope techniques is identified as a major advantage when addressing soil functions. Measurement of PLFA isotopic ratios is sensitive and enables detecting isotopic fractionation. The difference between the carbon isotopic ratio of single PLFAs and their substrate (D 13 C) can vary between À6 and þ11‰. This difference derives from the fractionation during biosynthesis and from substrate inhomogeneity. Consequently, natural abundance studies are restricted to quantifying sub-strate uptake of the total microbial biomass. In contrast, artificial labelling enables quantifying carbon uptake into single PLFAs, but labelling success depends on homogeneous and undisturbed label application. Current developments in microbial ecology (e.g. 13 C and 15 N proteomics) and isotope techniques (online monitoring of CO 2 isotope ratios) will likely improve soil functional interpretations in the future. 13 C PLFA analysis will continue to contribute because it is affordable, sensitive and allows frequent sampling combined with the use of small amounts of 13 C label.","author":[{"dropping-particle":"","family":"Watzinger","given":"Andrea","non-dropping-particle":"","parse-names":false,"suffix":""}],"container-title":"Soil Biology and Biochemistry","id":"ITEM-1","issued":{"date-parts":[["2015"]]},"page":"98-107","title":"Microbial phospholipid biomarkers and stable isotope methods help reveal soil functions","type":"article-journal","volume":"86"},"uris":["http://www.mendeley.com/documents/?uuid=27ff1c06-f0ad-352d-87b5-b771209ae857"]}],"mendeley":{"formattedCitation":"(Watzinger, 2015)","plainTextFormattedCitation":"(Watzinger, 2015)","previouslyFormattedCitation":"(Watzinger, 2015)"},"properties":{"noteIndex":0},"schema":"https://github.com/citation-style-language/schema/raw/master/csl-citation.json"}</w:instrText>
      </w:r>
      <w:r w:rsidRPr="00216965">
        <w:fldChar w:fldCharType="separate"/>
      </w:r>
      <w:r w:rsidR="00330A4F" w:rsidRPr="00216965">
        <w:rPr>
          <w:noProof/>
        </w:rPr>
        <w:t>(Watzinger, 2015)</w:t>
      </w:r>
      <w:r w:rsidRPr="00216965">
        <w:fldChar w:fldCharType="end"/>
      </w:r>
      <w:r w:rsidRPr="00216965">
        <w:t xml:space="preserve">, which explains the separation of biochar treated soil from the control soil in the PCA of the </w:t>
      </w:r>
      <w:r w:rsidRPr="00216965">
        <w:rPr>
          <w:vertAlign w:val="superscript"/>
        </w:rPr>
        <w:t>13</w:t>
      </w:r>
      <w:r w:rsidRPr="00216965">
        <w:t>CΔ of PLFAs, confirming a change in community composition due to biochar addition.</w:t>
      </w:r>
    </w:p>
    <w:p w14:paraId="64B1CE73" w14:textId="33722BDD" w:rsidR="00AB2390" w:rsidRPr="00216965" w:rsidRDefault="00B45740" w:rsidP="008A33DA">
      <w:pPr>
        <w:spacing w:line="360" w:lineRule="auto"/>
        <w:jc w:val="both"/>
      </w:pPr>
      <w:r w:rsidRPr="00216965">
        <w:t xml:space="preserve">The higher C mineralization observed in the biochar treatment relative to the control soil after one month of incubation indicates higher microbial activity in the amended soil. After 12 months outdoors the biochar-amended soil still had a higher C mineralization than the control, but the difference was minimal. The initial increase in soil microbial activity may be associated with the reduced bioavailability of HMs and higher pH due to biochar addition. </w:t>
      </w:r>
      <w:bookmarkStart w:id="420" w:name="_Hlk85138903"/>
      <w:r w:rsidRPr="00216965">
        <w:rPr>
          <w:color w:val="2E2E2E"/>
        </w:rPr>
        <w:fldChar w:fldCharType="begin" w:fldLock="1"/>
      </w:r>
      <w:r w:rsidR="006C06AA" w:rsidRPr="00216965">
        <w:rPr>
          <w:color w:val="2E2E2E"/>
        </w:rPr>
        <w:instrText>ADDIN CSL_CITATION {"citationItems":[{"id":"ITEM-1","itemData":{"DOI":"10.1016/j.agee.2014.12.001","ISSN":"01678809","abstract":"The use of copper (Cu) fungicides in agriculture has led to Cu accumulation in European topsoils. This study is the first to investigate the in situ efficacy of biochar and biochar-compost as Cu immobilizers, reducing Cu uptake by plants and increasing microbial abundance and activity, in a temperate vineyard topsoil (0-10cm). After application of biochar, compost and biochar-compost in April 2011, plant and soil samples were taken in November 2011, April 2012, August 2012, and November 2012. Similar amounts of exchangeable Cu fractions (CuDTPA) in all treatments showed that there was no significant effect on Cu immobilization in soil. In contrast, cover crops grown between vine rows were observed to take up a significant amount of Cu (38.7mg Cu kg-1), reducing soil Cu concentrations over time. Treatments with biochar and/or compost initially increased total carbon, with compost and biochar-compost additionally increasing extractable organic carbon in soil. Compost and biochar-compost significantly increased microbial biomass, phospholipid fatty acids (PLFAs), enzyme activities (phosphatase, arylsulfatase) and bacterial taxa abundances (Actinobacteria, α-Proteobacteria, β-Proteobacteria, Firmicutes, Gemmatimonadetes). A high abundance of gram+ Actinobacteria in all treatments suggested that they are adapted to heavy metals, likely due to their specific cell membrane structures. Additionally, each treatment was characterized by a specific microbial community composition. Compost and biochar-compost increased the relative abundance of Firmicutes, while control and biochar increased Acidobacteria, Gemmatimonadetes and Actinobacteria. In conclusion, biochar and/or compost were not viable Cu remediation options, but compost and biochar-compost provided ecosystem services by reinforcing the microbial community.","author":[{"dropping-particle":"","family":"Mackie","given":"K. A.","non-dropping-particle":"","parse-names":false,"suffix":""},{"dropping-particle":"","family":"Marhan","given":"S.","non-dropping-particle":"","parse-names":false,"suffix":""},{"dropping-particle":"","family":"Ditterich","given":"F.","non-dropping-particle":"","parse-names":false,"suffix":""},{"dropping-particle":"","family":"Schmidt","given":"H. P.","non-dropping-particle":"","parse-names":false,"suffix":""},{"dropping-particle":"","family":"Kandeler","given":"E.","non-dropping-particle":"","parse-names":false,"suffix":""}],"container-title":"Agriculture, Ecosystems and Environment","id":"ITEM-1","issued":{"date-parts":[["2015"]]},"page":"58-69","publisher":"Elsevier B.V.","title":"The effects of biochar and compost amendments on copper immobilization and soil microorganisms in a temperate vineyard","type":"article-journal","volume":"201"},"uris":["http://www.mendeley.com/documents/?uuid=589ebaf4-6f08-4981-ad8b-ebcfd1a24fc9"]}],"mendeley":{"formattedCitation":"(Mackie et al., 2015)","manualFormatting":"Mackie et al. (2015)","plainTextFormattedCitation":"(Mackie et al., 2015)","previouslyFormattedCitation":"(Mackie et al., 2015)"},"properties":{"noteIndex":0},"schema":"https://github.com/citation-style-language/schema/raw/master/csl-citation.json"}</w:instrText>
      </w:r>
      <w:r w:rsidRPr="00216965">
        <w:rPr>
          <w:color w:val="2E2E2E"/>
        </w:rPr>
        <w:fldChar w:fldCharType="separate"/>
      </w:r>
      <w:r w:rsidRPr="00216965">
        <w:rPr>
          <w:noProof/>
          <w:color w:val="2E2E2E"/>
        </w:rPr>
        <w:t xml:space="preserve">Mackie </w:t>
      </w:r>
      <w:r w:rsidR="009B2252" w:rsidRPr="00216965">
        <w:rPr>
          <w:noProof/>
          <w:color w:val="2E2E2E"/>
        </w:rPr>
        <w:t>et al</w:t>
      </w:r>
      <w:r w:rsidRPr="00216965">
        <w:rPr>
          <w:noProof/>
          <w:color w:val="2E2E2E"/>
        </w:rPr>
        <w:t>. (2015)</w:t>
      </w:r>
      <w:r w:rsidRPr="00216965">
        <w:rPr>
          <w:color w:val="2E2E2E"/>
        </w:rPr>
        <w:fldChar w:fldCharType="end"/>
      </w:r>
      <w:bookmarkEnd w:id="420"/>
      <w:r w:rsidRPr="00216965">
        <w:rPr>
          <w:color w:val="2E2E2E"/>
        </w:rPr>
        <w:t xml:space="preserve"> explained an initial increase in microbial activity after biochar addition to the </w:t>
      </w:r>
      <w:r w:rsidRPr="00216965">
        <w:t xml:space="preserve">easily consumable carbon resources derived from the biochar </w:t>
      </w:r>
      <w:r w:rsidRPr="00216965">
        <w:lastRenderedPageBreak/>
        <w:t xml:space="preserve">production process, which are released initially, after which the remaining carbon was recalcitrant and microbial activity decreased in in the long-term. This was also observed by </w:t>
      </w:r>
      <w:r w:rsidRPr="00216965">
        <w:fldChar w:fldCharType="begin" w:fldLock="1"/>
      </w:r>
      <w:r w:rsidR="006C06AA" w:rsidRPr="00216965">
        <w:instrText>ADDIN CSL_CITATION {"citationItems":[{"id":"ITEM-1","itemData":{"DOI":"10.1016/j.ejsobi.2013.10.007","ISSN":"11645563","abstract":"Biochar is known to enhance soil fertility and C sequestration, but relatively little information is currently available about its effect on soil microbial community, a component of terrestrial ecosystems that plays a key role in nutrient cycling. This study tested the effects of soil amendment with two loads of wood-derived biochar (30 and 60tha-1) in a wheat crop in Tuscany (Italy). Soil samples were collected 3 and 14 months after treatments over two successive growing seasons, and analysed for pH, total organic C (Corg), extractable C (Cext), microbial biomass-C (Cmic), 25 specific microbial activities, mean substrate-induced respiration (mSIR) for 25 substrates, functional microbial diversity and bacterial genetic diversity. No significant effect of biochar treatment was observed on Corg, Cext, Cmic, microbial quotient (Cmic % Corg) or genetic diversity. An increase in mSIR, some specific microbial activities and soil pH, and a significant change in functional diversity were observed 3 months after treatment. In contrast, no effect of biochar was detected 14 months after treatment for the parameters considered, except for a small but significant increase in pH. Our data suggest that biochar addition stimulated soil microbial activity without causing any apparent disturbance, but this positive effect was very short-lived. © 2013.","author":[{"dropping-particle":"","family":"Rutigliano","given":"F. A.","non-dropping-particle":"","parse-names":false,"suffix":""},{"dropping-particle":"","family":"Romano","given":"M.","non-dropping-particle":"","parse-names":false,"suffix":""},{"dropping-particle":"","family":"Marzaioli","given":"R.","non-dropping-particle":"","parse-names":false,"suffix":""},{"dropping-particle":"","family":"Baglivo","given":"I.","non-dropping-particle":"","parse-names":false,"suffix":""},{"dropping-particle":"","family":"Baronti","given":"S.","non-dropping-particle":"","parse-names":false,"suffix":""},{"dropping-particle":"","family":"Miglietta","given":"F.","non-dropping-particle":"","parse-names":false,"suffix":""},{"dropping-particle":"","family":"Castaldi","given":"S.","non-dropping-particle":"","parse-names":false,"suffix":""}],"container-title":"European Journal of Soil Biology","id":"ITEM-1","issued":{"date-parts":[["2014"]]},"page":"9-15","publisher":"Elsevier Masson SAS","title":"Effect of biochar addition on soil microbial community in a wheat crop","type":"article-journal","volume":"60"},"uris":["http://www.mendeley.com/documents/?uuid=dea09114-219c-4b75-bf55-6f0faf921d17"]}],"mendeley":{"formattedCitation":"(Rutigliano et al., 2014)","manualFormatting":"Rutigliano et al. (2014)","plainTextFormattedCitation":"(Rutigliano et al., 2014)","previouslyFormattedCitation":"(Rutigliano et al., 2014)"},"properties":{"noteIndex":0},"schema":"https://github.com/citation-style-language/schema/raw/master/csl-citation.json"}</w:instrText>
      </w:r>
      <w:r w:rsidRPr="00216965">
        <w:fldChar w:fldCharType="separate"/>
      </w:r>
      <w:r w:rsidRPr="00216965">
        <w:rPr>
          <w:noProof/>
        </w:rPr>
        <w:t xml:space="preserve">Rutigliano </w:t>
      </w:r>
      <w:r w:rsidR="009B2252" w:rsidRPr="00216965">
        <w:rPr>
          <w:noProof/>
        </w:rPr>
        <w:t>et al</w:t>
      </w:r>
      <w:r w:rsidRPr="00216965">
        <w:rPr>
          <w:i/>
          <w:noProof/>
        </w:rPr>
        <w:t>.</w:t>
      </w:r>
      <w:r w:rsidRPr="00216965">
        <w:rPr>
          <w:noProof/>
        </w:rPr>
        <w:t xml:space="preserve"> (2014)</w:t>
      </w:r>
      <w:r w:rsidRPr="00216965">
        <w:fldChar w:fldCharType="end"/>
      </w:r>
      <w:r w:rsidRPr="00216965">
        <w:t xml:space="preserve"> in a field study, where 3 months after initial hardwood biochar addition significant differences in microbial biomass, substrate induced respiration and enzyme activity were seen. </w:t>
      </w:r>
    </w:p>
    <w:p w14:paraId="74876B0E" w14:textId="0E9D46B9" w:rsidR="00AB2390" w:rsidRPr="00216965" w:rsidRDefault="00B45740" w:rsidP="008A33DA">
      <w:pPr>
        <w:spacing w:line="360" w:lineRule="auto"/>
        <w:jc w:val="both"/>
      </w:pPr>
      <w:r w:rsidRPr="00216965">
        <w:t xml:space="preserve">In contrast, no effect of biochar was detected 14 months after treatment for the parameters considered and the authors concluded that biochar had a priming effect on soil microorganisms. </w:t>
      </w:r>
      <w:r w:rsidRPr="00216965">
        <w:fldChar w:fldCharType="begin" w:fldLock="1"/>
      </w:r>
      <w:r w:rsidR="006C06AA" w:rsidRPr="00216965">
        <w:instrText>ADDIN CSL_CITATION {"citationItems":[{"id":"ITEM-1","itemData":{"DOI":"10.5194/se-5-693-2014","abstract":"Predicting the effects of pyrogenic organic matter (OM) addition (either natural or intentional as in the case of biochar amendment) on soil chemistry and crop yields has been hampered by a lack of understanding of how pyrogenic OM evolves in the environment over time. This work compared the physicochemical characteristics of newly made and 15-month-field-aged biochars and biochar-soil mixtures. After aging, biochars made by pyrolysis of wood and grass at 250, 400 and 650 • C exhibited 5-fold increases in cation exchange capacity (CEC), on average; appearance of anion exchange capacity (AEC); and significant decreases in pH, ash content and nanopore surface area. Cross polarization 13 C nuclear magnetic resonance (NMR) analyses indicated relative increases in O-containing functional groups, including substituted aryl, carboxyl and carbonyl C, and losses of O-alkyl groups. Similar chemical trends were observed for soil-biochar mixtures, suggesting the same biochar aging processes occurred in the soil environment. However, there was evidence for a role of soil OM-microbe-biochar interaction during aging. Field aging of soil with biochar resulted in large increases in C and N content (up to 124 and 143 %, respectively) and exchange capacity (up to 43 %) beyond that calculated by the weighted addition of the properties of biochar and soil aged separately. These beneficial interactive effects varied with soil and biochar type. Scanning electronic microscopy (SEM) images of biochar particles aged with soil showed colonization by microbes and widespread OM coatings. Thus, sorption of both microbially produced and soil OM are likely processes that enhanced biochar aging. Thus, biochar's full beneficial effects on soil properties likely increase over time, and proper assignment of C sequestration credits to biochar users will require consideration of soil-biochar interactions.","author":[{"dropping-particle":"","family":"Mukherjee","given":"A","non-dropping-particle":"","parse-names":false,"suffix":""},{"dropping-particle":"","family":"Zimmerman","given":"A R","non-dropping-particle":"","parse-names":false,"suffix":""},{"dropping-particle":"","family":"Hamdan","given":"R","non-dropping-particle":"","parse-names":false,"suffix":""},{"dropping-particle":"","family":"Cooper","given":"W T","non-dropping-particle":"","parse-names":false,"suffix":""}],"container-title":"Solid Earth","id":"ITEM-1","issued":{"date-parts":[["2014"]]},"page":"693-704","title":"Physicochemical changes in pyrogenic organic matter (biochar) after 15 months of field aging","type":"article-journal","volume":"5"},"uris":["http://www.mendeley.com/documents/?uuid=f904ae96-9ecd-35af-9c81-9e0747bed8e1"]}],"mendeley":{"formattedCitation":"(Mukherjee et al., 2014)","manualFormatting":"Mukherjee et al. (2014)","plainTextFormattedCitation":"(Mukherjee et al., 2014)","previouslyFormattedCitation":"(Mukherjee et al., 2014)"},"properties":{"noteIndex":0},"schema":"https://github.com/citation-style-language/schema/raw/master/csl-citation.json"}</w:instrText>
      </w:r>
      <w:r w:rsidRPr="00216965">
        <w:fldChar w:fldCharType="separate"/>
      </w:r>
      <w:r w:rsidRPr="00216965">
        <w:rPr>
          <w:noProof/>
        </w:rPr>
        <w:t xml:space="preserve">Mukherjee </w:t>
      </w:r>
      <w:r w:rsidR="009B2252" w:rsidRPr="00216965">
        <w:rPr>
          <w:noProof/>
        </w:rPr>
        <w:t>et al</w:t>
      </w:r>
      <w:r w:rsidRPr="00216965">
        <w:rPr>
          <w:i/>
          <w:noProof/>
        </w:rPr>
        <w:t>.</w:t>
      </w:r>
      <w:r w:rsidRPr="00216965">
        <w:rPr>
          <w:noProof/>
        </w:rPr>
        <w:t xml:space="preserve"> (2014)</w:t>
      </w:r>
      <w:r w:rsidRPr="00216965">
        <w:fldChar w:fldCharType="end"/>
      </w:r>
      <w:r w:rsidRPr="00216965">
        <w:t xml:space="preserve"> suggested that during biochar aging a process called “negative priming” can occur, which is the inhibition of OM mineralization due to the addition of a substrate (biochar). A possible mechanism for negative priming is the enhanced sequestration of soil OM (both microbial and plant-derived) through biochar sorptive protection </w:t>
      </w:r>
      <w:r w:rsidRPr="00216965">
        <w:fldChar w:fldCharType="begin" w:fldLock="1"/>
      </w:r>
      <w:r w:rsidR="006C06AA" w:rsidRPr="00216965">
        <w:instrText>ADDIN CSL_CITATION {"citationItems":[{"id":"ITEM-1","itemData":{"DOI":"10.5194/se-5-693-2014","abstract":"Predicting the effects of pyrogenic organic matter (OM) addition (either natural or intentional as in the case of biochar amendment) on soil chemistry and crop yields has been hampered by a lack of understanding of how pyrogenic OM evolves in the environment over time. This work compared the physicochemical characteristics of newly made and 15-month-field-aged biochars and biochar-soil mixtures. After aging, biochars made by pyrolysis of wood and grass at 250, 400 and 650 • C exhibited 5-fold increases in cation exchange capacity (CEC), on average; appearance of anion exchange capacity (AEC); and significant decreases in pH, ash content and nanopore surface area. Cross polarization 13 C nuclear magnetic resonance (NMR) analyses indicated relative increases in O-containing functional groups, including substituted aryl, carboxyl and carbonyl C, and losses of O-alkyl groups. Similar chemical trends were observed for soil-biochar mixtures, suggesting the same biochar aging processes occurred in the soil environment. However, there was evidence for a role of soil OM-microbe-biochar interaction during aging. Field aging of soil with biochar resulted in large increases in C and N content (up to 124 and 143 %, respectively) and exchange capacity (up to 43 %) beyond that calculated by the weighted addition of the properties of biochar and soil aged separately. These beneficial interactive effects varied with soil and biochar type. Scanning electronic microscopy (SEM) images of biochar particles aged with soil showed colonization by microbes and widespread OM coatings. Thus, sorption of both microbially produced and soil OM are likely processes that enhanced biochar aging. Thus, biochar's full beneficial effects on soil properties likely increase over time, and proper assignment of C sequestration credits to biochar users will require consideration of soil-biochar interactions.","author":[{"dropping-particle":"","family":"Mukherjee","given":"A","non-dropping-particle":"","parse-names":false,"suffix":""},{"dropping-particle":"","family":"Zimmerman","given":"A R","non-dropping-particle":"","parse-names":false,"suffix":""},{"dropping-particle":"","family":"Hamdan","given":"R","non-dropping-particle":"","parse-names":false,"suffix":""},{"dropping-particle":"","family":"Cooper","given":"W T","non-dropping-particle":"","parse-names":false,"suffix":""}],"container-title":"Solid Earth","id":"ITEM-1","issued":{"date-parts":[["2014"]]},"page":"693-704","title":"Physicochemical changes in pyrogenic organic matter (biochar) after 15 months of field aging","type":"article-journal","volume":"5"},"uris":["http://www.mendeley.com/documents/?uuid=f904ae96-9ecd-35af-9c81-9e0747bed8e1"]}],"mendeley":{"formattedCitation":"(Mukherjee et al., 2014)","plainTextFormattedCitation":"(Mukherjee et al., 2014)","previouslyFormattedCitation":"(Mukherjee et al., 2014)"},"properties":{"noteIndex":0},"schema":"https://github.com/citation-style-language/schema/raw/master/csl-citation.json"}</w:instrText>
      </w:r>
      <w:r w:rsidRPr="00216965">
        <w:fldChar w:fldCharType="separate"/>
      </w:r>
      <w:r w:rsidR="00C83E62" w:rsidRPr="00216965">
        <w:rPr>
          <w:noProof/>
        </w:rPr>
        <w:t>(Mukherjee et al., 2014)</w:t>
      </w:r>
      <w:r w:rsidRPr="00216965">
        <w:fldChar w:fldCharType="end"/>
      </w:r>
      <w:r w:rsidRPr="00216965">
        <w:t xml:space="preserve">. Similarly, </w:t>
      </w:r>
      <w:r w:rsidRPr="00216965">
        <w:fldChar w:fldCharType="begin" w:fldLock="1"/>
      </w:r>
      <w:r w:rsidR="006C06AA" w:rsidRPr="00216965">
        <w:instrText>ADDIN CSL_CITATION {"citationItems":[{"id":"ITEM-1","itemData":{"DOI":"10.1016/j.jclepro.2017.03.124","ISSN":"09596526","abstract":"Addition of organic amendment with inorganic fertilizers is a suitable strategy to achieve sustainable agricultural production. But this practice is associated with increased carbon mineralization leading to release of carbon dioxide, a potential greenhouse gas for global warming. In this perspective, the present experiment was conducted in acidic sandy loam soils of north-east India to characterize the carbon mineralization, soil enzyme activities and okra (Abelmoschus esculentus L.) productivity under three (farmyard manure, vermicompost and biochar) commonly used organic amendments when added with inorganic fertilizers. Eight treatments were laid in a randomized block design with three replications. Vermicompost application increased the activities of soil enzymes with greater availability of soil nitrogen, phosphorous and potassium while biochar (hardwood) addition decreased the enzyme activities. Addition of biochar recorded the lowest rate of carbon mineralization (9%), the highest half -life of carbon (64%), higher soil organic carbon (12%) and stable organic carbon fractions (F3 fraction-12% and F4 fraction- 9%) with the highest okra yield compared to vermicompost and farmyard manure. Plant morphological attributes (plant height, leaf number, leaf area and photosynthesis of okra) were significantly enhanced due to addition of organics especially vermicompost and biochar with inorganic fertilizers. The addition of biochar recorded lower benefit cost ratio (3.5 and 3.8) but its application with inorganic fertilizers recorded the highest agronomic efficiency signifying potentiality to uphold efficient nitrogen use and environmental sustainability. Thus, addition of biochar in acidic soil would be a sustainable option to reduce carbon mineralization and uphold crop productivity.","author":[{"dropping-particle":"","family":"Sarma","given":"Banashree","non-dropping-particle":"","parse-names":false,"suffix":""},{"dropping-particle":"","family":"Borkotoki","given":"Bikram","non-dropping-particle":"","parse-names":false,"suffix":""},{"dropping-particle":"","family":"Narzari","given":"Rumi","non-dropping-particle":"","parse-names":false,"suffix":""},{"dropping-particle":"","family":"Kataki","given":"Rupam","non-dropping-particle":"","parse-names":false,"suffix":""},{"dropping-particle":"","family":"Gogoi","given":"Nirmali","non-dropping-particle":"","parse-names":false,"suffix":""}],"container-title":"Journal of Cleaner Production","id":"ITEM-1","issued":{"date-parts":[["2017"]]},"page":"157-166","publisher":"Elsevier Ltd","title":"Organic amendments: Effect on carbon mineralization and crop productivity in acidic soil","type":"article-journal","volume":"152"},"uris":["http://www.mendeley.com/documents/?uuid=041c7250-a017-41ae-89c7-8c0708073d8d"]}],"mendeley":{"formattedCitation":"(Sarma et al., 2017)","manualFormatting":"Sarma et al. (2017)","plainTextFormattedCitation":"(Sarma et al., 2017)","previouslyFormattedCitation":"(Sarma et al., 2017)"},"properties":{"noteIndex":0},"schema":"https://github.com/citation-style-language/schema/raw/master/csl-citation.json"}</w:instrText>
      </w:r>
      <w:r w:rsidRPr="00216965">
        <w:fldChar w:fldCharType="separate"/>
      </w:r>
      <w:r w:rsidRPr="00216965">
        <w:rPr>
          <w:noProof/>
        </w:rPr>
        <w:t xml:space="preserve">Sarma </w:t>
      </w:r>
      <w:r w:rsidR="009B2252" w:rsidRPr="00216965">
        <w:rPr>
          <w:noProof/>
        </w:rPr>
        <w:t>et al</w:t>
      </w:r>
      <w:r w:rsidRPr="00216965">
        <w:rPr>
          <w:i/>
          <w:noProof/>
        </w:rPr>
        <w:t>.</w:t>
      </w:r>
      <w:r w:rsidRPr="00216965">
        <w:rPr>
          <w:noProof/>
        </w:rPr>
        <w:t xml:space="preserve"> (2017)</w:t>
      </w:r>
      <w:r w:rsidRPr="00216965">
        <w:fldChar w:fldCharType="end"/>
      </w:r>
      <w:r w:rsidRPr="00216965">
        <w:t xml:space="preserve"> found that biochar application to a sandy loam soil reduced the lability of soil organic carbon fraction (SOC), soil enzyme activities and C mineralization. In the present study it is possible that biochar caused a priming effect which became evident with aging. </w:t>
      </w:r>
    </w:p>
    <w:p w14:paraId="2606EE05" w14:textId="6541A6CA" w:rsidR="00B45740" w:rsidRPr="00216965" w:rsidRDefault="00B45740" w:rsidP="008A33DA">
      <w:pPr>
        <w:spacing w:line="360" w:lineRule="auto"/>
        <w:jc w:val="both"/>
      </w:pPr>
      <w:r w:rsidRPr="00216965">
        <w:t xml:space="preserve">However, since the C mineralization of both the control soil and biochar-amended soil were lower after 12 months than in the first measurement, it is possible that with aging some nutrients were depleted from the soil. Hence, the nutrient imbalance may have changed C mineralization patterns. For example, </w:t>
      </w:r>
      <w:r w:rsidRPr="00216965">
        <w:fldChar w:fldCharType="begin" w:fldLock="1"/>
      </w:r>
      <w:r w:rsidR="00F56BD7" w:rsidRPr="00216965">
        <w:instrText>ADDIN CSL_CITATION {"citationItems":[{"id":"ITEM-1","itemData":{"DOI":"10.1016/S0038-0717(99)00030-9","ISSN":"0038-0717","abstract":"Our objectives were (1) to investigate the response of wheat (Triticum aestivum L.) straw decomposition to increasing nitrogen availability (0.5, 0.8, 1.2 and 1.9% N of straw dry matter) in a microcosm experiment at controlled temperature (15°C) and moisture (-10 kPa), (2) to elucidate underlying mechanisms at the microbial-community level, and (3) to develop a model according to the measurements. Concentrations of available N (straw N and soil inorganic N) below 1.2% of straw dry matter significantly reduced the rate of carbon mineralization from straw residues and the growth of total soil microbial biomass (chloroform fumigation-extraction). The negative effects appeared shortly after the pool of soil mineral N had been depleted. The N effect on the microbial community was mainly caused by reduced fungal growth (ergosterol), while total bacterial biomass (epifluorescence microscopy) was not significantly affected. However, number of cellulase-producing, colony-forming bacterial units decreased with decreasing N availability. In straw-amended soil, decreasing N concentrations reduced activities of exocellulase, endocellulase and hemicellulase, while in unamended control soil the effects were opposite. We developed a model in which three fractions of straw residues, determined by proximate analysis (Van Soest), and a humus pool were assumed to decay according to first-order rate kinetics. In accordance with the microbial measurements, the microbial community was subdivided into three groups consuming readily decomposable, structural and humus materials respectively. When holocellulose decay rate was modified as a function of N availability, the model simulated N effects on C mineralization and microbial biomass growth very well. Our experiment showed that wheat straw mineralization may be retarded at N concentrations well above those frequently found after grain harvest in the field and that effects of N availability should be taken into account when modelling C and N turnover in agricultural soils. Moreover, the trial exemplified a situation where studies of functional groups of decomposer organisms were required to explain and model satisfactorily differences observed at the process level.","author":[{"dropping-particle":"","family":"Henriksen","given":"T. M.","non-dropping-particle":"","parse-names":false,"suffix":""},{"dropping-particle":"","family":"Breland","given":"T. A.","non-dropping-particle":"","parse-names":false,"suffix":""}],"container-title":"Soil Biology and Biochemistry","id":"ITEM-1","issue":"8","issued":{"date-parts":[["1999","7","1"]]},"page":"1121-1134","publisher":"Pergamon","title":"Nitrogen availability effects on carbon mineralization, fungal and bacterial growth, and enzyme activities during decomposition of wheat straw in soil","type":"article-journal","volume":"31"},"uris":["http://www.mendeley.com/documents/?uuid=0cd63267-dc85-3ed2-ada5-bcbe0d145676"]}],"mendeley":{"formattedCitation":"(Henriksen and Breland, 1999)","manualFormatting":"Henriksen and Breland (1999)","plainTextFormattedCitation":"(Henriksen and Breland, 1999)","previouslyFormattedCitation":"(Henriksen and Breland, 1999)"},"properties":{"noteIndex":0},"schema":"https://github.com/citation-style-language/schema/raw/master/csl-citation.json"}</w:instrText>
      </w:r>
      <w:r w:rsidRPr="00216965">
        <w:fldChar w:fldCharType="separate"/>
      </w:r>
      <w:r w:rsidRPr="00216965">
        <w:rPr>
          <w:noProof/>
        </w:rPr>
        <w:t>Henriksen and Breland (1999)</w:t>
      </w:r>
      <w:r w:rsidRPr="00216965">
        <w:fldChar w:fldCharType="end"/>
      </w:r>
      <w:r w:rsidRPr="00216965">
        <w:t xml:space="preserve"> indicated that after depletion of available N the rate of carbon mineralization in soil was reduced while total bacterial biomass was not significantly affected.</w:t>
      </w:r>
    </w:p>
    <w:p w14:paraId="72E5FC52" w14:textId="77777777" w:rsidR="00B45740" w:rsidRPr="00216965" w:rsidRDefault="00B45740" w:rsidP="008A33DA">
      <w:pPr>
        <w:pStyle w:val="Heading2"/>
      </w:pPr>
      <w:bookmarkStart w:id="421" w:name="_Toc86504718"/>
      <w:r w:rsidRPr="00216965">
        <w:t>Conclusions</w:t>
      </w:r>
      <w:bookmarkEnd w:id="421"/>
    </w:p>
    <w:p w14:paraId="7BBE537D" w14:textId="77777777" w:rsidR="00AB2390" w:rsidRPr="00216965" w:rsidRDefault="00B45740" w:rsidP="008A33DA">
      <w:pPr>
        <w:spacing w:line="360" w:lineRule="auto"/>
        <w:jc w:val="both"/>
      </w:pPr>
      <w:r w:rsidRPr="00216965">
        <w:t xml:space="preserve">The addition of biochar, compost or the combination of both consistently reduced the bioavailability of Pb and Zn over an 18 months period. The reduced bioavailability of these elements reduced their uptake by </w:t>
      </w:r>
      <w:r w:rsidRPr="00216965">
        <w:rPr>
          <w:i/>
        </w:rPr>
        <w:t>Lolium perenne</w:t>
      </w:r>
      <w:r w:rsidRPr="00216965">
        <w:t>, resulting in Pb (only compost treatments) and Zn concentrations in plant tissue at the end of the experiment that are considered to be normal. Despite the reduced HM concentrations in plant tissue, plant biomass was not enhanced during two harvesting seasons, except for the compost treatment. Biochar immobilised higher amounts of bioavailable HMs per kg of amend</w:t>
      </w:r>
      <w:r w:rsidR="00761390" w:rsidRPr="00216965">
        <w:t>ment</w:t>
      </w:r>
      <w:r w:rsidRPr="00216965">
        <w:t xml:space="preserve"> added in relation to compost and no additional benefit of mixing biochar and </w:t>
      </w:r>
      <w:r w:rsidRPr="00216965">
        <w:lastRenderedPageBreak/>
        <w:t>compost was observed. Nonetheless, biochar was shown to be a more stable adsorbent than compost in the long-term.</w:t>
      </w:r>
    </w:p>
    <w:p w14:paraId="7C0DD311" w14:textId="0A22FFDC" w:rsidR="00B45740" w:rsidRPr="00216965" w:rsidRDefault="00B45740" w:rsidP="008A33DA">
      <w:pPr>
        <w:spacing w:line="360" w:lineRule="auto"/>
        <w:jc w:val="both"/>
      </w:pPr>
      <w:r w:rsidRPr="00216965">
        <w:t xml:space="preserve"> In biochar and compost treatments the pH of the soil pore water was reduced with aging, but in the treatments containing compost EC, Ca, K, Mg, B and Na also decreased with aging due to leaching and organic matter mineralization. Biochar and compost enhanced the redistribution of bioavailable fractions of Pb and Zn into more stable fractions. The suggested mechanisms for Pb immobilization by biochar were complexation and precipitation, whereas electrostatic attraction was most likely to be the main mechanism for Zn. Compost addition may have promoted the formation of organo-metallic complexes.</w:t>
      </w:r>
    </w:p>
    <w:p w14:paraId="396727FD" w14:textId="0D142046" w:rsidR="00B45740" w:rsidRPr="00216965" w:rsidRDefault="00B45740" w:rsidP="008A33DA">
      <w:pPr>
        <w:spacing w:line="360" w:lineRule="auto"/>
        <w:jc w:val="both"/>
      </w:pPr>
      <w:r w:rsidRPr="00216965">
        <w:t xml:space="preserve">Compost had the greatest impact on soil microbial communities relative to biochar. Biochar modified the microbial community composition and relative abundance of soil microorganisms, but did not increase total microbial abundance. In the short-term biochar enhanced soil microbial activity but </w:t>
      </w:r>
      <w:r w:rsidR="00761390" w:rsidRPr="00216965">
        <w:t xml:space="preserve">the effect was not sustained </w:t>
      </w:r>
      <w:r w:rsidRPr="00216965">
        <w:t>in the long-term. Compost addition alone or in combination with biochar increased total microbial abundance and significantly changed the community composition. Bacterial communities exhibited important variations at the community level, whereas Fungi were little affected by the addition of the organic amendments. Changes in microbial communities due to the addition of the organic amendments were attributed to the reduced HM toxicity, increase in soil pH and organic matter (only compost treatments). The bacterial groups that increased with the addition of the organic amendments were associated with an improved nutrient cycling in soil, suggesting an enhanced soil functioning.</w:t>
      </w:r>
    </w:p>
    <w:p w14:paraId="3CC58CAE" w14:textId="4575F5A4" w:rsidR="00B45740" w:rsidRPr="00216965" w:rsidRDefault="00B45740" w:rsidP="008A33DA">
      <w:pPr>
        <w:spacing w:line="360" w:lineRule="auto"/>
        <w:jc w:val="both"/>
        <w:rPr>
          <w:color w:val="000000"/>
        </w:rPr>
      </w:pPr>
      <w:r w:rsidRPr="00216965">
        <w:t>Overall, this study confirms the potential of biochar and compost to reduce the long-term ecological risk of sites highly contaminated with heavy metals. The addition of organic amendments, such as wheat straw pellets biochar and garden waste compost, support plant establishment and foster microbial processes required for restoring heavy metal-contaminated soils and re-purposing them for a different land use.</w:t>
      </w:r>
    </w:p>
    <w:p w14:paraId="6C3EA877" w14:textId="77777777" w:rsidR="00B01C80" w:rsidRPr="00216965" w:rsidRDefault="00B01C80" w:rsidP="008A33DA">
      <w:pPr>
        <w:pStyle w:val="Heading1"/>
        <w:spacing w:line="360" w:lineRule="auto"/>
      </w:pPr>
      <w:bookmarkStart w:id="422" w:name="_Toc86504719"/>
      <w:r w:rsidRPr="00216965">
        <w:lastRenderedPageBreak/>
        <w:t>Synthesis, future research, and conclusion</w:t>
      </w:r>
      <w:bookmarkEnd w:id="422"/>
    </w:p>
    <w:p w14:paraId="3AD1DFC2" w14:textId="77777777" w:rsidR="00B01C80" w:rsidRPr="00216965" w:rsidRDefault="00B01C80" w:rsidP="008A33DA">
      <w:pPr>
        <w:pStyle w:val="Heading2"/>
      </w:pPr>
      <w:bookmarkStart w:id="423" w:name="_Toc86504720"/>
      <w:r w:rsidRPr="00216965">
        <w:t>Synthesis</w:t>
      </w:r>
      <w:bookmarkEnd w:id="423"/>
    </w:p>
    <w:p w14:paraId="02B26DF4" w14:textId="77777777" w:rsidR="00B525A4" w:rsidRPr="00216965" w:rsidRDefault="00B01C80" w:rsidP="008A33DA">
      <w:pPr>
        <w:spacing w:line="360" w:lineRule="auto"/>
        <w:jc w:val="both"/>
      </w:pPr>
      <w:r w:rsidRPr="00216965">
        <w:t xml:space="preserve">In this thesis the potential of plant-based biochars for the remediation of heavy metal (HM)-contaminated soil was evaluated. A comprehensive literature review of the topic described biochar as carbon-rich in functional groups and with a high specific surface area. Biochar has gained favour due to the potential for the immobilisation of HMs by different physico-chemical mechanisms. It can reduce the ecological risk of HMs and allow soil to be repurposed, thereby minimising further land consumption. </w:t>
      </w:r>
    </w:p>
    <w:p w14:paraId="2081D924" w14:textId="4B11BDFD" w:rsidR="00B01C80" w:rsidRPr="00216965" w:rsidRDefault="00B01C80" w:rsidP="008A33DA">
      <w:pPr>
        <w:spacing w:line="360" w:lineRule="auto"/>
        <w:jc w:val="both"/>
      </w:pPr>
      <w:r w:rsidRPr="00216965">
        <w:t>However, despite decades of research in the area, there are still uncertainties that prevent the generalised use of biochar in the remediation of HM-contaminated soil. For example, the outcomes of biochar application to HM-contaminated soil vary widely depending on biochar properties and production conditions (particularly temperature), application rate, soil properties and the presence of different HMs in soil. Some studies have explored the use of biochar to reduce the ecological risk of HMs in soil, but very often studies are short-term laboratory incubations and limited information is provided about the long-term stability of HMs immobilized by biochar in soil. These uncertainties make it difficult to correlate results from previous studies and restrict the identification of biochars with suitable properties for the remediation of HMs and soil conditioner to enhance soil health.</w:t>
      </w:r>
    </w:p>
    <w:p w14:paraId="3073EE61" w14:textId="77777777" w:rsidR="00B01C80" w:rsidRPr="00216965" w:rsidRDefault="00B01C80" w:rsidP="008A33DA">
      <w:pPr>
        <w:spacing w:line="360" w:lineRule="auto"/>
        <w:jc w:val="both"/>
      </w:pPr>
      <w:r w:rsidRPr="00216965">
        <w:t xml:space="preserve">Therefore, in this thesis experiments were conducted to develop a mechanistic understanding of plant-based biochars for the immobilisation of HMs in soil and the broader impact of this material in supporting soil health in the short and long term. </w:t>
      </w:r>
    </w:p>
    <w:p w14:paraId="6A8CD0D5" w14:textId="77777777" w:rsidR="00B01C80" w:rsidRPr="00216965" w:rsidRDefault="00B01C80" w:rsidP="008A33DA">
      <w:pPr>
        <w:pStyle w:val="Heading2"/>
      </w:pPr>
      <w:bookmarkStart w:id="424" w:name="_Toc86504721"/>
      <w:r w:rsidRPr="00216965">
        <w:t>Immobilisation of heavy metals by biochar</w:t>
      </w:r>
      <w:bookmarkEnd w:id="424"/>
    </w:p>
    <w:p w14:paraId="3734742A" w14:textId="4FF09733" w:rsidR="00B01C80" w:rsidRPr="00216965" w:rsidRDefault="00B01C80" w:rsidP="008A33DA">
      <w:pPr>
        <w:spacing w:line="360" w:lineRule="auto"/>
        <w:jc w:val="both"/>
      </w:pPr>
      <w:r w:rsidRPr="00216965">
        <w:t xml:space="preserve">It is known that pyrolysis conditions and feedstock origin are key factors determining biochar properties and consequently its sorption capacity for HMs (Janus </w:t>
      </w:r>
      <w:r w:rsidR="009B2252" w:rsidRPr="00216965">
        <w:rPr>
          <w:iCs/>
        </w:rPr>
        <w:t>et al</w:t>
      </w:r>
      <w:r w:rsidRPr="00216965">
        <w:t xml:space="preserve">., 2015). In </w:t>
      </w:r>
      <w:r w:rsidRPr="00216965">
        <w:rPr>
          <w:b/>
          <w:bCs/>
        </w:rPr>
        <w:fldChar w:fldCharType="begin"/>
      </w:r>
      <w:r w:rsidRPr="00216965">
        <w:rPr>
          <w:b/>
          <w:bCs/>
        </w:rPr>
        <w:instrText xml:space="preserve"> REF _Ref86412333 \r \h  \* MERGEFORMAT </w:instrText>
      </w:r>
      <w:r w:rsidRPr="00216965">
        <w:rPr>
          <w:b/>
          <w:bCs/>
        </w:rPr>
      </w:r>
      <w:r w:rsidRPr="00216965">
        <w:rPr>
          <w:b/>
          <w:bCs/>
        </w:rPr>
        <w:fldChar w:fldCharType="separate"/>
      </w:r>
      <w:r w:rsidR="006E23EA" w:rsidRPr="00216965">
        <w:rPr>
          <w:b/>
          <w:bCs/>
        </w:rPr>
        <w:t>Chapter 3</w:t>
      </w:r>
      <w:r w:rsidRPr="00216965">
        <w:rPr>
          <w:b/>
          <w:bCs/>
        </w:rPr>
        <w:fldChar w:fldCharType="end"/>
      </w:r>
      <w:r w:rsidRPr="00216965">
        <w:t xml:space="preserve">, the study of biochars from different feedstock permitted a mechanistic understanding of how biochar properties drive the sorption of Cd, Pb and Zn in synthetic soil pore water. The biochars used were produced from different feedstock, including oil seed rape straw produced at 550 °C and 700 °C (OSR550, OSR700), wheat straw (WSP550), Miscanthus straw (MSP550) and soft wood (SWP550) pellets. Overall, </w:t>
      </w:r>
      <w:r w:rsidRPr="00216965">
        <w:lastRenderedPageBreak/>
        <w:t>herbaceous-derived biochars were shown to be better candidates for the immobilisation of HMs than soft wood-derived biochar, which was attributed to the higher pH</w:t>
      </w:r>
      <w:r w:rsidR="008208CE" w:rsidRPr="00216965">
        <w:t xml:space="preserve"> </w:t>
      </w:r>
      <w:r w:rsidRPr="00216965">
        <w:t xml:space="preserve">and CEC associated with a higher mineral content. </w:t>
      </w:r>
    </w:p>
    <w:p w14:paraId="75DC4DE0" w14:textId="67B1304E" w:rsidR="00B525A4" w:rsidRPr="00216965" w:rsidRDefault="00A26A22" w:rsidP="008A33DA">
      <w:pPr>
        <w:spacing w:line="360" w:lineRule="auto"/>
        <w:jc w:val="both"/>
      </w:pPr>
      <w:r w:rsidRPr="00216965">
        <w:t>Biochar can immobilize HM</w:t>
      </w:r>
      <w:r w:rsidR="00B525A4" w:rsidRPr="00216965">
        <w:t>s</w:t>
      </w:r>
      <w:r w:rsidRPr="00216965">
        <w:t xml:space="preserve"> by different physico-chemical mechanisms as proposed in the conceptual model presented in </w:t>
      </w:r>
      <w:r w:rsidRPr="00216965">
        <w:rPr>
          <w:b/>
          <w:bCs/>
        </w:rPr>
        <w:fldChar w:fldCharType="begin"/>
      </w:r>
      <w:r w:rsidRPr="00216965">
        <w:rPr>
          <w:b/>
          <w:bCs/>
        </w:rPr>
        <w:instrText xml:space="preserve"> REF _Ref82818061 \h  \* MERGEFORMAT </w:instrText>
      </w:r>
      <w:r w:rsidRPr="00216965">
        <w:rPr>
          <w:b/>
          <w:bCs/>
        </w:rPr>
      </w:r>
      <w:r w:rsidRPr="00216965">
        <w:rPr>
          <w:b/>
          <w:bCs/>
        </w:rPr>
        <w:fldChar w:fldCharType="separate"/>
      </w:r>
      <w:r w:rsidRPr="00216965">
        <w:rPr>
          <w:b/>
          <w:bCs/>
        </w:rPr>
        <w:t>Fig. 2</w:t>
      </w:r>
      <w:r w:rsidRPr="00216965">
        <w:rPr>
          <w:b/>
          <w:bCs/>
        </w:rPr>
        <w:noBreakHyphen/>
        <w:t>6</w:t>
      </w:r>
      <w:r w:rsidRPr="00216965">
        <w:rPr>
          <w:b/>
          <w:bCs/>
        </w:rPr>
        <w:fldChar w:fldCharType="end"/>
      </w:r>
      <w:r w:rsidRPr="00216965">
        <w:t xml:space="preserve">. The main mechanisms associated with HM immobilization by biochar reported in the literature are precipitation and adsorption processes such as electrostatic attractions, ion exchange and complexation </w:t>
      </w:r>
      <w:r w:rsidRPr="00216965">
        <w:fldChar w:fldCharType="begin" w:fldLock="1"/>
      </w:r>
      <w:r w:rsidR="006C06AA" w:rsidRPr="00216965">
        <w:instrText>ADDIN CSL_CITATION {"citationItems":[{"id":"ITEM-1","itemData":{"DOI":"10.1016/j.biortech.2015.08.006","ISBN":"9031220280","ISSN":"18732976","PMID":"25653388","abstract":"The goal of the presented work was the evaluation and comparison of two biochars (produced from Sida hermaphrodita - BCSH/laboratory produced and from wheatstraw - BCS/commercial available) to adsorb heavy metal ions (Cd(II), Cu(II) and Zn(II)) from water. Kinetics of the sorption as well as sorption isotherms, the influence of solution pH and interfering ions were investigated. Different physico-chemical properties of biochars had the great influence on adsorption capacity. The greater adsorption efficiency was observed for BCSH than for BCS in the case of all investigated metals. The adsorption efficiency of BCSH was correlated with higher content of carbon and oxygen, what is equal with higher content of polar-groups on the BCSH surface e.g., -COOH. Furthermore, the molar ratio of O/C as well as polarity index (which was higher for BCSH) was also important parameters.","author":[{"dropping-particle":"","family":"Bogusz","given":"Aleksandra","non-dropping-particle":"","parse-names":false,"suffix":""},{"dropping-particle":"","family":"Oleszczuk","given":"Patryk","non-dropping-particle":"","parse-names":false,"suffix":""},{"dropping-particle":"","family":"Dobrowolski","given":"Ryszard","non-dropping-particle":"","parse-names":false,"suffix":""}],"container-title":"Bioresource Technology","id":"ITEM-1","issued":{"date-parts":[["2015"]]},"page":"540-549","publisher":"Elsevier Ltd","title":"Application of laboratory prepared and commercially available biochars to adsorption of cadmium, copper and zinc ions from water","type":"article-journal","volume":"196"},"uris":["http://www.mendeley.com/documents/?uuid=eec8e1ee-3e87-442a-8ba0-d11cdd6a3c20"]},{"id":"ITEM-2","itemData":{"DOI":"10.1016/S1002-0160(15)30059-X","ISBN":"1002-0160","ISSN":"10020160","abstract":"In this study, biochars from rice straw (Oryza sativa L.) were prepared at 200-600 °C by oxygen-limited pyrolysis to investigate the changes in properties of rice straw biochars produced at different temperatures, and to examine the adsorption capacities of the biochars for a heavy metal, copper(II) (Cu(II)), and an organic insecticide of cyromazine, as well as to further reveal the adsorption mechanisms. The results obtained with batch experiments showed that the amount of Cu(II) adsorbed varied with the pyrolysis temperatures of rice straw biochar. The biochar produced at 400 °C had the largest adsorption capacity for Cu(II) (0.37 mol kg-1) among the biochars, with the non-electrostatic adsorption as the main adsorption mechanism. The highest adsorption capacity for cyromazine (156.42 g kg-1) was found in the rice straw biochar produced at 600 ° C, and cyromazine adsorption was exclusively predominated by surface adsorption. An obvious competitive adsorption was found between 5 mmol L-1 Cu(II) and 2 g L-1 cyromazine when they were in the binary solute system. Biochar may be used to remediate heavy metal- and organic insecticide-contaminated water, while the pyrolysis temperature of feedstocks for producing biochar should be considered for the restoration of multi-contamination.","author":[{"dropping-particle":"","family":"Jiang","given":"Jun","non-dropping-particle":"","parse-names":false,"suffix":""},{"dropping-particle":"","family":"Peng","given":"Yongbo","non-dropping-particle":"","parse-names":false,"suffix":""},{"dropping-particle":"","family":"Yuan","given":"Min","non-dropping-particle":"","parse-names":false,"suffix":""},{"dropping-particle":"","family":"Hong","given":"Zhineng","non-dropping-particle":"","parse-names":false,"suffix":""},{"dropping-particle":"","family":"Wang","given":"Dejian","non-dropping-particle":"","parse-names":false,"suffix":""},{"dropping-particle":"","family":"Xu","given":"Renkou","non-dropping-particle":"","parse-names":false,"suffix":""}],"container-title":"Pedosphere","id":"ITEM-2","issue":"5","issued":{"date-parts":[["2015"]]},"page":"781-789","publisher":"Soil Science Society of China","title":"Rice straw-derived biochar properties and functions as Cu(II) and cyromazine sorbents as influenced by pyrolysis temperature","type":"article-journal","volume":"25"},"uris":["http://www.mendeley.com/documents/?uuid=e746724b-1349-4890-a03c-bff1806ccad8"]}],"mendeley":{"formattedCitation":"(Bogusz et al., 2015; Jiang et al., 2015)","plainTextFormattedCitation":"(Bogusz et al., 2015; Jiang et al., 2015)","previouslyFormattedCitation":"(Bogusz et al., 2015; Jiang et al., 2015)"},"properties":{"noteIndex":0},"schema":"https://github.com/citation-style-language/schema/raw/master/csl-citation.json"}</w:instrText>
      </w:r>
      <w:r w:rsidRPr="00216965">
        <w:fldChar w:fldCharType="separate"/>
      </w:r>
      <w:r w:rsidR="001974AA" w:rsidRPr="00216965">
        <w:rPr>
          <w:noProof/>
        </w:rPr>
        <w:t>(Bogusz et al., 2015; Jiang et al., 2015)</w:t>
      </w:r>
      <w:r w:rsidRPr="00216965">
        <w:fldChar w:fldCharType="end"/>
      </w:r>
      <w:r w:rsidRPr="00216965">
        <w:t>. A</w:t>
      </w:r>
      <w:r w:rsidR="00B01C80" w:rsidRPr="00216965">
        <w:t xml:space="preserve"> correlation analysis </w:t>
      </w:r>
      <w:r w:rsidRPr="00216965">
        <w:t xml:space="preserve">in </w:t>
      </w:r>
      <w:r w:rsidRPr="00216965">
        <w:rPr>
          <w:b/>
          <w:bCs/>
        </w:rPr>
        <w:fldChar w:fldCharType="begin"/>
      </w:r>
      <w:r w:rsidRPr="00216965">
        <w:rPr>
          <w:b/>
          <w:bCs/>
        </w:rPr>
        <w:instrText xml:space="preserve"> REF _Ref86412333 \r \h  \* MERGEFORMAT </w:instrText>
      </w:r>
      <w:r w:rsidRPr="00216965">
        <w:rPr>
          <w:b/>
          <w:bCs/>
        </w:rPr>
      </w:r>
      <w:r w:rsidRPr="00216965">
        <w:rPr>
          <w:b/>
          <w:bCs/>
        </w:rPr>
        <w:fldChar w:fldCharType="separate"/>
      </w:r>
      <w:r w:rsidRPr="00216965">
        <w:rPr>
          <w:b/>
          <w:bCs/>
        </w:rPr>
        <w:t>Chapter 3</w:t>
      </w:r>
      <w:r w:rsidRPr="00216965">
        <w:rPr>
          <w:b/>
          <w:bCs/>
        </w:rPr>
        <w:fldChar w:fldCharType="end"/>
      </w:r>
      <w:r w:rsidRPr="00216965">
        <w:t xml:space="preserve"> </w:t>
      </w:r>
      <w:r w:rsidR="00B01C80" w:rsidRPr="00216965">
        <w:t>identified that selected biochar properties (EC, CEC and pH) largely determined HM sorption. These properties were associated with electrostatic interactions and precipitation, suggesting the</w:t>
      </w:r>
      <w:r w:rsidR="003233E6" w:rsidRPr="00216965">
        <w:t>se</w:t>
      </w:r>
      <w:r w:rsidR="00B01C80" w:rsidRPr="00216965">
        <w:t xml:space="preserve"> are </w:t>
      </w:r>
      <w:r w:rsidR="003233E6" w:rsidRPr="00216965">
        <w:t xml:space="preserve">the most </w:t>
      </w:r>
      <w:r w:rsidR="00B01C80" w:rsidRPr="00216965">
        <w:t>important sorption mechanisms for</w:t>
      </w:r>
      <w:r w:rsidRPr="00216965">
        <w:t xml:space="preserve"> Pb, Cd and Zn by</w:t>
      </w:r>
      <w:r w:rsidR="00B01C80" w:rsidRPr="00216965">
        <w:t xml:space="preserve"> the studied biochars. </w:t>
      </w:r>
    </w:p>
    <w:p w14:paraId="7259419A" w14:textId="1230D15B" w:rsidR="00B01C80" w:rsidRPr="00216965" w:rsidRDefault="00D14C49" w:rsidP="008A33DA">
      <w:pPr>
        <w:spacing w:line="360" w:lineRule="auto"/>
        <w:jc w:val="both"/>
      </w:pPr>
      <w:r w:rsidRPr="00216965">
        <w:t xml:space="preserve">The importance of these properties on HM sorption by biochar was confirmed later in soil incubations in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t xml:space="preserve"> and a pot-field experiment in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rPr>
          <w:b/>
        </w:rPr>
        <w:t xml:space="preserve">, </w:t>
      </w:r>
      <w:r w:rsidRPr="00216965">
        <w:t>where these properties showed</w:t>
      </w:r>
      <w:r w:rsidRPr="00216965">
        <w:rPr>
          <w:b/>
        </w:rPr>
        <w:t xml:space="preserve"> </w:t>
      </w:r>
      <w:r w:rsidRPr="00216965">
        <w:t>a significant</w:t>
      </w:r>
      <w:r w:rsidRPr="00216965">
        <w:rPr>
          <w:b/>
        </w:rPr>
        <w:t xml:space="preserve"> </w:t>
      </w:r>
      <w:r w:rsidRPr="00216965">
        <w:t>negative</w:t>
      </w:r>
      <w:r w:rsidRPr="00216965">
        <w:rPr>
          <w:b/>
        </w:rPr>
        <w:t xml:space="preserve"> </w:t>
      </w:r>
      <w:r w:rsidRPr="00216965">
        <w:t xml:space="preserve">correlation with bioavailable HMs and HMs in plant tissue. </w:t>
      </w:r>
      <w:r w:rsidR="00B01C80" w:rsidRPr="00216965">
        <w:t xml:space="preserve">FTIR-ATR analysis demonstrated that complexation with functional groups also contributed to the immobilisation of HMs. The proposed mechanisms for the immobilisation of HMs by biochar were confirmed in soil incubations presented in </w:t>
      </w:r>
      <w:r w:rsidR="00B01C80" w:rsidRPr="00216965">
        <w:rPr>
          <w:b/>
          <w:bCs/>
        </w:rPr>
        <w:fldChar w:fldCharType="begin"/>
      </w:r>
      <w:r w:rsidR="00B01C80" w:rsidRPr="00216965">
        <w:rPr>
          <w:b/>
          <w:bCs/>
        </w:rPr>
        <w:instrText xml:space="preserve"> REF _Ref86417682 \r \h  \* MERGEFORMAT </w:instrText>
      </w:r>
      <w:r w:rsidR="00B01C80" w:rsidRPr="00216965">
        <w:rPr>
          <w:b/>
          <w:bCs/>
        </w:rPr>
      </w:r>
      <w:r w:rsidR="00B01C80" w:rsidRPr="00216965">
        <w:rPr>
          <w:b/>
          <w:bCs/>
        </w:rPr>
        <w:fldChar w:fldCharType="separate"/>
      </w:r>
      <w:r w:rsidR="006E23EA" w:rsidRPr="00216965">
        <w:rPr>
          <w:b/>
          <w:bCs/>
        </w:rPr>
        <w:t>Chapter 4</w:t>
      </w:r>
      <w:r w:rsidR="00B01C80" w:rsidRPr="00216965">
        <w:rPr>
          <w:b/>
          <w:bCs/>
        </w:rPr>
        <w:fldChar w:fldCharType="end"/>
      </w:r>
      <w:r w:rsidR="00B01C80" w:rsidRPr="00216965">
        <w:rPr>
          <w:b/>
          <w:bCs/>
        </w:rPr>
        <w:t xml:space="preserve"> </w:t>
      </w:r>
      <w:r w:rsidR="00B01C80" w:rsidRPr="00216965">
        <w:t>and the pot-field experiment in</w:t>
      </w:r>
      <w:r w:rsidR="00B01C80" w:rsidRPr="00216965">
        <w:rPr>
          <w:b/>
        </w:rPr>
        <w:t xml:space="preserve"> </w:t>
      </w:r>
      <w:r w:rsidR="00B01C80" w:rsidRPr="00216965">
        <w:rPr>
          <w:b/>
          <w:bCs/>
        </w:rPr>
        <w:fldChar w:fldCharType="begin"/>
      </w:r>
      <w:r w:rsidR="00B01C80" w:rsidRPr="00216965">
        <w:rPr>
          <w:b/>
          <w:bCs/>
        </w:rPr>
        <w:instrText xml:space="preserve"> REF _Ref86422225 \r \h  \* MERGEFORMAT </w:instrText>
      </w:r>
      <w:r w:rsidR="00B01C80" w:rsidRPr="00216965">
        <w:rPr>
          <w:b/>
          <w:bCs/>
        </w:rPr>
      </w:r>
      <w:r w:rsidR="00B01C80" w:rsidRPr="00216965">
        <w:rPr>
          <w:b/>
          <w:bCs/>
        </w:rPr>
        <w:fldChar w:fldCharType="separate"/>
      </w:r>
      <w:r w:rsidR="006E23EA" w:rsidRPr="00216965">
        <w:rPr>
          <w:b/>
          <w:bCs/>
        </w:rPr>
        <w:t>Chapter 5</w:t>
      </w:r>
      <w:r w:rsidR="00B01C80" w:rsidRPr="00216965">
        <w:rPr>
          <w:b/>
          <w:bCs/>
        </w:rPr>
        <w:fldChar w:fldCharType="end"/>
      </w:r>
      <w:r w:rsidR="00B01C80" w:rsidRPr="00216965">
        <w:rPr>
          <w:b/>
        </w:rPr>
        <w:t xml:space="preserve">. </w:t>
      </w:r>
    </w:p>
    <w:p w14:paraId="2B50B094" w14:textId="77777777" w:rsidR="00A347FC" w:rsidRPr="00216965" w:rsidRDefault="00B01C80" w:rsidP="008A33DA">
      <w:pPr>
        <w:spacing w:line="360" w:lineRule="auto"/>
        <w:jc w:val="both"/>
      </w:pPr>
      <w:r w:rsidRPr="00216965">
        <w:t xml:space="preserve">In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rPr>
          <w:b/>
          <w:bCs/>
        </w:rPr>
        <w:t xml:space="preserve"> </w:t>
      </w:r>
      <w:r w:rsidRPr="00216965">
        <w:t xml:space="preserve">the effect of biochars OSR550, WSP550, SWP550 and MSP550 on HM availability in soil artificially contaminated with single additions of Pb, Cd, Zn and a ternary combination of these elements was conducted. The addition of biochar changed some soil properties, for example increased soil pH, EC and bioavailable phosphate. Similar findings were observed in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t>, where biochar WSP550 and garden waste compost were used as single amendments, or in combination, to assess their potential for the immobilisation of HMs from a mining soil highly contaminated with Pb and Zn. The addition of both organic amendments increased soil pH, whereas compost increased EC, organic matter content and base cation content. These changes in soil properties due to the addition of biochar and compost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rPr>
          <w:b/>
          <w:bCs/>
        </w:rPr>
        <w:t xml:space="preserve"> </w:t>
      </w:r>
      <w:r w:rsidRPr="00216965">
        <w:t xml:space="preserve">and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t xml:space="preserve">) were associated with HM immobilisation mechanisms that varied according to soil characteristics. </w:t>
      </w:r>
    </w:p>
    <w:p w14:paraId="4B82C18B" w14:textId="45272C46" w:rsidR="00A347FC" w:rsidRPr="00216965" w:rsidRDefault="00A347FC" w:rsidP="008A33DA">
      <w:pPr>
        <w:spacing w:line="360" w:lineRule="auto"/>
        <w:jc w:val="both"/>
      </w:pPr>
      <w:r w:rsidRPr="00216965">
        <w:t>I</w:t>
      </w:r>
      <w:r w:rsidR="00B01C80" w:rsidRPr="00216965">
        <w:t xml:space="preserve">n the incubations conducted in </w:t>
      </w:r>
      <w:r w:rsidR="00B01C80" w:rsidRPr="00216965">
        <w:rPr>
          <w:b/>
          <w:bCs/>
        </w:rPr>
        <w:fldChar w:fldCharType="begin"/>
      </w:r>
      <w:r w:rsidR="00B01C80" w:rsidRPr="00216965">
        <w:rPr>
          <w:b/>
          <w:bCs/>
        </w:rPr>
        <w:instrText xml:space="preserve"> REF _Ref86417682 \r \h  \* MERGEFORMAT </w:instrText>
      </w:r>
      <w:r w:rsidR="00B01C80" w:rsidRPr="00216965">
        <w:rPr>
          <w:b/>
          <w:bCs/>
        </w:rPr>
      </w:r>
      <w:r w:rsidR="00B01C80" w:rsidRPr="00216965">
        <w:rPr>
          <w:b/>
          <w:bCs/>
        </w:rPr>
        <w:fldChar w:fldCharType="separate"/>
      </w:r>
      <w:r w:rsidR="006E23EA" w:rsidRPr="00216965">
        <w:rPr>
          <w:b/>
          <w:bCs/>
        </w:rPr>
        <w:t>Chapter 4</w:t>
      </w:r>
      <w:r w:rsidR="00B01C80" w:rsidRPr="00216965">
        <w:rPr>
          <w:b/>
          <w:bCs/>
        </w:rPr>
        <w:fldChar w:fldCharType="end"/>
      </w:r>
      <w:r w:rsidR="00B01C80" w:rsidRPr="00216965">
        <w:rPr>
          <w:b/>
          <w:bCs/>
        </w:rPr>
        <w:t xml:space="preserve"> </w:t>
      </w:r>
      <w:r w:rsidR="00B01C80" w:rsidRPr="00216965">
        <w:t xml:space="preserve">with a neutral soil (pH 7.2) it was evident that the increased soil pH due to biochar addition (pH &gt; 7.5) largely determined the </w:t>
      </w:r>
      <w:r w:rsidR="00B01C80" w:rsidRPr="00216965">
        <w:lastRenderedPageBreak/>
        <w:t>immobilisation of Pb and to a lesser extent Zn, whereas Cd sorption was not affected by soil pH. This was explained by the chemical speciation of these elements as a function of pH (</w:t>
      </w:r>
      <w:r w:rsidR="00B01C80" w:rsidRPr="00216965">
        <w:fldChar w:fldCharType="begin"/>
      </w:r>
      <w:r w:rsidR="00B01C80" w:rsidRPr="00216965">
        <w:instrText xml:space="preserve"> REF _Ref52749008 \h </w:instrText>
      </w:r>
      <w:r w:rsidR="00216965" w:rsidRPr="00216965">
        <w:instrText xml:space="preserve"> \* MERGEFORMAT </w:instrText>
      </w:r>
      <w:r w:rsidR="00B01C80" w:rsidRPr="00216965">
        <w:fldChar w:fldCharType="separate"/>
      </w:r>
      <w:r w:rsidR="006E23EA" w:rsidRPr="00216965">
        <w:rPr>
          <w:rFonts w:cs="Times New Roman"/>
          <w:b/>
          <w:szCs w:val="24"/>
        </w:rPr>
        <w:t xml:space="preserve">Fig. </w:t>
      </w:r>
      <w:r w:rsidR="006E23EA" w:rsidRPr="00216965">
        <w:rPr>
          <w:rFonts w:cs="Times New Roman"/>
          <w:b/>
          <w:bCs/>
          <w:noProof/>
          <w:szCs w:val="24"/>
        </w:rPr>
        <w:t>3</w:t>
      </w:r>
      <w:r w:rsidR="006E23EA" w:rsidRPr="00216965">
        <w:rPr>
          <w:rFonts w:cs="Times New Roman"/>
          <w:b/>
          <w:szCs w:val="24"/>
        </w:rPr>
        <w:noBreakHyphen/>
      </w:r>
      <w:r w:rsidR="006E23EA" w:rsidRPr="00216965">
        <w:rPr>
          <w:rFonts w:cs="Times New Roman"/>
          <w:b/>
          <w:bCs/>
          <w:noProof/>
          <w:szCs w:val="24"/>
        </w:rPr>
        <w:t>2</w:t>
      </w:r>
      <w:r w:rsidR="00B01C80" w:rsidRPr="00216965">
        <w:fldChar w:fldCharType="end"/>
      </w:r>
      <w:r w:rsidR="00B01C80" w:rsidRPr="00216965">
        <w:rPr>
          <w:b/>
        </w:rPr>
        <w:t xml:space="preserve">), </w:t>
      </w:r>
      <w:r w:rsidR="00B01C80" w:rsidRPr="00216965">
        <w:t xml:space="preserve">which demonstrated that HM solubility decreased with increasing pH. Park </w:t>
      </w:r>
      <w:r w:rsidR="009B2252" w:rsidRPr="00216965">
        <w:rPr>
          <w:iCs/>
        </w:rPr>
        <w:t>et al</w:t>
      </w:r>
      <w:r w:rsidR="00B01C80" w:rsidRPr="00216965">
        <w:t>. (2010) stated that soil pH is the most significant factor influencing metal(loid)–soil availability. As a result of the increased soil pH, the mobility of HMs decrease due to a reduced competition between H</w:t>
      </w:r>
      <w:r w:rsidR="00B01C80" w:rsidRPr="00216965">
        <w:rPr>
          <w:vertAlign w:val="superscript"/>
        </w:rPr>
        <w:t>+</w:t>
      </w:r>
      <w:r w:rsidR="00B01C80" w:rsidRPr="00216965">
        <w:t xml:space="preserve"> ions and metal ions for cation exchange sites, either directly on the biochar surface or as a general liming effect on the soil matrix (Beesley </w:t>
      </w:r>
      <w:r w:rsidR="009B2252" w:rsidRPr="00216965">
        <w:rPr>
          <w:iCs/>
        </w:rPr>
        <w:t>et al</w:t>
      </w:r>
      <w:r w:rsidR="00B01C80" w:rsidRPr="00216965">
        <w:t xml:space="preserve">., 2011). Besides, the formation of Pb and Zn phosphate precipitates contributed to HM immobilization by biochar. The suggested mechanism proposed by Cao </w:t>
      </w:r>
      <w:r w:rsidR="009B2252" w:rsidRPr="00216965">
        <w:rPr>
          <w:iCs/>
        </w:rPr>
        <w:t>et al</w:t>
      </w:r>
      <w:r w:rsidR="00B01C80" w:rsidRPr="00216965">
        <w:t>. (2011) is that phosphorus originally contained in the biochar induced conversion of less stable PbCO</w:t>
      </w:r>
      <w:r w:rsidR="00B01C80" w:rsidRPr="00216965">
        <w:rPr>
          <w:vertAlign w:val="subscript"/>
        </w:rPr>
        <w:t>3</w:t>
      </w:r>
      <w:r w:rsidR="00B01C80" w:rsidRPr="00216965">
        <w:t xml:space="preserve"> to more stable Pb</w:t>
      </w:r>
      <w:r w:rsidR="00B01C80" w:rsidRPr="00216965">
        <w:rPr>
          <w:vertAlign w:val="subscript"/>
        </w:rPr>
        <w:t>5</w:t>
      </w:r>
      <w:r w:rsidR="00B01C80" w:rsidRPr="00216965">
        <w:t>(PO</w:t>
      </w:r>
      <w:r w:rsidR="00B01C80" w:rsidRPr="00216965">
        <w:rPr>
          <w:vertAlign w:val="subscript"/>
        </w:rPr>
        <w:t>4</w:t>
      </w:r>
      <w:r w:rsidR="00B01C80" w:rsidRPr="00216965">
        <w:t>)3OH, responsible for soil Pb immobilization.</w:t>
      </w:r>
    </w:p>
    <w:p w14:paraId="034045BA" w14:textId="552AA14D" w:rsidR="00B525A4" w:rsidRPr="00216965" w:rsidRDefault="00B01C80" w:rsidP="008A33DA">
      <w:pPr>
        <w:spacing w:line="360" w:lineRule="auto"/>
        <w:jc w:val="both"/>
      </w:pPr>
      <w:r w:rsidRPr="00216965">
        <w:t>Conversely, in the pot-field experiment with a mining acidic soil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rPr>
          <w:b/>
        </w:rPr>
        <w:t xml:space="preserve">) </w:t>
      </w:r>
      <w:r w:rsidRPr="00216965">
        <w:t xml:space="preserve">the immobilization of bioavailable Pb and Zn by the organic amendments occurred due to complexation between these elements and biochar functional groups, precipitation or electrostatic attraction. The complexation of Pb, Zn and Cd with biochar functional groups was first presented in </w:t>
      </w:r>
      <w:r w:rsidRPr="00216965">
        <w:rPr>
          <w:b/>
          <w:bCs/>
        </w:rPr>
        <w:fldChar w:fldCharType="begin"/>
      </w:r>
      <w:r w:rsidRPr="00216965">
        <w:rPr>
          <w:b/>
          <w:bCs/>
        </w:rPr>
        <w:instrText xml:space="preserve"> REF _Ref86412333 \r \h  \* MERGEFORMAT </w:instrText>
      </w:r>
      <w:r w:rsidRPr="00216965">
        <w:rPr>
          <w:b/>
          <w:bCs/>
        </w:rPr>
      </w:r>
      <w:r w:rsidRPr="00216965">
        <w:rPr>
          <w:b/>
          <w:bCs/>
        </w:rPr>
        <w:fldChar w:fldCharType="separate"/>
      </w:r>
      <w:r w:rsidR="006E23EA" w:rsidRPr="00216965">
        <w:rPr>
          <w:b/>
          <w:bCs/>
        </w:rPr>
        <w:t>Chapter 3</w:t>
      </w:r>
      <w:r w:rsidRPr="00216965">
        <w:rPr>
          <w:b/>
          <w:bCs/>
        </w:rPr>
        <w:fldChar w:fldCharType="end"/>
      </w:r>
      <w:r w:rsidRPr="00216965">
        <w:t xml:space="preserve">, where FTIR-ATR analysis demonstrated the complexation of HMs with carboxylic groups, phenolic groups and the occurrence of cation ̶  π interactions. The increased pH in biochar-amended soils promoted the formation of sorption sites on the negatively charged functional groups, thus decreasing the bioavailability of HMs in the soil </w:t>
      </w:r>
      <w:r w:rsidR="006164A9" w:rsidRPr="00216965">
        <w:t xml:space="preserve"> </w:t>
      </w:r>
      <w:r w:rsidR="006164A9" w:rsidRPr="00216965">
        <w:fldChar w:fldCharType="begin" w:fldLock="1"/>
      </w:r>
      <w:r w:rsidR="007A2A48" w:rsidRPr="00216965">
        <w:instrText>ADDIN CSL_CITATION {"citationItems":[{"id":"ITEM-1","itemData":{"DOI":"10.1016/j.jbiosc.2013.05.035","ISBN":"1347-4421 (Electronic)\\n1347-4421 (Linking)","ISSN":"13891723","PMID":"23810668","abstract":"Biochar is produced by thermal decomposition of biomass under oxygen-limited conditions (pyrolysis), and it has received attention in soil remediation and waste disposal in recent years. The characteristics of biochar are influenced mainly by the preparation temperature and biomass. Higher pyrolysis temperature often results in the increased surface area and carbonized fraction of biochar leading to high sorption capability for pollutants. Biochars derived from various source materials show different properties of surface area, porosity and the amount of functional groups which are important concerning on the effect of biochar. Biochar has been proved to be effective in improving soil properties and increasing crop biomass. It has also been suggested that it can even enhance crop resistance to disease. Biochar has recently been used to remediate soil with both heavy metal and organic pollutants. The mechanism is electrostatic interaction and precipitation in the case of heavy metal, and the surface adsorption, partition and sequestration in the case of organic contaminants. However, application of biochar in soil has been shown to result in decreased efficacy of pesticides, which indicates a trade-off between the potentially promising effect of biochar on pesticide remediation and its negative effect on pesticide efficacy. While arguments on the effectiveness of biochar appear sound, further research is needed prior to widespread application of biochar in soil remediation. ?? 2013 The Society for Biotechnology, Japan.","author":[{"dropping-particle":"","family":"Tang","given":"Jingchun","non-dropping-particle":"","parse-names":false,"suffix":""},{"dropping-particle":"","family":"Zhu","given":"Wenying","non-dropping-particle":"","parse-names":false,"suffix":""},{"dropping-particle":"","family":"Kookana","given":"Rai","non-dropping-particle":"","parse-names":false,"suffix":""},{"dropping-particle":"","family":"Katayama","given":"Arata","non-dropping-particle":"","parse-names":false,"suffix":""}],"container-title":"Journal of Bioscience and Bioengineering","id":"ITEM-1","issue":"6","issued":{"date-parts":[["2013"]]},"page":"653-659","publisher":"Elsevier Ltd","title":"Characteristics of biochar and its application in remediation of contaminated soil","type":"article-journal","volume":"116"},"uris":["http://www.mendeley.com/documents/?uuid=f1de9e6e-b7e1-4802-a8e9-d2fd999dd84c"]}],"mendeley":{"formattedCitation":"(Tang et al., 2013)","plainTextFormattedCitation":"(Tang et al., 2013)","previouslyFormattedCitation":"(Tang et al., 2013)"},"properties":{"noteIndex":0},"schema":"https://github.com/citation-style-language/schema/raw/master/csl-citation.json"}</w:instrText>
      </w:r>
      <w:r w:rsidR="006164A9" w:rsidRPr="00216965">
        <w:fldChar w:fldCharType="separate"/>
      </w:r>
      <w:r w:rsidR="006164A9" w:rsidRPr="00216965">
        <w:rPr>
          <w:noProof/>
        </w:rPr>
        <w:t>(Tang et al., 2013)</w:t>
      </w:r>
      <w:r w:rsidR="006164A9" w:rsidRPr="00216965">
        <w:fldChar w:fldCharType="end"/>
      </w:r>
      <w:r w:rsidRPr="00216965">
        <w:t xml:space="preserve">. </w:t>
      </w:r>
    </w:p>
    <w:p w14:paraId="6536A2AF" w14:textId="6A25DE8C" w:rsidR="00B01C80" w:rsidRPr="00216965" w:rsidRDefault="00B01C80" w:rsidP="008A33DA">
      <w:pPr>
        <w:spacing w:line="360" w:lineRule="auto"/>
        <w:jc w:val="both"/>
      </w:pPr>
      <w:r w:rsidRPr="00216965">
        <w:t xml:space="preserve">In the case of compost treatments, the immobilization of HMs was attributed to the formation of organo-metallic complexes and the increase in soil pH due to compost addition. Following the addition of mature OM, such as compost, the formation of stable, insoluble chelates with humic substances, as well as metal adsorption on the surface of OM, may decrease HM availability and plant uptake </w:t>
      </w:r>
      <w:r w:rsidR="0020164C" w:rsidRPr="00216965">
        <w:fldChar w:fldCharType="begin" w:fldLock="1"/>
      </w:r>
      <w:r w:rsidR="006C06AA" w:rsidRPr="00216965">
        <w:instrText>ADDIN CSL_CITATION {"citationItems":[{"id":"ITEM-1","itemData":{"DOI":"10.1007/s11356-012-1439-2","ISBN":"1135601214392","ISSN":"09441344","PMID":"23292226","abstract":"The addition of organic matter in soil can modify the bioavailability of heavy metals. A greenhouse pot experiment was carried out using an edible plant species Eruca vesicaria L. Cavalieri grown on an artificially contaminated soil with Zn (665 mg kg(-1)). In this study, the effect of compost at 20 t ha(-1) (C20) and at 60 t ha(-1) (C60), manure at 10 t ha(-1) (M10) and at 30 t ha(-1) (M30), and chemical fertilizers (NPK) on Zn fate in a soil-plant system was evaluated. At the end of the experiment, the main growth parameters and Zn content in plants were determined. In addition, Zn speciation in the soil was assessed using the original Community Bureau of Reference sequential extraction and diethylene triamine pentaacetic acid extraction. Zinc, though an essential element for plant growth, caused toxicity effects in plants grown on control and manure treatments, while in the compost treatments, plants showed no visual toxicity symptoms. The concentrations of Zn in roots were similar for all treatments, while significant differences were observed for shoots. In fact, in the compost treatments, plants showed the lowest Zn concentration in shoots. Zinc speciation seems not to be affected by the applied treatments. Indeed, Zn plant content and translocation to shoots seems to be affected. Compost amendments significantly reduced Zn content and translocation in comparison to other treatments.","author":[{"dropping-particle":"","family":"Chami","given":"Ziad","non-dropping-particle":"Al","parse-names":false,"suffix":""},{"dropping-particle":"","family":"Cavoski","given":"Ivana","non-dropping-particle":"","parse-names":false,"suffix":""},{"dropping-particle":"","family":"Mondelli","given":"Donato","non-dropping-particle":"","parse-names":false,"suffix":""},{"dropping-particle":"","family":"Miano","given":"Teodoro","non-dropping-particle":"","parse-names":false,"suffix":""}],"container-title":"Environmental Science and Pollution Research","id":"ITEM-1","issue":"7","issued":{"date-parts":[["2013"]]},"page":"4766-4776","title":"Effect of compost and manure amendments on zinc soil speciation, plant content, and translocation in an artificially contaminated soil","type":"article-journal","volume":"20"},"uris":["http://www.mendeley.com/documents/?uuid=d785e606-09d5-41f1-a2f6-3b0611bdaaad"]}],"mendeley":{"formattedCitation":"(Al Chami et al., 2013)","plainTextFormattedCitation":"(Al Chami et al., 2013)","previouslyFormattedCitation":"(Al Chami et al., 2013)"},"properties":{"noteIndex":0},"schema":"https://github.com/citation-style-language/schema/raw/master/csl-citation.json"}</w:instrText>
      </w:r>
      <w:r w:rsidR="0020164C" w:rsidRPr="00216965">
        <w:fldChar w:fldCharType="separate"/>
      </w:r>
      <w:r w:rsidR="00C83E62" w:rsidRPr="00216965">
        <w:rPr>
          <w:noProof/>
        </w:rPr>
        <w:t>(Al Chami et al., 2013)</w:t>
      </w:r>
      <w:r w:rsidR="0020164C" w:rsidRPr="00216965">
        <w:fldChar w:fldCharType="end"/>
      </w:r>
      <w:r w:rsidRPr="00216965">
        <w:t xml:space="preserve">. </w:t>
      </w:r>
    </w:p>
    <w:p w14:paraId="7C0C0995" w14:textId="08266C3F" w:rsidR="00B01C80" w:rsidRPr="00216965" w:rsidRDefault="00B01C80" w:rsidP="008A33DA">
      <w:pPr>
        <w:spacing w:line="360" w:lineRule="auto"/>
        <w:jc w:val="both"/>
      </w:pPr>
      <w:r w:rsidRPr="00216965">
        <w:t xml:space="preserve">Besides biochar properties, sorption of HMs is also influenced by element properties and their competitive behaviour for biochar sorption sites (Park </w:t>
      </w:r>
      <w:r w:rsidR="009B2252" w:rsidRPr="00216965">
        <w:rPr>
          <w:iCs/>
        </w:rPr>
        <w:t>et al</w:t>
      </w:r>
      <w:r w:rsidRPr="00216965">
        <w:t>., 2016). The competitive batch sorption test using synthetic soil pore water (</w:t>
      </w:r>
      <w:r w:rsidRPr="00216965">
        <w:rPr>
          <w:b/>
          <w:bCs/>
        </w:rPr>
        <w:fldChar w:fldCharType="begin"/>
      </w:r>
      <w:r w:rsidRPr="00216965">
        <w:rPr>
          <w:b/>
          <w:bCs/>
        </w:rPr>
        <w:instrText xml:space="preserve"> REF _Ref86412333 \r \h  \* MERGEFORMAT </w:instrText>
      </w:r>
      <w:r w:rsidRPr="00216965">
        <w:rPr>
          <w:b/>
          <w:bCs/>
        </w:rPr>
      </w:r>
      <w:r w:rsidRPr="00216965">
        <w:rPr>
          <w:b/>
          <w:bCs/>
        </w:rPr>
        <w:fldChar w:fldCharType="separate"/>
      </w:r>
      <w:r w:rsidR="006E23EA" w:rsidRPr="00216965">
        <w:rPr>
          <w:b/>
          <w:bCs/>
        </w:rPr>
        <w:t>Chapter 3</w:t>
      </w:r>
      <w:r w:rsidRPr="00216965">
        <w:rPr>
          <w:b/>
          <w:bCs/>
        </w:rPr>
        <w:fldChar w:fldCharType="end"/>
      </w:r>
      <w:r w:rsidRPr="00216965">
        <w:t xml:space="preserve">) demonstrated that preferential sorption of Pb limited the immobilization of Cd and Zn in multi-element systems. Similarly, the study conducted in soil artificially contaminated with a ternary mixture of Cd, Pb and Zn demonstrated that the simultaneous presence of HMs was </w:t>
      </w:r>
      <w:r w:rsidRPr="00216965">
        <w:lastRenderedPageBreak/>
        <w:t>characterized by a preferential sorption of elements by biochar in the order Pb &gt; Zn &gt; Cd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rPr>
          <w:b/>
          <w:bCs/>
        </w:rPr>
        <w:t>)</w:t>
      </w:r>
      <w:r w:rsidRPr="00216965">
        <w:t>. This was also evident in the pot-field experiment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t xml:space="preserve">), where bioavailable Pb was reduced to a greater extent than bioavailable Zn. The preferential sorption of Pb, compared to Zn or Cd, is in agreement with differences in ionic radius, first hydrolysis constants and the Misono softness parameter of these elements, all of which make Pb a better candidate than the other elements for both electrostatic and inner-sphere surface complexation reactions (Soria </w:t>
      </w:r>
      <w:r w:rsidR="009B2252" w:rsidRPr="00216965">
        <w:rPr>
          <w:iCs/>
        </w:rPr>
        <w:t>et al</w:t>
      </w:r>
      <w:r w:rsidRPr="00216965">
        <w:t>., 2020).</w:t>
      </w:r>
    </w:p>
    <w:p w14:paraId="74D89C8D" w14:textId="77777777" w:rsidR="00B01C80" w:rsidRPr="00216965" w:rsidRDefault="00B01C80" w:rsidP="008A33DA">
      <w:pPr>
        <w:pStyle w:val="Heading2"/>
      </w:pPr>
      <w:bookmarkStart w:id="425" w:name="_Toc86504722"/>
      <w:r w:rsidRPr="00216965">
        <w:t>Effect of biochar on plants</w:t>
      </w:r>
      <w:bookmarkEnd w:id="425"/>
    </w:p>
    <w:p w14:paraId="6A251B28" w14:textId="4A6DD410" w:rsidR="00A26A22" w:rsidRPr="00216965" w:rsidRDefault="00A26A22" w:rsidP="008A33DA">
      <w:pPr>
        <w:spacing w:line="360" w:lineRule="auto"/>
        <w:jc w:val="both"/>
      </w:pPr>
      <w:r w:rsidRPr="00216965">
        <w:t xml:space="preserve">Biochar has been proposed as a suitable material for immobilizing HMs in soil and as a soil conditioner as illustrated in </w:t>
      </w:r>
      <w:r w:rsidRPr="00216965">
        <w:fldChar w:fldCharType="begin"/>
      </w:r>
      <w:r w:rsidRPr="00216965">
        <w:instrText xml:space="preserve"> REF _Ref82891550 \h  \* MERGEFORMAT </w:instrText>
      </w:r>
      <w:r w:rsidRPr="00216965">
        <w:fldChar w:fldCharType="separate"/>
      </w:r>
      <w:r w:rsidRPr="00216965">
        <w:rPr>
          <w:b/>
        </w:rPr>
        <w:t xml:space="preserve">Fig. </w:t>
      </w:r>
      <w:r w:rsidRPr="00216965">
        <w:rPr>
          <w:b/>
          <w:noProof/>
        </w:rPr>
        <w:t>2</w:t>
      </w:r>
      <w:r w:rsidRPr="00216965">
        <w:rPr>
          <w:b/>
        </w:rPr>
        <w:noBreakHyphen/>
      </w:r>
      <w:r w:rsidRPr="00216965">
        <w:rPr>
          <w:b/>
          <w:noProof/>
        </w:rPr>
        <w:t>8</w:t>
      </w:r>
      <w:r w:rsidRPr="00216965">
        <w:fldChar w:fldCharType="end"/>
      </w:r>
      <w:r w:rsidRPr="00216965">
        <w:t xml:space="preserve">. In this research it was hypothesized that biochar addition to HM contaminated soil would enhance plant performance due to a reduced HM toxicity </w:t>
      </w:r>
      <w:r w:rsidR="00B525A4" w:rsidRPr="00216965">
        <w:t xml:space="preserve">to plants </w:t>
      </w:r>
      <w:r w:rsidRPr="00216965">
        <w:t>and supply of nutrients. However, t</w:t>
      </w:r>
      <w:r w:rsidR="00B01C80" w:rsidRPr="00216965">
        <w:t xml:space="preserve">he results </w:t>
      </w:r>
      <w:r w:rsidRPr="00216965">
        <w:t xml:space="preserve">presented in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Pr="00216965">
        <w:rPr>
          <w:b/>
          <w:bCs/>
        </w:rPr>
        <w:t>Chapter 4</w:t>
      </w:r>
      <w:r w:rsidRPr="00216965">
        <w:rPr>
          <w:b/>
          <w:bCs/>
        </w:rPr>
        <w:fldChar w:fldCharType="end"/>
      </w:r>
      <w:r w:rsidRPr="00216965">
        <w:rPr>
          <w:b/>
          <w:bCs/>
        </w:rPr>
        <w:t xml:space="preserve"> </w:t>
      </w:r>
      <w:r w:rsidRPr="00216965">
        <w:t xml:space="preserve">and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Pr="00216965">
        <w:rPr>
          <w:b/>
          <w:bCs/>
        </w:rPr>
        <w:t>Chapter 5</w:t>
      </w:r>
      <w:r w:rsidRPr="00216965">
        <w:rPr>
          <w:b/>
          <w:bCs/>
        </w:rPr>
        <w:fldChar w:fldCharType="end"/>
      </w:r>
      <w:r w:rsidRPr="00216965">
        <w:rPr>
          <w:b/>
          <w:bCs/>
        </w:rPr>
        <w:t xml:space="preserve"> </w:t>
      </w:r>
      <w:r w:rsidRPr="00216965">
        <w:t xml:space="preserve">demonstrated </w:t>
      </w:r>
      <w:r w:rsidR="00B01C80" w:rsidRPr="00216965">
        <w:t xml:space="preserve">that biochar addition </w:t>
      </w:r>
      <w:r w:rsidRPr="00216965">
        <w:t xml:space="preserve">to HM contaminated soil is a </w:t>
      </w:r>
      <w:r w:rsidR="00B525A4" w:rsidRPr="00216965">
        <w:t xml:space="preserve">very </w:t>
      </w:r>
      <w:r w:rsidRPr="00216965">
        <w:t xml:space="preserve">complex process that </w:t>
      </w:r>
      <w:r w:rsidR="00B01C80" w:rsidRPr="00216965">
        <w:t xml:space="preserve">can result in varied outcomes depending on the plant species. </w:t>
      </w:r>
    </w:p>
    <w:p w14:paraId="25B243F6" w14:textId="319B2630" w:rsidR="00A26A22" w:rsidRPr="00216965" w:rsidRDefault="00B01C80" w:rsidP="008A33DA">
      <w:pPr>
        <w:spacing w:line="360" w:lineRule="auto"/>
        <w:jc w:val="both"/>
      </w:pP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rPr>
          <w:b/>
          <w:bCs/>
        </w:rPr>
        <w:t xml:space="preserve"> </w:t>
      </w:r>
      <w:r w:rsidR="00A26A22" w:rsidRPr="00216965">
        <w:t>demonstrated</w:t>
      </w:r>
      <w:r w:rsidR="00A26A22" w:rsidRPr="00216965">
        <w:rPr>
          <w:b/>
          <w:bCs/>
        </w:rPr>
        <w:t xml:space="preserve"> </w:t>
      </w:r>
      <w:r w:rsidRPr="00216965">
        <w:t>that biochar applied at 1 % (</w:t>
      </w:r>
      <w:r w:rsidRPr="00216965">
        <w:rPr>
          <w:i/>
        </w:rPr>
        <w:t>w/w</w:t>
      </w:r>
      <w:r w:rsidRPr="00216965">
        <w:t xml:space="preserve">) had a protective effect on </w:t>
      </w:r>
      <w:r w:rsidRPr="00216965">
        <w:rPr>
          <w:i/>
        </w:rPr>
        <w:t>Arabidopsis thaliana</w:t>
      </w:r>
      <w:r w:rsidRPr="00216965">
        <w:t xml:space="preserve"> plants grown in a multi-element contaminated soil. This protective effect was </w:t>
      </w:r>
      <w:r w:rsidR="008208CE" w:rsidRPr="00216965">
        <w:t>illustrated</w:t>
      </w:r>
      <w:r w:rsidRPr="00216965">
        <w:t xml:space="preserve"> by higher dry above-ground biomass, absolute growth rates and enhanced photosynthetic activity (Fv/Fm). The positive response of plants was attributed to a decreased bioavailability of HMs and decreased HM tissue concentration due to biochar addition. However, biochars were less effective in soils contaminated with single metals Pb/Cd/Zn; </w:t>
      </w:r>
      <w:r w:rsidR="00A26A22" w:rsidRPr="00216965">
        <w:t xml:space="preserve">where </w:t>
      </w:r>
      <w:r w:rsidRPr="00216965">
        <w:t xml:space="preserve">the bioavailability of HMs was reduced at biochar applications of 1%, but plant growth was not enhanced. </w:t>
      </w:r>
    </w:p>
    <w:p w14:paraId="34FABE24" w14:textId="73C51392" w:rsidR="00B01C80" w:rsidRPr="00216965" w:rsidRDefault="00B01C80" w:rsidP="008A33DA">
      <w:pPr>
        <w:spacing w:line="360" w:lineRule="auto"/>
        <w:jc w:val="both"/>
      </w:pPr>
      <w:r w:rsidRPr="00216965">
        <w:t>The addition of biochars at 3% and 5% resulted in growth inhibition, which was associated with an increased salinity of the soil, caused mainly by the dissolution of K</w:t>
      </w:r>
      <w:r w:rsidRPr="00216965">
        <w:rPr>
          <w:vertAlign w:val="superscript"/>
        </w:rPr>
        <w:t xml:space="preserve">+ </w:t>
      </w:r>
      <w:r w:rsidRPr="00216965">
        <w:t>and Na</w:t>
      </w:r>
      <w:r w:rsidRPr="00216965">
        <w:rPr>
          <w:vertAlign w:val="superscript"/>
        </w:rPr>
        <w:t xml:space="preserve">+ </w:t>
      </w:r>
      <w:r w:rsidRPr="00216965">
        <w:t xml:space="preserve">salts from the biochar. Similar results were observed with </w:t>
      </w:r>
      <w:r w:rsidR="00335953" w:rsidRPr="00216965">
        <w:rPr>
          <w:i/>
          <w:iCs/>
        </w:rPr>
        <w:t>Sinapsis alba</w:t>
      </w:r>
      <w:r w:rsidRPr="00216965">
        <w:t xml:space="preserve"> plants treated with biochar WSP550 but not with </w:t>
      </w:r>
      <w:r w:rsidRPr="00216965">
        <w:rPr>
          <w:i/>
        </w:rPr>
        <w:t>Lolium perenne</w:t>
      </w:r>
      <w:r w:rsidRPr="00216965">
        <w:t xml:space="preserve"> plants, in which growth was not affected by the biochar additions. The reported impact of biochar on plants ranged from inhibition to stimulation, depending on biochar properties and the specific sensitivity of different plant species </w:t>
      </w:r>
      <w:r w:rsidR="008208CE" w:rsidRPr="00216965">
        <w:fldChar w:fldCharType="begin" w:fldLock="1"/>
      </w:r>
      <w:r w:rsidR="006C06AA" w:rsidRPr="00216965">
        <w:instrText>ADDIN CSL_CITATION {"citationItems":[{"id":"ITEM-1","itemData":{"DOI":"10.1111/gcbb.12885","author":[{"dropping-particle":"","family":"Joseph","given":"Stephen","non-dropping-particle":"","parse-names":false,"suffix":""},{"dropping-particle":"","family":"Cowie","given":"Annette L.","non-dropping-particle":"","parse-names":false,"suffix":""},{"dropping-particle":"","family":"Zwieten","given":"Lukas","non-dropping-particle":"Van","parse-names":false,"suffix":""},{"dropping-particle":"","family":"Bolan","given":"Nanthi","non-dropping-particle":"","parse-names":false,"suffix":""},{"dropping-particle":"","family":"Budai","given":"Alice","non-dropping-particle":"","parse-names":false,"suffix":""},{"dropping-particle":"","family":"Buss","given":"Wolfram","non-dropping-particle":"","parse-names":false,"suffix":""},{"dropping-particle":"","family":"Cayuela","given":"Maria Luz","non-dropping-particle":"","parse-names":false,"suffix":""},{"dropping-particle":"","family":"Graber","given":"Ellen R.","non-dropping-particle":"","parse-names":false,"suffix":""},{"dropping-particle":"","family":"Ippolito","given":"Jim","non-dropping-particle":"","parse-names":false,"suffix":""},{"dropping-particle":"","family":"Kuzyakov","given":"Yakov","non-dropping-particle":"","parse-names":false,"suffix":""},{"dropping-particle":"","family":"Luo","given":"Yu","non-dropping-particle":"","parse-names":false,"suffix":""},{"dropping-particle":"","family":"Ok","given":"Yong Sik","non-dropping-particle":"","parse-names":false,"suffix":""},{"dropping-particle":"","family":"Palansooriya","given":"Kumuduni Niroshika","non-dropping-particle":"","parse-names":false,"suffix":""},{"dropping-particle":"","family":"Shepherd","given":"Jessica","non-dropping-particle":"","parse-names":false,"suffix":""},{"dropping-particle":"","family":"Stephens","given":"Scott","non-dropping-particle":"","parse-names":false,"suffix":""},{"dropping-particle":"","family":"Weng","given":"Zhe (Han)","non-dropping-particle":"","parse-names":false,"suffix":""},{"dropping-particle":"","family":"Lehmann","given":"Johannes","non-dropping-particle":"","parse-names":false,"suffix":""}],"container-title":"GCB Bioenergy: Bioproducts for a Sustainable Bioeconomy","id":"ITEM-1","issued":{"date-parts":[["2021","7","27"]]},"page":"1731–1764","title":"How biochar works, and when it doesn't: A review of mechanisms controlling soil and plant responses to biochar","type":"article-journal","volume":"13"},"uris":["http://www.mendeley.com/documents/?uuid=af2631fb-70d1-354b-85f4-5839daa463e0"]}],"mendeley":{"formattedCitation":"(Joseph et al., 2021)","plainTextFormattedCitation":"(Joseph et al., 2021)","previouslyFormattedCitation":"(Joseph et al., 2021)"},"properties":{"noteIndex":0},"schema":"https://github.com/citation-style-language/schema/raw/master/csl-citation.json"}</w:instrText>
      </w:r>
      <w:r w:rsidR="008208CE" w:rsidRPr="00216965">
        <w:fldChar w:fldCharType="separate"/>
      </w:r>
      <w:r w:rsidR="00C83E62" w:rsidRPr="00216965">
        <w:rPr>
          <w:noProof/>
        </w:rPr>
        <w:t>(Joseph et al., 2021)</w:t>
      </w:r>
      <w:r w:rsidR="008208CE" w:rsidRPr="00216965">
        <w:fldChar w:fldCharType="end"/>
      </w:r>
      <w:r w:rsidRPr="00216965">
        <w:t xml:space="preserve">. </w:t>
      </w:r>
      <w:r w:rsidR="00A26A22" w:rsidRPr="00216965">
        <w:t xml:space="preserve">Contrary to the conceptual model presented in </w:t>
      </w:r>
      <w:r w:rsidR="00A26A22" w:rsidRPr="00216965">
        <w:fldChar w:fldCharType="begin"/>
      </w:r>
      <w:r w:rsidR="00A26A22" w:rsidRPr="00216965">
        <w:instrText xml:space="preserve"> REF _Ref82891550 \h  \* MERGEFORMAT </w:instrText>
      </w:r>
      <w:r w:rsidR="00A26A22" w:rsidRPr="00216965">
        <w:fldChar w:fldCharType="separate"/>
      </w:r>
      <w:r w:rsidR="00A26A22" w:rsidRPr="00216965">
        <w:rPr>
          <w:b/>
        </w:rPr>
        <w:t xml:space="preserve">Fig. </w:t>
      </w:r>
      <w:r w:rsidR="00A26A22" w:rsidRPr="00216965">
        <w:rPr>
          <w:b/>
          <w:noProof/>
        </w:rPr>
        <w:t>2</w:t>
      </w:r>
      <w:r w:rsidR="00A26A22" w:rsidRPr="00216965">
        <w:rPr>
          <w:b/>
        </w:rPr>
        <w:noBreakHyphen/>
      </w:r>
      <w:r w:rsidR="00A26A22" w:rsidRPr="00216965">
        <w:rPr>
          <w:b/>
          <w:noProof/>
        </w:rPr>
        <w:t>8</w:t>
      </w:r>
      <w:r w:rsidR="00A26A22" w:rsidRPr="00216965">
        <w:fldChar w:fldCharType="end"/>
      </w:r>
      <w:r w:rsidR="00A26A22" w:rsidRPr="00216965">
        <w:t xml:space="preserve">, in which biochar addition to HM contaminated soil would </w:t>
      </w:r>
      <w:r w:rsidR="00A26A22" w:rsidRPr="00216965">
        <w:lastRenderedPageBreak/>
        <w:t xml:space="preserve">supply nutrients and enhance plant growth. </w:t>
      </w:r>
      <w:r w:rsidRPr="00216965">
        <w:t>In this study plants seemed to be affected by increasing biochar additions due to an increased salinity</w:t>
      </w:r>
      <w:r w:rsidR="00A26A22" w:rsidRPr="00216965">
        <w:t xml:space="preserve"> caused by soluble minerals released from biochar. Nonetheless, </w:t>
      </w:r>
      <w:r w:rsidRPr="00216965">
        <w:t>other mechanisms may also have a role, such as nutrient deficiency, given that Ca</w:t>
      </w:r>
      <w:r w:rsidRPr="00216965">
        <w:rPr>
          <w:vertAlign w:val="superscript"/>
        </w:rPr>
        <w:t xml:space="preserve">2+ </w:t>
      </w:r>
      <w:r w:rsidRPr="00216965">
        <w:t>and Mn bioavailability seemed to decrease due to the increased soil pH.</w:t>
      </w:r>
    </w:p>
    <w:p w14:paraId="6721F44F" w14:textId="77777777" w:rsidR="00B525A4" w:rsidRPr="00216965" w:rsidRDefault="00B01C80" w:rsidP="008A33DA">
      <w:pPr>
        <w:spacing w:line="360" w:lineRule="auto"/>
        <w:jc w:val="both"/>
      </w:pPr>
      <w:r w:rsidRPr="00216965">
        <w:t xml:space="preserve">In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t xml:space="preserve">, </w:t>
      </w:r>
      <w:r w:rsidRPr="00216965">
        <w:rPr>
          <w:i/>
        </w:rPr>
        <w:t>Lolium perenne</w:t>
      </w:r>
      <w:r w:rsidRPr="00216965">
        <w:t xml:space="preserve"> plants were used to assess the ecological risk of a mining soil treated with organic amendments (WSP550 and garden waste compost) during 18 months at ambient conditions. Overall plant performance was not affected by biochar addition in either of the two harvests, despite the reduced HM bioavailability and HMs in plant tissue observed. However, plants treated with compost had a higher above-ground biomass during the second harvest. The results from the biochar treatments are consistent with the results in </w:t>
      </w:r>
      <w:r w:rsidRPr="00216965">
        <w:rPr>
          <w:b/>
          <w:bCs/>
        </w:rPr>
        <w:fldChar w:fldCharType="begin"/>
      </w:r>
      <w:r w:rsidRPr="00216965">
        <w:rPr>
          <w:b/>
          <w:bCs/>
        </w:rPr>
        <w:instrText xml:space="preserve"> REF _Ref86417682 \r \h  \* MERGEFORMAT </w:instrText>
      </w:r>
      <w:r w:rsidRPr="00216965">
        <w:rPr>
          <w:b/>
          <w:bCs/>
        </w:rPr>
      </w:r>
      <w:r w:rsidRPr="00216965">
        <w:rPr>
          <w:b/>
          <w:bCs/>
        </w:rPr>
        <w:fldChar w:fldCharType="separate"/>
      </w:r>
      <w:r w:rsidR="006E23EA" w:rsidRPr="00216965">
        <w:rPr>
          <w:b/>
          <w:bCs/>
        </w:rPr>
        <w:t>Chapter 4</w:t>
      </w:r>
      <w:r w:rsidRPr="00216965">
        <w:rPr>
          <w:b/>
          <w:bCs/>
        </w:rPr>
        <w:fldChar w:fldCharType="end"/>
      </w:r>
      <w:r w:rsidRPr="00216965">
        <w:t xml:space="preserve">, where </w:t>
      </w:r>
      <w:r w:rsidRPr="00216965">
        <w:rPr>
          <w:i/>
        </w:rPr>
        <w:t>Arabidopsis thaliana</w:t>
      </w:r>
      <w:r w:rsidRPr="00216965">
        <w:t xml:space="preserve"> plants grown in the single element-spiked soils did not show an enhanced performance despite the reduced bioavailability of HMs observed with biochars applied at 1%.</w:t>
      </w:r>
    </w:p>
    <w:p w14:paraId="125D3ABB" w14:textId="1CA66939" w:rsidR="00B01C80" w:rsidRPr="00216965" w:rsidRDefault="00B01C80" w:rsidP="008A33DA">
      <w:pPr>
        <w:spacing w:line="360" w:lineRule="auto"/>
        <w:jc w:val="both"/>
      </w:pPr>
      <w:r w:rsidRPr="00216965">
        <w:t xml:space="preserve">These </w:t>
      </w:r>
      <w:r w:rsidRPr="00216965">
        <w:rPr>
          <w:color w:val="000000"/>
        </w:rPr>
        <w:t>results can be due to two reasons: i) chemical extractants used to determine the bioavailability of HMs in soil do not accurately represent phytoavailable HMs in contaminated soils, and ii) despite the reduced bioavailability of HMs due to biochar/compost addition plants can still accumulate HMs in plant tissue, and hence toxicity persist. This is because plant uptake of HMs is a complex process that is influ</w:t>
      </w:r>
      <w:r w:rsidRPr="00216965">
        <w:t xml:space="preserve">enced by several other factors: root zone, the plant species, bioavailability of the metal, environmental conditions, chemical properties of the contaminant, chelating agent added and properties of the medium (Kutrowska </w:t>
      </w:r>
      <w:r w:rsidR="009B2252" w:rsidRPr="00216965">
        <w:rPr>
          <w:iCs/>
        </w:rPr>
        <w:t>et al</w:t>
      </w:r>
      <w:r w:rsidRPr="00216965">
        <w:t>., 2017).</w:t>
      </w:r>
    </w:p>
    <w:p w14:paraId="1DA2CEA2" w14:textId="2FE20211" w:rsidR="00B01C80" w:rsidRPr="00216965" w:rsidRDefault="00B01C80" w:rsidP="008A33DA">
      <w:pPr>
        <w:spacing w:line="360" w:lineRule="auto"/>
        <w:jc w:val="both"/>
      </w:pPr>
      <w:r w:rsidRPr="00216965">
        <w:t xml:space="preserve">The results in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rPr>
          <w:b/>
          <w:bCs/>
        </w:rPr>
        <w:t xml:space="preserve"> </w:t>
      </w:r>
      <w:r w:rsidRPr="00216965">
        <w:t xml:space="preserve">showed that: i) biochar </w:t>
      </w:r>
      <w:r w:rsidR="00D14C49" w:rsidRPr="00216965">
        <w:t xml:space="preserve">and compost </w:t>
      </w:r>
      <w:r w:rsidRPr="00216965">
        <w:t xml:space="preserve">could effectively and consistently reduce HMs in plant tissue, and ii) reductions in HMs increased with aging. This suggests that eventually, when tissue concentrations of HMs are reduced to the range considered normal for plants, plant growth can be enhanced. This was demonstrated with compost amendments during the second harvest, where tissue concentrations of HMs were reduced to reach the normal range for plants. </w:t>
      </w:r>
    </w:p>
    <w:p w14:paraId="09DDE742" w14:textId="77777777" w:rsidR="00B01C80" w:rsidRPr="00216965" w:rsidRDefault="00B01C80" w:rsidP="008A33DA">
      <w:pPr>
        <w:pStyle w:val="Heading2"/>
      </w:pPr>
      <w:bookmarkStart w:id="426" w:name="_Toc86504723"/>
      <w:r w:rsidRPr="00216965">
        <w:lastRenderedPageBreak/>
        <w:t>Effect of biochar on soil microbial community</w:t>
      </w:r>
      <w:bookmarkEnd w:id="426"/>
    </w:p>
    <w:p w14:paraId="31853E11" w14:textId="1EE7D95E" w:rsidR="003C0732" w:rsidRPr="00216965" w:rsidRDefault="00B01C80" w:rsidP="003C0732">
      <w:pPr>
        <w:spacing w:line="360" w:lineRule="auto"/>
        <w:jc w:val="both"/>
      </w:pPr>
      <w:r w:rsidRPr="00216965">
        <w:t xml:space="preserve">The response of soil microbial communities from a mining soil to the addition of biochar and compost in the long-term was evaluated in </w:t>
      </w:r>
      <w:r w:rsidRPr="00216965">
        <w:rPr>
          <w:b/>
          <w:bCs/>
        </w:rPr>
        <w:fldChar w:fldCharType="begin"/>
      </w:r>
      <w:r w:rsidRPr="00216965">
        <w:rPr>
          <w:b/>
          <w:bCs/>
        </w:rPr>
        <w:instrText xml:space="preserve"> REF _Ref86422225 \r \h  \* MERGEFORMAT </w:instrText>
      </w:r>
      <w:r w:rsidRPr="00216965">
        <w:rPr>
          <w:b/>
          <w:bCs/>
        </w:rPr>
      </w:r>
      <w:r w:rsidRPr="00216965">
        <w:rPr>
          <w:b/>
          <w:bCs/>
        </w:rPr>
        <w:fldChar w:fldCharType="separate"/>
      </w:r>
      <w:r w:rsidR="006E23EA" w:rsidRPr="00216965">
        <w:rPr>
          <w:b/>
          <w:bCs/>
        </w:rPr>
        <w:t>Chapter 5</w:t>
      </w:r>
      <w:r w:rsidRPr="00216965">
        <w:rPr>
          <w:b/>
          <w:bCs/>
        </w:rPr>
        <w:fldChar w:fldCharType="end"/>
      </w:r>
      <w:r w:rsidRPr="00216965">
        <w:t>. It is known that soil quality can impact the diversity, composition and abundance of microorganisms in the soil microbial community</w:t>
      </w:r>
      <w:r w:rsidR="00A52D74" w:rsidRPr="00216965">
        <w:t xml:space="preserve"> </w:t>
      </w:r>
      <w:r w:rsidR="00A52D74" w:rsidRPr="00216965">
        <w:fldChar w:fldCharType="begin" w:fldLock="1"/>
      </w:r>
      <w:r w:rsidR="006C06AA" w:rsidRPr="00216965">
        <w:instrText>ADDIN CSL_CITATION {"citationItems":[{"id":"ITEM-1","itemData":{"abstract":"Three soil types -Calcaric Phaeozem, Eutric Cambisol and Dystric Lithosol -in large container pots were experimentally contaminated with heavy metals at four different levels (light pollution: 300 ppm Zn, 100 ppm Cu, 50 ppm Ni, 50 ppm V and 3 ppm Cd; med-ium pollution: twofold concentrations; heavy pollution: threefold concentrations; uncontaminated control). We in-vestigated the prognostic potential of 16 soil microbial properties (microbial biomass, respiration, N-mineraliza-tion, 13 soil enzymes involved in cycling of C, N, P and S) with regard to their ability to differentiate the four con-tamination levels. Microbial biomass and enzyme activities decreased with increasing heavy metal pollution, but the amount of decrease differed among the enzymes. Enzymes involved in the C-cycling were least affected, whereas var-ious enzyme activities related to the cycling of N, P and S showed a considerable decrease in activity. In particular, arylsulfatase and phosphatase activities were dramatically affected. Their activity decreased to a level of a few per-cent of their activities in the corresponding unpolluted controls. The data suggest that aside from the loss of rare biochemical capabilities -such as the growth of organisms at the expense of aromatics (Reber 1992) -heavy metal contaminated soils lose very common biochemical proper-titles which are necessary for the functioning of the eco-system. Cluster analysis as well as discriminant analysis underline the similarity of the enzyme activity pattern among the controls and among the polluted soils. The trend toward a significant functional diversity loss be-comes obvious already at the lowest pollution level. This implies that concentrations of heavy metals in soils near the current EC limits will most probably lead to a consid-erable reduction in decomposition and nutrient cycling rates. We conclude that heavy metal pollution severely de-creases the functional diversity of the soil microbial com-munity and impairs specific pathways of nutrient cycling.","author":[{"dropping-particle":"","family":"Kandeler","given":"E","non-dropping-particle":"","parse-names":false,"suffix":""},{"dropping-particle":"","family":"Kampichler","given":"C","non-dropping-particle":"","parse-names":false,"suffix":""},{"dropping-particle":"","family":"Horak","given":"O","non-dropping-particle":"","parse-names":false,"suffix":""}],"container-title":"Biology and Fertility of Soils","id":"ITEM-1","issued":{"date-parts":[["1996"]]},"page":"299-306","title":"Influence of heavy metals on the functional diversity of soil microbial communities","type":"article-journal","volume":"23"},"uris":["http://www.mendeley.com/documents/?uuid=8f4fa6bc-7359-31b0-b8ab-02b225e20a1b"]},{"id":"ITEM-2","itemData":{"DOI":"10.1016/j.jenvman.2015.10.006","ISSN":"10958630","abstract":"Biochar is gaining attention as a potential soil amendment to remediate and revitalize the contaminated soils. Simultaneous effects of biochar on metals mobility, microbial abundance, bacterial diversity and carbon storage in soil are scarcely addressed. This study assessed the effect of biochars on metal mobility, microbial abundance, bacterial community, and carbon storage in an agricultural soil contaminated with heavy metals. Biochars derived from soybean stover at 300 and 700 °C (S-BC300 and S-BC700, respectively) and pine needles at the same temperatures (P-BC300 and P-BC700, respectively) were used. A maximum reduction of Pb mobility by 95% was observed from a soil treated with S-BC700, associated with precipitation of chloropyromorphite and hydroxylpyromorphite. In contrast, As was desorbed from soil particles because of P competition. The abundance of Gram-positive and negative bacteria, fungi, actinomycetes, and arbuscular mycorrhizal fungi increased in the soils treated with biochar produced at 300 °C, possibly due to the high dissolved organic and active organic carbons. Microbial abundance in the soils treated with S-BC700 and P-BC700 was constant due to the existence of fixed or non-labile carbon. Changes to bacterial communities in the biochar-treated soils depended on feedstock type and pyrolysis temperature. Actinobacteria substantially increased whereas Acidobacteria and Chloroflexi decreased in the biochar-treated soils. The non-labile carbon fraction was ~25 fold higher in the biochar-treated soil than the control soil, indicating long-term carbon storage.","author":[{"dropping-particle":"","family":"Ahmad","given":"Mahtab","non-dropping-particle":"","parse-names":false,"suffix":""},{"dropping-particle":"","family":"Ok","given":"Yong Sik","non-dropping-particle":"","parse-names":false,"suffix":""},{"dropping-particle":"","family":"Kim","given":"Byung Yong","non-dropping-particle":"","parse-names":false,"suffix":""},{"dropping-particle":"","family":"Ahn","given":"Jae Hyung","non-dropping-particle":"","parse-names":false,"suffix":""},{"dropping-particle":"","family":"Lee","given":"Young Han","non-dropping-particle":"","parse-names":false,"suffix":""},{"dropping-particle":"","family":"Zhang","given":"Ming","non-dropping-particle":"","parse-names":false,"suffix":""},{"dropping-particle":"","family":"Moon","given":"Deok Hyun","non-dropping-particle":"","parse-names":false,"suffix":""},{"dropping-particle":"","family":"Al-Wabel","given":"Mohammad I.","non-dropping-particle":"","parse-names":false,"suffix":""},{"dropping-particle":"","family":"Lee","given":"Sang Soo","non-dropping-particle":"","parse-names":false,"suffix":""}],"container-title":"Journal of Environmental Management","id":"ITEM-2","issued":{"date-parts":[["2016","1","15"]]},"page":"131-139","publisher":"Academic Press","title":"Impact of soybean stover- and pine needle-derived biochars on Pb and As mobility, microbial community, and carbon stability in a contaminated agricultural soil","type":"article-journal","volume":"166"},"uris":["http://www.mendeley.com/documents/?uuid=323abb5e-343f-38c4-9a02-93e9578fcd7a"]}],"mendeley":{"formattedCitation":"(Ahmad et al., 2016; Kandeler et al., 1996)","plainTextFormattedCitation":"(Ahmad et al., 2016; Kandeler et al., 1996)","previouslyFormattedCitation":"(Ahmad et al., 2016; Kandeler et al., 1996)"},"properties":{"noteIndex":0},"schema":"https://github.com/citation-style-language/schema/raw/master/csl-citation.json"}</w:instrText>
      </w:r>
      <w:r w:rsidR="00A52D74" w:rsidRPr="00216965">
        <w:fldChar w:fldCharType="separate"/>
      </w:r>
      <w:r w:rsidR="001974AA" w:rsidRPr="00216965">
        <w:rPr>
          <w:noProof/>
        </w:rPr>
        <w:t>(Ahmad et al., 2016; Kandeler et al., 1996)</w:t>
      </w:r>
      <w:r w:rsidR="00A52D74" w:rsidRPr="00216965">
        <w:fldChar w:fldCharType="end"/>
      </w:r>
      <w:r w:rsidRPr="00216965">
        <w:t xml:space="preserve">. </w:t>
      </w:r>
      <w:r w:rsidR="003C0732" w:rsidRPr="00216965">
        <w:t xml:space="preserve">The conceptual model in </w:t>
      </w:r>
      <w:r w:rsidR="003C0732" w:rsidRPr="00216965">
        <w:fldChar w:fldCharType="begin"/>
      </w:r>
      <w:r w:rsidR="003C0732" w:rsidRPr="00216965">
        <w:instrText xml:space="preserve"> REF _Ref83027279 \h  \* MERGEFORMAT </w:instrText>
      </w:r>
      <w:r w:rsidR="003C0732" w:rsidRPr="00216965">
        <w:fldChar w:fldCharType="separate"/>
      </w:r>
      <w:r w:rsidR="003C0732" w:rsidRPr="00216965">
        <w:rPr>
          <w:b/>
        </w:rPr>
        <w:t xml:space="preserve">Fig. </w:t>
      </w:r>
      <w:r w:rsidR="003C0732" w:rsidRPr="00216965">
        <w:rPr>
          <w:b/>
          <w:noProof/>
        </w:rPr>
        <w:t>2</w:t>
      </w:r>
      <w:r w:rsidR="003C0732" w:rsidRPr="00216965">
        <w:rPr>
          <w:b/>
        </w:rPr>
        <w:noBreakHyphen/>
      </w:r>
      <w:r w:rsidR="003C0732" w:rsidRPr="00216965">
        <w:rPr>
          <w:b/>
          <w:noProof/>
        </w:rPr>
        <w:t>7</w:t>
      </w:r>
      <w:r w:rsidR="003C0732" w:rsidRPr="00216965">
        <w:fldChar w:fldCharType="end"/>
      </w:r>
      <w:r w:rsidR="003C0732" w:rsidRPr="00216965">
        <w:t xml:space="preserve"> presents the possible mechanisms by which biochar </w:t>
      </w:r>
      <w:r w:rsidR="00512715" w:rsidRPr="00216965">
        <w:t xml:space="preserve">addition to soil </w:t>
      </w:r>
      <w:r w:rsidR="003C0732" w:rsidRPr="00216965">
        <w:t xml:space="preserve">influence soil microorganisms. </w:t>
      </w:r>
      <w:r w:rsidR="00064EDD" w:rsidRPr="00216965">
        <w:t xml:space="preserve">This influence </w:t>
      </w:r>
      <w:r w:rsidR="00512715" w:rsidRPr="00216965">
        <w:t xml:space="preserve">can </w:t>
      </w:r>
      <w:r w:rsidR="007E2E58" w:rsidRPr="00216965">
        <w:t>be related with</w:t>
      </w:r>
      <w:r w:rsidR="00064EDD" w:rsidRPr="00216965">
        <w:t xml:space="preserve">: i) the reduced HM toxicity enhanced by biochar, ii) increased water holding capacity, iii) rise in soil pH, iv) the release of minerals from biochar and v) shelter to microorganism inside porous structure. </w:t>
      </w:r>
      <w:r w:rsidR="007E2E58" w:rsidRPr="00216965">
        <w:t>Hence, i</w:t>
      </w:r>
      <w:r w:rsidR="003C0732" w:rsidRPr="00216965">
        <w:t xml:space="preserve">t was hypothesized that biochar addition to HM contaminated soil </w:t>
      </w:r>
      <w:r w:rsidR="00512715" w:rsidRPr="00216965">
        <w:t xml:space="preserve">would </w:t>
      </w:r>
      <w:r w:rsidR="00064EDD" w:rsidRPr="00216965">
        <w:t>increase</w:t>
      </w:r>
      <w:r w:rsidR="003C0732" w:rsidRPr="00216965">
        <w:t xml:space="preserve"> soil microbial diversity</w:t>
      </w:r>
      <w:r w:rsidR="00064EDD" w:rsidRPr="00216965">
        <w:t xml:space="preserve"> and change</w:t>
      </w:r>
      <w:r w:rsidR="003C0732" w:rsidRPr="00216965">
        <w:t xml:space="preserve"> community composition and </w:t>
      </w:r>
      <w:r w:rsidR="00064EDD" w:rsidRPr="00216965">
        <w:t xml:space="preserve">total </w:t>
      </w:r>
      <w:r w:rsidR="003C0732" w:rsidRPr="00216965">
        <w:t xml:space="preserve">abundance. </w:t>
      </w:r>
    </w:p>
    <w:p w14:paraId="49B6F90C" w14:textId="77777777" w:rsidR="00B525A4" w:rsidRPr="00216965" w:rsidRDefault="00B01C80" w:rsidP="008A33DA">
      <w:pPr>
        <w:spacing w:line="360" w:lineRule="auto"/>
        <w:jc w:val="both"/>
      </w:pPr>
      <w:r w:rsidRPr="00216965">
        <w:t>The results showed that the addition of compost and biochar in separate treatments changed the microbial community structure and relative abundance of microbial groups, but only the compost addition was able to significantly increase the total microbial abundance</w:t>
      </w:r>
      <w:r w:rsidR="003C0732" w:rsidRPr="00216965">
        <w:t xml:space="preserve"> and diversity</w:t>
      </w:r>
      <w:r w:rsidRPr="00216965">
        <w:t xml:space="preserve">. Both bacteria and fungi communities were more influenced by compost than biochar addition. </w:t>
      </w:r>
    </w:p>
    <w:p w14:paraId="3AA1B55F" w14:textId="371F601D" w:rsidR="00B01C80" w:rsidRPr="00216965" w:rsidRDefault="00B01C80" w:rsidP="008A33DA">
      <w:pPr>
        <w:spacing w:line="360" w:lineRule="auto"/>
        <w:jc w:val="both"/>
      </w:pPr>
      <w:r w:rsidRPr="00216965">
        <w:t>Nonetheless, changes in fungal communities were minimal compared with bacterial communities. This was attributed to the higher total abundance of bacteria than fungi in the soil and differences in their sensitivity to changes in pH. The impact of compost in shaping microbial groups can be due to three reasons: i) decreased HM toxicity due to the formation of organo-metallic complexes that reduced HM bioavailability, ii) an increase in soil pH, and iii) the nutrients (Ca, Mg, K, B, PO</w:t>
      </w:r>
      <w:r w:rsidRPr="00216965">
        <w:rPr>
          <w:vertAlign w:val="subscript"/>
        </w:rPr>
        <w:t>4</w:t>
      </w:r>
      <w:r w:rsidRPr="00216965">
        <w:rPr>
          <w:vertAlign w:val="superscript"/>
        </w:rPr>
        <w:t>3-</w:t>
      </w:r>
      <w:r w:rsidRPr="00216965">
        <w:t>) and OM supplied by compost. In the case of biochar addition, it is suggested that changes in community composition and relative abundance were due to i) change in the soil pH, and ii) reduced HM toxicity.</w:t>
      </w:r>
    </w:p>
    <w:p w14:paraId="68B7CB49" w14:textId="735DEAF3" w:rsidR="00B01C80" w:rsidRPr="00216965" w:rsidRDefault="00B01C80" w:rsidP="008A33DA">
      <w:pPr>
        <w:spacing w:line="360" w:lineRule="auto"/>
        <w:jc w:val="both"/>
      </w:pPr>
      <w:r w:rsidRPr="00216965">
        <w:t xml:space="preserve">The study of substrate-induced soil respiration indicated that biochar addition can increase soil microbial activity initially, but this effect is not maintained in the long-term. The initial increase in microbial activity was attributed to the reduced HM toxicity and increase in soil pH. Conversely, Mackie </w:t>
      </w:r>
      <w:r w:rsidR="009B2252" w:rsidRPr="00216965">
        <w:t>et al</w:t>
      </w:r>
      <w:r w:rsidRPr="00216965">
        <w:t xml:space="preserve">. (2015) explained an initial increase in microbial activity after biochar addition due to the release of easily consumable carbon resources derived from biochar production, after which the remaining carbon is recalcitrant, resulting in </w:t>
      </w:r>
      <w:r w:rsidR="00AB0777" w:rsidRPr="00216965">
        <w:t xml:space="preserve">a </w:t>
      </w:r>
      <w:r w:rsidRPr="00216965">
        <w:t xml:space="preserve">decreased microbial activity in the long-term. The </w:t>
      </w:r>
      <w:r w:rsidRPr="00216965">
        <w:rPr>
          <w:vertAlign w:val="superscript"/>
        </w:rPr>
        <w:t>13</w:t>
      </w:r>
      <w:r w:rsidRPr="00216965">
        <w:t xml:space="preserve">C PLFA </w:t>
      </w:r>
      <w:r w:rsidRPr="00216965">
        <w:lastRenderedPageBreak/>
        <w:t xml:space="preserve">analysis confirmed that biochar addition did not increase total microbial abundance (on a total PLFA basis), but changed the microbial community structure. </w:t>
      </w:r>
    </w:p>
    <w:p w14:paraId="6DFE9E30" w14:textId="2336FC46" w:rsidR="00B01C80" w:rsidRPr="00216965" w:rsidRDefault="00B01C80" w:rsidP="008A33DA">
      <w:pPr>
        <w:spacing w:line="360" w:lineRule="auto"/>
        <w:jc w:val="both"/>
      </w:pPr>
      <w:r w:rsidRPr="00216965">
        <w:t>Overall, the addition of the organic amendments increased bacterial groups associated with an enhanced soil functioning and decreased microbial groups associated with acidic pH and poor soil conditions. These findings showed the potential of biochar and compost for improving soil health and restoring soil functions.</w:t>
      </w:r>
    </w:p>
    <w:p w14:paraId="5C077C24" w14:textId="77777777" w:rsidR="00B01C80" w:rsidRPr="00216965" w:rsidRDefault="00B01C80" w:rsidP="008A33DA">
      <w:pPr>
        <w:pStyle w:val="Heading2"/>
      </w:pPr>
      <w:bookmarkStart w:id="427" w:name="_Toc86504724"/>
      <w:r w:rsidRPr="00216965">
        <w:t>Limitations and future research</w:t>
      </w:r>
      <w:bookmarkEnd w:id="427"/>
    </w:p>
    <w:p w14:paraId="26324FB7" w14:textId="26020408" w:rsidR="00B01C80" w:rsidRPr="00216965" w:rsidRDefault="00B01C80" w:rsidP="008A33DA">
      <w:pPr>
        <w:spacing w:line="360" w:lineRule="auto"/>
        <w:jc w:val="both"/>
      </w:pPr>
      <w:r w:rsidRPr="00216965">
        <w:rPr>
          <w:b/>
          <w:bCs/>
        </w:rPr>
        <w:fldChar w:fldCharType="begin"/>
      </w:r>
      <w:r w:rsidRPr="00216965">
        <w:rPr>
          <w:b/>
          <w:bCs/>
        </w:rPr>
        <w:instrText xml:space="preserve"> REF _Ref86412333 \r \h  \* MERGEFORMAT </w:instrText>
      </w:r>
      <w:r w:rsidRPr="00216965">
        <w:rPr>
          <w:b/>
          <w:bCs/>
        </w:rPr>
      </w:r>
      <w:r w:rsidRPr="00216965">
        <w:rPr>
          <w:b/>
          <w:bCs/>
        </w:rPr>
        <w:fldChar w:fldCharType="separate"/>
      </w:r>
      <w:r w:rsidR="006E23EA" w:rsidRPr="00216965">
        <w:rPr>
          <w:b/>
          <w:bCs/>
        </w:rPr>
        <w:t>Chapter 3</w:t>
      </w:r>
      <w:r w:rsidRPr="00216965">
        <w:rPr>
          <w:b/>
          <w:bCs/>
        </w:rPr>
        <w:fldChar w:fldCharType="end"/>
      </w:r>
      <w:r w:rsidRPr="00216965">
        <w:rPr>
          <w:b/>
          <w:bCs/>
        </w:rPr>
        <w:t xml:space="preserve"> </w:t>
      </w:r>
      <w:r w:rsidRPr="00216965">
        <w:t xml:space="preserve">demonstrated that the potential for HM sorption by plant-based biochars can be predicted from a relatively limited suite of physico-chemical properties, which may facilitate the selection of biochars for the immobilization of HMs in soils. However, the scope of the study was limited due to the few plant-based biochars analysed relative to the wide variety of feedstock existing, as well as the absence of dissolved organic matter as part of the synthetic soil pore water solution. Further research should focus on developing robust mathematical models to optimize estimates of biochar sorption capacity and application for different soil remediation scenarios. Machine learning methods could be applied to accurately predict biochar sorption for different HMs in soil, which would maximize the benefits of biochar application. </w:t>
      </w:r>
      <w:r w:rsidR="00AB0777" w:rsidRPr="00216965">
        <w:fldChar w:fldCharType="begin" w:fldLock="1"/>
      </w:r>
      <w:r w:rsidR="006C06AA" w:rsidRPr="00216965">
        <w:instrText>ADDIN CSL_CITATION {"citationItems":[{"id":"ITEM-1","itemData":{"DOI":"10.1016/j.jhazmat.2019.06.004","ISSN":"18733336","PMID":"31202073","abstract":"The adsorption of six heavy metals (lead, cadmium, nickel, arsenic, copper, and zinc) on 44 biochars were modeled using artificial neural network (ANN) and random forest (RF) based on 353 dataset of adsorption experiments from literatures. The regression models were trained and optimized to predict the adsorption capacity according to biochar characteristics, metal sources, environmental conditions (e.g. temperature and pH), and the initial concentration ratio of metals to biochars. The RF model showed better accuracy and predictive performance for adsorption efficiency (R2 = 0.973) than ANN model (R2 = 0.948). The biochar characteristics were most significant for adsorption efficiency, in which the contribution of cation exchange capacity (CEC) and pHH2O of biochars accounted for 66% in the biochar characteristics. However, surface area of the biochars provided only 2% of adsorption efficiency. Meanwhile, the models developed by RF had better generalization ability than ANN model. The accurate predicted ability of developed models could significantly reduce experiment workload such as predicting the removal efficiency of biochars for target metal according to biochar characteristics, so as to select more efficient biochar without increasing experimental times. The relative importance of variables could provide a right direction for better treatments of heavy metals in the real water and wastewater.","author":[{"dropping-particle":"","family":"Zhu","given":"Xinzhe","non-dropping-particle":"","parse-names":false,"suffix":""},{"dropping-particle":"","family":"Wang","given":"Xiaonan","non-dropping-particle":"","parse-names":false,"suffix":""},{"dropping-particle":"","family":"Ok","given":"Yong Sik","non-dropping-particle":"","parse-names":false,"suffix":""}],"container-title":"Journal of Hazardous Materials","id":"ITEM-1","issued":{"date-parts":[["2019"]]},"page":"120727","publisher":"Elsevier","title":"The application of machine learning methods for prediction of metal sorption onto biochars","type":"article-journal","volume":"378"},"uris":["http://www.mendeley.com/documents/?uuid=bd0c00e8-aed8-4255-8d34-09bcdaf396bb"]}],"mendeley":{"formattedCitation":"(Zhu et al., 2019)","manualFormatting":"Zhu et al. (2019)","plainTextFormattedCitation":"(Zhu et al., 2019)","previouslyFormattedCitation":"(Zhu et al., 2019)"},"properties":{"noteIndex":0},"schema":"https://github.com/citation-style-language/schema/raw/master/csl-citation.json"}</w:instrText>
      </w:r>
      <w:r w:rsidR="00AB0777" w:rsidRPr="00216965">
        <w:fldChar w:fldCharType="separate"/>
      </w:r>
      <w:r w:rsidR="00AB0777" w:rsidRPr="00216965">
        <w:rPr>
          <w:noProof/>
        </w:rPr>
        <w:t>Zhu et al. (2019)</w:t>
      </w:r>
      <w:r w:rsidR="00AB0777" w:rsidRPr="00216965">
        <w:fldChar w:fldCharType="end"/>
      </w:r>
      <w:r w:rsidR="00AB0777" w:rsidRPr="00216965">
        <w:t xml:space="preserve"> </w:t>
      </w:r>
      <w:r w:rsidRPr="00216965">
        <w:t>used machine learning models, especially artificial neural networks (ANN) and random forest (RF) to predict adsorption efficiency for target metals (lead, cadmium, nickel, arsenic, copper, and zinc) in water and waste-water, based on measurable biochar characteristics such as CHON, pH and CEC. A similar approach could be designed to consider soil parameters.</w:t>
      </w:r>
    </w:p>
    <w:p w14:paraId="7328E2C3" w14:textId="05053A61" w:rsidR="00B01C80" w:rsidRPr="00216965" w:rsidRDefault="00B01C80" w:rsidP="008A33DA">
      <w:pPr>
        <w:spacing w:line="360" w:lineRule="auto"/>
        <w:jc w:val="both"/>
      </w:pPr>
      <w:r w:rsidRPr="00216965">
        <w:t xml:space="preserve">It was shown </w:t>
      </w:r>
      <w:r w:rsidR="00F44734" w:rsidRPr="00216965">
        <w:t xml:space="preserve">in </w:t>
      </w:r>
      <w:r w:rsidR="00F44734" w:rsidRPr="00216965">
        <w:rPr>
          <w:b/>
          <w:bCs/>
        </w:rPr>
        <w:fldChar w:fldCharType="begin"/>
      </w:r>
      <w:r w:rsidR="00F44734" w:rsidRPr="00216965">
        <w:rPr>
          <w:b/>
          <w:bCs/>
        </w:rPr>
        <w:instrText xml:space="preserve"> REF _Ref86417682 \r \h  \* MERGEFORMAT </w:instrText>
      </w:r>
      <w:r w:rsidR="00F44734" w:rsidRPr="00216965">
        <w:rPr>
          <w:b/>
          <w:bCs/>
        </w:rPr>
      </w:r>
      <w:r w:rsidR="00F44734" w:rsidRPr="00216965">
        <w:rPr>
          <w:b/>
          <w:bCs/>
        </w:rPr>
        <w:fldChar w:fldCharType="separate"/>
      </w:r>
      <w:r w:rsidR="006E23EA" w:rsidRPr="00216965">
        <w:rPr>
          <w:b/>
          <w:bCs/>
        </w:rPr>
        <w:t>Chapter 4</w:t>
      </w:r>
      <w:r w:rsidR="00F44734" w:rsidRPr="00216965">
        <w:rPr>
          <w:b/>
          <w:bCs/>
        </w:rPr>
        <w:fldChar w:fldCharType="end"/>
      </w:r>
      <w:r w:rsidR="00F44734" w:rsidRPr="00216965">
        <w:rPr>
          <w:b/>
          <w:bCs/>
        </w:rPr>
        <w:t xml:space="preserve"> </w:t>
      </w:r>
      <w:r w:rsidR="00F44734" w:rsidRPr="00216965">
        <w:t>and</w:t>
      </w:r>
      <w:r w:rsidR="00F44734" w:rsidRPr="00216965">
        <w:rPr>
          <w:b/>
          <w:bCs/>
        </w:rPr>
        <w:t xml:space="preserve"> </w:t>
      </w:r>
      <w:r w:rsidR="00F44734" w:rsidRPr="00216965">
        <w:rPr>
          <w:b/>
          <w:bCs/>
        </w:rPr>
        <w:fldChar w:fldCharType="begin"/>
      </w:r>
      <w:r w:rsidR="00F44734" w:rsidRPr="00216965">
        <w:rPr>
          <w:b/>
          <w:bCs/>
        </w:rPr>
        <w:instrText xml:space="preserve"> REF _Ref86422225 \r \h  \* MERGEFORMAT </w:instrText>
      </w:r>
      <w:r w:rsidR="00F44734" w:rsidRPr="00216965">
        <w:rPr>
          <w:b/>
          <w:bCs/>
        </w:rPr>
      </w:r>
      <w:r w:rsidR="00F44734" w:rsidRPr="00216965">
        <w:rPr>
          <w:b/>
          <w:bCs/>
        </w:rPr>
        <w:fldChar w:fldCharType="separate"/>
      </w:r>
      <w:r w:rsidR="006E23EA" w:rsidRPr="00216965">
        <w:rPr>
          <w:b/>
          <w:bCs/>
        </w:rPr>
        <w:t>Chapter 5</w:t>
      </w:r>
      <w:r w:rsidR="00F44734" w:rsidRPr="00216965">
        <w:rPr>
          <w:b/>
          <w:bCs/>
        </w:rPr>
        <w:fldChar w:fldCharType="end"/>
      </w:r>
      <w:r w:rsidR="00F44734" w:rsidRPr="00216965">
        <w:rPr>
          <w:b/>
          <w:bCs/>
        </w:rPr>
        <w:t xml:space="preserve"> </w:t>
      </w:r>
      <w:r w:rsidRPr="00216965">
        <w:t>that the effect of biochar on plant performance varied depending on plant species. The scope of this thesis is limited to the effect of biochar on three plant species (</w:t>
      </w:r>
      <w:r w:rsidRPr="00216965">
        <w:rPr>
          <w:i/>
        </w:rPr>
        <w:t>Arabidospsis thaliana</w:t>
      </w:r>
      <w:r w:rsidRPr="00216965">
        <w:t xml:space="preserve">, </w:t>
      </w:r>
      <w:r w:rsidRPr="00216965">
        <w:rPr>
          <w:i/>
        </w:rPr>
        <w:t>Lolium perenne</w:t>
      </w:r>
      <w:r w:rsidRPr="00216965">
        <w:t xml:space="preserve"> and </w:t>
      </w:r>
      <w:r w:rsidR="00335953" w:rsidRPr="00216965">
        <w:rPr>
          <w:i/>
          <w:iCs/>
        </w:rPr>
        <w:t>Sinapsis alba</w:t>
      </w:r>
      <w:r w:rsidRPr="00216965">
        <w:t xml:space="preserve">). Analysing the effect of biochar across different plant species in experiments of longer duration would be advantageous to understand the mechanisms by which biochar can positively or negatively impact plant growth and how plants interact with HMs and biochar. Innovative techniques to monitor plant response to biochar amendments must be developed, as traditional vegetation indicators (plant biomass, root length, etc) do not necessarily provide insight of the </w:t>
      </w:r>
      <w:r w:rsidRPr="00216965">
        <w:rPr>
          <w:i/>
        </w:rPr>
        <w:t>in-plant</w:t>
      </w:r>
      <w:r w:rsidRPr="00216965">
        <w:t xml:space="preserve"> response. Information concerning the effect of </w:t>
      </w:r>
      <w:r w:rsidRPr="00216965">
        <w:lastRenderedPageBreak/>
        <w:t xml:space="preserve">biochar on plants, especially at the molecular level, is still scarce for HM-polluted soils, hence proteomics may offer an opportunity to clarify biochar-plant interaction. Proteomics can be used to understand common and specific mechanisms regulating plant growth and metal(loid) tolerance in HM-contaminated soils amended with biochar </w:t>
      </w:r>
      <w:r w:rsidR="002B0FD7" w:rsidRPr="00216965">
        <w:fldChar w:fldCharType="begin" w:fldLock="1"/>
      </w:r>
      <w:r w:rsidR="006C06AA" w:rsidRPr="00216965">
        <w:instrText>ADDIN CSL_CITATION {"citationItems":[{"id":"ITEM-1","itemData":{"DOI":"10.1016/J.ENVEXPBOT.2020.104335","ISSN":"0098-8472","abstract":"Metal(loid)s are toxic to animal life, human health and plants; therefore, their removal from polluted areas is imperative in order to minimize their impact on the ecosystems. The use of plant-amendment-microorganism synergy is a promising option, but not yet fully explored, to manage lands contaminated with metal(loid)s. However, molecular factors and mechanisms underlying this interaction are almost unknown. The aim of the present study was to evaluate the effects of amendments and bacteria, both alone and in combination, on Arabidopsis thaliana grown on arsenic and lead polluted soils. To accomplish this aim, a pot experiment was performed testing the effect of biochar and/or autochthonous metal(loid) resistant Bacillus isolates on physico-chemical soil properties and on plant growth and metal(loid) uptake/intake. Furthermore, bioinformatics-assisted proteomics was used to understand common and specific mechanisms regulating plant growth and metal(loid) tolerance in tested conditions. Results showed that biochar and/or Bacillus induced significant and positive effects on soil properties, increasing pH, Ctot, Ntot and Ptot concentrations and decreasing nutrients (Nav and Pav), As and Pb availability. Plant growth was also enhanced by addition of biochar and/or bacterial inoculum, reaching the maximum when biochar and microorganism were combined. The deciphering of molecular mechanisms revealed that combination of biochar and bacterial inoculation mitigate Arabidopsis growth and defense tradeoff, and underline the great potential of plant-biochar-inoculum synergic application in more effective and large scale-up phytostabilizing systems.","author":[{"dropping-particle":"","family":"Simiele","given":"Melissa","non-dropping-particle":"","parse-names":false,"suffix":""},{"dropping-particle":"","family":"Sferra","given":"Gabriella","non-dropping-particle":"","parse-names":false,"suffix":""},{"dropping-particle":"","family":"Lebrun","given":"Manhattan","non-dropping-particle":"","parse-names":false,"suffix":""},{"dropping-particle":"","family":"Renzone","given":"Giovanni","non-dropping-particle":"","parse-names":false,"suffix":""},{"dropping-particle":"","family":"Bourgerie","given":"Sylvain","non-dropping-particle":"","parse-names":false,"suffix":""},{"dropping-particle":"","family":"Scippa","given":"Gabriella Stefania","non-dropping-particle":"","parse-names":false,"suffix":""},{"dropping-particle":"","family":"Morabito","given":"Domenico","non-dropping-particle":"","parse-names":false,"suffix":""},{"dropping-particle":"","family":"Scaloni","given":"Andrea","non-dropping-particle":"","parse-names":false,"suffix":""},{"dropping-particle":"","family":"Trupiano","given":"Dalila","non-dropping-particle":"","parse-names":false,"suffix":""}],"container-title":"Environmental and Experimental Botany","id":"ITEM-1","issued":{"date-parts":[["2021","2","1"]]},"page":"104335","publisher":"Elsevier","title":"In-depth study to decipher mechanisms underlying Arabidopsis thaliana tolerance to metal(loid) soil contamination in association with biochar and/or bacteria","type":"article-journal","volume":"182"},"uris":["http://www.mendeley.com/documents/?uuid=a237f943-ac22-365a-a417-23893a0e66b1"]}],"mendeley":{"formattedCitation":"(Simiele et al., 2021)","plainTextFormattedCitation":"(Simiele et al., 2021)","previouslyFormattedCitation":"(Simiele et al., 2021)"},"properties":{"noteIndex":0},"schema":"https://github.com/citation-style-language/schema/raw/master/csl-citation.json"}</w:instrText>
      </w:r>
      <w:r w:rsidR="002B0FD7" w:rsidRPr="00216965">
        <w:fldChar w:fldCharType="separate"/>
      </w:r>
      <w:r w:rsidR="00C83E62" w:rsidRPr="00216965">
        <w:rPr>
          <w:noProof/>
        </w:rPr>
        <w:t>(Simiele et al., 2021)</w:t>
      </w:r>
      <w:r w:rsidR="002B0FD7" w:rsidRPr="00216965">
        <w:fldChar w:fldCharType="end"/>
      </w:r>
      <w:r w:rsidRPr="00216965">
        <w:t>. Using plant morphological parameters in combination with proteome profiles can help to understand the effect of biochar on soil nutrient content, plant growth, the impact on photosynthetic system, and mechanisms which recognize pathogen-derived molecules, as proposed by</w:t>
      </w:r>
      <w:r w:rsidR="004729B7" w:rsidRPr="00216965">
        <w:t xml:space="preserve"> </w:t>
      </w:r>
      <w:r w:rsidR="004729B7" w:rsidRPr="00216965">
        <w:fldChar w:fldCharType="begin" w:fldLock="1"/>
      </w:r>
      <w:r w:rsidR="006C06AA" w:rsidRPr="00216965">
        <w:instrText>ADDIN CSL_CITATION {"citationItems":[{"id":"ITEM-1","itemData":{"DOI":"10.1080/11263504.2018.1527794","ISSN":"17245575","abstract":"Plant growth and development are affected by several environmental factors, among which soil nutrient availability. Biochar addition to soil is recognized to exert beneficial effects on soil fertility and thus plant growth; furthermore, it is a promising option for climate change mitigation. However, multi-species studies and meta-analyses have indicated considerable variations in biochar responses among plant species. To date, information on the biochar effect on plants, especially at molecular level, is still scarce. Using a multi-target approach with a model plant such as tomato, we demonstrate that biochar has a negligible effect on soil nutrient content and plant growth, even if it misbalances the plant photosynthetic machinery, as well as mechanisms recognizing pathogen-derived molecules. Ethylene could be one of the signal-molecule driving the alteration of tomato-pathogen recognition signaling by inactivation of vesicle trafficking. All these modifications could be at the basis of the increased susceptibility of biochar-treated plants to pathogen attack. Further organ-specific and tissue-specific multi-level studies, from high-resolution internal processes towards high-throughput external phenotyping, coupled with powerful biostatistic and informatic analysis, will help to decipher, in a network-type fashion, all the factors and signaling mechanisms related to the complex interaction between different plant, soil and biochar types.","author":[{"dropping-particle":"","family":"Polzella","given":"Antonella","non-dropping-particle":"","parse-names":false,"suffix":""},{"dropping-particle":"","family":"Zio","given":"Elena","non-dropping-particle":"De","parse-names":false,"suffix":""},{"dropping-particle":"","family":"Arena","given":"Simona","non-dropping-particle":"","parse-names":false,"suffix":""},{"dropping-particle":"","family":"Scippa","given":"Gabriella Stefania","non-dropping-particle":"","parse-names":false,"suffix":""},{"dropping-particle":"","family":"Scaloni","given":"Andrea","non-dropping-particle":"","parse-names":false,"suffix":""},{"dropping-particle":"","family":"Montagnoli","given":"Antonio","non-dropping-particle":"","parse-names":false,"suffix":""},{"dropping-particle":"","family":"Chiatante","given":"Donato","non-dropping-particle":"","parse-names":false,"suffix":""},{"dropping-particle":"","family":"Trupiano","given":"Dalila","non-dropping-particle":"","parse-names":false,"suffix":""}],"container-title":"Plant Biosystems","id":"ITEM-1","issue":"1","issued":{"date-parts":[["2019"]]},"page":"163-172","publisher":"Taylor &amp; Francis","title":"Toward an understanding of mechanisms regulating plant response to biochar application","type":"article-journal","volume":"153"},"uris":["http://www.mendeley.com/documents/?uuid=2a55d6d1-1fe7-4bd4-aa99-4ad78820818e"]}],"mendeley":{"formattedCitation":"(Polzella et al., 2019)","manualFormatting":"Polzella et al. (2019)","plainTextFormattedCitation":"(Polzella et al., 2019)","previouslyFormattedCitation":"(Polzella et al., 2019)"},"properties":{"noteIndex":0},"schema":"https://github.com/citation-style-language/schema/raw/master/csl-citation.json"}</w:instrText>
      </w:r>
      <w:r w:rsidR="004729B7" w:rsidRPr="00216965">
        <w:fldChar w:fldCharType="separate"/>
      </w:r>
      <w:r w:rsidR="004729B7" w:rsidRPr="00216965">
        <w:rPr>
          <w:noProof/>
        </w:rPr>
        <w:t>Polzella et al.</w:t>
      </w:r>
      <w:r w:rsidR="00D46B93" w:rsidRPr="00216965">
        <w:rPr>
          <w:noProof/>
        </w:rPr>
        <w:t xml:space="preserve"> </w:t>
      </w:r>
      <w:r w:rsidR="004729B7" w:rsidRPr="00216965">
        <w:rPr>
          <w:noProof/>
        </w:rPr>
        <w:t>(2019)</w:t>
      </w:r>
      <w:r w:rsidR="004729B7" w:rsidRPr="00216965">
        <w:fldChar w:fldCharType="end"/>
      </w:r>
      <w:r w:rsidR="002B0FD7" w:rsidRPr="00216965">
        <w:t>.</w:t>
      </w:r>
    </w:p>
    <w:p w14:paraId="02905764" w14:textId="728FAE56" w:rsidR="00B01C80" w:rsidRPr="00216965" w:rsidRDefault="00B01C80" w:rsidP="008A33DA">
      <w:pPr>
        <w:spacing w:line="360" w:lineRule="auto"/>
        <w:jc w:val="both"/>
      </w:pPr>
      <w:r w:rsidRPr="00216965">
        <w:t xml:space="preserve">Further research must be conducted to evaluate the fate of HMs immobilised by organic amendments in the long-term. The duration of this study was limited to 18 months and a pot-field experiment, which did not fully recreate ground conditions (temperature, drainage, run-off). Hence, studies with a longer duration, or the establishment of sites for permanent monitoring, would provide a more accurate understanding of the stability of organic amendments and HMs immobilised under field conditions in the long-term. Predictive models of organic amendment decay would allow the behaviour of biochar and compost amendments in the long-term to be elucidated, and hence an appropriate estimation of the ecological risk. Modelled half-lives of biochar have been reported to be between 56–407 years, when the incubation lasted from one year to 3 years, contrary to half-lives (2–10 years) obtained from incubations with a duration of several days </w:t>
      </w:r>
      <w:r w:rsidR="002B0FD7" w:rsidRPr="00216965">
        <w:fldChar w:fldCharType="begin" w:fldLock="1"/>
      </w:r>
      <w:r w:rsidR="006C06AA" w:rsidRPr="00216965">
        <w:instrText>ADDIN CSL_CITATION {"citationItems":[{"id":"ITEM-1","itemData":{"DOI":"10.1016/J.SCITOTENV.2019.01.298","ISSN":"0048-9697","abstract":"Biochar produced from pyrolysis of biomass is a candidate with great potential for climate change mitigation by carbon sequestration and reduction of greenhouse gases (GHG) emission in soil. Its potential depends considerably on biochar properties. Biochar stability or biochar C recalcitrance is decisive to its carbon storage/sequestration potential in soil. Three groups of methods including: I) biochar C structure or composition analyses, II) biochar oxidation resistance determination, and III) biochar persistence assessment by incubation &amp; modelling, have been developed for evaluation of biochar stability. Amongst, incubation &amp; modelling is the most commonly used one and is the basis of the other two assessment methods. However, the strategies for incubation experiment designing and data modelling significantly influence the biochar stability results. Drastic differences were observed for stability results obtained from different studies partly because of the large flexibility of the incubation &amp; modelling method. Biased biochar stability would be obtained if the method was used improperly. The present review aims to provide comprehensive information on method strategies used for incubation and modelling, followed by discussions on the key issues such as what kind of biochar to use, how the experiment should be designed, how to determine biochar C mineralization, how the mineralization data should be expressed, and what model should be used, for an accurate biochar stability evaluation. In general, incubating biochar at long-term duration, modelling incubation data with double-exponential model, using C isotopic technology for CO 2 evolution determination with C mineralization data express as percentage of total organic carbon mineralized, applying biochar in the field are favorable to biochar stability assessment. Other strategies such as the use of standard (reference) biochar materials may be effective to improve the assessment.","author":[{"dropping-particle":"","family":"Leng","given":"Lijian","non-dropping-particle":"","parse-names":false,"suffix":""},{"dropping-particle":"","family":"Xu","given":"Xinwei","non-dropping-particle":"","parse-names":false,"suffix":""},{"dropping-particle":"","family":"Wei","given":"Liang","non-dropping-particle":"","parse-names":false,"suffix":""},{"dropping-particle":"","family":"Fan","given":"Liangliang","non-dropping-particle":"","parse-names":false,"suffix":""},{"dropping-particle":"","family":"Huang","given":"Huajun","non-dropping-particle":"","parse-names":false,"suffix":""},{"dropping-particle":"","family":"Li","given":"Jianan","non-dropping-particle":"","parse-names":false,"suffix":""},{"dropping-particle":"","family":"Lu","given":"Qian","non-dropping-particle":"","parse-names":false,"suffix":""},{"dropping-particle":"","family":"Li","given":"Jun","non-dropping-particle":"","parse-names":false,"suffix":""},{"dropping-particle":"","family":"Zhou","given":"Wenguang","non-dropping-particle":"","parse-names":false,"suffix":""}],"container-title":"Science of The Total Environment","id":"ITEM-1","issued":{"date-parts":[["2019","5","10"]]},"page":"11-23","publisher":"Elsevier","title":"Biochar stability assessment by incubation and modelling: Methods, drawbacks and recommendations","type":"article-journal","volume":"664"},"uris":["http://www.mendeley.com/documents/?uuid=2db2b517-3fc8-3f7c-80dc-89ce8f8bfbe4"]}],"mendeley":{"formattedCitation":"(Leng et al., 2019)","plainTextFormattedCitation":"(Leng et al., 2019)","previouslyFormattedCitation":"(Leng et al., 2019)"},"properties":{"noteIndex":0},"schema":"https://github.com/citation-style-language/schema/raw/master/csl-citation.json"}</w:instrText>
      </w:r>
      <w:r w:rsidR="002B0FD7" w:rsidRPr="00216965">
        <w:fldChar w:fldCharType="separate"/>
      </w:r>
      <w:r w:rsidR="00C83E62" w:rsidRPr="00216965">
        <w:rPr>
          <w:noProof/>
        </w:rPr>
        <w:t>(Leng et al., 2019)</w:t>
      </w:r>
      <w:r w:rsidR="002B0FD7" w:rsidRPr="00216965">
        <w:fldChar w:fldCharType="end"/>
      </w:r>
      <w:r w:rsidRPr="00216965">
        <w:t xml:space="preserve">. Hence, long-term permanent biochar experiments are important to have reliable information that permit HM fate in biochar-treated soil to be properly assessed. </w:t>
      </w:r>
      <w:r w:rsidR="00E76F05" w:rsidRPr="00216965">
        <w:t>Conversely, improved short-term incubations that can accurately predict long-term behaviour of HMs and microbial dynamics would allow to establish validation methodologies for biochar application.</w:t>
      </w:r>
    </w:p>
    <w:p w14:paraId="7675573D" w14:textId="77777777" w:rsidR="00B01C80" w:rsidRPr="00216965" w:rsidRDefault="00B01C80" w:rsidP="008A33DA">
      <w:pPr>
        <w:pStyle w:val="Heading2"/>
      </w:pPr>
      <w:bookmarkStart w:id="428" w:name="_Toc86504725"/>
      <w:r w:rsidRPr="00216965">
        <w:t>Conclusion</w:t>
      </w:r>
      <w:bookmarkEnd w:id="428"/>
    </w:p>
    <w:p w14:paraId="0EA0BD0C" w14:textId="77777777" w:rsidR="00B01C80" w:rsidRPr="00216965" w:rsidRDefault="00B01C80" w:rsidP="008A33DA">
      <w:pPr>
        <w:spacing w:line="360" w:lineRule="auto"/>
        <w:jc w:val="both"/>
        <w:rPr>
          <w:color w:val="000000"/>
        </w:rPr>
      </w:pPr>
      <w:r w:rsidRPr="00216965">
        <w:rPr>
          <w:color w:val="000000"/>
        </w:rPr>
        <w:t>The use of plant-based biochars on HM</w:t>
      </w:r>
      <w:r w:rsidRPr="00216965">
        <w:t>-</w:t>
      </w:r>
      <w:r w:rsidRPr="00216965">
        <w:rPr>
          <w:color w:val="000000"/>
        </w:rPr>
        <w:t xml:space="preserve">contaminated sites can potentially reduce bioavailable HMs, limit plant uptake of HMs and </w:t>
      </w:r>
      <w:r w:rsidRPr="00216965">
        <w:t>support</w:t>
      </w:r>
      <w:r w:rsidRPr="00216965">
        <w:rPr>
          <w:color w:val="000000"/>
        </w:rPr>
        <w:t xml:space="preserve"> plant establishment. However, not all biochars have the same performance; herbaceous-derived biochars </w:t>
      </w:r>
      <w:r w:rsidRPr="00216965">
        <w:t xml:space="preserve">have </w:t>
      </w:r>
      <w:r w:rsidRPr="00216965">
        <w:rPr>
          <w:color w:val="000000"/>
        </w:rPr>
        <w:t xml:space="preserve">higher potential for the immobilisation of HMs due to a higher mineral content than wood-derived biochars. </w:t>
      </w:r>
      <w:r w:rsidRPr="00216965">
        <w:t>B</w:t>
      </w:r>
      <w:r w:rsidRPr="00216965">
        <w:rPr>
          <w:color w:val="000000"/>
        </w:rPr>
        <w:t xml:space="preserve">iochars demonstrated preferential sorption for Pb over Cd and Zn in batch sorption tests and in soil applications regardless of biochar feedstock. The sorption </w:t>
      </w:r>
      <w:r w:rsidRPr="00216965">
        <w:rPr>
          <w:color w:val="000000"/>
        </w:rPr>
        <w:lastRenderedPageBreak/>
        <w:t>of HMs by biochars was driven mainly by i) electrostatic attractions (e.g. cation exchange, and cation-π interactions), ii) surface complexation, and iii) precipitation with phosphates and silicates.</w:t>
      </w:r>
    </w:p>
    <w:p w14:paraId="1779B2F1" w14:textId="1617B486" w:rsidR="00B525A4" w:rsidRPr="00216965" w:rsidRDefault="00B525A4" w:rsidP="008A33DA">
      <w:pPr>
        <w:spacing w:line="360" w:lineRule="auto"/>
        <w:jc w:val="both"/>
        <w:rPr>
          <w:color w:val="000000"/>
        </w:rPr>
      </w:pPr>
      <w:r w:rsidRPr="00216965">
        <w:rPr>
          <w:color w:val="000000"/>
        </w:rPr>
        <w:t>Overall. l</w:t>
      </w:r>
      <w:r w:rsidR="00B01C80" w:rsidRPr="00216965">
        <w:rPr>
          <w:color w:val="000000"/>
        </w:rPr>
        <w:t xml:space="preserve">ow application rates of biochars </w:t>
      </w:r>
      <w:r w:rsidR="000F67A9" w:rsidRPr="00216965">
        <w:rPr>
          <w:color w:val="000000"/>
        </w:rPr>
        <w:t>(&lt; 23 t.ha</w:t>
      </w:r>
      <w:r w:rsidR="000F67A9" w:rsidRPr="00216965">
        <w:rPr>
          <w:color w:val="000000"/>
          <w:vertAlign w:val="superscript"/>
        </w:rPr>
        <w:t>-1</w:t>
      </w:r>
      <w:r w:rsidR="000F67A9" w:rsidRPr="00216965">
        <w:rPr>
          <w:color w:val="000000"/>
        </w:rPr>
        <w:t xml:space="preserve"> ) </w:t>
      </w:r>
      <w:r w:rsidR="00B01C80" w:rsidRPr="00216965">
        <w:t xml:space="preserve">appear </w:t>
      </w:r>
      <w:r w:rsidR="00B01C80" w:rsidRPr="00216965">
        <w:rPr>
          <w:color w:val="000000"/>
        </w:rPr>
        <w:t xml:space="preserve">to be more beneficial in reducing the bioavailability of HMs and </w:t>
      </w:r>
      <w:r w:rsidR="00B01C80" w:rsidRPr="00216965">
        <w:t>have</w:t>
      </w:r>
      <w:r w:rsidR="00B01C80" w:rsidRPr="00216965">
        <w:rPr>
          <w:color w:val="000000"/>
        </w:rPr>
        <w:t xml:space="preserve"> a protective effect on plants depending on plant species. </w:t>
      </w:r>
      <w:r w:rsidR="00E57D69" w:rsidRPr="00216965">
        <w:rPr>
          <w:color w:val="000000"/>
        </w:rPr>
        <w:t>Th</w:t>
      </w:r>
      <w:r w:rsidR="00CE7136" w:rsidRPr="00216965">
        <w:rPr>
          <w:color w:val="000000"/>
        </w:rPr>
        <w:t>is protective effect on plants</w:t>
      </w:r>
      <w:r w:rsidR="00E57D69" w:rsidRPr="00216965">
        <w:rPr>
          <w:color w:val="000000"/>
        </w:rPr>
        <w:t xml:space="preserve"> at low </w:t>
      </w:r>
      <w:r w:rsidR="00CE7136" w:rsidRPr="00216965">
        <w:rPr>
          <w:color w:val="000000"/>
        </w:rPr>
        <w:t xml:space="preserve">biochar </w:t>
      </w:r>
      <w:r w:rsidR="00E57D69" w:rsidRPr="00216965">
        <w:rPr>
          <w:color w:val="000000"/>
        </w:rPr>
        <w:t xml:space="preserve">application rates include improved photosynthetic activity, higher growth rates and aboveground biomass. </w:t>
      </w:r>
    </w:p>
    <w:p w14:paraId="41530838" w14:textId="385BE87D" w:rsidR="000F67A9" w:rsidRPr="00216965" w:rsidRDefault="00B01C80" w:rsidP="008A33DA">
      <w:pPr>
        <w:spacing w:line="360" w:lineRule="auto"/>
        <w:jc w:val="both"/>
        <w:rPr>
          <w:color w:val="000000"/>
        </w:rPr>
      </w:pPr>
      <w:r w:rsidRPr="00216965">
        <w:t>Conversely, h</w:t>
      </w:r>
      <w:r w:rsidRPr="00216965">
        <w:rPr>
          <w:color w:val="000000"/>
        </w:rPr>
        <w:t xml:space="preserve">igh biochar application rates </w:t>
      </w:r>
      <w:r w:rsidR="00761390" w:rsidRPr="00216965">
        <w:rPr>
          <w:color w:val="000000"/>
        </w:rPr>
        <w:t>(</w:t>
      </w:r>
      <w:r w:rsidR="00D05D0C" w:rsidRPr="00216965">
        <w:rPr>
          <w:color w:val="000000"/>
        </w:rPr>
        <w:t xml:space="preserve">&gt; </w:t>
      </w:r>
      <w:r w:rsidR="00761390" w:rsidRPr="00216965">
        <w:rPr>
          <w:color w:val="000000"/>
        </w:rPr>
        <w:t>80 t.ha</w:t>
      </w:r>
      <w:r w:rsidR="00761390" w:rsidRPr="00216965">
        <w:rPr>
          <w:color w:val="000000"/>
          <w:vertAlign w:val="superscript"/>
        </w:rPr>
        <w:t>-1</w:t>
      </w:r>
      <w:r w:rsidR="00761390" w:rsidRPr="00216965">
        <w:rPr>
          <w:color w:val="000000"/>
        </w:rPr>
        <w:t xml:space="preserve"> ) </w:t>
      </w:r>
      <w:r w:rsidR="00B525A4" w:rsidRPr="00216965">
        <w:rPr>
          <w:color w:val="000000"/>
        </w:rPr>
        <w:t xml:space="preserve">in some cases </w:t>
      </w:r>
      <w:r w:rsidRPr="00216965">
        <w:rPr>
          <w:color w:val="000000"/>
        </w:rPr>
        <w:t xml:space="preserve">caused </w:t>
      </w:r>
      <w:r w:rsidRPr="00216965">
        <w:t xml:space="preserve">inhibition of </w:t>
      </w:r>
      <w:r w:rsidRPr="00216965">
        <w:rPr>
          <w:color w:val="000000"/>
        </w:rPr>
        <w:t xml:space="preserve">plant growth depending on the sensitivity of the plant species. This detrimental effect was associated with the </w:t>
      </w:r>
      <w:r w:rsidR="000F67A9" w:rsidRPr="00216965">
        <w:rPr>
          <w:color w:val="000000"/>
        </w:rPr>
        <w:t xml:space="preserve">sudden </w:t>
      </w:r>
      <w:r w:rsidRPr="00216965">
        <w:rPr>
          <w:color w:val="000000"/>
        </w:rPr>
        <w:t>increase</w:t>
      </w:r>
      <w:r w:rsidR="00761390" w:rsidRPr="00216965">
        <w:rPr>
          <w:color w:val="000000"/>
        </w:rPr>
        <w:t xml:space="preserve"> of soil</w:t>
      </w:r>
      <w:r w:rsidRPr="00216965">
        <w:rPr>
          <w:color w:val="000000"/>
        </w:rPr>
        <w:t xml:space="preserve"> salinity due to the release of soluble Na and K fro</w:t>
      </w:r>
      <w:r w:rsidRPr="00216965">
        <w:t>m the biochar</w:t>
      </w:r>
      <w:r w:rsidRPr="00216965">
        <w:rPr>
          <w:color w:val="000000"/>
        </w:rPr>
        <w:t xml:space="preserve">, which can cause osmotic stress in plants. </w:t>
      </w:r>
      <w:r w:rsidR="00761390" w:rsidRPr="00216965">
        <w:rPr>
          <w:color w:val="000000"/>
        </w:rPr>
        <w:t>Nonetheless, t</w:t>
      </w:r>
      <w:r w:rsidR="000F67A9" w:rsidRPr="00216965">
        <w:rPr>
          <w:color w:val="000000"/>
        </w:rPr>
        <w:t xml:space="preserve">he increased salinity could decrease over time as soluble minerals present in biochar </w:t>
      </w:r>
      <w:r w:rsidR="00CE7136" w:rsidRPr="00216965">
        <w:rPr>
          <w:color w:val="000000"/>
        </w:rPr>
        <w:t xml:space="preserve">tend to </w:t>
      </w:r>
      <w:r w:rsidR="000F67A9" w:rsidRPr="00216965">
        <w:rPr>
          <w:color w:val="000000"/>
        </w:rPr>
        <w:t xml:space="preserve">leach during natural aging. </w:t>
      </w:r>
    </w:p>
    <w:p w14:paraId="47811F8B" w14:textId="4F89F867" w:rsidR="00B01C80" w:rsidRPr="00216965" w:rsidRDefault="00B01C80" w:rsidP="008A33DA">
      <w:pPr>
        <w:spacing w:line="360" w:lineRule="auto"/>
        <w:jc w:val="both"/>
        <w:rPr>
          <w:color w:val="000000"/>
        </w:rPr>
      </w:pPr>
      <w:r w:rsidRPr="00216965">
        <w:rPr>
          <w:color w:val="000000"/>
        </w:rPr>
        <w:t xml:space="preserve">Garden waste compost was found to be an efficient </w:t>
      </w:r>
      <w:r w:rsidRPr="00216965">
        <w:t xml:space="preserve">material </w:t>
      </w:r>
      <w:r w:rsidRPr="00216965">
        <w:rPr>
          <w:color w:val="000000"/>
        </w:rPr>
        <w:t>for the immobilization of HMs</w:t>
      </w:r>
      <w:r w:rsidR="000F67A9" w:rsidRPr="00216965">
        <w:rPr>
          <w:color w:val="000000"/>
        </w:rPr>
        <w:t xml:space="preserve"> with a lower cost of application than biochar</w:t>
      </w:r>
      <w:r w:rsidRPr="00216965">
        <w:rPr>
          <w:color w:val="000000"/>
        </w:rPr>
        <w:t>. However,</w:t>
      </w:r>
      <w:r w:rsidR="000F67A9" w:rsidRPr="00216965">
        <w:rPr>
          <w:color w:val="000000"/>
        </w:rPr>
        <w:t xml:space="preserve"> due to organic matter decomposition processes, compost amendments would require reapplications over time to ensure HM immobilization.</w:t>
      </w:r>
      <w:r w:rsidRPr="00216965">
        <w:rPr>
          <w:color w:val="000000"/>
        </w:rPr>
        <w:t xml:space="preserve"> </w:t>
      </w:r>
      <w:r w:rsidR="00E57D69" w:rsidRPr="00216965">
        <w:rPr>
          <w:color w:val="000000"/>
        </w:rPr>
        <w:t>On the other hand</w:t>
      </w:r>
      <w:r w:rsidR="000F67A9" w:rsidRPr="00216965">
        <w:rPr>
          <w:color w:val="000000"/>
        </w:rPr>
        <w:t>, if considering the sorption performance</w:t>
      </w:r>
      <w:r w:rsidR="00E57D69" w:rsidRPr="00216965">
        <w:rPr>
          <w:color w:val="000000"/>
        </w:rPr>
        <w:t xml:space="preserve">, </w:t>
      </w:r>
      <w:r w:rsidRPr="00216965">
        <w:rPr>
          <w:color w:val="000000"/>
        </w:rPr>
        <w:t>b</w:t>
      </w:r>
      <w:r w:rsidRPr="00216965">
        <w:t>iochar is a better option</w:t>
      </w:r>
      <w:r w:rsidR="00E57D69" w:rsidRPr="00216965">
        <w:t xml:space="preserve"> </w:t>
      </w:r>
      <w:r w:rsidRPr="00216965">
        <w:t xml:space="preserve">as it is more stable in the long-term and has a higher sorption </w:t>
      </w:r>
      <w:r w:rsidR="009D1CC8" w:rsidRPr="00216965">
        <w:t xml:space="preserve">capacity </w:t>
      </w:r>
      <w:r w:rsidRPr="00216965">
        <w:t>(</w:t>
      </w:r>
      <w:r w:rsidR="000F67A9" w:rsidRPr="00216965">
        <w:t xml:space="preserve">on the basis of </w:t>
      </w:r>
      <w:r w:rsidRPr="00216965">
        <w:t xml:space="preserve">mg </w:t>
      </w:r>
      <w:r w:rsidR="000F67A9" w:rsidRPr="00216965">
        <w:t xml:space="preserve">of </w:t>
      </w:r>
      <w:r w:rsidRPr="00216965">
        <w:t xml:space="preserve">HM immobilised per kg of adsorbent) for HMs than compost. Both amendments changed the composition of the soil microbial community (bacterial and fungal) and relative abundance, but only compost addition increased the total microbial abundance. The addition of organic amendments shaped the soil microbial communities due to i) reduced HM toxicity, ii) changes in soil pH, and ii) increased OM and nutrients (compost treatments). Overall, changes in the soil microbial community indicated that the addition of organic amendments enhanced soil functioning. </w:t>
      </w:r>
    </w:p>
    <w:p w14:paraId="6D1E2A87" w14:textId="28060597" w:rsidR="00D05D0C" w:rsidRPr="00216965" w:rsidRDefault="00E57D69" w:rsidP="008A33DA">
      <w:pPr>
        <w:spacing w:line="360" w:lineRule="auto"/>
        <w:jc w:val="both"/>
      </w:pPr>
      <w:r w:rsidRPr="00216965">
        <w:t xml:space="preserve">Overall, this research supports the use of organic amendments </w:t>
      </w:r>
      <w:r w:rsidR="005E7888" w:rsidRPr="00216965">
        <w:t xml:space="preserve">(plant-based biochars and green waste compost) </w:t>
      </w:r>
      <w:r w:rsidRPr="00216965">
        <w:t xml:space="preserve">in the restoration of HM-contaminated soil. Nonetheless, </w:t>
      </w:r>
      <w:r w:rsidR="00B01C80" w:rsidRPr="00216965">
        <w:t xml:space="preserve">amended soils may need to be managed with caution, because biochar can reduce metal bioavailability but plants can still accumulate metals in their tissues. This may limit the type of land use according to the ecological risk. </w:t>
      </w:r>
      <w:r w:rsidR="00232B52" w:rsidRPr="00216965">
        <w:t xml:space="preserve">For example, amended soils could be </w:t>
      </w:r>
      <w:r w:rsidRPr="00216965">
        <w:lastRenderedPageBreak/>
        <w:t>repurposed</w:t>
      </w:r>
      <w:r w:rsidR="00232B52" w:rsidRPr="00216965">
        <w:t xml:space="preserve"> for growing </w:t>
      </w:r>
      <w:r w:rsidRPr="00216965">
        <w:t xml:space="preserve">non-edible </w:t>
      </w:r>
      <w:r w:rsidR="00232B52" w:rsidRPr="00216965">
        <w:t xml:space="preserve">crops </w:t>
      </w:r>
      <w:r w:rsidRPr="00216965">
        <w:t>(</w:t>
      </w:r>
      <w:r w:rsidR="00232B52" w:rsidRPr="00216965">
        <w:t>intended for biofuel production</w:t>
      </w:r>
      <w:r w:rsidRPr="00216965">
        <w:t>)</w:t>
      </w:r>
      <w:r w:rsidR="00232B52" w:rsidRPr="00216965">
        <w:t xml:space="preserve">, or could be repurposed for industrial </w:t>
      </w:r>
      <w:r w:rsidR="000F67A9" w:rsidRPr="00216965">
        <w:t xml:space="preserve">use </w:t>
      </w:r>
      <w:r w:rsidR="00232B52" w:rsidRPr="00216965">
        <w:t>(wind</w:t>
      </w:r>
      <w:r w:rsidR="000F67A9" w:rsidRPr="00216965">
        <w:t xml:space="preserve"> or solar farms)</w:t>
      </w:r>
      <w:r w:rsidR="00232B52" w:rsidRPr="00216965">
        <w:t xml:space="preserve">. </w:t>
      </w:r>
    </w:p>
    <w:p w14:paraId="3FA3FB73" w14:textId="4DF8386E" w:rsidR="00B01C80" w:rsidRPr="00216965" w:rsidRDefault="00D05D0C" w:rsidP="008A33DA">
      <w:pPr>
        <w:spacing w:line="360" w:lineRule="auto"/>
        <w:jc w:val="both"/>
      </w:pPr>
      <w:r w:rsidRPr="00216965">
        <w:t>L</w:t>
      </w:r>
      <w:r w:rsidR="00E57D69" w:rsidRPr="00216965">
        <w:t>and-use change constantly</w:t>
      </w:r>
      <w:r w:rsidR="00372700" w:rsidRPr="00216965">
        <w:t xml:space="preserve"> and soil guideline values are frequently updated. Therefore,</w:t>
      </w:r>
      <w:r w:rsidR="00E57D69" w:rsidRPr="00216965">
        <w:t xml:space="preserve"> a “solution” to contamination that is prescribed in one current context may not provide the expected conditions for all future demands. In this context, continuous monitoring of amended sites would be essential as the fate of HMs in soils amended with biochar or compost in the longer term is still unknown. </w:t>
      </w:r>
    </w:p>
    <w:p w14:paraId="007DAB64" w14:textId="7024D219" w:rsidR="00936B22" w:rsidRPr="00216965" w:rsidRDefault="00936B22" w:rsidP="008A33DA">
      <w:pPr>
        <w:spacing w:line="360" w:lineRule="auto"/>
        <w:jc w:val="both"/>
      </w:pPr>
    </w:p>
    <w:p w14:paraId="4F9D00D1" w14:textId="55354158" w:rsidR="00936B22" w:rsidRPr="00216965" w:rsidRDefault="00936B22" w:rsidP="008A33DA">
      <w:pPr>
        <w:spacing w:line="360" w:lineRule="auto"/>
        <w:jc w:val="both"/>
      </w:pPr>
    </w:p>
    <w:p w14:paraId="7718AAA0" w14:textId="0856BE47" w:rsidR="00936B22" w:rsidRPr="00216965" w:rsidRDefault="00936B22" w:rsidP="008A33DA">
      <w:pPr>
        <w:spacing w:line="360" w:lineRule="auto"/>
        <w:jc w:val="both"/>
      </w:pPr>
    </w:p>
    <w:p w14:paraId="02CE70E7" w14:textId="44CE0FDB" w:rsidR="00936B22" w:rsidRPr="00216965" w:rsidRDefault="00936B22" w:rsidP="008A33DA">
      <w:pPr>
        <w:spacing w:line="360" w:lineRule="auto"/>
        <w:jc w:val="both"/>
      </w:pPr>
    </w:p>
    <w:p w14:paraId="30431868" w14:textId="190C2214" w:rsidR="00936B22" w:rsidRPr="00216965" w:rsidRDefault="00936B22" w:rsidP="008A33DA">
      <w:pPr>
        <w:spacing w:line="360" w:lineRule="auto"/>
        <w:jc w:val="both"/>
      </w:pPr>
    </w:p>
    <w:p w14:paraId="01841A02" w14:textId="0A112FD3" w:rsidR="00936B22" w:rsidRPr="00216965" w:rsidRDefault="00936B22" w:rsidP="008A33DA">
      <w:pPr>
        <w:spacing w:line="360" w:lineRule="auto"/>
        <w:jc w:val="both"/>
      </w:pPr>
    </w:p>
    <w:p w14:paraId="50646D72" w14:textId="37C7864E" w:rsidR="00B525A4" w:rsidRPr="00216965" w:rsidRDefault="00B525A4" w:rsidP="008A33DA">
      <w:pPr>
        <w:spacing w:line="360" w:lineRule="auto"/>
        <w:jc w:val="both"/>
      </w:pPr>
    </w:p>
    <w:p w14:paraId="7C783AA5" w14:textId="2B6EC3C1" w:rsidR="00B525A4" w:rsidRPr="00216965" w:rsidRDefault="00B525A4" w:rsidP="008A33DA">
      <w:pPr>
        <w:spacing w:line="360" w:lineRule="auto"/>
        <w:jc w:val="both"/>
      </w:pPr>
    </w:p>
    <w:p w14:paraId="535887AC" w14:textId="0659B30B" w:rsidR="00B525A4" w:rsidRPr="00216965" w:rsidRDefault="00B525A4" w:rsidP="008A33DA">
      <w:pPr>
        <w:spacing w:line="360" w:lineRule="auto"/>
        <w:jc w:val="both"/>
      </w:pPr>
    </w:p>
    <w:p w14:paraId="3A367381" w14:textId="55F9F2C7" w:rsidR="00B525A4" w:rsidRPr="00216965" w:rsidRDefault="00B525A4" w:rsidP="008A33DA">
      <w:pPr>
        <w:spacing w:line="360" w:lineRule="auto"/>
        <w:jc w:val="both"/>
      </w:pPr>
    </w:p>
    <w:p w14:paraId="70E3B11A" w14:textId="6A0E3977" w:rsidR="00B525A4" w:rsidRPr="00216965" w:rsidRDefault="00B525A4" w:rsidP="008A33DA">
      <w:pPr>
        <w:spacing w:line="360" w:lineRule="auto"/>
        <w:jc w:val="both"/>
      </w:pPr>
    </w:p>
    <w:p w14:paraId="3EBF705C" w14:textId="51464300" w:rsidR="00B525A4" w:rsidRPr="00216965" w:rsidRDefault="00B525A4" w:rsidP="008A33DA">
      <w:pPr>
        <w:spacing w:line="360" w:lineRule="auto"/>
        <w:jc w:val="both"/>
      </w:pPr>
    </w:p>
    <w:p w14:paraId="0F853F14" w14:textId="05D1A136" w:rsidR="00B525A4" w:rsidRPr="00216965" w:rsidRDefault="00B525A4" w:rsidP="008A33DA">
      <w:pPr>
        <w:spacing w:line="360" w:lineRule="auto"/>
        <w:jc w:val="both"/>
      </w:pPr>
    </w:p>
    <w:p w14:paraId="562237E8" w14:textId="26752CC2" w:rsidR="00B525A4" w:rsidRPr="00216965" w:rsidRDefault="00B525A4" w:rsidP="008A33DA">
      <w:pPr>
        <w:spacing w:line="360" w:lineRule="auto"/>
        <w:jc w:val="both"/>
      </w:pPr>
    </w:p>
    <w:p w14:paraId="7842CB2A" w14:textId="77777777" w:rsidR="00512715" w:rsidRPr="00216965" w:rsidRDefault="00512715" w:rsidP="008A33DA">
      <w:pPr>
        <w:spacing w:line="360" w:lineRule="auto"/>
        <w:jc w:val="both"/>
      </w:pPr>
    </w:p>
    <w:p w14:paraId="7A5C0AB3" w14:textId="38136AAA" w:rsidR="00936B22" w:rsidRPr="00216965" w:rsidRDefault="00936B22" w:rsidP="008A33DA">
      <w:pPr>
        <w:spacing w:line="360" w:lineRule="auto"/>
        <w:jc w:val="both"/>
      </w:pPr>
    </w:p>
    <w:p w14:paraId="3D75895A" w14:textId="3B811764" w:rsidR="00764868" w:rsidRPr="00216965" w:rsidRDefault="00E8112D" w:rsidP="008A33DA">
      <w:pPr>
        <w:pStyle w:val="Heading1"/>
        <w:numPr>
          <w:ilvl w:val="0"/>
          <w:numId w:val="7"/>
        </w:numPr>
      </w:pPr>
      <w:bookmarkStart w:id="429" w:name="_Toc86504726"/>
      <w:r w:rsidRPr="00216965">
        <w:lastRenderedPageBreak/>
        <w:t>Reference</w:t>
      </w:r>
      <w:r w:rsidR="001B3AB0" w:rsidRPr="00216965">
        <w:t>s</w:t>
      </w:r>
      <w:bookmarkEnd w:id="429"/>
    </w:p>
    <w:p w14:paraId="3F4CD000" w14:textId="48C4A12A" w:rsidR="004F0F92" w:rsidRPr="00216965" w:rsidRDefault="007A2A48" w:rsidP="00855145">
      <w:pPr>
        <w:widowControl w:val="0"/>
        <w:autoSpaceDE w:val="0"/>
        <w:autoSpaceDN w:val="0"/>
        <w:adjustRightInd w:val="0"/>
        <w:spacing w:line="240" w:lineRule="auto"/>
        <w:ind w:left="480" w:hanging="480"/>
        <w:jc w:val="both"/>
        <w:rPr>
          <w:rFonts w:cs="Times New Roman"/>
          <w:noProof/>
          <w:szCs w:val="24"/>
        </w:rPr>
      </w:pPr>
      <w:r w:rsidRPr="00216965">
        <w:fldChar w:fldCharType="begin" w:fldLock="1"/>
      </w:r>
      <w:r w:rsidRPr="00216965">
        <w:instrText xml:space="preserve">ADDIN Mendeley Bibliography CSL_BIBLIOGRAPHY </w:instrText>
      </w:r>
      <w:r w:rsidRPr="00216965">
        <w:fldChar w:fldCharType="separate"/>
      </w:r>
      <w:r w:rsidR="004F0F92" w:rsidRPr="00216965">
        <w:rPr>
          <w:rFonts w:cs="Times New Roman"/>
          <w:noProof/>
          <w:szCs w:val="24"/>
        </w:rPr>
        <w:t>Abbas, T., Rizwan, M., Ali, S., Zia-ur-Rehman, M., Farooq Qayyum, M., Abbas, F., Hannan, F., Rinklebe, J., Sik Ok, Y., 2017. Effect of biochar on cadmium bioavailability and uptake in wheat (Triticum aestivum L.) grown in a soil with aged contamination. Ecotoxicology and Environmental Safety 140, 37–47.</w:t>
      </w:r>
    </w:p>
    <w:p w14:paraId="00D45C2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Abdu, N., Abdullahi, A.A., Abdulkadir, A., 2017. Heavy metals and soil microbes. </w:t>
      </w:r>
      <w:r w:rsidRPr="00216965">
        <w:rPr>
          <w:rFonts w:cs="Times New Roman"/>
          <w:noProof/>
          <w:szCs w:val="24"/>
          <w:lang w:val="it-IT"/>
        </w:rPr>
        <w:t>Environmental Chemistry Letters 15, 65–84.</w:t>
      </w:r>
    </w:p>
    <w:p w14:paraId="6DDF267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Abollino, O., Aceto, M., Malandrino, M., Mentasti, E., Sarzanini, C., Petrella, F., 2002. </w:t>
      </w:r>
      <w:r w:rsidRPr="00216965">
        <w:rPr>
          <w:rFonts w:cs="Times New Roman"/>
          <w:noProof/>
          <w:szCs w:val="24"/>
        </w:rPr>
        <w:t>Heavy metals in agricultural soils from Piedmont, Italy. Distribution, speciation and chemometric data treatment. Chemosphere 49, 545–557.</w:t>
      </w:r>
    </w:p>
    <w:p w14:paraId="24D2AFB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Ahmad, M., Lee, S.S., Dou, X., Mohan, D., Sung, J.K., Yang, J.E., Ok, Y.S., 2012. Effects of pyrolysis temperature on soybean stover- and peanut shell-derived biochar properties and TCE adsorption in water. Bioresource Technology 118, 536–544.</w:t>
      </w:r>
    </w:p>
    <w:p w14:paraId="41AAFB3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Ahmad, M., Ok, Y.S., Kim, B.Y., Ahn, J.H., Lee, Y.H., Zhang, M., Moon, D.H., Al-Wabel, M.I., Lee, S.S., 2016. Impact of soybean stover- and pine needle-derived biochars on Pb and As mobility, microbial community, and carbon stability in a contaminated agricultural soil. Journal of Environmental Management 166, 131–139.</w:t>
      </w:r>
    </w:p>
    <w:p w14:paraId="5774EFC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Ahmad, M., Rajapaksha, A.U., Lim, J.E., Zhang, M., Bolan, N., Mohan, D., Vithanage, M., Lee, S.S., Ok, Y.S., 2014. Biochar as a sorbent for contaminant management in soil and water: A review. Chemosphere 99, 19–23.</w:t>
      </w:r>
    </w:p>
    <w:p w14:paraId="3C1FB45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Akaike, H., 1974. A new look at the statistical model identification. IEEE Transactions on Automatic Control 19, 716–723.</w:t>
      </w:r>
    </w:p>
    <w:p w14:paraId="2755F13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Akpa, O.M., Unuabonah, E.I., 2011. Small-Sample Corrected Akaike Information Criterion: An appropriate statistical tool for ranking of adsorption isotherm models. </w:t>
      </w:r>
      <w:r w:rsidRPr="00216965">
        <w:rPr>
          <w:rFonts w:cs="Times New Roman"/>
          <w:noProof/>
          <w:szCs w:val="24"/>
          <w:lang w:val="it-IT"/>
        </w:rPr>
        <w:t>Desalination 272, 20–26.</w:t>
      </w:r>
    </w:p>
    <w:p w14:paraId="271326F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Al Chami, Z., Cavoski, I., Mondelli, D., Miano, T., 2013. </w:t>
      </w:r>
      <w:r w:rsidRPr="00216965">
        <w:rPr>
          <w:rFonts w:cs="Times New Roman"/>
          <w:noProof/>
          <w:szCs w:val="24"/>
        </w:rPr>
        <w:t>Effect of compost and manure amendments on zinc soil speciation, plant content, and translocation in an artificially contaminated soil. Environmental Science and Pollution Research 20, 4766–4776.</w:t>
      </w:r>
    </w:p>
    <w:p w14:paraId="24C9B73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Alfarra, A., Frackowiak, E., Béguin, F., 2004. The HSAB concept as a means to interpret the adsorption of metal ions onto activated carbons. Applied Surface Science 228, 84–92.</w:t>
      </w:r>
    </w:p>
    <w:p w14:paraId="6987177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Ali, S., Zia-ur-Rehman, M., Abbas, F., Rinklebe, J., Farooq Qayyum, M., Hannan, F., Rizwan, M., Abbas, T., Sik Ok, Y., 2017. Effect of biochar on cadmium bioavailability and uptake in wheat ( Triticum aestivum L.) grown in a soil with aged contamination. Ecotoxicology and Environmental Safety 140, 37–47.</w:t>
      </w:r>
    </w:p>
    <w:p w14:paraId="7E9B2F0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Álvarez-Aragón, R., Haro, R., Benito, B., Rodríguez-Navarro, A., 2016. Salt intolerance in Arabidopsis: shoot and root sodium toxicity, and inhibition by sodium-plus-potassium overaccumulation. Planta 243, 97–114.</w:t>
      </w:r>
    </w:p>
    <w:p w14:paraId="2269003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Amari, T., Ghnaya, T., Abdelly, C., 2017. Nickel, cadmium and lead phytotoxicity and </w:t>
      </w:r>
      <w:r w:rsidRPr="00216965">
        <w:rPr>
          <w:rFonts w:cs="Times New Roman"/>
          <w:noProof/>
          <w:szCs w:val="24"/>
        </w:rPr>
        <w:lastRenderedPageBreak/>
        <w:t>potential of halophytic plants in heavy metal extraction. South African Journal of Botany 111, 99–110.</w:t>
      </w:r>
    </w:p>
    <w:p w14:paraId="313AB0A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Amoah-Antwi, C., Kwiatkowska-Malina, J., Szara, E., Thornton, S., Fenton, O., Malina, G., 2020. Efficacy of woodchip biochar and brown coal waste as stable sorbents for abatement of bioavailable cadmium, lead and zinc in soil. Water, Air, and Soil Pollution 231, 515.</w:t>
      </w:r>
    </w:p>
    <w:p w14:paraId="33989D2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Amoah-Antwi, Collins, Kwiatkowska-Malina, J., Thornton, S.F., Fenton, O., Malina, G., Szara, E., 2020. Restoration of soil quality using biochar and brown coal waste: A review. Science of the Total Environment 722, 137852.</w:t>
      </w:r>
    </w:p>
    <w:p w14:paraId="00D11BB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Anderson, C.R., Condron, L.M., Clough, T.J., Fiers, M., Stewart, A., Hill, R.A., Sherlock, R.R., 2011. Biochar induced soil microbial community change: Implications for biogeochemical cycling of carbon, nitrogen and phosphorus. Pedobiologia 54, 309–320.</w:t>
      </w:r>
    </w:p>
    <w:p w14:paraId="7120E05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Anielak, A.M., Schmidt, R., 2011. Sorption of lead and cadmium cations on natural and manganese-modified zeolite. Polish Journal of Environmental Studies 20, 15–19.</w:t>
      </w:r>
    </w:p>
    <w:p w14:paraId="154B77E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Antoniadis, V., Tsadilas, C.D., 2007. Sorption of cadmium, nickel, and zinc in mono- and multimetal systems. Applied Geochemistry 22, 2375–2380.</w:t>
      </w:r>
    </w:p>
    <w:p w14:paraId="0B436F2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Anyika, C., Abdul Majid, Z., Ibrahim, Z., Zakaria, M.P., Yahya, A., 2015. The impact of biochars on sorption and biodegradation of polycyclic aromatic hydrocarbons in soils—a review. Environmental Science and Pollution Research 22, 3314–3341.</w:t>
      </w:r>
    </w:p>
    <w:p w14:paraId="350CC2C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Arán, D., Antelo, J., Fiol, S., Macías, F., 2016. Influence of feedstock on the copper removal capacity of waste-derived biochars. Bioresource Technology 212, 199–206.</w:t>
      </w:r>
    </w:p>
    <w:p w14:paraId="459A07D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Arif, N., Yadav, V., Singh, Shweta, Singh, Swati, Ahmad, P., Mishra, R.K., Sharma, S., Tripathi, D.K., Dubey, N.K., Chauhan, D.K., 2016. Influence of high and low levels of plant-beneficial heavy metal ions on plant growth and development. Frontiers in Environmental Science 4, 69.</w:t>
      </w:r>
    </w:p>
    <w:p w14:paraId="412AB27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Arrivault, S., Senger, T., Krämer, U., 2006. The Arabidopsis metal tolerance protein AtMTP3 maintains metal homeostasis by mediating Zn exclusion from the shoot under Fe deficiency and Zn oversupply. The Plant Journal 46, 861–879.</w:t>
      </w:r>
    </w:p>
    <w:p w14:paraId="1E0E764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Arthur, E., Cornelis, W., Razzaghi, F., 2012. Compost amendment to sandy soil affects soil properties and greenhouse tomato productivity. Compost Science and Utilization 20, 215–221.</w:t>
      </w:r>
    </w:p>
    <w:p w14:paraId="2BDB2D0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Aslam, D.N., Horwath, W., VanderGheynst, J.S., 2008. Comparison of several maturity indicators for estimating phytotoxicity in compost-amended soil. Waste Management 28, 2070–2076.</w:t>
      </w:r>
    </w:p>
    <w:p w14:paraId="125A11E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Awad, M., Moustafa-Farag, M., Wei, L., Huang, Q., Liu, Z., 2020. Effect of garden waste biochar on the bioavailability of heavy metals and growth of Brassica juncea (L.) in a multi-contaminated soil. Arabian Journal of Geosciences 13, 1–12.</w:t>
      </w:r>
    </w:p>
    <w:p w14:paraId="246C6CA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Ayawei, N., Ebelegi, A.N., Wankasi, D., 2017. Modelling and Interpretation of Adsorption Isotherms. Journal of Chemistry 2017, 3039817.</w:t>
      </w:r>
    </w:p>
    <w:p w14:paraId="6E9232C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Babu, B.C., Naresh, V., Prakash, B.J., Buddhudu, S., 2011. Structural, thermal and dielectric properties of lithium zinc silicate ceramic powders by sol-gel method. Ferroelectrics Letters Section 38, 114–127.</w:t>
      </w:r>
    </w:p>
    <w:p w14:paraId="79B3589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Bandara, T., Franks, A., Xu, J., Chathurika, J.B.A.J., Tang, C., 2021. Biochar aging alters the bioavailability of cadmium and microbial activity in acid contaminated soils. Journal of Hazardous Materials 420, 126666.</w:t>
      </w:r>
    </w:p>
    <w:p w14:paraId="705A26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Bandara, T., Herath, I., Kumarathilaka, P., Hseu, Z.-Y., Sik Ok, Y., Vithanage, M., 2017. Efficacy of woody biomass and biochar for alleviating heavy metal bioavailability in serpentine soil. Environmental Geochemistry and Health 39, 391–401.</w:t>
      </w:r>
    </w:p>
    <w:p w14:paraId="4D91EB4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Bashir, S., Zhu, J., Fu, Q., Hu, H., 2018. Comparing the adsorption mechanism of Cd by rice straw pristine and KOH-modified biochar. Environmental Science and Pollution Research 25, 11875–11883.</w:t>
      </w:r>
    </w:p>
    <w:p w14:paraId="71FC4B3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Beckman Coulter, 2016. Instructions For Use Agencourt AMPure XP.</w:t>
      </w:r>
    </w:p>
    <w:p w14:paraId="76DEC5A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Beesley, L., Inneh, O., Norton, G., Moreno, E., Pardo, T., Clemente, R., Dawson, J., 2014. Assessing the influence of compost and biochar amendments on the mobility and toxicity of metals and arsenic in a naturally contaminated mine soil. Environmental Pollution 186, 195–202.</w:t>
      </w:r>
    </w:p>
    <w:p w14:paraId="5B50E8D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Beesley, L., Moreno, E., Gomez, J., 2010. Effects of biochar and greenwaste compost amendments on mobility, bioavailability and toxicity of inorganic and organic contaminants in a multi-element polluted soil. Environmental Pollution 158, 2282–2287.</w:t>
      </w:r>
    </w:p>
    <w:p w14:paraId="4A0145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fr-FR"/>
        </w:rPr>
      </w:pPr>
      <w:r w:rsidRPr="00216965">
        <w:rPr>
          <w:rFonts w:cs="Times New Roman"/>
          <w:noProof/>
          <w:szCs w:val="24"/>
        </w:rPr>
        <w:t xml:space="preserve">Beesley, L., Moreno, E., Gomez, J., Harris, E., Robinson, B., Sizmur, T., 2011. A review of biochars’ potential role in the remediation, revegetation and restoration of contaminated soils. </w:t>
      </w:r>
      <w:r w:rsidRPr="00216965">
        <w:rPr>
          <w:rFonts w:cs="Times New Roman"/>
          <w:noProof/>
          <w:szCs w:val="24"/>
          <w:lang w:val="fr-FR"/>
        </w:rPr>
        <w:t>Environmental Pollution 159, 3269–3282.</w:t>
      </w:r>
    </w:p>
    <w:p w14:paraId="2DE20D3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fr-FR"/>
        </w:rPr>
        <w:t xml:space="preserve">Bekiaris, G., Peltre, C., Jensen, L.S., Bruun, S., 2016. </w:t>
      </w:r>
      <w:r w:rsidRPr="00216965">
        <w:rPr>
          <w:rFonts w:cs="Times New Roman"/>
          <w:noProof/>
          <w:szCs w:val="24"/>
        </w:rPr>
        <w:t>Using FTIR-photoacoustic spectroscopy for phosphorus speciation analysis of biochars. Spectrochimica Acta - Part A: Molecular and Biomolecular Spectroscopy 168, 29–36.</w:t>
      </w:r>
    </w:p>
    <w:p w14:paraId="5422FB2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Berkowitz, B., Dror, I., Yaron, B., 2014. Abiotic contaminant transformations in subsurface water. In: Contaminant Geochemistry: Interactions and Transport in the Subsurface Environment. Springer, Heidelberg, pp. 1–577.</w:t>
      </w:r>
    </w:p>
    <w:p w14:paraId="5D0B16F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Bian, R., Joseph, S., Cui, L., Pan, G., Li, L., Liu, X., Zhang, A., Rutlidge, H., Wong, S., Chia, C., Marjo, C., Munroe, P., Donne, S., 2014. A three-year experiment confirms continuous immobilization of cadmium and lead in contaminated paddy field with biochar amendment. Journal of Hazardous Materials 272, 121–128.</w:t>
      </w:r>
    </w:p>
    <w:p w14:paraId="0D7DA46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Blattner, F.R., Plunkett, G., Bloch, C.A., Perna, N.T., Burland, V., Riley, M., Collado-Vides, J., Glasner, J.D., Rode, C.K., Mayhew, G.F., Gregor, J., Davis, N.W., Kirkpatrick, H.A., Goeden, M.A., Rose, D.J., Mau, B., Shao, Y., 1997. The complete genome sequence of Escherichia coli K-12. Science 277, 1453–1462.</w:t>
      </w:r>
    </w:p>
    <w:p w14:paraId="2817E71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Bogusz, A., Oleszczuk, P., Dobrowolski, R., 2015. Application of laboratory prepared and commercially available biochars to adsorption of cadmium, copper and zinc ions from water. Bioresource Technology 196, 540–549.</w:t>
      </w:r>
    </w:p>
    <w:p w14:paraId="380A477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Borek, M., Bączek-Kwinta, R., Rapacz, M., 2013. Chlorophyll fluorescence imaging of cadmium-treated white cabbage plants. E3S Web of Conferences 1, 39004.</w:t>
      </w:r>
    </w:p>
    <w:p w14:paraId="7D6534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Břendová, K., Tlustoš, P., Száková, J., Habart, J., 2012. Biochar properties from different materials of plant origin. European Chemical Bulletin 1, 535–539.</w:t>
      </w:r>
    </w:p>
    <w:p w14:paraId="2EA9F3C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Brennan, A., Moreno, E., Alburquerque, J., Knapp, C., Switzer, C., 2014. Effects of biochar and activated carbon amendment on maize growth and the uptake and measured availability of polycyclic aromatic hydrocarbons (PAHs) and potentially toxic elements (PTEs). Environmental Pollution 193, 79–87.</w:t>
      </w:r>
    </w:p>
    <w:p w14:paraId="48FAE08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British Standards, 2018. BS 1377-3:2018 Methods of test for soils for civil engineering purposes. Chemical and electro-chemical testing [WWW Document]. European Standards. URL https://shop.bsigroup.com/ProductDetail/?pid=000000000030351284 (accessed 5.10.21).</w:t>
      </w:r>
    </w:p>
    <w:p w14:paraId="5B83975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Brownsort, P.A., 2009. Biomass pyrolysis processes: Review of scope, control and variability, UKBRC.</w:t>
      </w:r>
    </w:p>
    <w:p w14:paraId="6250F23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Bruyninckx, H., 2019. Land and soil in Europe. Why we need to use these vital and finite resources sustainably, EEA Signals 2019. Copenhagen.</w:t>
      </w:r>
    </w:p>
    <w:p w14:paraId="56680DA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Buss, W., Graham, M.C., Shepherd, J.G., Mašek, O., 2016. Risks and benefits of marginal biomass-derived biochars for plant growth. Science of The Total Environment 569–570, 496–506.</w:t>
      </w:r>
    </w:p>
    <w:p w14:paraId="70DFAC6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Cao, X., Ma, L., Gao, B., Harris, W., 2009. Dairy-manure derived biochar effectively sorbs lead and atrazine. Environmental Science &amp; Technology 43, 3285–3291.</w:t>
      </w:r>
    </w:p>
    <w:p w14:paraId="4FE6FB1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Carmo, D.L. do, Lima, L.B. de, Silva, C.A., 2016. Soil fertility and electrical conductivity affected by organic waste rates and nutrient inputs. Revista Brasileira de Ciência do Solo 40, e0150152.</w:t>
      </w:r>
    </w:p>
    <w:p w14:paraId="6B3B500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CEN, 2005. Water quality – determination of ammonium nitrogen by flow analysis (CFA and FIA) and spectrometric detection, International Standard ISO 11732.</w:t>
      </w:r>
    </w:p>
    <w:p w14:paraId="5D7A495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Chen, D., Liu, X., Bian, R., Cheng, K., Zhang, X., Zheng, J., Joseph, S., Crowley, D., Pan, G., Li, L., 2018. Effects of biochar on availability and plant uptake of heavy metals-A meta-analysis. Journal of Environmental Management 222, 76–85.</w:t>
      </w:r>
    </w:p>
    <w:p w14:paraId="375BF04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Chen, X., Chen, G., Chen, L., Chen, Y., Lehmann, J., McBride, M.B., Hay, A.G., 2011. Adsorption of copper and zinc by biochars produced from pyrolysis of hardwood and corn straw in aqueous solution. Bioresource Technology 102, 8877–8884.</w:t>
      </w:r>
    </w:p>
    <w:p w14:paraId="5D1CFE8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Cheng, M., Wang, A., Liu, Z., Gendall, A.R., Rochfort, S., Tang, C., 2018. Sodium chloride decreases cadmium accumulation and changes the response of metabolites to cadmium stress in the halophyte Carpobrotus rossii. Annals of Botany 122, 373–385.</w:t>
      </w:r>
    </w:p>
    <w:p w14:paraId="3C5D3FC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Chojnacka, K., Chojnacki, A., Górecka, H., Górecki, H., 2005. Bioavailability of heavy metals from polluted soils to plants. Science of the Total Environment 337, 175–182.</w:t>
      </w:r>
    </w:p>
    <w:p w14:paraId="6063D09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Ciscato, M., Vangronsveldb, J., Valcke, R., 1999. Effects of heavy metals on the fast chlorophyll fluorescence induction kinetics of photosystem II: a comparative study. Zeitschrift für Naturforschung C 54, 735–739.</w:t>
      </w:r>
    </w:p>
    <w:p w14:paraId="704605E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Clemens, S., 2006. Toxic metal accumulation, responses to exposure and mechanisms of tolerance in plants. Biochimie 88, 1707–1719.</w:t>
      </w:r>
    </w:p>
    <w:p w14:paraId="495D289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Colthup, N.B., Daly, L.H., Wiberley, S.E., 1990. Introduction to Infrared and Raman Spectroscopy, Third. ed. Academic Press, Inc, San Diego, California.</w:t>
      </w:r>
    </w:p>
    <w:p w14:paraId="15EBE3C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Cui, T., Fang, L., Wang, M., Jiang, M., Shen, G., 2018. Intercropping of gramineous pasture ryegrass (Lolium perenne L.) and leguminous forage alfalfa (Medicago sativa L.) increases the resistance of plants to heavy metals. Journal of Chemistry 2018, 7803408.</w:t>
      </w:r>
    </w:p>
    <w:p w14:paraId="158E33D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Cui, X., Fang, S., Yao, Y., Li, T., Ni, Q., Yang, X., He, Z., 2016a. Potential mechanisms of cadmium removal from aqueous solution by Canna indica derived biochar. Science of the Total Environment 562, 517–525.</w:t>
      </w:r>
    </w:p>
    <w:p w14:paraId="0B67A43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Cui, X., Hao, H., Zhang, C., He, Z., Yang, X., 2016b. Capacity and mechanisms of ammonium and cadmium sorption on different wetland-plant derived biochars. Science of the Total Environment 539, 566–575.</w:t>
      </w:r>
    </w:p>
    <w:p w14:paraId="22127A3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Das, S.K., Ghosh, G.K., Avasthe, R., 2020. Evaluating biomas-derived biochar on seed germination and early seedling growth of maize and black gram. Biomass Conversion and Biorefinery 2020 1–14.</w:t>
      </w:r>
    </w:p>
    <w:p w14:paraId="39E6587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Datanovia, 2020. Heatmap in R: Static and interactive visualization [WWW Document]. URL https://www.datanovia.com/en/lessons/heatmap-in-r-static-and-interactive-visualization/ (accessed 3.22.22).</w:t>
      </w:r>
    </w:p>
    <w:p w14:paraId="54DD46B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Demsar, J., Curk, T., Erjavec, A., Gorup, C., Hocevar, T., Milutinovic, M., Mozina, M., Polajnar, M., Toplak, M., Staric, A., Stajdohar, M., Umek, L., Zagar, L., Zbontar, J., Zitnik, M., Zupan, B., 2013. Orange: Data mining toolbox in phyton. Journal of Machine Learning Research 14, 2349−2353.</w:t>
      </w:r>
    </w:p>
    <w:p w14:paraId="47EFBB9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Derakhshan, Z., Chae, M., Ki-Hyun, K., 2017. Remediation of soils contaminated with heavy metals with an emphasis on immobilization technology. Environmental Geochemistry and Health.</w:t>
      </w:r>
    </w:p>
    <w:p w14:paraId="52FD790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Di Bonito, M., 2005. Trace elements in soil pore water: a comparison of sampling methods. University of Nottingham.</w:t>
      </w:r>
    </w:p>
    <w:p w14:paraId="61182F0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Dixit, R., Malaviya, D., Pandiyan, K., Singh, U.B., Sahu, A., Shukla, R., Singh, B.P., Rai, J.P., Kumar Sharma, P., Lade, H., Paul, D., 2015. Bioremediation of heavy metals from soil and aquatic environment: An overview of principles and criteria of fundamental processes. Sustainability 7, 2189–2212.</w:t>
      </w:r>
    </w:p>
    <w:p w14:paraId="77D1B9B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Dohrmann, R., 2006. Cation exchange capacity methodology II: A modified silver-thiourea method. Applied Clay Science 34, 38–46.</w:t>
      </w:r>
    </w:p>
    <w:p w14:paraId="43CECA4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Domingues, R.R., Trugilho, P.F., Silva, C.A., de Melo, I.C., Melo, L.C.A., Magriotis, Z.M., Sánchez-Monedero, M.A., 2017. Properties of biochar derived from wood and high-nutrient biomasses with the aim of agronomic and environmental benefits. </w:t>
      </w:r>
      <w:r w:rsidRPr="00216965">
        <w:rPr>
          <w:rFonts w:cs="Times New Roman"/>
          <w:noProof/>
          <w:szCs w:val="24"/>
        </w:rPr>
        <w:lastRenderedPageBreak/>
        <w:t>PLOS ONE 12, e0176884.</w:t>
      </w:r>
    </w:p>
    <w:p w14:paraId="6F33823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Dougherty, D.A., 1996. Cation-π interactions in chemistry and biology: A new view of benzene, Phe, Tyr, and Trp. Science 271, 163–168.</w:t>
      </w:r>
    </w:p>
    <w:p w14:paraId="2617C2E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Dubinin, M., 1975. Physical Adsorption of Gases and Vapors in Micropores. Elsevier.</w:t>
      </w:r>
    </w:p>
    <w:p w14:paraId="789C53C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Duffus, J.H., 2002. “Heavy metals”- A meaningless term? (IUPAC technical report). Pure and Applied Chemistry 74, 793–807.</w:t>
      </w:r>
    </w:p>
    <w:p w14:paraId="204801C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Edwards, P., Williams, T., Stanley, P., 2016. Surface water management and encapsulation of mine waste to reduce water pollution from Frongoch Mine , Mid Wales. Cardiff.</w:t>
      </w:r>
    </w:p>
    <w:p w14:paraId="0578A6D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EEA, 2014. Progress in management of contaminated sites - Indicator Assessment | Data and maps 1–51.</w:t>
      </w:r>
    </w:p>
    <w:p w14:paraId="00A4D8B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Environment Agency, 2009. Using soil guideline values. Environment Agency, Cardiff.</w:t>
      </w:r>
    </w:p>
    <w:p w14:paraId="4F1A220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de-DE"/>
        </w:rPr>
      </w:pPr>
      <w:r w:rsidRPr="00216965">
        <w:rPr>
          <w:rFonts w:cs="Times New Roman"/>
          <w:noProof/>
          <w:szCs w:val="24"/>
        </w:rPr>
        <w:t xml:space="preserve">Epelde, L., Becerril, J.M., Herná Ndez-Allica, J., Barrutia, O., Garbisu, C., 2008. Functional diversity as indicator of the recovery of soil health derived from Thlaspi caerulescens growth and metal phytoextraction. </w:t>
      </w:r>
      <w:r w:rsidRPr="00216965">
        <w:rPr>
          <w:rFonts w:cs="Times New Roman"/>
          <w:noProof/>
          <w:szCs w:val="24"/>
          <w:lang w:val="de-DE"/>
        </w:rPr>
        <w:t>Applied Soil Ecology 39, 299–310.</w:t>
      </w:r>
    </w:p>
    <w:p w14:paraId="3897EF3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Ernst, W., Knolle, F., Kratz, S., Schnug, E., 2004. </w:t>
      </w:r>
      <w:r w:rsidRPr="00216965">
        <w:rPr>
          <w:rFonts w:cs="Times New Roman"/>
          <w:noProof/>
          <w:szCs w:val="24"/>
        </w:rPr>
        <w:t>Aspects of ecotoxicology of heavy metals in the Harz region-a guided excursion. Landbauforschung Volkenrode 54, 53–71.</w:t>
      </w:r>
    </w:p>
    <w:p w14:paraId="37C1B8C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Filgueiras, A. V, Lavilla, I., Bendicho, C., 2002. Chemical sequential extraction for metal partitioning in environmental solid samples. Journal of Environmental Monitoring 4, 823–857.</w:t>
      </w:r>
    </w:p>
    <w:p w14:paraId="1DDB487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Fiore, S., Berruti, F., Briens, C., 2018. Investigation of innovative and conventional pyrolysis of ligneous and herbaceous biomasses for biochar production. </w:t>
      </w:r>
      <w:r w:rsidRPr="00216965">
        <w:rPr>
          <w:rFonts w:cs="Times New Roman"/>
          <w:noProof/>
          <w:szCs w:val="24"/>
          <w:lang w:val="it-IT"/>
        </w:rPr>
        <w:t>Biomass and Bioenergy 119, 381–391.</w:t>
      </w:r>
    </w:p>
    <w:p w14:paraId="00770B3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Florio, A., Felici, B., Migliore, M., Teresa, M., Abate, D., Benedetti, A., 2015. </w:t>
      </w:r>
      <w:r w:rsidRPr="00216965">
        <w:rPr>
          <w:rFonts w:cs="Times New Roman"/>
          <w:noProof/>
          <w:szCs w:val="24"/>
        </w:rPr>
        <w:t>Nitrogen losses, uptake and abundance of ammonia oxidizers in soil under mineral and organo-mineral fertilization regimes. Society of Chemical Industry 96, 2440–2450.</w:t>
      </w:r>
    </w:p>
    <w:p w14:paraId="71F51F1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de-DE"/>
        </w:rPr>
      </w:pPr>
      <w:r w:rsidRPr="00216965">
        <w:rPr>
          <w:rFonts w:cs="Times New Roman"/>
          <w:noProof/>
          <w:szCs w:val="24"/>
        </w:rPr>
        <w:t xml:space="preserve">Foley, J.A., Defries, R., Asner, G.P., Barford, C., Bonan, G., Carpenter, S.R., Chapin, F.S., Coe, M.T., Daily, G.C., Gibbs, H.K., Helkowski, J.H., Holloway, T., Howard, E.A., Kucharik, C.J., Monfreda, C., Patz, J.A., Prentice, I.C., Ramankutty, N., Snyder, P.K., 2005. </w:t>
      </w:r>
      <w:r w:rsidRPr="00216965">
        <w:rPr>
          <w:rFonts w:cs="Times New Roman"/>
          <w:noProof/>
          <w:szCs w:val="24"/>
          <w:lang w:val="de-DE"/>
        </w:rPr>
        <w:t>Global consequences of land use. Science 309, 570–574.</w:t>
      </w:r>
    </w:p>
    <w:p w14:paraId="63B7338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de-DE"/>
        </w:rPr>
      </w:pPr>
      <w:r w:rsidRPr="00216965">
        <w:rPr>
          <w:rFonts w:cs="Times New Roman"/>
          <w:noProof/>
          <w:szCs w:val="24"/>
          <w:lang w:val="de-DE"/>
        </w:rPr>
        <w:t>Freundlich, H., 1906. Über die Adsorption in Lösungen. Zeitschrift für Physikalische Chemie 57U, 385–470.</w:t>
      </w:r>
    </w:p>
    <w:p w14:paraId="064012C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es-419"/>
        </w:rPr>
        <w:t xml:space="preserve">García-Carmona, M., Romero-Freire, A., Sierra Aragón, M., Martínez Garzón, F.J., Martín Peinado, F.J., 2017. </w:t>
      </w:r>
      <w:r w:rsidRPr="00216965">
        <w:rPr>
          <w:rFonts w:cs="Times New Roman"/>
          <w:noProof/>
          <w:szCs w:val="24"/>
        </w:rPr>
        <w:t>Evaluation of remediation techniques in soils affected by residual contamination with heavy metals and arsenic. Journal of Environmental Management 191, 228–236.</w:t>
      </w:r>
    </w:p>
    <w:p w14:paraId="631CAB7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Gemmell, R.P., 1981. The reclamation of acidic colliery spoil II. The use of lime wastes. Journal of Applied Ecology 18, 879–887.</w:t>
      </w:r>
    </w:p>
    <w:p w14:paraId="5DE9D76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Giles, C., MacEwan, T., Nakhwa, S., Smith, D., 1960. A system of classification of solution adsorption isotherms, and its use in diagnosis of adsorption mechanisms and in measurement of specific surface areas of solids. Journal of the Chemical Society 30, 3973–3993.</w:t>
      </w:r>
    </w:p>
    <w:p w14:paraId="6EF983F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Giller, K.E., Witter, E., Mcgrath, S.P., 1998. Toxicity of heavy metals to microorganisms and microbial processes in agricultural soils: A review. Soil Biology and Biochemistry 30, 1389–1414.</w:t>
      </w:r>
    </w:p>
    <w:p w14:paraId="7547F2F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Giusquiani, P.L., Marucchini, C., Businelli, M., 1988. Chemical properties of soils amended with compost of urban waste. Plant and Soil 109, 73–78.</w:t>
      </w:r>
    </w:p>
    <w:p w14:paraId="643FF68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fr-FR"/>
        </w:rPr>
      </w:pPr>
      <w:r w:rsidRPr="00216965">
        <w:rPr>
          <w:rFonts w:cs="Times New Roman"/>
          <w:noProof/>
          <w:szCs w:val="24"/>
        </w:rPr>
        <w:t xml:space="preserve">Gomez-Eyles, J.L., Sizmur, T., Collins, C.D., Hodson, M.E., 2011. Effects of biochar and the earthworm Eisenia fetida on the bioavailability of polycyclic aromatic hydrocarbons and potentially toxic elements. </w:t>
      </w:r>
      <w:r w:rsidRPr="00216965">
        <w:rPr>
          <w:rFonts w:cs="Times New Roman"/>
          <w:noProof/>
          <w:szCs w:val="24"/>
          <w:lang w:val="fr-FR"/>
        </w:rPr>
        <w:t>Environmental Pollution 159, 616–622.</w:t>
      </w:r>
    </w:p>
    <w:p w14:paraId="04E1269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fr-FR"/>
        </w:rPr>
        <w:t xml:space="preserve">Goutelle, S., Maurin, M., Rougier, F., Barbaut, X., Bourguignon, L., Ducher, M., Maire, P., 2008. </w:t>
      </w:r>
      <w:r w:rsidRPr="00216965">
        <w:rPr>
          <w:rFonts w:cs="Times New Roman"/>
          <w:noProof/>
          <w:szCs w:val="24"/>
        </w:rPr>
        <w:t>The Hill equation: A review of its capabilities in pharmacological modelling. Fundamental and Clinical Pharmacology 22, 633–648.</w:t>
      </w:r>
    </w:p>
    <w:p w14:paraId="4C92DD6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Grove, J.H., Sumner, M.E., Syers, J.K., 1981. Effect of lime on exchangeable magnesium in variable surface charge soils. Soil Science Society of America Journal 45, 497–500.</w:t>
      </w:r>
    </w:p>
    <w:p w14:paraId="394585A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Hailegnaw, N.S., Mercl, F., Pračke, K., Száková, J., Tlustoš, P., 2019. Mutual relationships of biochar and soil pH, CEC, and exchangeable base cations in a model laboratory experiment. Journal of Soils and Sediments 19, 2405–2416.</w:t>
      </w:r>
    </w:p>
    <w:p w14:paraId="3B241B9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Hajiboland, Hasani, B., 2007. Effect of Cu and Mn toxicity on chlorophyll fluorescence and gas exchanfe in rice and sunflower under different light intensities. Journal of Stress Physiology &amp; Biochemistry 3, 4–17.</w:t>
      </w:r>
    </w:p>
    <w:p w14:paraId="7343999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Hamad, S.H., Schauer, J.J., Shafer, M.M., Al-Rheem, E.A., Skaar, P.S., Heo, J., Tejedor-Tejedor, I., 2014. Risk assessment of total and bioavailable potentially toxic elements (PTEs) in urban soils of Baghdad-Iraq. Science of the Total Environment 494–495, 39–48.</w:t>
      </w:r>
    </w:p>
    <w:p w14:paraId="0367397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Harmsen, J., Rulkens, W., Eijsackers, H., 2005. Bioavailability: Concept for understanding or tool for predicting? Land Contamination and Reclamation 13, 161–171.</w:t>
      </w:r>
    </w:p>
    <w:p w14:paraId="2A14C31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Harvey, O.R., Herbert, B.E., Rhue, R.D., Kuo, L.-J., 2011. Metal interactions at the biochar-water interface: Energetics and structure-sorption relationships elucidated by flow adsorption microcalorimetry. Environmental Science &amp; Technology 45, 5550–5556.</w:t>
      </w:r>
    </w:p>
    <w:p w14:paraId="798CB43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Hawkins, B.J., Robbins, S., 2010. pH affects ammonium, nitrate and proton fluxes in the apical region of conifer and soybean roots. Physiologia Plantarum 138, 238–247.</w:t>
      </w:r>
    </w:p>
    <w:p w14:paraId="25EAE65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He, M., Xiong, X., Wang, L., Hou, D., Bolan, N.S., Sik, Y., 2021. A critical review on performance indicators for evaluating soil biota and soil health of biochar-amended soils. Journal of Hazardous Materials 414, 125378.</w:t>
      </w:r>
    </w:p>
    <w:p w14:paraId="3F94812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Henriksen, T.M., Breland, T.A., 1999. Nitrogen availability effects on carbon mineralization, fungal and bacterial growth, and enzyme activities during decomposition of wheat straw in soil. Soil Biology and Biochemistry 31, 1121–1134.</w:t>
      </w:r>
    </w:p>
    <w:p w14:paraId="3F2ADF2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Hermans, S.M., Buckley, H.L., Case, B.S., Curran-cournane, F., Taylor, M., 2017. Bacteria as emerging indicators of soil condition. Applied and Environmental Microbiology 83, e02826-16.</w:t>
      </w:r>
    </w:p>
    <w:p w14:paraId="6ABFA0E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Hilber, I., Bastos, A.C., Loureiro, S., Soja, G., Marsz, A., Cornelissen, G., Bucheli, T.D., 2017. The different faces of biochar: contamination risk versus remediation tool. Journal of Environmental Engineering and Landscape Management 25, 86–104.</w:t>
      </w:r>
    </w:p>
    <w:p w14:paraId="548D820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Hill, A.V., 1910. The possible effects of the aggregation of the molecules of haemoglobin on its dissociation curves. The Journal of Physiology 40, iv–vii.</w:t>
      </w:r>
    </w:p>
    <w:p w14:paraId="53C34AB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Ho, Y.S., McKay, G., 1998. Sorption of dye from aqueous solution by peat. Chemical Engineering Journal 70, 115–124.</w:t>
      </w:r>
    </w:p>
    <w:p w14:paraId="06175E4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Hu, L., Li, H., Pang, H., Fu, J., 2012. Responses of antioxidant gene, protein and enzymes to salinity stress in two genotypes of perennial ryegrass (Lolium perenne) differing in salt tolerance. Journal of Plant Physiology 169, 146–156.</w:t>
      </w:r>
    </w:p>
    <w:p w14:paraId="49896C7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Hu, Q., Zhang, Z., 2019. Application of Dubinin–Radushkevich isotherm model at the solid/solution interface: A theoretical analysis. Journal of Molecular Liquids 277, 646–648.</w:t>
      </w:r>
    </w:p>
    <w:p w14:paraId="3811F4E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Iatrou, M., Papadopoulos, A., Papadopoulos, F., Dichala, O., Psoma, P., Bountla, A., 2014. Determination of soil available phosphorus using the Olsen and Mehlich 3 methods for Greek soils having variable amounts of calcium carbonate. Communications in Soil Science and Plant Analysis 45, 2207–2214.</w:t>
      </w:r>
    </w:p>
    <w:p w14:paraId="23EE2C0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Igalavithana, A.D., Lee, S.E., Lee, Y.H., Tsang, D.C.W., Rinklebe, J., Kwon, E.E., Ok, Y.S., 2017. Heavy metal immobilization and microbial community abundance by vegetable waste and pine cone biochar of agricultural soils. Chemosphere 174, 593–603.</w:t>
      </w:r>
    </w:p>
    <w:p w14:paraId="031C9D2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Illumina, 2013. 16S Metagenomic Sequencing Library Preparation.</w:t>
      </w:r>
    </w:p>
    <w:p w14:paraId="7BC6B8D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Inyang, M., Dickenson, E., 2015. The potential role of biochar in the removal of organic and microbial contaminants from potable and reuse water: A review. </w:t>
      </w:r>
      <w:r w:rsidRPr="00216965">
        <w:rPr>
          <w:rFonts w:cs="Times New Roman"/>
          <w:noProof/>
          <w:szCs w:val="24"/>
          <w:lang w:val="it-IT"/>
        </w:rPr>
        <w:t>Chemosphere 134, 232–240.</w:t>
      </w:r>
    </w:p>
    <w:p w14:paraId="11AED73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Irvan, Husaini, T., Trisakti, B., Batubara, F., Daimon, H., 2018. </w:t>
      </w:r>
      <w:r w:rsidRPr="00216965">
        <w:rPr>
          <w:rFonts w:cs="Times New Roman"/>
          <w:noProof/>
          <w:szCs w:val="24"/>
        </w:rPr>
        <w:t>Composting of empty fruit bunches in the tower composter-effect of air intake holes. In: IOP Conference Series: Materials Science and Engineering. p. 012066.</w:t>
      </w:r>
    </w:p>
    <w:p w14:paraId="7B84581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Jaafar, N., Clode, P., Abbott, L., 2015. Soil microbial responses to biochars varying in particle size, surface and pore roperties. Pedosphere 25, 770–780.</w:t>
      </w:r>
    </w:p>
    <w:p w14:paraId="1F3439C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Janus, A., Pelfrêne, A., Heymans, S., Deboffe, C., Douay, F., Waterlot, C., 2015. Elaboration, characteristics and advantages of biochars for the management of contaminated soils with a specific overview on Miscanthus biochars. Journal of Environmental Management 162, 275–289.</w:t>
      </w:r>
    </w:p>
    <w:p w14:paraId="319975D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Jayakumar, K., Jaleel, A., Azooz, M.M., 2008. Impact of cobalt on germination and seedling growth of Eleusine coracana l. and Oryza sativa l. under hydroponic culture. Global Journal of Molecular Sciences 3, 18–20.</w:t>
      </w:r>
    </w:p>
    <w:p w14:paraId="6749835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Jiang, J., Peng, Y., Yuan, M., Hong, Z., Wang, D., Xu, R., 2015. Rice straw-derived biochar properties and functions as Cu(II) and cyromazine sorbents as influenced by pyrolysis temperature. Pedosphere 25, 781–789.</w:t>
      </w:r>
    </w:p>
    <w:p w14:paraId="0A40146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Jiang, S., Nguyen, T.A.H., Rudolph, V., Yang, H., Zhang, D., Ok, Y.S., Huang, L., 2017. Characterization of hard- and softwood biochars pyrolyzed at high temperature. Environmental Geochemistry and Health 39, 403–415.</w:t>
      </w:r>
    </w:p>
    <w:p w14:paraId="575B293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Jien, S.H., Kuo, Y.L., Liao, C. Sen, Wu, Y.T., Igalavithana, A.D., Tsang, D.C.W., Ok, Y.S., 2020. Effects of field scale in situ biochar incorporation on soil environment in a tropical highly weathered soil. Environmental Pollution 116009.</w:t>
      </w:r>
    </w:p>
    <w:p w14:paraId="5F497B4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Jindo, K., Sánchez-Monedero, M.A., Hernández, T., García, C., Furukawa, T., Matsumoto, K., Sonoki, T., Bastida, F., 2012. Biochar influences the microbial community structure during manure composting with agricultural wastes. Science of the Total Environment 416, 476–481.</w:t>
      </w:r>
    </w:p>
    <w:p w14:paraId="210BFBA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Johnson, J.S., Spakowicz, D.J., Hong, B.-Y., Petersen, L.M., Demkowicz, P., Chen, L., Leopold, S.R., Hanson, B.M., Agresta, H.O., Gerstein, M., Sodergren, E., Weinstock, G.M., 2019. Evaluation of 16S rRNA gene sequencing for species and strain-level microbiome analysis. Nature communications 10, 1–11.</w:t>
      </w:r>
    </w:p>
    <w:p w14:paraId="63C24F3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Jones, D.L., Rousk, J., Edwards-Jones, G., DeLuca, T.H., Murphy, D. V., 2012. Biochar-mediated changes in soil quality and plant growth in a three year field trial. Soil Biology and Biochemistry 45, 113–124.</w:t>
      </w:r>
    </w:p>
    <w:p w14:paraId="306511F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Jones, R.T., 2015. A comprehensive survey of soil rhizobiales diversity using high-throughput DNA sequencing. In: de Bruijn, F.J. (Ed.), Biological Nitrogen Fixation. John Wiley &amp; Sons, Inc, Montana, pp. 769–775.</w:t>
      </w:r>
    </w:p>
    <w:p w14:paraId="306F4B0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Jones, T., Federspiel, N.A., Chibana, H., Dungan, J., Kalman, S., Magee, B.B., Newport, G., Thorstenson, Y.R., Agabian, N., Magee, P.T., Davis, R.W., Scherer, S., 2004. The diploid genome sequence of Candida albicans. Proceedings of the National Academy of Sciences 101, 7329–7334.</w:t>
      </w:r>
    </w:p>
    <w:p w14:paraId="389D657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Joseph, S., Cowie, A.L., Van Zwieten, L., Bolan, N., Budai, A., Buss, W., Cayuela, M.L., Graber, E.R., Ippolito, J., Kuzyakov, Y., Luo, Y., Ok, Y.S., Palansooriya, K.N., Shepherd, J., Stephens, S., Weng, Z. (Han), Lehmann, J., 2021. How biochar works, and when it doesn’t: A review of mechanisms controlling soil and plant responses to biochar. GCB Bioenergy: Bioproducts for a Sustainable Bioeconomy 13, 1731–1764.</w:t>
      </w:r>
    </w:p>
    <w:p w14:paraId="094B5D7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Kabata-Pendias, A., Pendias, H., 2001. Trace elements in soils and plants, Third Edit. ed. CRC Press LLC, Boca Raton.</w:t>
      </w:r>
    </w:p>
    <w:p w14:paraId="2B4DEED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Kah, M., Sun, H., Sigmund, G., Hüffer, T., Hofmann, T., 2016. Pyrolysis of waste materials: Characterization and prediction of sorption potential across a wide range of mineral contents and pyrolysis temperatures. Bioresource Technology 214, 225–233.</w:t>
      </w:r>
    </w:p>
    <w:p w14:paraId="67D02F3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Kandeler, E., Kampichler, C., Horak, O., 1996. Influence of heavy metals on the functional diversity of soil microbial communities. Biology and Fertility of Soils 23, 299–306.</w:t>
      </w:r>
    </w:p>
    <w:p w14:paraId="38B0B9B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Karami, N., Clemente, R., Moreno, E., Lepp, N., Beesley, L., 2011. Efficiency of green waste compost and biochar soil amendments for reducing lead and copper mobility and uptake to ryegrass. Journal of Hazardous Materials 191, 41–48.</w:t>
      </w:r>
    </w:p>
    <w:p w14:paraId="6ED1355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Keiluweit, M., Kleber, M., Sparrow, M.A., Simoneit, B.R.T., Prahl, F.G., 2012. Solvent-extractable polycyclic aromatic hydrocarbons in biochar: Influence of pyrolysis temperature and feedstock. Environmental Science &amp; Technology 46, 9333–9341.</w:t>
      </w:r>
    </w:p>
    <w:p w14:paraId="6AF8034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Keiluweit, M., Nico, P.S., Johnson, M., Kleber, M., 2010. Dynamic molecular structure of plant biomass-derived black carbon (biochar). Environmental Science and Technology 44, 1247–1253.</w:t>
      </w:r>
    </w:p>
    <w:p w14:paraId="47A1946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Khan, R., Khan, M.M., 2010. Effect of varying concentration of nickel and cobalt on the plant growth and yield of chickpea. Australian Journal of Basic and Applied Sciences 4, 1036–1046.</w:t>
      </w:r>
    </w:p>
    <w:p w14:paraId="1CC616E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Khasifah, M., 2016. The impact of biochar on soil functioning in two contrasting climates. Lancaster University.</w:t>
      </w:r>
    </w:p>
    <w:p w14:paraId="766917D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Kielak, A.M., Barreto, C.C., Kowalchuk, G.A., van Veen, J.A., Kuramae, E.E., 2016. The ecology of acidobacteria: Moving beyond genes and genomes. Frontiers in Microbiology 7, 744.</w:t>
      </w:r>
    </w:p>
    <w:p w14:paraId="38C5A73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Kim, R.Y., Yoon, J.K., Kim, T.S., Yang, J.E., Owens, G., Kim, K.R., 2015. Bioavailability of heavy metals in soils: definitions and practical implementation—a critical review. Environmental Geochemistry and Health 37, 1041–1061.</w:t>
      </w:r>
    </w:p>
    <w:p w14:paraId="11ABF34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Kinniburgh, D.G., Miles, D.L., 1983. Extraction and chemical analysis of interstitial water from soils and rocks. Environmental Science &amp; Technology 17, 362–368.</w:t>
      </w:r>
    </w:p>
    <w:p w14:paraId="0CA06A3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Klindworth, A., Pruesse, E., Schweer, T., Peplies, J., Quast, C., Horn, M., Glöckner, F.O., 2013. Evaluation of general 16S ribosomal RNA gene PCR primers for classical and next-generation sequencing-based diversity studies. Nucleic Acids Research 41, 1–11.</w:t>
      </w:r>
    </w:p>
    <w:p w14:paraId="0116C8A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Komkiene, J., Baltrenaite, E., 2016. Biochar as adsorbent for removal of heavy metal ions [cadmium(II), copper(II), lead(II), zinc(II)] from aqueous phase. International Journal of Environmental Science and Technology 13, 471–482.</w:t>
      </w:r>
    </w:p>
    <w:p w14:paraId="621B480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Komnitsas, K.A., Zaharaki, D., 2016. Morphology of modified biochar and its potential for phenol removal from aqueous solutions. Frontiers in Environmental Science 4, 1–11.</w:t>
      </w:r>
    </w:p>
    <w:p w14:paraId="4BA77E0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Kumaresan, D., Cross, A.T., Moreira-Grez, B., Kariman, K., Nevill, P., Stevens, J., Allcock, R.J.N., O’Donnell, A.G., Dixon, K.W., Whiteley, A.S., 2017. Microbial functional capacity is preserved within engineered soil formulations used in mine site restoration. Scientific Reports 7, 1–10.</w:t>
      </w:r>
    </w:p>
    <w:p w14:paraId="739AA20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Kutrowska, A., Małecka, A., Piechalak, A., Masiakowski, W., Hanć, A., Barałkiewicz, D., Andrzejewska, B., Zbierska, J., Tomaszewska, B., 2017. Effects of binary metal </w:t>
      </w:r>
      <w:r w:rsidRPr="00216965">
        <w:rPr>
          <w:rFonts w:cs="Times New Roman"/>
          <w:noProof/>
          <w:szCs w:val="24"/>
        </w:rPr>
        <w:lastRenderedPageBreak/>
        <w:t>combinations on zinc, copper, cadmium and lead uptake and distribution in Brassica juncea. Journal of Trace Elements in Medicine and Biology 44, 32–39.</w:t>
      </w:r>
    </w:p>
    <w:p w14:paraId="0E474F2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de-DE"/>
        </w:rPr>
      </w:pPr>
      <w:r w:rsidRPr="00216965">
        <w:rPr>
          <w:rFonts w:cs="Times New Roman"/>
          <w:noProof/>
          <w:szCs w:val="24"/>
        </w:rPr>
        <w:t xml:space="preserve">Lagergren, S., 1907. </w:t>
      </w:r>
      <w:r w:rsidRPr="00216965">
        <w:rPr>
          <w:rFonts w:cs="Times New Roman"/>
          <w:noProof/>
          <w:szCs w:val="24"/>
          <w:lang w:val="de-DE"/>
        </w:rPr>
        <w:t>Zur theorie der sogenannten adsorption geloster stoffe. Zeitschr f Chem und Ind der Kolloide 2.</w:t>
      </w:r>
    </w:p>
    <w:p w14:paraId="60B32AE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Lamb, D.T., Ming, H., Megharaj, M., Naidu, R., 2009. </w:t>
      </w:r>
      <w:r w:rsidRPr="00216965">
        <w:rPr>
          <w:rFonts w:cs="Times New Roman"/>
          <w:noProof/>
          <w:szCs w:val="24"/>
        </w:rPr>
        <w:t>Heavy metal (Cu, Zn, Cd and Pb) partitioning and bioaccessibility in uncontaminated and long-term contaminated soils. Journal of Hazardous Materials 171, 1150–1158.</w:t>
      </w:r>
    </w:p>
    <w:p w14:paraId="5481ED8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Lancrop Laboratories, 2014. Heavy metal guidelines in soil, Technical Bulletin Yara. Yara, Lincolnshire.</w:t>
      </w:r>
    </w:p>
    <w:p w14:paraId="17825FC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Langmuir, I., 1918. The adsorption of gases on plane surfaces of glass, mica and platinum. Journal of the American Chemical Society 40, 1361–1403.</w:t>
      </w:r>
    </w:p>
    <w:p w14:paraId="7FA172A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Lazzari, E., Schena, T., Marcelo, M.C.A., Primaz, C.T., Silva, A.N., Ferrão, M.F., Bjerk, T., Caramão, E.B., 2018. Classification of biomass through their pyrolytic bio-oil composition using FTIR and PCA analysis. Industrial Crops and Products 111, 856–864.</w:t>
      </w:r>
    </w:p>
    <w:p w14:paraId="6FB7E88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Lee Taylor, D., Walters, W.A., Lennon, N.J., Bochicchio, J., Krohn, A., Caporaso, J.G., Pennanen, T., 2016. Accurate estimation of fungal diversity and abundance through improved lineage-specific primers optimized for Illumina amplicon sequencing. Applied and Environmental Microbiology 82, 7217–7226.</w:t>
      </w:r>
    </w:p>
    <w:p w14:paraId="7D5F582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Lehmann, J., Rillig, M.C., Thies, J., Masiello, C.A., Hockaday, W.C., Crowley, D., 2011. Biochar effects on soil biota - A review. Soil Biology and Biochemistry 43, 1812–1836.</w:t>
      </w:r>
    </w:p>
    <w:p w14:paraId="4DC4DDE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Leifeld, J., Siebert, S., Kögel-Knabner, I., 2002. </w:t>
      </w:r>
      <w:r w:rsidRPr="00216965">
        <w:rPr>
          <w:rFonts w:cs="Times New Roman"/>
          <w:noProof/>
          <w:szCs w:val="24"/>
        </w:rPr>
        <w:t>Changes in the chemical composition of soil organic matter after application of compost. European Journal of Soil Science 53, 299–309.</w:t>
      </w:r>
    </w:p>
    <w:p w14:paraId="1481C0C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Leng, L., Xu, X., Wei, L., Fan, L., Huang, H., Li, Jianan, Lu, Q., Li, Jun, Zhou, W., 2019. Biochar stability assessment by incubation and modelling: Methods, drawbacks and recommendations. Science of The Total Environment 664, 11–23.</w:t>
      </w:r>
    </w:p>
    <w:p w14:paraId="50CCA42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 Hongbo, Dong, X., da Silva, E., de Oliveira, L., Chen, Y., Ma, L.Q., 2017. Mechanisms of metal sorption by biochars: Biochar characteristics and modifications. Chemosphere 178, 466–478.</w:t>
      </w:r>
    </w:p>
    <w:p w14:paraId="55C21F3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 Hao, Mahyoub, S.A.A., Liao, W., Xia, S., Zhao, H., Guo, M., Ma, P., 2017. Effect of pyrolysis temperature on characteristics and aromatic contaminants adsorption behavior of magnetic biochar derived from pyrolysis oil distillation residue. Bioresource Technology 223, 20–26.</w:t>
      </w:r>
    </w:p>
    <w:p w14:paraId="13338F6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 S., Yang, W., Yang, T., Chen, Y., Ni, W., 2015. Effects of cadmium stress on leaf chlorophyll fluorescence and photosynthesis of Elsholtzia argyi—a cadmium accumulating plant. International Journal of Phytoremediation 17, 85–92.</w:t>
      </w:r>
    </w:p>
    <w:p w14:paraId="3C10BB1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 W., Zhang, Y., Mao, W., Wang, C., Yin, S., 2020. Functional potential differences between Firmicutes and Proteobacteria in response to manure amendment in a reclaimed soil. Canadian Journal of Microbiology 66, 689–697.</w:t>
      </w:r>
    </w:p>
    <w:p w14:paraId="68E5E09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lastRenderedPageBreak/>
        <w:t xml:space="preserve">Li, Y., Sun, B., Deng, T., Lian, P., Chen, J., Peng, X., 2021. Safety and efficiency of sewage sludge and garden waste compost as a soil amendment based on the field application in woodland. </w:t>
      </w:r>
      <w:r w:rsidRPr="00216965">
        <w:rPr>
          <w:rFonts w:cs="Times New Roman"/>
          <w:noProof/>
          <w:szCs w:val="24"/>
          <w:lang w:val="it-IT"/>
        </w:rPr>
        <w:t>Ecotoxicology and Environmental Safety 222, 112497.</w:t>
      </w:r>
    </w:p>
    <w:p w14:paraId="55E67B3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lang w:val="it-IT"/>
        </w:rPr>
        <w:t xml:space="preserve">Li, Z., Schneider, R.L., Morreale, S.J., Xie, Y., Li, C., Li, J., 2018. </w:t>
      </w:r>
      <w:r w:rsidRPr="00216965">
        <w:rPr>
          <w:rFonts w:cs="Times New Roman"/>
          <w:noProof/>
          <w:szCs w:val="24"/>
        </w:rPr>
        <w:t xml:space="preserve">Woody organic amendments for retaining soil water, improving soil properties and enhancing plant growth in desertified soils of Ningxia, China. </w:t>
      </w:r>
      <w:r w:rsidRPr="00216965">
        <w:rPr>
          <w:rFonts w:cs="Times New Roman"/>
          <w:noProof/>
          <w:szCs w:val="24"/>
          <w:lang w:val="it-IT"/>
        </w:rPr>
        <w:t>Geoderma 310, 143–152.</w:t>
      </w:r>
    </w:p>
    <w:p w14:paraId="0610DB5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Liao, S., Pan, B., Li, H., Zhang, D., Xing, B., 2014. </w:t>
      </w:r>
      <w:r w:rsidRPr="00216965">
        <w:rPr>
          <w:rFonts w:cs="Times New Roman"/>
          <w:noProof/>
          <w:szCs w:val="24"/>
        </w:rPr>
        <w:t>Detecting free radicals in biochars and determining their ability to inhibit the germination and growth of corn, wheat and rice seedlings. Environmental Science and Technology 48, 8581–8587.</w:t>
      </w:r>
    </w:p>
    <w:p w14:paraId="4FBAAE6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Liu, N., Charrua, A.B., Weng, C.H., Yuan, X., Ding, F., 2015. Characterization of biochars derived from agriculture wastes and their adsorptive removal of atrazine from aqueous solution: A comparative study. Bioresource Technology 198, 55–62.</w:t>
      </w:r>
    </w:p>
    <w:p w14:paraId="47C2A36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Liu, P., Hu, W., Tian, K., Huang, B., Zhao, Y., Wang, X., Zhou, Y., Shi, B., Kwon, B.O., Choi, K., Ryu, J., Chen, Y., Wang, T., Khim, J.S., 2020. Accumulation and ecological risk of heavy metals in soils along the coastal areas of the Bohai Sea and the Yellow Sea: A comparative study of China and South Korea. Environment International 137, 105519.</w:t>
      </w:r>
    </w:p>
    <w:p w14:paraId="1103806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Liu, Y., Wang, F., Yin, Z., Jia, W., Xiao, H., Lin, Q., Feng, Y., 2020. Immobilization of lead and cadmium in soil using biochars derived from pig manure and Suaeda glauca. Bulletin of Environmental Contamination and Toxicology 105, 146–154.</w:t>
      </w:r>
    </w:p>
    <w:p w14:paraId="4E61F56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Liu, Z., Zhang, F.-S., 2009. Removal of lead from water using biochars prepared from hydrothermal liquefaction of biomass. Journal of Hazardous Materials 167, 933–939.</w:t>
      </w:r>
    </w:p>
    <w:p w14:paraId="1F0FCE7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Lomaglio, T., Hattab-Hambli, N., Miard, F., Lebrun, M., Nandillon, R., Trupiano, D., Scippa, G.S., Gauthier, A., Motelica-Heino, M., Bourgerie, S., Morabito, D., 2018. d, Pb, and Zn mobility and (bio)availability in contaminated soils from a former smelting site amended with biochar. Environmental Science and Pollution Research 25, 25744–25756.</w:t>
      </w:r>
    </w:p>
    <w:p w14:paraId="3C70ED4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Lort, J., 2017. Assessment of stream sediment quality and the Fe / Mn oxide coatings of stream pebbles in the watercourses of Frongoch Mine. Aberystwyth University.</w:t>
      </w:r>
    </w:p>
    <w:p w14:paraId="534C415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Love, M.I., Huber, W., Anders, S., 2014. Moderated estimation of fold change and dispersion for RNA-seq data with DESeq2. Genome Biology 2014 15:12 15, 1–21.</w:t>
      </w:r>
    </w:p>
    <w:p w14:paraId="2F72AFE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Lu, H., Zhang, W., Yang, Y., Huang, X., Wang, S., Qiu, R., 2012. Relative distribution of Pb 2+ sorption mechanisms by sludge-derived biochar. Water Research 46, 854–862.</w:t>
      </w:r>
    </w:p>
    <w:p w14:paraId="5DD3AF0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Lu, K., Yang, X., Gielen, G., Bolan, N., Ok, Y.S., Niazi, N.K., Xu, S., Yuan, G., Chen, X., Zhang, X., Liu, D., Song, Z., Liu, X., Wang, H., 2017. Effect of bamboo and rice straw biochars on the mobility and redistribution of heavy metals (Cd, Cu, Pb and Zn) in contaminated soil. Journal of Environmental Management 186, 285–292.</w:t>
      </w:r>
    </w:p>
    <w:p w14:paraId="1CED6AA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Luo, Z. Bin, He, J., Polle, A., Rennenberg, H., 2016. Heavy metal accumulation and signal transduction in herbaceous and woody plants: Paving the way for enhancing </w:t>
      </w:r>
      <w:r w:rsidRPr="00216965">
        <w:rPr>
          <w:rFonts w:cs="Times New Roman"/>
          <w:noProof/>
          <w:szCs w:val="24"/>
        </w:rPr>
        <w:lastRenderedPageBreak/>
        <w:t>phytoremediation efficiency. Biotechnology Advances 34, 1131–1148.</w:t>
      </w:r>
    </w:p>
    <w:p w14:paraId="5B21E98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Lwin, C.S., Seo, B.-H., Kim, H.-U., Owens, G., Kim, K.-R., 2018. Application of soil amendments to contaminated soils for heavy metal immobilization and improved soil quality—a critical review. Soil Science and Plant Nutrition 64, 156–167.</w:t>
      </w:r>
    </w:p>
    <w:p w14:paraId="3F08BDD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 F., Zhao, B., Diao, J., 2016. Adsorption of cadmium by biochar produced from pyrolysis of corn stalk in aqueous solution. Water Science and Technology 74, 1335–1345.</w:t>
      </w:r>
    </w:p>
    <w:p w14:paraId="4D683DE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Mackie, K.A., Marhan, S., Ditterich, F., Schmidt, H.P., Kandeler, E., 2015. The effects of biochar and compost amendments on copper immobilization and soil microorganisms in a temperate vineyard. Agriculture, Ecosystems and Environment 201, 58–69.</w:t>
      </w:r>
    </w:p>
    <w:p w14:paraId="331C458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Mamboya, F.A., 2007. Heavy metal contamination and toxicity studies of macroalgae from the Tanzanian coast. Stockholm University.</w:t>
      </w:r>
    </w:p>
    <w:p w14:paraId="5EA407C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Mandal, A., Singh, N., Purakayastha, T.J., 2017. Characterization of pesticide sorption behaviour of slow pyrolysis biochars as low cost adsorbent for atrazine and imidacloprid removal. Science of the Total Environment 577, 376–385.</w:t>
      </w:r>
    </w:p>
    <w:p w14:paraId="55CA94C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Mandal, S., Kunhikrishnan, A., Bolan, N.S., Wijesekara, H., Naidu, R., 2016. Application of biochar produced from biowaste materials for environmental protection and sustainable agriculture production. In: Environmental Materials and Waste: Resource Recovery and Pollution Prevention. pp. 73–89.</w:t>
      </w:r>
    </w:p>
    <w:p w14:paraId="57B9DD4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Marr, K., Fyles, H., Hendershot, W., 1997. Trace metals in Montreal urban soils and the leaves of Taraxacum officinale. Canadian Journal of Soil Science 79, 385–387.</w:t>
      </w:r>
    </w:p>
    <w:p w14:paraId="106A978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Marschner, H., Römheld, V., Cakmak, I., 1987. Root-induced changes of nutrient availability in the rhizosphere. Journal of Plant Nutrition 10, 1175–1184.</w:t>
      </w:r>
    </w:p>
    <w:p w14:paraId="6442F7D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Martínez-Peñalver, A., Reigosa, M.J., Sánchez-Moreiras, A.M., 2011. Imaging chlorophyll a fluorescence reveals specific spatial distributions under different stress conditions. Flora: Morphology, Distribution, Functional Ecology of Plants 206, 836–844.</w:t>
      </w:r>
    </w:p>
    <w:p w14:paraId="782BEED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Martínez, C.E., Mcbride, M.B., 2001. Environmental Chemistry Cd, Cu, Pb, and Zn Coprecipitates in Fe oxide formed at different pH: aging effects on metal solubility and extractability by citrate. Environmental Toxicology and Chemistry 20, 122–126.</w:t>
      </w:r>
    </w:p>
    <w:p w14:paraId="48769D3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Martucci, A., Braschi, I., Bisio, C., Sarti, E., Rodeghero, E., Bagatin, R., Pasti, L., 2015. Influence of water on the retention of methyl tertiary-butyl ether by high silica ZSM-5 and y zeolites: A multidisciplinary study on the adsorption from liquid and gas phase. RSC Advances 5, 86997–87006.</w:t>
      </w:r>
    </w:p>
    <w:p w14:paraId="097A7BF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McLaren, M.R., Callahan, B.J., 2021. Silva 138.1 prokaryotic SSU taxonomic training data formatted for DADA2 [WWW Document]. Zenodo. URL https://zenodo.org/record/4587955 (accessed 9.21.21).</w:t>
      </w:r>
    </w:p>
    <w:p w14:paraId="3AF14CB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McMurdie, P.J., Holmes, S., 2013. Phyloseq: An R package for reproducible interactive analysis and graphics of microbiome census data. PLOS ONE 8, e61217.</w:t>
      </w:r>
    </w:p>
    <w:p w14:paraId="561856C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Meharg, A.A., Killham, K., 1990. The effect of soil pH on rhizosphere carbon flow of Lolium perenne. Plant and Soil 123, 1–7.</w:t>
      </w:r>
    </w:p>
    <w:p w14:paraId="7EC6E64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Melo, L.C.A., Puga, A.P., Coscione, A.R., Beesley, L., Abreu, C.A., Camargo, O.A., 2016. Sorption and desorption of cadmium and zinc in two tropical soils amended with sugarcane-straw-derived biochar. Journal of Soils and Sediments 16, 226–234.</w:t>
      </w:r>
    </w:p>
    <w:p w14:paraId="2F7C98D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Mensah, A.K., Frimpong, K.A., 2018. Biochar and/or compost applications improve soil properties, growth, and yield of maize grown in acidic rainforest and coastal savannah soils in Ghana. International Journal of Agronomy 2018, 1–8.</w:t>
      </w:r>
    </w:p>
    <w:p w14:paraId="5A005DB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fr-FR"/>
        </w:rPr>
      </w:pPr>
      <w:r w:rsidRPr="00216965">
        <w:rPr>
          <w:rFonts w:cs="Times New Roman"/>
          <w:noProof/>
          <w:szCs w:val="24"/>
        </w:rPr>
        <w:t xml:space="preserve">Miksch, S., Meiners, M., Meyerdierks, A., Probandt, D., Wegener, G., Titschack, J., Jensen, M.A., Ellrott, A., Amann, R., Knittel, K., 2021. Bacterial communities in temperate and polar coastal sands are seasonally stable. </w:t>
      </w:r>
      <w:r w:rsidRPr="00216965">
        <w:rPr>
          <w:rFonts w:cs="Times New Roman"/>
          <w:noProof/>
          <w:szCs w:val="24"/>
          <w:lang w:val="fr-FR"/>
        </w:rPr>
        <w:t>ISME Communications 1, 1–11.</w:t>
      </w:r>
    </w:p>
    <w:p w14:paraId="5B18787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fr-FR"/>
        </w:rPr>
        <w:t xml:space="preserve">Miranda, K.M., Espey, M.G., Wink, D.A., 2001. </w:t>
      </w:r>
      <w:r w:rsidRPr="00216965">
        <w:rPr>
          <w:rFonts w:cs="Times New Roman"/>
          <w:noProof/>
          <w:szCs w:val="24"/>
        </w:rPr>
        <w:t>A rapid, simple spectrophotometric method for simultaneous detection of nitrate and nitrite. Nitric Oxide - Biology and Chemistry 5, 62–71.</w:t>
      </w:r>
    </w:p>
    <w:p w14:paraId="54D1790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Misono, M., Ochiai, E., Saito, Y., Yoneda, Y., 1967. A new dual parameter scale for the strength of lewis acids and bases with the evaluation of their softness. Journal of Inorganic and Nuclear Chemistry 29, 2685–2691.</w:t>
      </w:r>
    </w:p>
    <w:p w14:paraId="031C72D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Mkhabela, M.S., Warman, P.R., 2005. The influence of municipal solid waste compost on yield, soil phosphorus availability and uptake by two vegetable crops grown in a Pugwash sandy loam soil in Nova Scotia. Agriculture, Ecosystems &amp; Environment 106, 57–67.</w:t>
      </w:r>
    </w:p>
    <w:p w14:paraId="756F24A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Moreno, E., Beesley, L., Lepp, N., Dickinson, N., Hartley, W., Clemente, R., 2011. Field sampling of soil pore water to evaluate trace element mobility and associated environmental risk. Environmental Pollution 159, 3078–3085.</w:t>
      </w:r>
    </w:p>
    <w:p w14:paraId="43DF215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Mujica-Alarcon, J.F., Thornton, S.F., Rolfe, S.A., 2021. Long-term dynamic changes in attached and planktonic microbial communities in a contaminated aquifer. Environmental Pollution 277, 116765.</w:t>
      </w:r>
    </w:p>
    <w:p w14:paraId="620F20B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Mukherjee, A., Zimmerman, A.R., Hamdan, R., Cooper, W.T., 2014. Physicochemical changes in pyrogenic organic matter (biochar) after 15 months of field aging. Solid Earth 5, 693–704.</w:t>
      </w:r>
    </w:p>
    <w:p w14:paraId="7967981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Mukherjee, A., Zimmerman, A.R., Harris, W., 2011. Surface chemistry variations among a series of laboratory-produced biochars. Geoderma 163, 247–255.</w:t>
      </w:r>
    </w:p>
    <w:p w14:paraId="1643D69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Murphy, J., Riley, J.P., 1962. A modified single solution method for the determination of phosphate in natural waters. Analytica Chimica Acta 27, 31–36.</w:t>
      </w:r>
    </w:p>
    <w:p w14:paraId="438B7BE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Nagajyoti, P.C., Lee, K.D., Sreekanth, T.V.M., 2010. Heavy metals, occurrence and toxicity for plants: A review. Environmental Chemistry Letters 8, 199–216.</w:t>
      </w:r>
    </w:p>
    <w:p w14:paraId="591C1C3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Naidu, D.A., King, P., Saibaba K.V, N., Prasad, V.S.R.K., 2013. Equilibrium, kinetic and thermodynamic studies on lead removal from aqueous solution by Tectona grandis L. f. International Journal of Research in Engineering &amp; Technology 1, 35–48.</w:t>
      </w:r>
    </w:p>
    <w:p w14:paraId="26741E2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Natasha, N., Shahid, M., Sana, K., Irshad, B., Asif Naeem, M., Khan Niazi, N., G Tack, F.M., Ippolito, J., Rinklebe, J., 2021. Influence of biochar on trace element uptake, toxicity and detoxification in plants and associated health risks: A critical review. Critical Reviews in Environmental Science and Technology.</w:t>
      </w:r>
    </w:p>
    <w:p w14:paraId="4FB5E81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Ni, Y., Yang, T., Zhang, K., Shen, C., Chu, H., 2018. Fungal communities along a small-scale elevational gradient in an alpine tundra are determined by soil carbon nitrogen ratios. Frontiers in Microbiology 9.</w:t>
      </w:r>
    </w:p>
    <w:p w14:paraId="10962C2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Noller, C., Friesl-Hanl, W., Hood-Nowotny, R., Puschenreiter, M., Watzinger, A., 2021. Effect of chelant-based soil washing and post-treatment on Pb, Cd, and Zn bioavailability and plant uptake. Water, Air, and Soil Pollution 232, 1–14.</w:t>
      </w:r>
    </w:p>
    <w:p w14:paraId="6C288D9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Novak, J.M., Lima, I., Xing, B., Gaskin, J.W., Steiner, C., Das, K.C., Ahmedna, M., Rehrah, D., Watts, D.W., Busscher, W.J., Schomberg, H., 2009. Characterization of designer biochar produced at different temperatures and their effects on a loamy sand. Annals of Environmental Science 3, 195–206.</w:t>
      </w:r>
    </w:p>
    <w:p w14:paraId="6ACBAC6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Okoro, H.K., Fatoki, O.S., Adekola, F.A., Ximba, B.J., Snyman, R.G., 2012. A review of sequential extraction procedures for heavy metals speciation in soil and sediments. Open Access Scientific Reports 1, 181.</w:t>
      </w:r>
    </w:p>
    <w:p w14:paraId="22A18B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Oksanen, J., Blanchet, F.G., Friendly, M., Kindt, R., Legendre, P., Mcglinn, D., Minchin, P.R., O’hara, R.B., Simpson, G.L., Solymos, P., Henry, M., Stevens, H., Szoecs, E., Maintainer, H.W., 2020. Package “vegan.”</w:t>
      </w:r>
    </w:p>
    <w:p w14:paraId="2A7F69C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Olmo, M., Lozano, A.M., Barn, V., Villar, R., 2016. Spatial heterogeneity of soil biochar content affects soil quality and wheat growth and yield. Science of the Total Environment 562, 690–700.</w:t>
      </w:r>
    </w:p>
    <w:p w14:paraId="750A2F5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Pachana, K., Wattanakornsiri, A., Nanuam, J., 2010. Heavy Metal Transport and Fate in the Environmental Compartments. NU International Journal of Science 7, 1–11.</w:t>
      </w:r>
    </w:p>
    <w:p w14:paraId="22C6147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Pahlsson, A.-M.B., 1989. Toxicity of heavy metals (Zn, Cu, Cd, Pb) to vascular plants. Water, Air, and Soil Pollution 47, 287–319.</w:t>
      </w:r>
    </w:p>
    <w:p w14:paraId="240BCB3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Paranavithana, G.N., Kawamoto, K., Inoue, Y., Saito, T., Vithanage, M., Kalpage, C.S., Herath, G.B.B., 2016. Adsorption of Cd 2+ and Pb 2+ onto coconut shell biochar and biochar-mixed soil. Environmental Earth Sciences 75, 1–12.</w:t>
      </w:r>
    </w:p>
    <w:p w14:paraId="737F900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Park, J.-H., Ok, Y.S., Kim, S.-H., Cho, J.-S., Heo, J.-S., Delaune, R.D., Seo, D.-C., 2016. Competitive adsorption of heavy metals onto sesame straw biochar in aqueous solutions. Chemosphere 142, 77–83.</w:t>
      </w:r>
    </w:p>
    <w:p w14:paraId="7FC4A22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Park, J.H., Choppala, G., Lee, S.J., Bolan, N., Chung, J.W., Edraki, M., 2013. Comparative sorption of Pb and Cd by biochars and its implication for metal immobilization in soils. Water, Air, and Soil Pollution 224, 1–12.</w:t>
      </w:r>
    </w:p>
    <w:p w14:paraId="358E5F2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Park, J.H., Choppala, G.K., Bolan, N.S., Chung, J.W., Chuasavathi, T., 2011a. Biochar reduces the bioavailability and phytotoxicity of heavy metals. Plant and Soil 348, 439–451.</w:t>
      </w:r>
    </w:p>
    <w:p w14:paraId="31E54E0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Park, J.H., Lamb, D., Paneerselvam, P., Choppala, G., Bolan, N., Chung, J.-W., 2011b. Role of organic amendments on enhanced bioremediation of heavy metal(loid) </w:t>
      </w:r>
      <w:r w:rsidRPr="00216965">
        <w:rPr>
          <w:rFonts w:cs="Times New Roman"/>
          <w:noProof/>
          <w:szCs w:val="24"/>
        </w:rPr>
        <w:lastRenderedPageBreak/>
        <w:t>contaminated soils. Journal of Hazardous Materials 185, 549–574.</w:t>
      </w:r>
    </w:p>
    <w:p w14:paraId="44EF743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Paunov, M., Koleva, L., Vassilev, A., Vangronsveld, J., Goltsev, V., 2018. Effects of different metals on photosynthesis: Cadmium and zinc affect chlorophyll fluorescence in durum wheat. International Journal of Molecular Sciences 19, 1–13.</w:t>
      </w:r>
    </w:p>
    <w:p w14:paraId="3149CCE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es-419"/>
        </w:rPr>
      </w:pPr>
      <w:r w:rsidRPr="00216965">
        <w:rPr>
          <w:rFonts w:cs="Times New Roman"/>
          <w:noProof/>
          <w:szCs w:val="24"/>
        </w:rPr>
        <w:t xml:space="preserve">Paz-Ferreiro, J., Lu, H., Fu, S., Méndez, A., Gascó, G., 2014. Use of phytoremediation and biochar to remediate heavy metal polluted soils: A review. </w:t>
      </w:r>
      <w:r w:rsidRPr="00216965">
        <w:rPr>
          <w:rFonts w:cs="Times New Roman"/>
          <w:noProof/>
          <w:szCs w:val="24"/>
          <w:lang w:val="es-419"/>
        </w:rPr>
        <w:t>Solid Earth 5, 65–75.</w:t>
      </w:r>
    </w:p>
    <w:p w14:paraId="7747785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es-419"/>
        </w:rPr>
        <w:t xml:space="preserve">Pérez-De-Mora, A., Burgos, P., Madejón, E., Cabrera, F., Jaeckel, P., Schloter, M., 2006. </w:t>
      </w:r>
      <w:r w:rsidRPr="00216965">
        <w:rPr>
          <w:rFonts w:cs="Times New Roman"/>
          <w:noProof/>
          <w:szCs w:val="24"/>
        </w:rPr>
        <w:t>Microbial community structure and function in a soil contaminated by heavy metals: effects of plant growth and different amendments. Soil Biology and Biochemistry 38, 327–341.</w:t>
      </w:r>
    </w:p>
    <w:p w14:paraId="0BE1609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Phipps, D., 1981. Chemistry and biochemistry of trace metals in biological systems. In: Effect of Heavy Metal Pollution on Plants. Applied Science Publlishers, Liverpoool, pp. 1–54.</w:t>
      </w:r>
    </w:p>
    <w:p w14:paraId="6042CAA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Polzella, A., De Zio, E., Arena, S., Scippa, G.S., Scaloni, A., Montagnoli, A., Chiatante, D., Trupiano, D., 2019. </w:t>
      </w:r>
      <w:r w:rsidRPr="00216965">
        <w:rPr>
          <w:rFonts w:cs="Times New Roman"/>
          <w:noProof/>
          <w:szCs w:val="24"/>
        </w:rPr>
        <w:t>Toward an understanding of mechanisms regulating plant response to biochar application. Plant Biosystems 153, 163–172.</w:t>
      </w:r>
    </w:p>
    <w:p w14:paraId="7D6668E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Popoviciu, D.R., Negreanu Pirjol, T., Miclaus, L.S., 2017. Phytotoxic effect and bioaccumulation of chromium in white mustard (Sinapis alba L.) seedlings. Revista de Chimie 68, 40–42.</w:t>
      </w:r>
    </w:p>
    <w:p w14:paraId="5CD32AC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Pourret, O., Houben, D., 2018. Characterization of metal binding sites onto biochar using rare earth elements as a fingerprint. Heliyon 4, e00543.</w:t>
      </w:r>
    </w:p>
    <w:p w14:paraId="2C1CEB7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Prosser, J.I., Head, I.M., Stein, L.Y., 2014. The Family Nitrosomonadaceae. In: The Prokaryotes: Alphaproteobacteria and Betaproteobacteria. Springer, Heidelberg, pp. 901–918.</w:t>
      </w:r>
    </w:p>
    <w:p w14:paraId="6C80E4A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Pueyo, M., Mateu, J., Rigol, A., Vidal, M., López-Sánchez, J.F., Rauret, G., 2008. Use of the modified BCR three-step sequential extraction procedure for the study of trace element dynamics in contaminated soils. Environmental Pollution 152, 330–341.</w:t>
      </w:r>
    </w:p>
    <w:p w14:paraId="27D1BB8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Puga, A.P., Abreu, C.A., Melo, L.C.A., Beesley, L., 2015a. Biochar application to a contaminated soil reduces the availability and plant uptake of zinc, lead and cadmium. Journal of Environmental Management 159, 86–93.</w:t>
      </w:r>
    </w:p>
    <w:p w14:paraId="34132B0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Puga, A.P., Abreu, C.A., Melo, L.C.A., Paz, J., Beesley, L., 2015b. Cadmium, lead, and zinc mobility and plant uptake in a mine soil amended with sugarcane straw biochar. Environmental Science and Pollution Research 22, 17606–17614.</w:t>
      </w:r>
    </w:p>
    <w:p w14:paraId="5E66FD0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Puga, A.P., Azevedo, L.C., De Abreu, C., Coscione, A.R., Paz-Ferreiro, J., 2016. Leaching and fractionation of heavy metals in mining soils amended with biochar. Soil and Tillage Research 164, 25–33.</w:t>
      </w:r>
    </w:p>
    <w:p w14:paraId="300663B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Purakayastha, T.J., Das, K.C., Gaskin, J., Harris, K., Smith, J.L., Kumari, S., 2016. Effect of pyrolysis temperatures on stability and priming effects of C3 and C4 biochars applied to two different soils. Soil and Tillage Research 155, 107–115.</w:t>
      </w:r>
    </w:p>
    <w:p w14:paraId="002D343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Qiagen, 2021. DNeasy® PowerSoil® Pro Kit Handbook.</w:t>
      </w:r>
    </w:p>
    <w:p w14:paraId="6138BA5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Qian, K., Kumar, A., Zhang, H., Bellmer, D., Huhnke, R., 2015. </w:t>
      </w:r>
      <w:r w:rsidRPr="00216965">
        <w:rPr>
          <w:rFonts w:cs="Times New Roman"/>
          <w:noProof/>
          <w:szCs w:val="24"/>
        </w:rPr>
        <w:t>Recent advances in utilization of biochar. Renewable and Sustainable Energy Reviews 42, 1055–1064.</w:t>
      </w:r>
    </w:p>
    <w:p w14:paraId="585129F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Qian, T., Wang, Y., Fan, T., Fang, G., Zhou, D., 2016. A new insight into the immobilization mechanism of Zn on biochar: The role of anions dissolved from ash. Scientific Reports 6, 33630.</w:t>
      </w:r>
    </w:p>
    <w:p w14:paraId="3CC4D8B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 Core Team, 2020. R: A language and environment for statistical computing.</w:t>
      </w:r>
    </w:p>
    <w:p w14:paraId="66BA4CA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Rajkovich, S., Enders, A., Hanley, K., Hyland, C., Zimmerman, A.R., Lehmann, J., 2012. </w:t>
      </w:r>
      <w:r w:rsidRPr="00216965">
        <w:rPr>
          <w:rFonts w:cs="Times New Roman"/>
          <w:noProof/>
          <w:szCs w:val="24"/>
        </w:rPr>
        <w:t>Corn growth and nitrogen nutrition after additions of biochars with varying properties to a temperate soil. Biology and Fertility of Soils 48, 271–284.</w:t>
      </w:r>
    </w:p>
    <w:p w14:paraId="141B85A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Rawat, M., Ramanathan, A., Subramanian, V., 2009. Quantification and distribution of heavy metals from small-scale industrial areas of Kanpur city, India. Journal of Hazardous Materials 172, 1145–1149.</w:t>
      </w:r>
    </w:p>
    <w:p w14:paraId="7EE3091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Razinger, J., Drinovec, L., Berden-Zrimec, M., 2012. Delayed fluorescence imaging of photosynthesis inhibitor and heavy metal induced stress in potato. Central European Journal of Biology 7, 531–541.</w:t>
      </w:r>
    </w:p>
    <w:p w14:paraId="66E1BF9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Rice, G., Barber, A., O’Connor, A., Stevens, G., Kentish, S., 2010. A theoretical and experimental analysis of calcium speciation and precipitation in dairy ultrafiltration permeate. International Dairy Journal 20, 694–706.</w:t>
      </w:r>
    </w:p>
    <w:p w14:paraId="7D8072F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Rippy, J.F.M., Nelson, P. V., 2007. Cation exchange capacity and base saturation variation among Alberta, Canada, moss peats. HortScience 42, 349–352.</w:t>
      </w:r>
    </w:p>
    <w:p w14:paraId="43C6C5B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Ritz, C., Streibig, J.C., 2009. Nonlinear Regression with R, Journal of Statistical Software.</w:t>
      </w:r>
    </w:p>
    <w:p w14:paraId="3B9BFDF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Roston, R.L., Mullineaux, C., Eaton-Rye, J., Kobayashi, K., Endo, K., Wada, H., 2017. Specific distribution of phosphatidylglycerol to photosystem complexes in the thylakoid membrane. Frontiers in Plant Science 8, 1991.</w:t>
      </w:r>
    </w:p>
    <w:p w14:paraId="6A6B73B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Rousk, J., Bååth, E., Brookes, P.C., Lauber, C.L., Lozupone, C., Caporaso, J.G., Knight, R., Fierer, N., 2010. Soil bacterial and fungal communities across a pH gradient in an arable soil. </w:t>
      </w:r>
      <w:r w:rsidRPr="00216965">
        <w:rPr>
          <w:rFonts w:cs="Times New Roman"/>
          <w:noProof/>
          <w:szCs w:val="24"/>
          <w:lang w:val="it-IT"/>
        </w:rPr>
        <w:t>The ISME Journal 4, 1340–1351.</w:t>
      </w:r>
    </w:p>
    <w:p w14:paraId="374395D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Rutigliano, F.A., Romano, M., Marzaioli, R., Baglivo, I., Baronti, S., Miglietta, F., Castaldi, S., 2014. </w:t>
      </w:r>
      <w:r w:rsidRPr="00216965">
        <w:rPr>
          <w:rFonts w:cs="Times New Roman"/>
          <w:noProof/>
          <w:szCs w:val="24"/>
        </w:rPr>
        <w:t>Effect of biochar addition on soil microbial community in a wheat crop. European Journal of Soil Biology 60, 9–15.</w:t>
      </w:r>
    </w:p>
    <w:p w14:paraId="36D828D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Ryan, J.A., Zhang, P., Hesterberg, D., Chou, J., Sayers, D.E., 2001. Formation of chloropyromorphite in a lead-contaminated soil amended with hydroxyapatite. Environmental Science &amp; Technology 35, 3798–3803.</w:t>
      </w:r>
    </w:p>
    <w:p w14:paraId="1DA3310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Sáez, J.A., Belda, R.M., Bernal, M.P., Fornes, F., 2016. Biochar improves agro-environmental aspects of pig slurry compost as a substrate for crops with energy and remediation uses. Industrial Crops and Products 94, 97–106.</w:t>
      </w:r>
    </w:p>
    <w:p w14:paraId="189D5FA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Sarma, B., Borkotoki, B., Narzari, R., Kataki, R., Gogoi, N., 2017. Organic amendments: </w:t>
      </w:r>
      <w:r w:rsidRPr="00216965">
        <w:rPr>
          <w:rFonts w:cs="Times New Roman"/>
          <w:noProof/>
          <w:szCs w:val="24"/>
        </w:rPr>
        <w:lastRenderedPageBreak/>
        <w:t>Effect on carbon mineralization and crop productivity in acidic soil. Journal of Cleaner Production 152, 157–166.</w:t>
      </w:r>
    </w:p>
    <w:p w14:paraId="686AFEF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Schliep, K.P., 2011. phangorn: phylogenetic analysis in R. Bioinformatics Application Note 27, 592–593.</w:t>
      </w:r>
    </w:p>
    <w:p w14:paraId="6BC3B17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Schweiker, C., Wagner, A., Peters, A., Bischoff, W.-A., Kaupenjohann, M., 2014. </w:t>
      </w:r>
      <w:r w:rsidRPr="00216965">
        <w:rPr>
          <w:rFonts w:cs="Times New Roman"/>
          <w:noProof/>
          <w:szCs w:val="24"/>
        </w:rPr>
        <w:t>Biochar reduces zinc and cadmium but not copper and lead leaching on a former sewage field. Journal of Environment Quality 43, 1886–1893.</w:t>
      </w:r>
    </w:p>
    <w:p w14:paraId="4D7B8EA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Schwertfeger, D.M., Hendershot, W.H., 2013. Spike/leach procedure to prepare soil samples for trace metal ecotoxicity testing: Method development using copper. Communications in Soil Science and Plant Analysis 44, 1570–1587.</w:t>
      </w:r>
    </w:p>
    <w:p w14:paraId="181D4D1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Sedlak, D., 2018. Sifting through the embers. Environmental Science and Technology 52, 3327–3328.</w:t>
      </w:r>
    </w:p>
    <w:p w14:paraId="3723B88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Shahbeig, H., Bagheri, N., Ghorbanian, S.A., Hallajisani, A., Poorkarimi, S., 2013. A new adsorption isotherm model of aqueous solutions on granular activated carbon. World Journal of Modelling and Simulation 9, 243–254.</w:t>
      </w:r>
    </w:p>
    <w:p w14:paraId="706A39C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Shaheen, S.M., Tsadilas, C.D., Rinklebe, J., 2013. A review of the distribution coefficients of trace elements in soils: Influence of sorption system, element characteristics, and soil colloidal properties. Advances in Colloid and Interface Science 201–202, 43–56.</w:t>
      </w:r>
    </w:p>
    <w:p w14:paraId="363860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Shan, R., Li, W., Chen, Y., Sun, X., 2020. Effects of Mg-modified biochar on the bioavailability of cadmium in soil. BioResources 15, 8008–8025.</w:t>
      </w:r>
    </w:p>
    <w:p w14:paraId="2BE8CDA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Shi, G., Chen, Z., Xu, S., Zhang, J., Wang, L., Bi, C., Teng, J., 2008. Potentially toxic metal contamination of urban soils and roadside dust in Shanghai, China. Environmental Pollution 156, 251–260.</w:t>
      </w:r>
    </w:p>
    <w:p w14:paraId="1D25A76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Shim, T., Yoo, J., Ryu, C., Park, Y.K., Jung, J., 2015. Effect of steam activation of biochar produced from a giant Miscanthus on copper sorption and toxicity. Bioresource Technology 197, 85–90.</w:t>
      </w:r>
    </w:p>
    <w:p w14:paraId="4893F54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Sigua, G.C., Novak, J.M., Watts, D.W., Ippolito, J.A., Ducey, T.F., Johnson, M.G., Spokas, K.A., 2019. Phytostabilization of Zn and Cd in mine soil using corn in combination with biochars and manure-based compost. Environments 6, 1–19.</w:t>
      </w:r>
    </w:p>
    <w:p w14:paraId="6F3697D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Silva, H.F., Silva, N.F., Oliveira, C.M., Matos, M.J., 2021. Heavy metals contamination of urban soils—a decade study in the city of lisbon, portugal. </w:t>
      </w:r>
      <w:r w:rsidRPr="00216965">
        <w:rPr>
          <w:rFonts w:cs="Times New Roman"/>
          <w:noProof/>
          <w:szCs w:val="24"/>
          <w:lang w:val="it-IT"/>
        </w:rPr>
        <w:t>Soil Systems 5, 27.</w:t>
      </w:r>
    </w:p>
    <w:p w14:paraId="1C6BD92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Simiele, M., Sferra, G., Lebrun, M., Renzone, G., Bourgerie, S., Scippa, G.S., Morabito, D., Scaloni, A., Trupiano, D., 2021. </w:t>
      </w:r>
      <w:r w:rsidRPr="00216965">
        <w:rPr>
          <w:rFonts w:cs="Times New Roman"/>
          <w:noProof/>
          <w:szCs w:val="24"/>
        </w:rPr>
        <w:t>In-depth study to decipher mechanisms underlying Arabidopsis thaliana tolerance to metal(loid) soil contamination in association with biochar and/or bacteria. Environmental and Experimental Botany 182, 104335.</w:t>
      </w:r>
    </w:p>
    <w:p w14:paraId="7076F3C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Sims, J.T., 1986. Soil pH effects on the distribution and plant availability of manganese, copper, and zinc. Soil Science Society of America Journal 50, 367–373.</w:t>
      </w:r>
    </w:p>
    <w:p w14:paraId="1E73ED9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Singh, J., Singh, V., Vineeth, T. V., Kumar, P., Kumar, N., Sharma, P.C., 2019. </w:t>
      </w:r>
      <w:r w:rsidRPr="00216965">
        <w:rPr>
          <w:rFonts w:cs="Times New Roman"/>
          <w:noProof/>
          <w:szCs w:val="24"/>
        </w:rPr>
        <w:lastRenderedPageBreak/>
        <w:t>Differential response of Indian mustard (Brassica juncea L., Czern and Coss) under salinity: photosynthetic traits and gene expression. Physiology and Molecular Biology of Plants 25, 71.</w:t>
      </w:r>
    </w:p>
    <w:p w14:paraId="606FA0D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Song, W., Guo, M., 2012. Quality variations of poultry litter biochar generated at different pyrolysis temperatures. Journal of Analytical and Applied Pyrolysis 94, 138–145.</w:t>
      </w:r>
    </w:p>
    <w:p w14:paraId="357A14C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Soria P., R.I., Rolfe, S., Pazmiño Betancourth, M., Thornton, S.F., 2020. Dataset: The relationship between properties of plant-based biochars and sorption of Cd(II), Pb(II) and Zn(II) in soil model systems.</w:t>
      </w:r>
    </w:p>
    <w:p w14:paraId="277CB4E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Soria, R.I., Rolfe, S.A., Betancourth, M.P., Thornton, S.F., 2020. The relationship between properties of plant-based biochars and sorption of Cd(II), Pb(II) and Zn(II) in soil model systems. Heliyon 6, e05388.</w:t>
      </w:r>
    </w:p>
    <w:p w14:paraId="7634866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Sparks, D.L., 2003. Environmental Soil Chemistry, Second. ed. Academic Press, San Diego, California.</w:t>
      </w:r>
    </w:p>
    <w:p w14:paraId="5815667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Stefaniuk, M., Oleszczuk, P., Bartminski, P., 2016. Chemical and ecotoxicological evaluation of biochar produced from residues of biogas production. Journal of Hazardous Materials 318, 417–424.</w:t>
      </w:r>
    </w:p>
    <w:p w14:paraId="480830C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Strawn, D.G., Sparks, D.L., 1999. The use of XAFS to distinguish between inner-and outer-sphere lead adsorption complexes on montmorillonite. Journal of Colloid and Interface Science 216, 257–259.</w:t>
      </w:r>
    </w:p>
    <w:p w14:paraId="7D451F4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Su, C., Jiang, L., Zhang, W., 2014. A review on heavy metal contamination in the soil worldwide: Situation, impact and remediation techniques. Environmental Skeptics and Critics 3, 24–38.</w:t>
      </w:r>
    </w:p>
    <w:p w14:paraId="5FCEF6A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Sun, J., Lian, F., Liu, Z., Zhu, L., Song, Z., 2014. Biochars derived from various crop straws: Characterization and Cd(II) removal potential. Ecotoxicology and Environmental Safety 226–231.</w:t>
      </w:r>
    </w:p>
    <w:p w14:paraId="21DA817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Tang, J., Zhu, W., Kookana, R., Katayama, A., 2013. Characteristics of biochar and its application in remediation of contaminated soil. Journal of Bioscience and Bioengineering 116, 653–659.</w:t>
      </w:r>
    </w:p>
    <w:p w14:paraId="56A4E58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Temkin, M., Pyzhev, V., 1940. Kinetics of ammonia synthesis on promoted iron catalysts. Acta Physicochim 12, 327–356.</w:t>
      </w:r>
    </w:p>
    <w:p w14:paraId="0F055FB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Teng, D., Zhang, B., Xu, G., Wang, B., Mao, K., Wang, J., Sun, J., Feng, X., Yang, Z., Zhang, H., 2020. Efficient removal of Cd(II) from aqueous solution by pinecone biochar: Sorption performance and governing mechanisms. Environmental Pollution 265, 115001.</w:t>
      </w:r>
    </w:p>
    <w:p w14:paraId="5C354E1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Tepanosyan, G., Maghakyan, N., Sahakyan, L., Saghatelyan, A., 2017. Heavy metals pollution levels and children health risk assessment of Yerevan kindergartens soils. Ecotoxicology and Environmental Safety 142, 257–265.</w:t>
      </w:r>
    </w:p>
    <w:p w14:paraId="0400953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Terada, K., 2000. Trace elements by cooprecipitation: Extraction, Encyclopedia of Separation Science. Academic Press.</w:t>
      </w:r>
    </w:p>
    <w:p w14:paraId="2568BA1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Tessier, A., Campbell, P.G.C., Bisson, M., 1979. Sequential extraction procedure for the </w:t>
      </w:r>
      <w:r w:rsidRPr="00216965">
        <w:rPr>
          <w:rFonts w:cs="Times New Roman"/>
          <w:noProof/>
          <w:szCs w:val="24"/>
        </w:rPr>
        <w:lastRenderedPageBreak/>
        <w:t>speciation of particulate trace metals. Analytical Chemistry 51, 844–851.</w:t>
      </w:r>
    </w:p>
    <w:p w14:paraId="3DB8DCA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Timothy McMillan, O.W., 2018. Characteristics and mechanisms of atrazine sorption to biochar for land remediation. University of Cambridge.</w:t>
      </w:r>
    </w:p>
    <w:p w14:paraId="77F5BEA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Timothy Paine, C.E., Marthews, T.R., Vogt, D.R., Purves, D., Rees, M., Hector, A., Turnbull, L.A., 2012. How to fit nonlinear plant growth models and calculate growth rates: an update for ecologists. Methods in Ecology and Evolution 3, 245–256.</w:t>
      </w:r>
    </w:p>
    <w:p w14:paraId="299FA0D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Titirici, M.-M., White, R.J., Falco, C., Sevilla, M., 2012. Black perspectives for a green future: hydrothermal carbons for environment protection and energy storage. Energy &amp; Environmental Science 5, 6796.</w:t>
      </w:r>
    </w:p>
    <w:p w14:paraId="6BE9933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Tóth, G., Hermann, T., Da Silva, M.R., Montanarella, L., 2016. Heavy metals in agricultural soils of the European Union with implications for food safety. Environment International 88, 299–309.</w:t>
      </w:r>
    </w:p>
    <w:p w14:paraId="7AC2B47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it-IT"/>
        </w:rPr>
      </w:pPr>
      <w:r w:rsidRPr="00216965">
        <w:rPr>
          <w:rFonts w:cs="Times New Roman"/>
          <w:noProof/>
          <w:szCs w:val="24"/>
        </w:rPr>
        <w:t xml:space="preserve">Trakal, L., Bingöl, D., Pohořelý, M., Hruška, M., Komárek, M., 2014. Geochemical and spectroscopic investigations of Cd and Pb sorption mechanisms on contrasting biochars: Engineering implications. </w:t>
      </w:r>
      <w:r w:rsidRPr="00216965">
        <w:rPr>
          <w:rFonts w:cs="Times New Roman"/>
          <w:noProof/>
          <w:szCs w:val="24"/>
          <w:lang w:val="it-IT"/>
        </w:rPr>
        <w:t>Bioresource Technology 171, 442–451.</w:t>
      </w:r>
    </w:p>
    <w:p w14:paraId="1A93597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it-IT"/>
        </w:rPr>
        <w:t xml:space="preserve">Trupiano, D., Cocozza, C., Baronti, S., Amendola, C., Vaccari, F.P., Lustrato, G., Di Lonardo, S., Fantasma, F., Tognetti, R., Scippa, G.S., 2017. </w:t>
      </w:r>
      <w:r w:rsidRPr="00216965">
        <w:rPr>
          <w:rFonts w:cs="Times New Roman"/>
          <w:noProof/>
          <w:szCs w:val="24"/>
        </w:rPr>
        <w:t>The effects of biochar and its combination with compost on lettuce (Lactuca sativa L.) growth, soil properties, and soil microbial activity and abundance. International Journal of Agronomy 2017, 3158207.</w:t>
      </w:r>
    </w:p>
    <w:p w14:paraId="21DBB7F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Uchimiya, M., 2014. Influence of pH, ionic strength, and multidentate ligand on the interaction of Cd II with biochars. Sustainable Chemistry &amp; Engineering 2, 2019–2027.</w:t>
      </w:r>
    </w:p>
    <w:p w14:paraId="052C7B9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Uchimiya, M., Wartelle, L.H., Klasson, K.T., Fortier, C.A., Lima, I.M., 2011. Influence of pyrolysis temperature on biochar property and function as a heavy metal sorbent in soil. Journal of Agricultural and Food Chemistry 59, 2501–2510.</w:t>
      </w:r>
    </w:p>
    <w:p w14:paraId="168EC81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United Nations, 2015. The Millennium Development Goals Report, United Nations. New York.</w:t>
      </w:r>
    </w:p>
    <w:p w14:paraId="7E9F11F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Ure, A.M., Quevauviller, P., Muntau, H., Griepink, B., 2006. Speciation of heavy metals in soils and sediments. An account of the improvement and harmonization of extraction techniques undertaken under the auspices of the BCR of the Commission of the European Communities. International Journal of Environmental Analytical Chemistry 51, 135–151.</w:t>
      </w:r>
    </w:p>
    <w:p w14:paraId="3780207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Venegas, A., Rigol, A., Vidal, M., 2016. Effect of ageing on the availability of heavy metals in soils amended with compost and biochar: evaluation of changes in soil and amendment properties. Environmental Science and Pollution Research 23, 20619–20627.</w:t>
      </w:r>
    </w:p>
    <w:p w14:paraId="496B68C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Veum, K.S., Lorenz, T., Kremer, R.J., 2019. Phospholipid fatty acid profiles of soils under variable handling and storage conditions. Agronomy Journal 111, 1090–1096.</w:t>
      </w:r>
    </w:p>
    <w:p w14:paraId="38A050F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Wade, A.M., Richter, D.D., Craft, C.B., Bao, N.Y., Heine, P.R., Osteen, M.C., Tan, K.G., 2021. Urban-soil pedogenesis drives contrasting legacies of lead from paint and </w:t>
      </w:r>
      <w:r w:rsidRPr="00216965">
        <w:rPr>
          <w:rFonts w:cs="Times New Roman"/>
          <w:noProof/>
          <w:szCs w:val="24"/>
        </w:rPr>
        <w:lastRenderedPageBreak/>
        <w:t>gasoline in city soil. Environmental Science and Technology 55, 7981–7989.</w:t>
      </w:r>
    </w:p>
    <w:p w14:paraId="794E30E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Walker, D.J., Clemente, R., Bernal, M.P., 2004. Contrasting effects of manure and compost on soil pH, heavy metal availability and growth of Chenopodium album L. in a soil contaminated by pyritic mine waste. Chemosphere 57, 215–224.</w:t>
      </w:r>
    </w:p>
    <w:p w14:paraId="47B6D15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M., Ren, L., Wang, D., Cai, Z., Xia, X., Ding, A., 2019. Assessing the capacity of biochar to stabilize copper and lead in contaminated sediments using chemical and extraction methods. Journal of Environmental Sciences (China) 79, 91–99.</w:t>
      </w:r>
    </w:p>
    <w:p w14:paraId="4B8A55D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M., Zhu, Y., Cheng, L., Andserson, B., Zhao, X., Wang, D., Ding, A., 2018. Review on utilization of biochar for metal-contaminated soil and sediment remediation. Journal of Environmental Sciences (China) 63, 156–173.</w:t>
      </w:r>
    </w:p>
    <w:p w14:paraId="150B10E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R.Z., Huang, D.L., Liu, Y.G., Zhang, C., Lai, C., Zeng, G.M., Cheng, M., Gong, X.M., Wan, J., Luo, H., 2018. Investigating the adsorption behavior and the relative distribution of Cd2+ sorption mechanisms on biochars by different feedstock. Bioresource Technology 261, 265–271.</w:t>
      </w:r>
    </w:p>
    <w:p w14:paraId="6493A5C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S., Gao, B., Zimmerman, A.R., Li, Y., Ma, L., Harris, W.G., Migliaccio, K.W., 2015. Removal of arsenic by magnetic biochar prepared from pinewood and natural hematite. Bioresource Technology 175, 391–395.</w:t>
      </w:r>
    </w:p>
    <w:p w14:paraId="0F4B06C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Y., Wang, H.-S., Tang, C.-S., Gu, K., Shi, B., 2019. Remediation of heavy metal contaminated soils by biochar: a Review. Environmental Geotechnics 1800091.</w:t>
      </w:r>
    </w:p>
    <w:p w14:paraId="4C4ED69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Wang, Z., Liu, G., Zheng, H., Li, F., Ngo, H.H., Guo, W., Liu, C., Chen, L., Xing, B., 2015. Investigating the mechanisms of biochar’s removal of lead from solution. Bioresource Technology 177, 308–317.</w:t>
      </w:r>
    </w:p>
    <w:p w14:paraId="078ADC0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Warnock, D.D., Lehmann, J., Kuyper, T.W., Rillig, M.C., 2007. Mycorrhizal responses to biochar in soil - Concepts and mechanisms. Plant and Soil 300, 9–20.</w:t>
      </w:r>
    </w:p>
    <w:p w14:paraId="7527164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Watzinger, A., 2015. Microbial phospholipid biomarkers and stable isotope methods help reveal soil functions. Soil Biology and Biochemistry 86, 98–107.</w:t>
      </w:r>
    </w:p>
    <w:p w14:paraId="778FCFE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Wawra, A., Friesl-Hanl, W., Puschenreiter, M., Soja, G., Reichenauer, T., Roithner, C., Watzinger, A., 2018. Degradation of polycyclic aromatic hydrocarbons in a mixed contaminated soil supported by phytostabilisation, organic and inorganic soil additives. Science of the Total Environment 628–629, 1287–1295.</w:t>
      </w:r>
    </w:p>
    <w:p w14:paraId="6326DC4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Weiss, J.N., 1997. The Hill equation revisited: uses and misuses. The FASEB Journal 11, 835–841.</w:t>
      </w:r>
    </w:p>
    <w:p w14:paraId="64DC8AA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Weraduwage, S.M., Chen, J., Anozie, F.C., Morales, A., Weise, S.E., Sharkey, T.D., 2015. The relationship between leaf area growth and biomass accumulation in Arabidopsis thaliana. Frontiers in Plant Science 6, 167.</w:t>
      </w:r>
    </w:p>
    <w:p w14:paraId="7BBFBE6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Willers, C., Jansen, P., Claassens, S., 2015. Phospholipid fatty acid profiling of microbial communities-a review of interpretations and recent applications. Journal of Applied Microbiology 119, 1207–1218.</w:t>
      </w:r>
    </w:p>
    <w:p w14:paraId="05F81C7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Wong, S.C., Li, X.D., Zhang, G., Qi, S.H., Min, Y.S., 2002. Heavy metals in agricultural soils of the Pearl River Delta, South China. Environmental Pollution 119, 33–44.</w:t>
      </w:r>
    </w:p>
    <w:p w14:paraId="1A68806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World Health Organisation, 1972a. Cadmium (WHO Food Additives Series 24) [WWW Document]. URL http://www.inchem.org/documents/jecfa/jecmono/v024je09.htm (accessed 5.5.18).</w:t>
      </w:r>
    </w:p>
    <w:p w14:paraId="3612EFB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World Health Organisation, 1972b. Evaluation of mercury, lead, cadmiun and the food additives amaranth, diethylpyrocarbonate and octyl gallate [WWW Document]. WHO Food Additives Series. URL http://www.inchem.org/documents/jecfa/jecmono/v004je03.htm (accessed 5.5.18).</w:t>
      </w:r>
    </w:p>
    <w:p w14:paraId="0F82584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World Health Organisation, 1996. Zinc (WHO Food Additives Series 17) [WWW Document]. URL http://www.inchem.org/documents/jecfa/jecmono/v17je33.htm (accessed 5.5.18).</w:t>
      </w:r>
    </w:p>
    <w:p w14:paraId="16827D9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Wright, E.S., 2020. RNAconTest: comparing tools for noncoding RNA multiple sequence alignment based on structural consistency. RNA 26, 531–540.</w:t>
      </w:r>
    </w:p>
    <w:p w14:paraId="271971E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Wu, J., Norvell, W.A., Hopkins, D.G., Welch, R.M., 2002. Spatial variability of grain cadmium and soil characteristics in a durum wheat field. Soil Science Society of America Journal 66, 268–275.</w:t>
      </w:r>
    </w:p>
    <w:p w14:paraId="1633BFE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Wu, S., He, H., Inthapanya, X., Yang, C., Lu, L., Zeng, G., Han, Z., 2017. Role of biochar on composting of organic wastes and remediation of contaminated soils—a review. Environmental Science and Pollution Research 24, 16560–16577.</w:t>
      </w:r>
    </w:p>
    <w:p w14:paraId="5A54D21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Wu, W., Li, Jianhong, Lan, T., Müller, K., Niazi, N.K., Chen, X., Xu, S., Zheng, L., Chu, Y., Li, Jianwu, Yuan, G., Wang, H., 2017. Unraveling sorption of lead in aqueous solutions by chemically modified biochar derived from coconut fiber: A microscopic and spectroscopic investigation. Science of the Total Environment 576, 766–774.</w:t>
      </w:r>
    </w:p>
    <w:p w14:paraId="030D5EE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Xiang, W., Zhang, X., Chen, J., Zou, W., He, F., Hu, X., Tsang, D.C.W., Ok, Y.S., Gao, B., 2020. Biochar technology in wastewater treatment: A critical review. Chemosphere 252, 126539.</w:t>
      </w:r>
    </w:p>
    <w:p w14:paraId="32FF935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fr-FR"/>
        </w:rPr>
      </w:pPr>
      <w:r w:rsidRPr="00216965">
        <w:rPr>
          <w:rFonts w:cs="Times New Roman"/>
          <w:noProof/>
          <w:szCs w:val="24"/>
        </w:rPr>
        <w:t xml:space="preserve">Xu, C., Zhao, J., Yang, W., He, L., Wei, W., Tan, X., Wang, J., Lin, A., 2020. Evaluation of biochar pyrolyzed from kitchen waste, corn straw, and peanut hulls on immobilization of Pb and Cd in contaminated soil. </w:t>
      </w:r>
      <w:r w:rsidRPr="00216965">
        <w:rPr>
          <w:rFonts w:cs="Times New Roman"/>
          <w:noProof/>
          <w:szCs w:val="24"/>
          <w:lang w:val="fr-FR"/>
        </w:rPr>
        <w:t>Environmental Pollution 261, 114133.</w:t>
      </w:r>
    </w:p>
    <w:p w14:paraId="11C5853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fr-FR"/>
        </w:rPr>
        <w:t xml:space="preserve">Xu, X., Cao, X., Zhao, L., Wang, H., Yu, H., Gao, B., 2013. </w:t>
      </w:r>
      <w:r w:rsidRPr="00216965">
        <w:rPr>
          <w:rFonts w:cs="Times New Roman"/>
          <w:noProof/>
          <w:szCs w:val="24"/>
        </w:rPr>
        <w:t>Removal of Cu, Zn, and Cd from aqueous solutions by the dairy manure-derived biochar. Environmental Science and Pollution Research 20, 358–368.</w:t>
      </w:r>
    </w:p>
    <w:p w14:paraId="6194A0C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Xu, X., Du, X., Wang, F., Sha, J., Chen, Q., Tian, G., Zhu, Z., Ge, S., Jiang, Y., 2020. Effects of potassium levels on plant growth, accumulation and distribution of carbon, and nitrate metabolism in apple dwarf rootstock seedlings. Frontiers in Plant Science 11, 904.</w:t>
      </w:r>
    </w:p>
    <w:p w14:paraId="1DE9515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Xu, X., Zhao, Y., Sima, J., Zhao, L., Mašek, O., Cao, X., 2017. Indispensable role of biochar-inherent mineral constituents in its environmental applications: A review. Bioresource Technology 241, 887–899.</w:t>
      </w:r>
    </w:p>
    <w:p w14:paraId="1AE2E01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 xml:space="preserve">Xu, Z., Xu, X., Tsang, D.C.W., Cao, X., 2018. Contrasting impacts of pre- and post-application aging of biochar on the immobilization of Cd in contaminated soils. </w:t>
      </w:r>
      <w:r w:rsidRPr="00216965">
        <w:rPr>
          <w:rFonts w:cs="Times New Roman"/>
          <w:noProof/>
          <w:szCs w:val="24"/>
        </w:rPr>
        <w:lastRenderedPageBreak/>
        <w:t>Environmental Pollution 242, 1362–1370.</w:t>
      </w:r>
    </w:p>
    <w:p w14:paraId="0CBB5F2C"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Yadav, S.K., 2010. Heavy metals toxicity in plants: An overview on the role of glutathione and phytochelatins in heavy metal stress tolerance of plants. South African Journal of Botany 76, 167–179.</w:t>
      </w:r>
    </w:p>
    <w:p w14:paraId="0B3ED0C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 L., 2021. Draw Venn Diagram by “ggplot2” [R package ggvenn version 0.1.9] [WWW Document]. URL https://cran.r-project.org/package=ggvenn (accessed 10.5.21).</w:t>
      </w:r>
    </w:p>
    <w:p w14:paraId="03DC728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Yang, H., Yan, R., Chen, H., Lee, D.H., Zheng, C., 2007. Characteristics of hemicellulose, cellulose and lignin pyrolysis. Fuel 86, 1781–1788.</w:t>
      </w:r>
    </w:p>
    <w:p w14:paraId="3B229822"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Yang, X., Liu, J., Mcgrouther, K., Huang, H., Lu, K., Guo, X., He, L., Lin, X., Che, L., Ye, Z., Wang, H., 2016. Effect of biochar on the extractability of heavy metals (Cd, Cu, Pb, and Zn) and enzyme activity in soil. Environmental Science and Pollution Research 23, 974–984.</w:t>
      </w:r>
    </w:p>
    <w:p w14:paraId="39332A3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Yang, X., Lu, K., McGrouther, K., Che, L., Hu, G., Wang, Q., Liu, X., Shen, L., Huang, H., Ye, Z., Wang, H., 2017. Bioavailability of Cd and Zn in soils treated with biochars derived from tobacco stalk and dead pigs. Journal of Soils and Sediments 17, 751–762.</w:t>
      </w:r>
    </w:p>
    <w:p w14:paraId="7AE66B7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Yang, Y., Li, F., Bi, X., Sun, L., Liu, T., Jin, Z., Liu, C., 2011. Lead, zinc, and cadmium in vegetable/crops in a zinc smelting region and its potential human toxicity. Bulletin of Environmental Contamination and Toxicology 87, 586–590.</w:t>
      </w:r>
    </w:p>
    <w:p w14:paraId="74B5DA5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Yang, Z., Fang, Z., Zheng, L., Cheng, W., Tsang, P.E., Fang, J., Zhao, D., 2016. Remediation of lead contaminated soil by biochar-supported nano-hydroxyapatite. Ecotoxicology and Environmental Safety 132, 224–230.</w:t>
      </w:r>
    </w:p>
    <w:p w14:paraId="7F8656A1"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Yao, F.X., Arbestain, M.C., Virgel, S., Blanco, F., Arostegui, J., Maciá-Agulló, J.A., Macías, F., 2010. Simulated geochemical weathering of a mineral ash-rich biochar in a modified Soxhlet reactor. Chemosphere 80, 724–732.</w:t>
      </w:r>
    </w:p>
    <w:p w14:paraId="5FB657A5"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Yao, Z., Li, J., Xie, H., Yu, C., 2012. Review on remediation technologies of soil contaminated by heavy metals. Procedia Environmental Sciences 16, 722–729.</w:t>
      </w:r>
    </w:p>
    <w:p w14:paraId="714D4A3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Ye, J., Zhang, R., Nielsen, S., Joseph, S.D., Huang, D., Thomas, T., 2016. A combination of biochar–mineral complexes and compost improves soil bacterial processes, soil quality, and plant properties. Frontiers in Microbiology 7, 372.</w:t>
      </w:r>
    </w:p>
    <w:p w14:paraId="3D2490F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Yin, D., Li, H., Wang, H., Guo, X., Wang, Z., Lv, Y., Ding, G., Jin, L., Lan, Y., 2021. Impact of different biochars on microbial community structure in the rhizospheric soil of rice grown in albic soil. Molecules 26, 4783.</w:t>
      </w:r>
    </w:p>
    <w:p w14:paraId="3EDB53E3"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Yin, D., Wang, X., Chen, C., Peng, B., Tan, C., Li, H., 2016. Varying effect of biochar on Cd, Pb and As mobility in a multi-metal contaminated paddy soil. Chemosphere 152, 196–206.</w:t>
      </w:r>
    </w:p>
    <w:p w14:paraId="7F2E0FB7"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Yonebayashi, K., Hattori, T., 1986. Patterns and factors controlling nitrogen mineralization in paddy soils in tropical and temperate regions. Soil Science and Plant Nutrition 32, 407–420.</w:t>
      </w:r>
    </w:p>
    <w:p w14:paraId="251DE109"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lastRenderedPageBreak/>
        <w:t>Younis, U., Malik, S.A., Rizwan, M., Qayyum, M.F., Ok, Y.S., Shah, M.H.R., Rehman, R.A., Ahmad, N., 2016. Biochar enhances the cadmium tolerance in spinach (Spinacia oleracea) through modification of Cd uptake and physiological and biochemical attributes. Environmental Science and Pollution Research 23, 21385–21394.</w:t>
      </w:r>
    </w:p>
    <w:p w14:paraId="064ECBF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Zalewska, M., Nogalska, A., 2014. Phytoextraction potential of sunflower and white mustard plants in zinc-contaminated soil. Chilean journal of agricultural research 74, 485–489.</w:t>
      </w:r>
    </w:p>
    <w:p w14:paraId="17F4B22E"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Zeng, G., Wu, H., Liang, J., Guo, S., Huang, L., Xu, P., Liu, Y., Yuan, Y., He, X., He, Y., 2015. Efficiency of biochar and compost (or composting) combined amendments for reducing Cd, Cu, Zn and Pb bioavailability, mobility and ecological risk in wetland soil. RSC Advances 5, 34541–34548.</w:t>
      </w:r>
    </w:p>
    <w:p w14:paraId="21645F90"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Zhang, F., Wang, X., Yin, D., Peng, B., Tan, C., Liu, Y., Tan, X., Wu, S., 2015. Efficiency and mechanisms of Cd removal from aqueous solution by biochar derived from water hyacinth (Eichornia crassipes). Journal of Environmental Management 153, 68–73.</w:t>
      </w:r>
    </w:p>
    <w:p w14:paraId="22B2CA6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Zhang, G., Guo, X., Zhao, Z., He, Q., Wang, S., Zhu, Y., Yan, Y., Liu, X., Sun, K., Zhao, Y., Qian, T., 2016. Effects of biochars on the availability of heavy metals to ryegrass in an alkaline contaminated soil. Environmental Pollution 218, 513–522.</w:t>
      </w:r>
    </w:p>
    <w:p w14:paraId="400C19B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Zhang, L., Ding, H., Jiang, H., Wang, H., Chen, K., Duan, J., Feng, S., Wu, G., 2020. Regulation of cadmium tolerance and accumulation by miR156 in Arabidopsis. Chemosphere 242, 125168.</w:t>
      </w:r>
    </w:p>
    <w:p w14:paraId="2B42D60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Zhang, Z., Solaiman, Z.M., Meney, K., Murphy, D. V., Rengel, Z., 2013. Biochars immobilize soil cadmium, but do not improve growth of emergent wetland species Juncus subsecundus in cadmium-contaminated soil. Journal of Soils and Sediments 13, 140–151.</w:t>
      </w:r>
    </w:p>
    <w:p w14:paraId="3E197088"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Zhao, L., Cao, X., Mašek, O., Zimmerman, A., 2013. Heterogeneity of biochar properties as a function of feedstock sources and production temperatures. Journal of Hazardous Materials 256–257, 1–9.</w:t>
      </w:r>
    </w:p>
    <w:p w14:paraId="70FEEEC4"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Zhao, Q., Chu, S., He, D., Wu, D., Mo, Q., Zeng, S., 2021. Sewage sludge application alters the composition and co-occurrence pattern of the soil bacterial community in southern China forestlands. Applied Soil Ecology 157, 103744.</w:t>
      </w:r>
    </w:p>
    <w:p w14:paraId="7F1ABB7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Zhao, Z.Q., Zhu, Y.G., Li, H.Y., Smith, S.E., Smith, F.A., 2004. Effects of forms and rates of potassium fertilizers on cadmium uptake by two cultivars of spring wheat (Triticum aestivum, L.). Environment International 29, 973–978.</w:t>
      </w:r>
    </w:p>
    <w:p w14:paraId="3F97354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Zhou, M., Engelmann, T., Lutts, S., 2019. Salinity modifies heavy metals and arsenic absorption by the halophyte plant species Kosteletzkya pentacarpos and pollutant leaching from a polycontaminated substrate. Ecotoxicology and Environmental Safety 182, 109460.</w:t>
      </w:r>
    </w:p>
    <w:p w14:paraId="26E3A54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Zhu, J.-K., 2007. Plant salt stress. In: Encyclopedia of Life Sciences. John Wiley &amp; Sons, Ltd, Chichester, UK.</w:t>
      </w:r>
    </w:p>
    <w:p w14:paraId="06498A3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de-DE"/>
        </w:rPr>
      </w:pPr>
      <w:r w:rsidRPr="00216965">
        <w:rPr>
          <w:rFonts w:cs="Times New Roman"/>
          <w:noProof/>
          <w:szCs w:val="24"/>
        </w:rPr>
        <w:lastRenderedPageBreak/>
        <w:t xml:space="preserve">Zhu, N., Yan, T., Qiao, J., Cao, H., 2016. Adsorption of arsenic, phosphorus and chromium by bismuth impregnated biochar: Adsorption mechanism and depleted adsorbent utilization. </w:t>
      </w:r>
      <w:r w:rsidRPr="00216965">
        <w:rPr>
          <w:rFonts w:cs="Times New Roman"/>
          <w:noProof/>
          <w:szCs w:val="24"/>
          <w:lang w:val="de-DE"/>
        </w:rPr>
        <w:t>Chemosphere 164, 32–40.</w:t>
      </w:r>
    </w:p>
    <w:p w14:paraId="4E490506"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lang w:val="de-DE"/>
        </w:rPr>
        <w:t xml:space="preserve">Zhu, Q., Wu, J., Wang, L., Yang, G., Zhang, X., 2015. </w:t>
      </w:r>
      <w:r w:rsidRPr="00216965">
        <w:rPr>
          <w:rFonts w:cs="Times New Roman"/>
          <w:noProof/>
          <w:szCs w:val="24"/>
        </w:rPr>
        <w:t>Effect of biochar on heavy metal speciation of paddy soil. Water, Air, and Soil Pollution 226, 429.</w:t>
      </w:r>
    </w:p>
    <w:p w14:paraId="6252A03A"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Zhu, X., Chen, B., Zhu, L., Xing, B., 2017. Effects and mechanisms of biochar-microbe interactions in soil improvement and pollution remediation : A review. Environmental Pollution 227, 98–115.</w:t>
      </w:r>
    </w:p>
    <w:p w14:paraId="16D9C43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Zhu, X., Wang, X., Ok, Y.S., 2019. The application of machine learning methods for prediction of metal sorption onto biochars. Journal of Hazardous Materials 378, 120727.</w:t>
      </w:r>
    </w:p>
    <w:p w14:paraId="3B4A129B"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rPr>
      </w:pPr>
      <w:r w:rsidRPr="00216965">
        <w:rPr>
          <w:rFonts w:cs="Times New Roman"/>
          <w:noProof/>
          <w:szCs w:val="24"/>
        </w:rPr>
        <w:t>Zimmerman, A.J., Weindorf, D.C., 2010. Heavy metal and trace metal analysis in soil by sequential extraction : A review of procedures. International Journal of Analytical Chemistry 2010, 387803.</w:t>
      </w:r>
    </w:p>
    <w:p w14:paraId="23B891DD"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szCs w:val="24"/>
          <w:lang w:val="es-419"/>
        </w:rPr>
      </w:pPr>
      <w:r w:rsidRPr="00216965">
        <w:rPr>
          <w:rFonts w:cs="Times New Roman"/>
          <w:noProof/>
          <w:szCs w:val="24"/>
        </w:rPr>
        <w:t xml:space="preserve">Żurek, G., Rybka, K., Pogrzeba, M., Krzyżak, J., Prokopiuk, K., 2014. Chlorophyll a fluorescence in evaluation of the effect of heavy metal soil contamination on perennial grasses. </w:t>
      </w:r>
      <w:r w:rsidRPr="00216965">
        <w:rPr>
          <w:rFonts w:cs="Times New Roman"/>
          <w:noProof/>
          <w:szCs w:val="24"/>
          <w:lang w:val="es-419"/>
        </w:rPr>
        <w:t>PloS one 9, e91475.</w:t>
      </w:r>
    </w:p>
    <w:p w14:paraId="7AC07EAF" w14:textId="77777777" w:rsidR="004F0F92" w:rsidRPr="00216965" w:rsidRDefault="004F0F92" w:rsidP="00855145">
      <w:pPr>
        <w:widowControl w:val="0"/>
        <w:autoSpaceDE w:val="0"/>
        <w:autoSpaceDN w:val="0"/>
        <w:adjustRightInd w:val="0"/>
        <w:spacing w:line="240" w:lineRule="auto"/>
        <w:ind w:left="480" w:hanging="480"/>
        <w:jc w:val="both"/>
        <w:rPr>
          <w:rFonts w:cs="Times New Roman"/>
          <w:noProof/>
        </w:rPr>
      </w:pPr>
      <w:r w:rsidRPr="00216965">
        <w:rPr>
          <w:rFonts w:cs="Times New Roman"/>
          <w:noProof/>
          <w:szCs w:val="24"/>
          <w:lang w:val="es-419"/>
        </w:rPr>
        <w:t xml:space="preserve">Zuza-Alves, D.L., Silva-Rocha, W.P., Chaves, G.M., 2017. </w:t>
      </w:r>
      <w:r w:rsidRPr="00216965">
        <w:rPr>
          <w:rFonts w:cs="Times New Roman"/>
          <w:noProof/>
          <w:szCs w:val="24"/>
        </w:rPr>
        <w:t>An update on Candida tropicalis based on basic and clinical approaches. Frontiers in Microbiology 8, 1927.</w:t>
      </w:r>
    </w:p>
    <w:p w14:paraId="54458441" w14:textId="6CDB6A9A" w:rsidR="003B0D28" w:rsidRPr="00216965" w:rsidRDefault="007A2A48" w:rsidP="00855145">
      <w:pPr>
        <w:jc w:val="both"/>
      </w:pPr>
      <w:r w:rsidRPr="00216965">
        <w:fldChar w:fldCharType="end"/>
      </w:r>
    </w:p>
    <w:p w14:paraId="34D21EA3" w14:textId="337C8665" w:rsidR="003B0D28" w:rsidRPr="00216965" w:rsidRDefault="003B0D28" w:rsidP="008A33DA"/>
    <w:p w14:paraId="4B3C9028" w14:textId="18C088F6" w:rsidR="003B0D28" w:rsidRPr="00216965" w:rsidRDefault="003B0D28" w:rsidP="008A33DA"/>
    <w:p w14:paraId="729BF3C6" w14:textId="7ABE76AB" w:rsidR="00BF3EBE" w:rsidRPr="00216965" w:rsidRDefault="00BF3EBE" w:rsidP="008A33DA">
      <w:pPr>
        <w:pStyle w:val="Heading1"/>
        <w:numPr>
          <w:ilvl w:val="0"/>
          <w:numId w:val="8"/>
        </w:numPr>
        <w:rPr>
          <w:noProof/>
        </w:rPr>
      </w:pPr>
      <w:bookmarkStart w:id="430" w:name="_Toc86504727"/>
      <w:r w:rsidRPr="00216965">
        <w:rPr>
          <w:noProof/>
        </w:rPr>
        <w:lastRenderedPageBreak/>
        <w:t>Appendices</w:t>
      </w:r>
      <w:bookmarkEnd w:id="430"/>
    </w:p>
    <w:p w14:paraId="77DB71F5" w14:textId="129BEDD5" w:rsidR="00BF3EBE" w:rsidRPr="00216965" w:rsidRDefault="00BF3EBE" w:rsidP="008A33DA">
      <w:pPr>
        <w:pStyle w:val="Heading2"/>
      </w:pPr>
      <w:bookmarkStart w:id="431" w:name="_Ref86438359"/>
      <w:bookmarkStart w:id="432" w:name="_Toc86504728"/>
      <w:r w:rsidRPr="00216965">
        <w:t>Appendix 1</w:t>
      </w:r>
      <w:bookmarkEnd w:id="431"/>
      <w:bookmarkEnd w:id="432"/>
    </w:p>
    <w:p w14:paraId="665456DB" w14:textId="1E1DA6FD" w:rsidR="00D31DA7" w:rsidRPr="00216965" w:rsidRDefault="00D31DA7" w:rsidP="008A33DA">
      <w:r w:rsidRPr="00216965">
        <w:rPr>
          <w:noProof/>
        </w:rPr>
        <w:drawing>
          <wp:inline distT="0" distB="0" distL="0" distR="0" wp14:anchorId="12D69C1C" wp14:editId="6A4BB162">
            <wp:extent cx="5348237" cy="3863340"/>
            <wp:effectExtent l="0" t="0" r="5080" b="3810"/>
            <wp:docPr id="115" name="Picture 11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57175" cy="3869797"/>
                    </a:xfrm>
                    <a:prstGeom prst="rect">
                      <a:avLst/>
                    </a:prstGeom>
                    <a:noFill/>
                    <a:ln>
                      <a:noFill/>
                    </a:ln>
                  </pic:spPr>
                </pic:pic>
              </a:graphicData>
            </a:graphic>
          </wp:inline>
        </w:drawing>
      </w:r>
    </w:p>
    <w:p w14:paraId="74BD52C8" w14:textId="77777777" w:rsidR="00BF3EBE" w:rsidRPr="00216965" w:rsidRDefault="00BF3EBE" w:rsidP="008A33DA"/>
    <w:p w14:paraId="4C94FC0E" w14:textId="4B3AFDBC" w:rsidR="00D31DA7" w:rsidRPr="00216965" w:rsidRDefault="00BF3EBE" w:rsidP="008A33DA">
      <w:pPr>
        <w:pStyle w:val="Caption"/>
        <w:jc w:val="both"/>
        <w:rPr>
          <w:rFonts w:eastAsia="Times New Roman" w:cs="Times New Roman"/>
          <w:b/>
          <w:bCs w:val="0"/>
          <w:szCs w:val="24"/>
        </w:rPr>
      </w:pPr>
      <w:bookmarkStart w:id="433" w:name="_Toc86439402"/>
      <w:r w:rsidRPr="00216965">
        <w:rPr>
          <w:rFonts w:cs="Times New Roman"/>
          <w:b/>
          <w:bCs w:val="0"/>
          <w:szCs w:val="24"/>
        </w:rPr>
        <w:t xml:space="preserve">Fig. </w:t>
      </w:r>
      <w:r w:rsidRPr="00216965">
        <w:rPr>
          <w:rFonts w:cs="Times New Roman"/>
          <w:b/>
          <w:bCs w:val="0"/>
          <w:szCs w:val="24"/>
        </w:rPr>
        <w:fldChar w:fldCharType="begin"/>
      </w:r>
      <w:r w:rsidRPr="00216965">
        <w:rPr>
          <w:rFonts w:cs="Times New Roman"/>
          <w:b/>
          <w:bCs w:val="0"/>
          <w:szCs w:val="24"/>
        </w:rPr>
        <w:instrText xml:space="preserve"> STYLEREF 1 \s </w:instrText>
      </w:r>
      <w:r w:rsidRPr="00216965">
        <w:rPr>
          <w:rFonts w:cs="Times New Roman"/>
          <w:b/>
          <w:bCs w:val="0"/>
          <w:szCs w:val="24"/>
        </w:rPr>
        <w:fldChar w:fldCharType="separate"/>
      </w:r>
      <w:r w:rsidR="006E23EA" w:rsidRPr="00216965">
        <w:rPr>
          <w:rFonts w:cs="Times New Roman"/>
          <w:b/>
          <w:bCs w:val="0"/>
          <w:noProof/>
          <w:szCs w:val="24"/>
        </w:rPr>
        <w:t>8</w:t>
      </w:r>
      <w:r w:rsidRPr="00216965">
        <w:rPr>
          <w:rFonts w:cs="Times New Roman"/>
          <w:b/>
          <w:bCs w:val="0"/>
          <w:szCs w:val="24"/>
        </w:rPr>
        <w:fldChar w:fldCharType="end"/>
      </w:r>
      <w:r w:rsidRPr="00216965">
        <w:rPr>
          <w:rFonts w:cs="Times New Roman"/>
          <w:b/>
          <w:bCs w:val="0"/>
          <w:szCs w:val="24"/>
        </w:rPr>
        <w:noBreakHyphen/>
      </w:r>
      <w:r w:rsidRPr="00216965">
        <w:rPr>
          <w:rFonts w:cs="Times New Roman"/>
          <w:b/>
          <w:bCs w:val="0"/>
          <w:szCs w:val="24"/>
        </w:rPr>
        <w:fldChar w:fldCharType="begin"/>
      </w:r>
      <w:r w:rsidRPr="00216965">
        <w:rPr>
          <w:rFonts w:cs="Times New Roman"/>
          <w:b/>
          <w:bCs w:val="0"/>
          <w:szCs w:val="24"/>
        </w:rPr>
        <w:instrText xml:space="preserve"> SEQ Figure \* ARABIC \s 1 </w:instrText>
      </w:r>
      <w:r w:rsidRPr="00216965">
        <w:rPr>
          <w:rFonts w:cs="Times New Roman"/>
          <w:b/>
          <w:bCs w:val="0"/>
          <w:szCs w:val="24"/>
        </w:rPr>
        <w:fldChar w:fldCharType="separate"/>
      </w:r>
      <w:r w:rsidR="006E23EA" w:rsidRPr="00216965">
        <w:rPr>
          <w:rFonts w:cs="Times New Roman"/>
          <w:b/>
          <w:bCs w:val="0"/>
          <w:noProof/>
          <w:szCs w:val="24"/>
        </w:rPr>
        <w:t>1</w:t>
      </w:r>
      <w:r w:rsidRPr="00216965">
        <w:rPr>
          <w:rFonts w:cs="Times New Roman"/>
          <w:b/>
          <w:bCs w:val="0"/>
          <w:szCs w:val="24"/>
        </w:rPr>
        <w:fldChar w:fldCharType="end"/>
      </w:r>
      <w:r w:rsidRPr="00216965">
        <w:rPr>
          <w:rFonts w:cs="Times New Roman"/>
          <w:b/>
          <w:bCs w:val="0"/>
          <w:szCs w:val="24"/>
        </w:rPr>
        <w:t xml:space="preserve"> </w:t>
      </w:r>
      <w:r w:rsidR="00D31DA7" w:rsidRPr="00216965">
        <w:rPr>
          <w:rFonts w:eastAsia="Times New Roman" w:cs="Times New Roman"/>
          <w:b/>
          <w:bCs w:val="0"/>
          <w:i/>
          <w:iCs/>
          <w:szCs w:val="24"/>
        </w:rPr>
        <w:t>Arabidopsis thalian</w:t>
      </w:r>
      <w:r w:rsidR="00D31DA7" w:rsidRPr="00216965">
        <w:rPr>
          <w:rFonts w:eastAsia="Times New Roman" w:cs="Times New Roman"/>
          <w:b/>
          <w:bCs w:val="0"/>
          <w:szCs w:val="24"/>
        </w:rPr>
        <w:t>a Col-0 leaf area measurements over time in plants growing in soil artificially contaminated with single elements Cd, Pb, Zn and a multielement polluted soil (Mix-soil)</w:t>
      </w:r>
      <w:r w:rsidR="00D31DA7" w:rsidRPr="00216965">
        <w:rPr>
          <w:rFonts w:eastAsia="Times New Roman" w:cs="Times New Roman"/>
          <w:bCs w:val="0"/>
          <w:szCs w:val="24"/>
        </w:rPr>
        <w:t>. Soil was amended with plant-based biochars at application rates of 0, 1, 3 and 5 % (</w:t>
      </w:r>
      <w:r w:rsidR="00D31DA7" w:rsidRPr="00216965">
        <w:rPr>
          <w:rFonts w:eastAsia="Times New Roman" w:cs="Times New Roman"/>
          <w:bCs w:val="0"/>
          <w:i/>
          <w:iCs/>
          <w:szCs w:val="24"/>
        </w:rPr>
        <w:t>w/w</w:t>
      </w:r>
      <w:r w:rsidR="00D31DA7" w:rsidRPr="00216965">
        <w:rPr>
          <w:rFonts w:eastAsia="Times New Roman" w:cs="Times New Roman"/>
          <w:bCs w:val="0"/>
          <w:szCs w:val="24"/>
        </w:rPr>
        <w:t>). Measurements started 10 days after sowing. Dots represent experimental data measured and lines are the fits for the 4-parameters logistic model.</w:t>
      </w:r>
      <w:bookmarkEnd w:id="433"/>
    </w:p>
    <w:p w14:paraId="0A967F87" w14:textId="77777777" w:rsidR="00D31DA7" w:rsidRPr="00216965" w:rsidRDefault="00D31DA7" w:rsidP="008A33DA"/>
    <w:p w14:paraId="4AA71ABC" w14:textId="77777777" w:rsidR="00D31DA7" w:rsidRPr="00216965" w:rsidRDefault="00D31DA7" w:rsidP="008A33DA"/>
    <w:p w14:paraId="07B97D16" w14:textId="77777777" w:rsidR="00D31DA7" w:rsidRPr="00216965" w:rsidRDefault="00D31DA7" w:rsidP="008A33DA"/>
    <w:p w14:paraId="72005FD9" w14:textId="77777777" w:rsidR="00D31DA7" w:rsidRPr="00216965" w:rsidRDefault="00D31DA7" w:rsidP="008A33DA"/>
    <w:p w14:paraId="136A0424" w14:textId="77777777" w:rsidR="00D31DA7" w:rsidRPr="00216965" w:rsidRDefault="00D31DA7" w:rsidP="008A33DA"/>
    <w:p w14:paraId="652D99BD" w14:textId="77777777" w:rsidR="00D31DA7" w:rsidRPr="00216965" w:rsidRDefault="00D31DA7" w:rsidP="008A33DA"/>
    <w:p w14:paraId="216FDE80" w14:textId="77777777" w:rsidR="00D31DA7" w:rsidRPr="00216965" w:rsidRDefault="00D31DA7" w:rsidP="008A33DA"/>
    <w:p w14:paraId="03FC0020" w14:textId="65AA422F" w:rsidR="00BF3EBE" w:rsidRPr="00216965" w:rsidRDefault="00BF3EBE" w:rsidP="008A33DA">
      <w:pPr>
        <w:rPr>
          <w:noProof/>
        </w:rPr>
      </w:pPr>
    </w:p>
    <w:p w14:paraId="4FBA0234" w14:textId="47370799" w:rsidR="00BF3EBE" w:rsidRPr="00216965" w:rsidRDefault="00BF3EBE" w:rsidP="008A33DA">
      <w:pPr>
        <w:pStyle w:val="Heading2"/>
        <w:rPr>
          <w:noProof/>
        </w:rPr>
      </w:pPr>
      <w:bookmarkStart w:id="434" w:name="_Ref86438434"/>
      <w:bookmarkStart w:id="435" w:name="_Toc86504729"/>
      <w:r w:rsidRPr="00216965">
        <w:rPr>
          <w:noProof/>
        </w:rPr>
        <w:lastRenderedPageBreak/>
        <w:t>Appendix 2</w:t>
      </w:r>
      <w:bookmarkEnd w:id="434"/>
      <w:bookmarkEnd w:id="435"/>
    </w:p>
    <w:p w14:paraId="5BB78B1F" w14:textId="759D7176" w:rsidR="00D31DA7" w:rsidRPr="00216965" w:rsidRDefault="00D31DA7" w:rsidP="008A33DA">
      <w:pPr>
        <w:rPr>
          <w:lang w:eastAsia="en-GB"/>
        </w:rPr>
      </w:pPr>
      <w:r w:rsidRPr="00216965">
        <w:rPr>
          <w:noProof/>
        </w:rPr>
        <w:drawing>
          <wp:inline distT="0" distB="0" distL="0" distR="0" wp14:anchorId="149120D9" wp14:editId="1EA5D6BD">
            <wp:extent cx="5400040" cy="4904740"/>
            <wp:effectExtent l="0" t="0" r="0" b="0"/>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4904740"/>
                    </a:xfrm>
                    <a:prstGeom prst="rect">
                      <a:avLst/>
                    </a:prstGeom>
                    <a:noFill/>
                    <a:ln>
                      <a:noFill/>
                    </a:ln>
                  </pic:spPr>
                </pic:pic>
              </a:graphicData>
            </a:graphic>
          </wp:inline>
        </w:drawing>
      </w:r>
    </w:p>
    <w:p w14:paraId="3416B1A8" w14:textId="77777777" w:rsidR="00BF3EBE" w:rsidRPr="00216965" w:rsidRDefault="00BF3EBE" w:rsidP="008A33DA">
      <w:pPr>
        <w:rPr>
          <w:lang w:eastAsia="en-GB"/>
        </w:rPr>
      </w:pPr>
    </w:p>
    <w:p w14:paraId="45654192" w14:textId="4AF956E9" w:rsidR="00D31DA7" w:rsidRPr="00216965" w:rsidRDefault="00D31DA7" w:rsidP="008A33DA">
      <w:pPr>
        <w:pStyle w:val="Caption"/>
        <w:jc w:val="both"/>
        <w:rPr>
          <w:rFonts w:eastAsia="Times New Roman" w:cs="Times New Roman"/>
          <w:b/>
          <w:bCs w:val="0"/>
          <w:szCs w:val="24"/>
        </w:rPr>
      </w:pPr>
      <w:bookmarkStart w:id="436" w:name="_Toc86439403"/>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8</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2</w:t>
      </w:r>
      <w:r w:rsidR="00BF3EBE" w:rsidRPr="00216965">
        <w:rPr>
          <w:rFonts w:cs="Times New Roman"/>
          <w:b/>
          <w:bCs w:val="0"/>
          <w:szCs w:val="24"/>
        </w:rPr>
        <w:fldChar w:fldCharType="end"/>
      </w:r>
      <w:r w:rsidRPr="00216965">
        <w:rPr>
          <w:rFonts w:cs="Times New Roman"/>
          <w:b/>
          <w:bCs w:val="0"/>
          <w:szCs w:val="24"/>
        </w:rPr>
        <w:t>.</w:t>
      </w:r>
      <w:r w:rsidRPr="00216965">
        <w:rPr>
          <w:b/>
          <w:bCs w:val="0"/>
        </w:rPr>
        <w:t xml:space="preserve"> </w:t>
      </w:r>
      <w:r w:rsidRPr="00216965">
        <w:rPr>
          <w:rFonts w:eastAsia="Times New Roman" w:cs="Times New Roman"/>
          <w:b/>
          <w:bCs w:val="0"/>
          <w:szCs w:val="24"/>
        </w:rPr>
        <w:t xml:space="preserve">Fv/Fm along time measured in </w:t>
      </w:r>
      <w:r w:rsidRPr="00216965">
        <w:rPr>
          <w:rFonts w:eastAsia="Times New Roman" w:cs="Times New Roman"/>
          <w:b/>
          <w:bCs w:val="0"/>
          <w:i/>
          <w:iCs/>
          <w:szCs w:val="24"/>
        </w:rPr>
        <w:t>Arabidopsis thaliana</w:t>
      </w:r>
      <w:r w:rsidRPr="00216965">
        <w:rPr>
          <w:rFonts w:eastAsia="Times New Roman" w:cs="Times New Roman"/>
          <w:b/>
          <w:bCs w:val="0"/>
          <w:szCs w:val="24"/>
        </w:rPr>
        <w:t xml:space="preserve"> col-0 growing in artificially contaminated soils amended with biochars OSR550, SWP550, WSP550 and MSP550 applied at 0, 1, 3 and 5 % (</w:t>
      </w:r>
      <w:r w:rsidRPr="00216965">
        <w:rPr>
          <w:rFonts w:eastAsia="Times New Roman" w:cs="Times New Roman"/>
          <w:b/>
          <w:bCs w:val="0"/>
          <w:i/>
          <w:iCs/>
          <w:szCs w:val="24"/>
        </w:rPr>
        <w:t>w/w</w:t>
      </w:r>
      <w:r w:rsidRPr="00216965">
        <w:rPr>
          <w:rFonts w:eastAsia="Times New Roman" w:cs="Times New Roman"/>
          <w:b/>
          <w:bCs w:val="0"/>
          <w:szCs w:val="24"/>
        </w:rPr>
        <w:t xml:space="preserve">). </w:t>
      </w:r>
      <w:r w:rsidRPr="00216965">
        <w:rPr>
          <w:rFonts w:eastAsia="Times New Roman" w:cs="Times New Roman"/>
          <w:bCs w:val="0"/>
          <w:szCs w:val="24"/>
        </w:rPr>
        <w:t>Dots are the experimental Fv/Fm values recorded at noon.</w:t>
      </w:r>
      <w:bookmarkEnd w:id="436"/>
      <w:r w:rsidRPr="00216965">
        <w:rPr>
          <w:rFonts w:eastAsia="Times New Roman" w:cs="Times New Roman"/>
          <w:bCs w:val="0"/>
          <w:szCs w:val="24"/>
        </w:rPr>
        <w:t xml:space="preserve"> </w:t>
      </w:r>
    </w:p>
    <w:p w14:paraId="58915BFF" w14:textId="77777777" w:rsidR="00D31DA7" w:rsidRPr="00216965" w:rsidRDefault="00D31DA7" w:rsidP="008A33DA"/>
    <w:p w14:paraId="5B833D4C" w14:textId="77777777" w:rsidR="00D31DA7" w:rsidRPr="00216965" w:rsidRDefault="00D31DA7" w:rsidP="008A33DA"/>
    <w:p w14:paraId="54D36985" w14:textId="77777777" w:rsidR="00D31DA7" w:rsidRPr="00216965" w:rsidRDefault="00D31DA7" w:rsidP="008A33DA"/>
    <w:p w14:paraId="4D83F625" w14:textId="77777777" w:rsidR="00D31DA7" w:rsidRPr="00216965" w:rsidRDefault="00D31DA7" w:rsidP="008A33DA"/>
    <w:p w14:paraId="5A86D9AF" w14:textId="77777777" w:rsidR="00D31DA7" w:rsidRPr="00216965" w:rsidRDefault="00D31DA7" w:rsidP="008A33DA"/>
    <w:p w14:paraId="0259EC2A" w14:textId="77777777" w:rsidR="00D31DA7" w:rsidRPr="00216965" w:rsidRDefault="00D31DA7" w:rsidP="008A33DA"/>
    <w:p w14:paraId="4EC5B5B6" w14:textId="77777777" w:rsidR="00D31DA7" w:rsidRPr="00216965" w:rsidRDefault="00D31DA7" w:rsidP="008A33DA"/>
    <w:p w14:paraId="11D8F8A4" w14:textId="5A9EC3D7" w:rsidR="00D31DA7" w:rsidRPr="00216965" w:rsidRDefault="009628B9" w:rsidP="008A33DA">
      <w:pPr>
        <w:pStyle w:val="Heading2"/>
      </w:pPr>
      <w:bookmarkStart w:id="437" w:name="_Ref86438536"/>
      <w:bookmarkStart w:id="438" w:name="_Toc86504730"/>
      <w:r w:rsidRPr="00216965">
        <w:lastRenderedPageBreak/>
        <w:t>Appendix 3</w:t>
      </w:r>
      <w:bookmarkEnd w:id="437"/>
      <w:bookmarkEnd w:id="438"/>
    </w:p>
    <w:p w14:paraId="36E21FA0" w14:textId="77777777" w:rsidR="00D31DA7" w:rsidRPr="00216965" w:rsidRDefault="00D31DA7" w:rsidP="008A33DA">
      <w:pPr>
        <w:rPr>
          <w:b/>
          <w:bCs/>
          <w:lang w:eastAsia="en-GB"/>
        </w:rPr>
      </w:pPr>
      <w:r w:rsidRPr="00216965">
        <w:rPr>
          <w:noProof/>
        </w:rPr>
        <w:drawing>
          <wp:inline distT="0" distB="0" distL="0" distR="0" wp14:anchorId="5B2BC316" wp14:editId="6656C619">
            <wp:extent cx="5341620" cy="4686300"/>
            <wp:effectExtent l="0" t="0" r="0" b="0"/>
            <wp:docPr id="116" name="Picture 1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41620" cy="4686300"/>
                    </a:xfrm>
                    <a:prstGeom prst="rect">
                      <a:avLst/>
                    </a:prstGeom>
                    <a:noFill/>
                    <a:ln>
                      <a:noFill/>
                    </a:ln>
                  </pic:spPr>
                </pic:pic>
              </a:graphicData>
            </a:graphic>
          </wp:inline>
        </w:drawing>
      </w:r>
    </w:p>
    <w:p w14:paraId="1BE3FE17" w14:textId="62CF819E" w:rsidR="00D31DA7" w:rsidRPr="00216965" w:rsidRDefault="00D31DA7" w:rsidP="008A33DA">
      <w:pPr>
        <w:pStyle w:val="Caption"/>
        <w:jc w:val="both"/>
        <w:rPr>
          <w:rFonts w:cs="Times New Roman"/>
          <w:b/>
          <w:bCs w:val="0"/>
          <w:szCs w:val="24"/>
        </w:rPr>
      </w:pPr>
      <w:bookmarkStart w:id="439" w:name="_Toc86439404"/>
      <w:r w:rsidRPr="00216965">
        <w:rPr>
          <w:rFonts w:cs="Times New Roman"/>
          <w:b/>
          <w:bCs w:val="0"/>
          <w:szCs w:val="24"/>
        </w:rPr>
        <w:t xml:space="preserve">Fig </w:t>
      </w:r>
      <w:r w:rsidR="00BF3EBE" w:rsidRPr="00216965">
        <w:rPr>
          <w:rFonts w:cs="Times New Roman"/>
          <w:b/>
          <w:bCs w:val="0"/>
          <w:szCs w:val="24"/>
        </w:rPr>
        <w:fldChar w:fldCharType="begin"/>
      </w:r>
      <w:r w:rsidR="00BF3EBE" w:rsidRPr="00216965">
        <w:rPr>
          <w:rFonts w:cs="Times New Roman"/>
          <w:b/>
          <w:bCs w:val="0"/>
          <w:szCs w:val="24"/>
        </w:rPr>
        <w:instrText xml:space="preserve"> STYLEREF 1 \s </w:instrText>
      </w:r>
      <w:r w:rsidR="00BF3EBE" w:rsidRPr="00216965">
        <w:rPr>
          <w:rFonts w:cs="Times New Roman"/>
          <w:b/>
          <w:bCs w:val="0"/>
          <w:szCs w:val="24"/>
        </w:rPr>
        <w:fldChar w:fldCharType="separate"/>
      </w:r>
      <w:r w:rsidR="006E23EA" w:rsidRPr="00216965">
        <w:rPr>
          <w:rFonts w:cs="Times New Roman"/>
          <w:b/>
          <w:bCs w:val="0"/>
          <w:noProof/>
          <w:szCs w:val="24"/>
        </w:rPr>
        <w:t>8</w:t>
      </w:r>
      <w:r w:rsidR="00BF3EBE" w:rsidRPr="00216965">
        <w:rPr>
          <w:rFonts w:cs="Times New Roman"/>
          <w:b/>
          <w:bCs w:val="0"/>
          <w:szCs w:val="24"/>
        </w:rPr>
        <w:fldChar w:fldCharType="end"/>
      </w:r>
      <w:r w:rsidR="00BF3EBE" w:rsidRPr="00216965">
        <w:rPr>
          <w:rFonts w:cs="Times New Roman"/>
          <w:b/>
          <w:bCs w:val="0"/>
          <w:szCs w:val="24"/>
        </w:rPr>
        <w:noBreakHyphen/>
      </w:r>
      <w:r w:rsidR="00BF3EBE" w:rsidRPr="00216965">
        <w:rPr>
          <w:rFonts w:cs="Times New Roman"/>
          <w:b/>
          <w:bCs w:val="0"/>
          <w:szCs w:val="24"/>
        </w:rPr>
        <w:fldChar w:fldCharType="begin"/>
      </w:r>
      <w:r w:rsidR="00BF3EBE" w:rsidRPr="00216965">
        <w:rPr>
          <w:rFonts w:cs="Times New Roman"/>
          <w:b/>
          <w:bCs w:val="0"/>
          <w:szCs w:val="24"/>
        </w:rPr>
        <w:instrText xml:space="preserve"> SEQ Figure \* ARABIC \s 1 </w:instrText>
      </w:r>
      <w:r w:rsidR="00BF3EBE" w:rsidRPr="00216965">
        <w:rPr>
          <w:rFonts w:cs="Times New Roman"/>
          <w:b/>
          <w:bCs w:val="0"/>
          <w:szCs w:val="24"/>
        </w:rPr>
        <w:fldChar w:fldCharType="separate"/>
      </w:r>
      <w:r w:rsidR="006E23EA" w:rsidRPr="00216965">
        <w:rPr>
          <w:rFonts w:cs="Times New Roman"/>
          <w:b/>
          <w:bCs w:val="0"/>
          <w:noProof/>
          <w:szCs w:val="24"/>
        </w:rPr>
        <w:t>3</w:t>
      </w:r>
      <w:r w:rsidR="00BF3EBE" w:rsidRPr="00216965">
        <w:rPr>
          <w:rFonts w:cs="Times New Roman"/>
          <w:b/>
          <w:bCs w:val="0"/>
          <w:szCs w:val="24"/>
        </w:rPr>
        <w:fldChar w:fldCharType="end"/>
      </w:r>
      <w:r w:rsidRPr="00216965">
        <w:rPr>
          <w:rFonts w:cs="Times New Roman"/>
          <w:b/>
          <w:bCs w:val="0"/>
          <w:szCs w:val="24"/>
        </w:rPr>
        <w:t xml:space="preserve">. Effect of soil pH on nutrient bioavailability in soils planted with </w:t>
      </w:r>
      <w:r w:rsidRPr="00216965">
        <w:rPr>
          <w:rFonts w:cs="Times New Roman"/>
          <w:b/>
          <w:bCs w:val="0"/>
          <w:i/>
          <w:iCs/>
          <w:szCs w:val="24"/>
        </w:rPr>
        <w:t>Lolium perenne</w:t>
      </w:r>
      <w:r w:rsidRPr="00216965">
        <w:rPr>
          <w:rFonts w:cs="Times New Roman"/>
          <w:b/>
          <w:bCs w:val="0"/>
          <w:szCs w:val="24"/>
        </w:rPr>
        <w:t xml:space="preserve"> amended with biochars WSP550 and MSP550 at 0, 1 and 3 % (</w:t>
      </w:r>
      <w:r w:rsidRPr="00216965">
        <w:rPr>
          <w:rFonts w:cs="Times New Roman"/>
          <w:b/>
          <w:bCs w:val="0"/>
          <w:i/>
          <w:iCs/>
          <w:szCs w:val="24"/>
        </w:rPr>
        <w:t>w/w</w:t>
      </w:r>
      <w:r w:rsidRPr="00216965">
        <w:rPr>
          <w:rFonts w:cs="Times New Roman"/>
          <w:b/>
          <w:bCs w:val="0"/>
          <w:szCs w:val="24"/>
        </w:rPr>
        <w:t>).</w:t>
      </w:r>
      <w:r w:rsidRPr="00216965">
        <w:rPr>
          <w:rFonts w:cs="Times New Roman"/>
          <w:bCs w:val="0"/>
          <w:szCs w:val="24"/>
        </w:rPr>
        <w:t xml:space="preserve"> R= Pearson correlation coefficient, p-value (α=</w:t>
      </w:r>
      <w:r w:rsidR="009628B9" w:rsidRPr="00216965">
        <w:rPr>
          <w:rFonts w:cs="Times New Roman"/>
          <w:bCs w:val="0"/>
          <w:szCs w:val="24"/>
        </w:rPr>
        <w:t xml:space="preserve"> </w:t>
      </w:r>
      <w:r w:rsidRPr="00216965">
        <w:rPr>
          <w:rFonts w:cs="Times New Roman"/>
          <w:bCs w:val="0"/>
          <w:szCs w:val="24"/>
        </w:rPr>
        <w:t>0.05).</w:t>
      </w:r>
      <w:bookmarkEnd w:id="439"/>
    </w:p>
    <w:p w14:paraId="14977E57" w14:textId="26EE741B" w:rsidR="00D31DA7" w:rsidRPr="00216965" w:rsidRDefault="00D31DA7" w:rsidP="008A33DA"/>
    <w:p w14:paraId="24E8EADB" w14:textId="16868C22" w:rsidR="00913112" w:rsidRPr="00216965" w:rsidRDefault="00913112" w:rsidP="008A33DA"/>
    <w:p w14:paraId="42BAAD26" w14:textId="0E915882" w:rsidR="00913112" w:rsidRPr="00216965" w:rsidRDefault="00913112" w:rsidP="008A33DA"/>
    <w:p w14:paraId="78FD3490" w14:textId="24D66124" w:rsidR="00913112" w:rsidRPr="00216965" w:rsidRDefault="00913112" w:rsidP="008A33DA"/>
    <w:p w14:paraId="4F595A0D" w14:textId="31E07280" w:rsidR="00913112" w:rsidRPr="00216965" w:rsidRDefault="00913112" w:rsidP="008A33DA"/>
    <w:p w14:paraId="0A9560CF" w14:textId="1FAFA38B" w:rsidR="00913112" w:rsidRPr="00216965" w:rsidRDefault="00913112" w:rsidP="008A33DA"/>
    <w:p w14:paraId="3021C3C5" w14:textId="1A601FDB" w:rsidR="00913112" w:rsidRPr="00216965" w:rsidRDefault="00913112" w:rsidP="008A33DA"/>
    <w:p w14:paraId="74B2CC61" w14:textId="0A578B72" w:rsidR="00913112" w:rsidRPr="00216965" w:rsidRDefault="00913112" w:rsidP="008A33DA"/>
    <w:p w14:paraId="5B8D3E99" w14:textId="54A75789" w:rsidR="00913112" w:rsidRPr="00216965" w:rsidRDefault="00913112" w:rsidP="008A33DA"/>
    <w:p w14:paraId="2F42521B" w14:textId="5E16C6C3" w:rsidR="00913112" w:rsidRPr="00216965" w:rsidRDefault="00913112" w:rsidP="008A33DA">
      <w:pPr>
        <w:pStyle w:val="Heading2"/>
      </w:pPr>
      <w:bookmarkStart w:id="440" w:name="_Ref86438635"/>
      <w:bookmarkStart w:id="441" w:name="_Toc86504731"/>
      <w:r w:rsidRPr="00216965">
        <w:lastRenderedPageBreak/>
        <w:t>Appendix 4</w:t>
      </w:r>
      <w:bookmarkEnd w:id="440"/>
      <w:bookmarkEnd w:id="441"/>
    </w:p>
    <w:p w14:paraId="0F628AB0" w14:textId="77777777" w:rsidR="00913112" w:rsidRPr="00216965" w:rsidRDefault="00913112" w:rsidP="008A33DA">
      <w:r w:rsidRPr="00216965">
        <w:rPr>
          <w:noProof/>
        </w:rPr>
        <w:drawing>
          <wp:inline distT="0" distB="0" distL="0" distR="0" wp14:anchorId="7582F6B6" wp14:editId="3C3F88AC">
            <wp:extent cx="4120511" cy="5118882"/>
            <wp:effectExtent l="0" t="0" r="0" b="5715"/>
            <wp:docPr id="117" name="Picture 11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rotWithShape="1">
                    <a:blip r:embed="rId79"/>
                    <a:srcRect l="12170" t="21809" r="58681" b="13813"/>
                    <a:stretch/>
                  </pic:blipFill>
                  <pic:spPr bwMode="auto">
                    <a:xfrm>
                      <a:off x="0" y="0"/>
                      <a:ext cx="4133877" cy="5135486"/>
                    </a:xfrm>
                    <a:prstGeom prst="rect">
                      <a:avLst/>
                    </a:prstGeom>
                    <a:ln>
                      <a:noFill/>
                    </a:ln>
                    <a:extLst>
                      <a:ext uri="{53640926-AAD7-44D8-BBD7-CCE9431645EC}">
                        <a14:shadowObscured xmlns:a14="http://schemas.microsoft.com/office/drawing/2010/main"/>
                      </a:ext>
                    </a:extLst>
                  </pic:spPr>
                </pic:pic>
              </a:graphicData>
            </a:graphic>
          </wp:inline>
        </w:drawing>
      </w:r>
    </w:p>
    <w:p w14:paraId="526F3A5C" w14:textId="7A27B179" w:rsidR="00913112" w:rsidRPr="00216965" w:rsidRDefault="00913112" w:rsidP="008A33DA">
      <w:pPr>
        <w:pStyle w:val="Caption"/>
      </w:pPr>
      <w:bookmarkStart w:id="442" w:name="_Toc86439405"/>
      <w:r w:rsidRPr="00216965">
        <w:rPr>
          <w:rFonts w:cs="Times New Roman"/>
          <w:b/>
          <w:bCs w:val="0"/>
          <w:szCs w:val="24"/>
        </w:rPr>
        <w:t xml:space="preserve">Fig. </w:t>
      </w:r>
      <w:r w:rsidRPr="00216965">
        <w:rPr>
          <w:rFonts w:cs="Times New Roman"/>
          <w:b/>
          <w:bCs w:val="0"/>
          <w:szCs w:val="24"/>
        </w:rPr>
        <w:fldChar w:fldCharType="begin"/>
      </w:r>
      <w:r w:rsidRPr="00216965">
        <w:rPr>
          <w:rFonts w:cs="Times New Roman"/>
          <w:b/>
          <w:bCs w:val="0"/>
          <w:szCs w:val="24"/>
        </w:rPr>
        <w:instrText xml:space="preserve"> STYLEREF 1 \s </w:instrText>
      </w:r>
      <w:r w:rsidRPr="00216965">
        <w:rPr>
          <w:rFonts w:cs="Times New Roman"/>
          <w:b/>
          <w:bCs w:val="0"/>
          <w:szCs w:val="24"/>
        </w:rPr>
        <w:fldChar w:fldCharType="separate"/>
      </w:r>
      <w:r w:rsidR="006E23EA" w:rsidRPr="00216965">
        <w:rPr>
          <w:rFonts w:cs="Times New Roman"/>
          <w:b/>
          <w:bCs w:val="0"/>
          <w:noProof/>
          <w:szCs w:val="24"/>
        </w:rPr>
        <w:t>8</w:t>
      </w:r>
      <w:r w:rsidRPr="00216965">
        <w:rPr>
          <w:rFonts w:cs="Times New Roman"/>
          <w:b/>
          <w:bCs w:val="0"/>
          <w:szCs w:val="24"/>
        </w:rPr>
        <w:fldChar w:fldCharType="end"/>
      </w:r>
      <w:r w:rsidRPr="00216965">
        <w:rPr>
          <w:rFonts w:cs="Times New Roman"/>
          <w:b/>
          <w:bCs w:val="0"/>
          <w:szCs w:val="24"/>
        </w:rPr>
        <w:noBreakHyphen/>
      </w:r>
      <w:r w:rsidRPr="00216965">
        <w:rPr>
          <w:rFonts w:cs="Times New Roman"/>
          <w:b/>
          <w:bCs w:val="0"/>
          <w:szCs w:val="24"/>
        </w:rPr>
        <w:fldChar w:fldCharType="begin"/>
      </w:r>
      <w:r w:rsidRPr="00216965">
        <w:rPr>
          <w:rFonts w:cs="Times New Roman"/>
          <w:b/>
          <w:bCs w:val="0"/>
          <w:szCs w:val="24"/>
        </w:rPr>
        <w:instrText xml:space="preserve"> SEQ Figure \* ARABIC \s 1 </w:instrText>
      </w:r>
      <w:r w:rsidRPr="00216965">
        <w:rPr>
          <w:rFonts w:cs="Times New Roman"/>
          <w:b/>
          <w:bCs w:val="0"/>
          <w:szCs w:val="24"/>
        </w:rPr>
        <w:fldChar w:fldCharType="separate"/>
      </w:r>
      <w:r w:rsidR="006E23EA" w:rsidRPr="00216965">
        <w:rPr>
          <w:rFonts w:cs="Times New Roman"/>
          <w:b/>
          <w:bCs w:val="0"/>
          <w:noProof/>
          <w:szCs w:val="24"/>
        </w:rPr>
        <w:t>4</w:t>
      </w:r>
      <w:r w:rsidRPr="00216965">
        <w:rPr>
          <w:rFonts w:cs="Times New Roman"/>
          <w:b/>
          <w:bCs w:val="0"/>
          <w:szCs w:val="24"/>
        </w:rPr>
        <w:fldChar w:fldCharType="end"/>
      </w:r>
      <w:r w:rsidRPr="00216965">
        <w:rPr>
          <w:rFonts w:cs="Times New Roman"/>
          <w:b/>
          <w:bCs w:val="0"/>
          <w:szCs w:val="24"/>
        </w:rPr>
        <w:t xml:space="preserve">. </w:t>
      </w:r>
      <w:r w:rsidRPr="00216965">
        <w:rPr>
          <w:b/>
          <w:bCs w:val="0"/>
        </w:rPr>
        <w:t xml:space="preserve">DNeasy PowerSoil Pro Kit Procedure from </w:t>
      </w:r>
      <w:r w:rsidRPr="00216965">
        <w:rPr>
          <w:b/>
          <w:bCs w:val="0"/>
        </w:rPr>
        <w:fldChar w:fldCharType="begin" w:fldLock="1"/>
      </w:r>
      <w:r w:rsidR="00F56BD7" w:rsidRPr="00216965">
        <w:rPr>
          <w:b/>
          <w:bCs w:val="0"/>
        </w:rPr>
        <w:instrText>ADDIN CSL_CITATION {"citationItems":[{"id":"ITEM-1","itemData":{"author":[{"dropping-particle":"","family":"Qiagen","given":"","non-dropping-particle":"","parse-names":false,"suffix":""}],"id":"ITEM-1","issued":{"date-parts":[["2021"]]},"page":"1-52","publisher":"Qiagen","title":"DNeasy® PowerSoil® Pro Kit Handbook","type":"article"},"uris":["http://www.mendeley.com/documents/?uuid=2c90b1fe-d047-456d-942f-c02095728248"]}],"mendeley":{"formattedCitation":"(Qiagen, 2021)","manualFormatting":"Qiagen (2020)","plainTextFormattedCitation":"(Qiagen, 2021)","previouslyFormattedCitation":"(Qiagen, 2021)"},"properties":{"noteIndex":0},"schema":"https://github.com/citation-style-language/schema/raw/master/csl-citation.json"}</w:instrText>
      </w:r>
      <w:r w:rsidRPr="00216965">
        <w:rPr>
          <w:b/>
          <w:bCs w:val="0"/>
        </w:rPr>
        <w:fldChar w:fldCharType="separate"/>
      </w:r>
      <w:r w:rsidRPr="00216965">
        <w:rPr>
          <w:b/>
          <w:bCs w:val="0"/>
          <w:noProof/>
        </w:rPr>
        <w:t>Qiagen (2020)</w:t>
      </w:r>
      <w:bookmarkEnd w:id="442"/>
      <w:r w:rsidRPr="00216965">
        <w:rPr>
          <w:b/>
          <w:bCs w:val="0"/>
        </w:rPr>
        <w:fldChar w:fldCharType="end"/>
      </w:r>
      <w:r w:rsidR="005C1F7E" w:rsidRPr="00216965">
        <w:rPr>
          <w:b/>
          <w:bCs w:val="0"/>
        </w:rPr>
        <w:t>.</w:t>
      </w:r>
    </w:p>
    <w:p w14:paraId="101EACA6" w14:textId="77777777" w:rsidR="00913112" w:rsidRPr="00216965" w:rsidRDefault="00913112" w:rsidP="008A33DA"/>
    <w:p w14:paraId="03D20BE3" w14:textId="77777777" w:rsidR="00913112" w:rsidRPr="00216965" w:rsidRDefault="00913112" w:rsidP="008A33DA"/>
    <w:p w14:paraId="2C1EC40E" w14:textId="77777777" w:rsidR="00913112" w:rsidRPr="00216965" w:rsidRDefault="00913112" w:rsidP="008A33DA"/>
    <w:p w14:paraId="33541697" w14:textId="77777777" w:rsidR="00913112" w:rsidRPr="00216965" w:rsidRDefault="00913112" w:rsidP="008A33DA"/>
    <w:p w14:paraId="3BF37FF7" w14:textId="77777777" w:rsidR="00913112" w:rsidRPr="00216965" w:rsidRDefault="00913112" w:rsidP="008A33DA"/>
    <w:p w14:paraId="0780E9CC" w14:textId="77777777" w:rsidR="00913112" w:rsidRPr="00216965" w:rsidRDefault="00913112" w:rsidP="008A33DA"/>
    <w:p w14:paraId="7795DA06" w14:textId="77777777" w:rsidR="00913112" w:rsidRPr="00216965" w:rsidRDefault="00913112" w:rsidP="008A33DA"/>
    <w:p w14:paraId="29DB10E3" w14:textId="7E85C399" w:rsidR="00913112" w:rsidRPr="00216965" w:rsidRDefault="00913112" w:rsidP="008A33DA">
      <w:pPr>
        <w:pStyle w:val="Heading2"/>
      </w:pPr>
      <w:bookmarkStart w:id="443" w:name="_Ref86438709"/>
      <w:bookmarkStart w:id="444" w:name="_Toc86504732"/>
      <w:r w:rsidRPr="00216965">
        <w:lastRenderedPageBreak/>
        <w:t>Appendix 5</w:t>
      </w:r>
      <w:bookmarkEnd w:id="443"/>
      <w:bookmarkEnd w:id="444"/>
    </w:p>
    <w:p w14:paraId="5423A397" w14:textId="77777777" w:rsidR="00913112" w:rsidRPr="00216965" w:rsidRDefault="00913112" w:rsidP="008A33DA"/>
    <w:p w14:paraId="7647AA80" w14:textId="77777777" w:rsidR="00913112" w:rsidRPr="00216965" w:rsidRDefault="00913112" w:rsidP="008A33DA">
      <w:r w:rsidRPr="00216965">
        <w:rPr>
          <w:noProof/>
        </w:rPr>
        <w:drawing>
          <wp:inline distT="0" distB="0" distL="0" distR="0" wp14:anchorId="6C6AFF54" wp14:editId="5E812353">
            <wp:extent cx="5181600" cy="4937760"/>
            <wp:effectExtent l="0" t="0" r="0" b="0"/>
            <wp:docPr id="118" name="Picture 11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81600" cy="4937760"/>
                    </a:xfrm>
                    <a:prstGeom prst="rect">
                      <a:avLst/>
                    </a:prstGeom>
                    <a:noFill/>
                    <a:ln>
                      <a:noFill/>
                    </a:ln>
                  </pic:spPr>
                </pic:pic>
              </a:graphicData>
            </a:graphic>
          </wp:inline>
        </w:drawing>
      </w:r>
    </w:p>
    <w:p w14:paraId="3664D7C1" w14:textId="1A85FDED" w:rsidR="00913112" w:rsidRPr="00216965" w:rsidRDefault="00913112" w:rsidP="008A33DA">
      <w:pPr>
        <w:pStyle w:val="Caption"/>
        <w:jc w:val="both"/>
        <w:rPr>
          <w:rFonts w:eastAsia="Times New Roman" w:cs="Times New Roman"/>
          <w:b/>
          <w:bCs w:val="0"/>
          <w:szCs w:val="24"/>
        </w:rPr>
      </w:pPr>
      <w:bookmarkStart w:id="445" w:name="_Toc86439406"/>
      <w:r w:rsidRPr="00216965">
        <w:rPr>
          <w:rFonts w:cs="Times New Roman"/>
          <w:b/>
          <w:bCs w:val="0"/>
          <w:szCs w:val="24"/>
        </w:rPr>
        <w:t xml:space="preserve">Fig. </w:t>
      </w:r>
      <w:r w:rsidRPr="00216965">
        <w:rPr>
          <w:rFonts w:cs="Times New Roman"/>
          <w:b/>
          <w:bCs w:val="0"/>
          <w:szCs w:val="24"/>
        </w:rPr>
        <w:fldChar w:fldCharType="begin"/>
      </w:r>
      <w:r w:rsidRPr="00216965">
        <w:rPr>
          <w:rFonts w:cs="Times New Roman"/>
          <w:b/>
          <w:bCs w:val="0"/>
          <w:szCs w:val="24"/>
        </w:rPr>
        <w:instrText xml:space="preserve"> STYLEREF 1 \s </w:instrText>
      </w:r>
      <w:r w:rsidRPr="00216965">
        <w:rPr>
          <w:rFonts w:cs="Times New Roman"/>
          <w:b/>
          <w:bCs w:val="0"/>
          <w:szCs w:val="24"/>
        </w:rPr>
        <w:fldChar w:fldCharType="separate"/>
      </w:r>
      <w:r w:rsidR="006E23EA" w:rsidRPr="00216965">
        <w:rPr>
          <w:rFonts w:cs="Times New Roman"/>
          <w:b/>
          <w:bCs w:val="0"/>
          <w:noProof/>
          <w:szCs w:val="24"/>
        </w:rPr>
        <w:t>8</w:t>
      </w:r>
      <w:r w:rsidRPr="00216965">
        <w:rPr>
          <w:rFonts w:cs="Times New Roman"/>
          <w:b/>
          <w:bCs w:val="0"/>
          <w:szCs w:val="24"/>
        </w:rPr>
        <w:fldChar w:fldCharType="end"/>
      </w:r>
      <w:r w:rsidRPr="00216965">
        <w:rPr>
          <w:rFonts w:cs="Times New Roman"/>
          <w:b/>
          <w:bCs w:val="0"/>
          <w:szCs w:val="24"/>
        </w:rPr>
        <w:noBreakHyphen/>
      </w:r>
      <w:r w:rsidRPr="00216965">
        <w:rPr>
          <w:rFonts w:cs="Times New Roman"/>
          <w:b/>
          <w:bCs w:val="0"/>
          <w:szCs w:val="24"/>
        </w:rPr>
        <w:fldChar w:fldCharType="begin"/>
      </w:r>
      <w:r w:rsidRPr="00216965">
        <w:rPr>
          <w:rFonts w:cs="Times New Roman"/>
          <w:b/>
          <w:bCs w:val="0"/>
          <w:szCs w:val="24"/>
        </w:rPr>
        <w:instrText xml:space="preserve"> SEQ Figure \* ARABIC \s 1 </w:instrText>
      </w:r>
      <w:r w:rsidRPr="00216965">
        <w:rPr>
          <w:rFonts w:cs="Times New Roman"/>
          <w:b/>
          <w:bCs w:val="0"/>
          <w:szCs w:val="24"/>
        </w:rPr>
        <w:fldChar w:fldCharType="separate"/>
      </w:r>
      <w:r w:rsidR="006E23EA" w:rsidRPr="00216965">
        <w:rPr>
          <w:rFonts w:cs="Times New Roman"/>
          <w:b/>
          <w:bCs w:val="0"/>
          <w:noProof/>
          <w:szCs w:val="24"/>
        </w:rPr>
        <w:t>5</w:t>
      </w:r>
      <w:r w:rsidRPr="00216965">
        <w:rPr>
          <w:rFonts w:cs="Times New Roman"/>
          <w:b/>
          <w:bCs w:val="0"/>
          <w:szCs w:val="24"/>
        </w:rPr>
        <w:fldChar w:fldCharType="end"/>
      </w:r>
      <w:r w:rsidRPr="00216965">
        <w:rPr>
          <w:rFonts w:cs="Times New Roman"/>
          <w:b/>
          <w:bCs w:val="0"/>
          <w:szCs w:val="24"/>
        </w:rPr>
        <w:t>. Box plot of selected metals in soil pore water. Collections were at 2, 6 and 18 months after the establishment of the pot experiment.</w:t>
      </w:r>
      <w:r w:rsidRPr="00216965">
        <w:rPr>
          <w:rFonts w:cs="Times New Roman"/>
          <w:szCs w:val="24"/>
        </w:rPr>
        <w:t xml:space="preserve"> Soil treatments: control soil  (S), soil with biochar (S+B), soil with compost (S+C), soil with compost and biochar (S+C+B). </w:t>
      </w:r>
      <w:r w:rsidRPr="00216965">
        <w:rPr>
          <w:rFonts w:eastAsia="Times New Roman" w:cs="Times New Roman"/>
          <w:szCs w:val="24"/>
        </w:rPr>
        <w:t>Different letters indicate significant differences between treatments according to Tukey post hoc test (α=0.05, n=4). The red line represent the lowest detection limit of the instrument for each element.</w:t>
      </w:r>
      <w:bookmarkEnd w:id="445"/>
    </w:p>
    <w:p w14:paraId="55B5C647" w14:textId="77777777" w:rsidR="00913112" w:rsidRPr="00216965" w:rsidRDefault="00913112" w:rsidP="008A33DA"/>
    <w:p w14:paraId="3984705A" w14:textId="77777777" w:rsidR="00913112" w:rsidRPr="00216965" w:rsidRDefault="00913112" w:rsidP="008A33DA"/>
    <w:p w14:paraId="28D70F61" w14:textId="77777777" w:rsidR="00913112" w:rsidRPr="00216965" w:rsidRDefault="00913112" w:rsidP="008A33DA"/>
    <w:p w14:paraId="5D75B82E" w14:textId="77777777" w:rsidR="00913112" w:rsidRPr="00216965" w:rsidRDefault="00913112" w:rsidP="008A33DA"/>
    <w:p w14:paraId="328C66AA" w14:textId="6B2D7F98" w:rsidR="00913112" w:rsidRPr="00216965" w:rsidRDefault="00913112" w:rsidP="008A33DA">
      <w:pPr>
        <w:pStyle w:val="Heading2"/>
      </w:pPr>
      <w:bookmarkStart w:id="446" w:name="_Ref86438741"/>
      <w:bookmarkStart w:id="447" w:name="_Toc86504733"/>
      <w:r w:rsidRPr="00216965">
        <w:lastRenderedPageBreak/>
        <w:t>Appendix 6</w:t>
      </w:r>
      <w:bookmarkEnd w:id="446"/>
      <w:bookmarkEnd w:id="447"/>
    </w:p>
    <w:p w14:paraId="13CF1ED3" w14:textId="77777777" w:rsidR="00913112" w:rsidRPr="00216965" w:rsidRDefault="00913112" w:rsidP="008A33DA">
      <w:r w:rsidRPr="00216965">
        <w:rPr>
          <w:noProof/>
        </w:rPr>
        <w:drawing>
          <wp:inline distT="0" distB="0" distL="0" distR="0" wp14:anchorId="1EEEBA50" wp14:editId="42E2AF46">
            <wp:extent cx="5297463" cy="5593080"/>
            <wp:effectExtent l="0" t="0" r="0" b="7620"/>
            <wp:docPr id="119" name="Picture 1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04200" cy="5600193"/>
                    </a:xfrm>
                    <a:prstGeom prst="rect">
                      <a:avLst/>
                    </a:prstGeom>
                    <a:noFill/>
                    <a:ln>
                      <a:noFill/>
                    </a:ln>
                  </pic:spPr>
                </pic:pic>
              </a:graphicData>
            </a:graphic>
          </wp:inline>
        </w:drawing>
      </w:r>
    </w:p>
    <w:p w14:paraId="59766D11" w14:textId="77777777" w:rsidR="00D41B2E" w:rsidRPr="00216965" w:rsidRDefault="00D41B2E" w:rsidP="008A33DA">
      <w:pPr>
        <w:pStyle w:val="Caption"/>
        <w:jc w:val="both"/>
        <w:rPr>
          <w:rFonts w:cs="Times New Roman"/>
          <w:b/>
          <w:bCs w:val="0"/>
          <w:szCs w:val="24"/>
        </w:rPr>
      </w:pPr>
    </w:p>
    <w:p w14:paraId="69132507" w14:textId="42D02134" w:rsidR="00913112" w:rsidRPr="00216965" w:rsidRDefault="00913112" w:rsidP="008A33DA">
      <w:pPr>
        <w:pStyle w:val="Caption"/>
        <w:jc w:val="both"/>
      </w:pPr>
      <w:bookmarkStart w:id="448" w:name="_Toc86439407"/>
      <w:r w:rsidRPr="00216965">
        <w:rPr>
          <w:rFonts w:cs="Times New Roman"/>
          <w:b/>
          <w:bCs w:val="0"/>
          <w:szCs w:val="24"/>
        </w:rPr>
        <w:t xml:space="preserve">Fig. </w:t>
      </w:r>
      <w:r w:rsidRPr="00216965">
        <w:rPr>
          <w:rFonts w:cs="Times New Roman"/>
          <w:b/>
          <w:bCs w:val="0"/>
          <w:szCs w:val="24"/>
        </w:rPr>
        <w:fldChar w:fldCharType="begin"/>
      </w:r>
      <w:r w:rsidRPr="00216965">
        <w:rPr>
          <w:rFonts w:cs="Times New Roman"/>
          <w:b/>
          <w:bCs w:val="0"/>
          <w:szCs w:val="24"/>
        </w:rPr>
        <w:instrText xml:space="preserve"> STYLEREF 1 \s </w:instrText>
      </w:r>
      <w:r w:rsidRPr="00216965">
        <w:rPr>
          <w:rFonts w:cs="Times New Roman"/>
          <w:b/>
          <w:bCs w:val="0"/>
          <w:szCs w:val="24"/>
        </w:rPr>
        <w:fldChar w:fldCharType="separate"/>
      </w:r>
      <w:r w:rsidR="006E23EA" w:rsidRPr="00216965">
        <w:rPr>
          <w:rFonts w:cs="Times New Roman"/>
          <w:b/>
          <w:bCs w:val="0"/>
          <w:noProof/>
          <w:szCs w:val="24"/>
        </w:rPr>
        <w:t>8</w:t>
      </w:r>
      <w:r w:rsidRPr="00216965">
        <w:rPr>
          <w:rFonts w:cs="Times New Roman"/>
          <w:b/>
          <w:bCs w:val="0"/>
          <w:szCs w:val="24"/>
        </w:rPr>
        <w:fldChar w:fldCharType="end"/>
      </w:r>
      <w:r w:rsidRPr="00216965">
        <w:rPr>
          <w:rFonts w:cs="Times New Roman"/>
          <w:b/>
          <w:bCs w:val="0"/>
          <w:szCs w:val="24"/>
        </w:rPr>
        <w:noBreakHyphen/>
      </w:r>
      <w:r w:rsidRPr="00216965">
        <w:rPr>
          <w:rFonts w:cs="Times New Roman"/>
          <w:b/>
          <w:bCs w:val="0"/>
          <w:szCs w:val="24"/>
        </w:rPr>
        <w:fldChar w:fldCharType="begin"/>
      </w:r>
      <w:r w:rsidRPr="00216965">
        <w:rPr>
          <w:rFonts w:cs="Times New Roman"/>
          <w:b/>
          <w:bCs w:val="0"/>
          <w:szCs w:val="24"/>
        </w:rPr>
        <w:instrText xml:space="preserve"> SEQ Figure \* ARABIC \s 1 </w:instrText>
      </w:r>
      <w:r w:rsidRPr="00216965">
        <w:rPr>
          <w:rFonts w:cs="Times New Roman"/>
          <w:b/>
          <w:bCs w:val="0"/>
          <w:szCs w:val="24"/>
        </w:rPr>
        <w:fldChar w:fldCharType="separate"/>
      </w:r>
      <w:r w:rsidR="006E23EA" w:rsidRPr="00216965">
        <w:rPr>
          <w:rFonts w:cs="Times New Roman"/>
          <w:b/>
          <w:bCs w:val="0"/>
          <w:noProof/>
          <w:szCs w:val="24"/>
        </w:rPr>
        <w:t>6</w:t>
      </w:r>
      <w:r w:rsidRPr="00216965">
        <w:rPr>
          <w:rFonts w:cs="Times New Roman"/>
          <w:b/>
          <w:bCs w:val="0"/>
          <w:szCs w:val="24"/>
        </w:rPr>
        <w:fldChar w:fldCharType="end"/>
      </w:r>
      <w:r w:rsidRPr="00216965">
        <w:rPr>
          <w:rFonts w:cs="Times New Roman"/>
          <w:b/>
          <w:bCs w:val="0"/>
          <w:szCs w:val="24"/>
        </w:rPr>
        <w:t xml:space="preserve">. </w:t>
      </w:r>
      <w:r w:rsidRPr="00216965">
        <w:rPr>
          <w:b/>
          <w:bCs w:val="0"/>
        </w:rPr>
        <w:t>Correlation matrix for the Pb fractions obtained after sequential extraction for each of the treatments used</w:t>
      </w:r>
      <w:r w:rsidRPr="00216965">
        <w:t>. In the treatments S+B and S+C having the pots planted or unplanted did  not result in a significant difference in the different Pb fractions, whereas in the treatment S+C+B there was a significant difference. Fractions, acid soluble (AS), reducible (RD), oxidisable (OX) and residual (RES). R</w:t>
      </w:r>
      <w:r w:rsidRPr="00216965">
        <w:rPr>
          <w:vertAlign w:val="superscript"/>
        </w:rPr>
        <w:t>2</w:t>
      </w:r>
      <w:r w:rsidRPr="00216965">
        <w:t xml:space="preserve"> value for significant correlations (p &lt; 0.05) are shown, correlations that are non-significant are in blank.</w:t>
      </w:r>
      <w:bookmarkEnd w:id="448"/>
    </w:p>
    <w:p w14:paraId="1E805EA7" w14:textId="77777777" w:rsidR="00913112" w:rsidRPr="00216965" w:rsidRDefault="00913112" w:rsidP="008A33DA"/>
    <w:p w14:paraId="3DBBEFBB" w14:textId="77777777" w:rsidR="00913112" w:rsidRPr="00216965" w:rsidRDefault="00913112" w:rsidP="008A33DA"/>
    <w:p w14:paraId="6DE8A236" w14:textId="138A439B" w:rsidR="00913112" w:rsidRPr="00216965" w:rsidRDefault="00913112" w:rsidP="008A33DA">
      <w:pPr>
        <w:pStyle w:val="Heading2"/>
      </w:pPr>
      <w:bookmarkStart w:id="449" w:name="_Ref86438742"/>
      <w:bookmarkStart w:id="450" w:name="_Toc86504734"/>
      <w:r w:rsidRPr="00216965">
        <w:lastRenderedPageBreak/>
        <w:t>Appendix 7</w:t>
      </w:r>
      <w:bookmarkEnd w:id="449"/>
      <w:bookmarkEnd w:id="450"/>
    </w:p>
    <w:p w14:paraId="7C6869AF" w14:textId="77777777" w:rsidR="00913112" w:rsidRPr="00216965" w:rsidRDefault="00913112" w:rsidP="008A33DA">
      <w:r w:rsidRPr="00216965">
        <w:rPr>
          <w:noProof/>
        </w:rPr>
        <w:drawing>
          <wp:inline distT="0" distB="0" distL="0" distR="0" wp14:anchorId="71175EF5" wp14:editId="17A4760F">
            <wp:extent cx="5038783" cy="5554980"/>
            <wp:effectExtent l="0" t="0" r="9525" b="7620"/>
            <wp:docPr id="120" name="Picture 12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hap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5126" cy="5561973"/>
                    </a:xfrm>
                    <a:prstGeom prst="rect">
                      <a:avLst/>
                    </a:prstGeom>
                    <a:noFill/>
                    <a:ln>
                      <a:noFill/>
                    </a:ln>
                  </pic:spPr>
                </pic:pic>
              </a:graphicData>
            </a:graphic>
          </wp:inline>
        </w:drawing>
      </w:r>
    </w:p>
    <w:p w14:paraId="676252F7" w14:textId="3DF70332" w:rsidR="00913112" w:rsidRPr="00216965" w:rsidRDefault="00913112" w:rsidP="008A33DA">
      <w:pPr>
        <w:pStyle w:val="Caption"/>
        <w:jc w:val="both"/>
      </w:pPr>
      <w:bookmarkStart w:id="451" w:name="_Toc86439408"/>
      <w:r w:rsidRPr="00216965">
        <w:rPr>
          <w:b/>
          <w:bCs w:val="0"/>
        </w:rPr>
        <w:t>Fig</w:t>
      </w:r>
      <w:r w:rsidR="00AC43A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7</w:t>
      </w:r>
      <w:r w:rsidRPr="00216965">
        <w:rPr>
          <w:b/>
          <w:bCs w:val="0"/>
          <w:noProof/>
        </w:rPr>
        <w:fldChar w:fldCharType="end"/>
      </w:r>
      <w:r w:rsidRPr="00216965">
        <w:t xml:space="preserve"> </w:t>
      </w:r>
      <w:r w:rsidRPr="00216965">
        <w:rPr>
          <w:b/>
          <w:bCs w:val="0"/>
        </w:rPr>
        <w:t xml:space="preserve">Correlation matrix for the </w:t>
      </w:r>
      <w:r w:rsidR="00644F3E" w:rsidRPr="00216965">
        <w:rPr>
          <w:b/>
          <w:bCs w:val="0"/>
        </w:rPr>
        <w:t>Zn</w:t>
      </w:r>
      <w:r w:rsidRPr="00216965">
        <w:rPr>
          <w:b/>
          <w:bCs w:val="0"/>
        </w:rPr>
        <w:t xml:space="preserve"> fractions obtained after sequential extraction for each of the treatments used.</w:t>
      </w:r>
      <w:r w:rsidRPr="00216965">
        <w:t xml:space="preserve"> In the treatments S+B and S+C having the pots planted or unplanted did  not result in a significant difference in the different Pb fractions, whereas in the treatment S+C+B there was a significant difference. Fractions, acid soluble (AS), reducible (RD), oxidisable (OX) and residual (RES). R</w:t>
      </w:r>
      <w:r w:rsidRPr="00216965">
        <w:rPr>
          <w:vertAlign w:val="superscript"/>
        </w:rPr>
        <w:t>2</w:t>
      </w:r>
      <w:r w:rsidRPr="00216965">
        <w:t xml:space="preserve"> value for significant correlations (p &lt; 0.05) are shown, correlations that are non-significant are in blank.</w:t>
      </w:r>
      <w:bookmarkEnd w:id="451"/>
    </w:p>
    <w:p w14:paraId="4215AC4A" w14:textId="3A50551F" w:rsidR="00913112" w:rsidRPr="00216965" w:rsidRDefault="00913112" w:rsidP="008A33DA"/>
    <w:p w14:paraId="36DE4880" w14:textId="4F3524D9" w:rsidR="00913112" w:rsidRPr="00216965" w:rsidRDefault="00913112" w:rsidP="008A33DA">
      <w:pPr>
        <w:pStyle w:val="Heading2"/>
      </w:pPr>
      <w:bookmarkStart w:id="452" w:name="_Ref86438800"/>
      <w:bookmarkStart w:id="453" w:name="_Toc86504735"/>
      <w:r w:rsidRPr="00216965">
        <w:lastRenderedPageBreak/>
        <w:t>Appendix 8</w:t>
      </w:r>
      <w:bookmarkEnd w:id="452"/>
      <w:bookmarkEnd w:id="453"/>
    </w:p>
    <w:p w14:paraId="547F7590" w14:textId="77777777" w:rsidR="00913112" w:rsidRPr="00216965" w:rsidRDefault="00913112" w:rsidP="008A33DA">
      <w:r w:rsidRPr="00216965">
        <w:rPr>
          <w:noProof/>
        </w:rPr>
        <w:drawing>
          <wp:inline distT="0" distB="0" distL="0" distR="0" wp14:anchorId="0BB0E48F" wp14:editId="5F119EC4">
            <wp:extent cx="5264072" cy="5113020"/>
            <wp:effectExtent l="0" t="0" r="0" b="0"/>
            <wp:docPr id="11" name="Picture 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7737" cy="5116580"/>
                    </a:xfrm>
                    <a:prstGeom prst="rect">
                      <a:avLst/>
                    </a:prstGeom>
                    <a:noFill/>
                    <a:ln>
                      <a:noFill/>
                    </a:ln>
                  </pic:spPr>
                </pic:pic>
              </a:graphicData>
            </a:graphic>
          </wp:inline>
        </w:drawing>
      </w:r>
    </w:p>
    <w:p w14:paraId="38CDF79F" w14:textId="2EA1AD53" w:rsidR="00913112" w:rsidRPr="00216965" w:rsidRDefault="00913112" w:rsidP="008A33DA">
      <w:pPr>
        <w:pStyle w:val="Caption"/>
        <w:jc w:val="both"/>
        <w:rPr>
          <w:rFonts w:cs="Times New Roman"/>
          <w:szCs w:val="24"/>
        </w:rPr>
      </w:pPr>
      <w:bookmarkStart w:id="454" w:name="_Toc86439409"/>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t xml:space="preserve"> Phylum </w:t>
      </w:r>
      <w:r w:rsidRPr="00216965">
        <w:rPr>
          <w:rFonts w:cs="Times New Roman"/>
          <w:b/>
          <w:bCs w:val="0"/>
          <w:szCs w:val="24"/>
        </w:rPr>
        <w:t>Proteobacteria grouped by Class that increased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by Family. Each </w:t>
      </w:r>
      <w:r w:rsidR="00892996" w:rsidRPr="00216965">
        <w:rPr>
          <w:rFonts w:cs="Times New Roman"/>
          <w:szCs w:val="24"/>
          <w:lang w:val="en-US"/>
        </w:rPr>
        <w:t>ASV</w:t>
      </w:r>
      <w:r w:rsidRPr="00216965">
        <w:rPr>
          <w:rFonts w:cs="Times New Roman"/>
          <w:szCs w:val="24"/>
          <w:lang w:val="en-US"/>
        </w:rPr>
        <w:t xml:space="preserve"> is separated by black lines. Results are shown as the mean of 4 individual replicates.</w:t>
      </w:r>
      <w:bookmarkEnd w:id="454"/>
    </w:p>
    <w:p w14:paraId="50A14E3A" w14:textId="77777777" w:rsidR="00913112" w:rsidRPr="00216965" w:rsidRDefault="00913112" w:rsidP="008A33DA"/>
    <w:p w14:paraId="5742DB24" w14:textId="77777777" w:rsidR="00913112" w:rsidRPr="00216965" w:rsidRDefault="00913112" w:rsidP="008A33DA"/>
    <w:p w14:paraId="3ADDC646" w14:textId="77777777" w:rsidR="00913112" w:rsidRPr="00216965" w:rsidRDefault="00913112" w:rsidP="008A33DA"/>
    <w:p w14:paraId="690C4F3B" w14:textId="77777777" w:rsidR="00913112" w:rsidRPr="00216965" w:rsidRDefault="00913112" w:rsidP="008A33DA"/>
    <w:p w14:paraId="1848888A" w14:textId="77777777" w:rsidR="00913112" w:rsidRPr="00216965" w:rsidRDefault="00913112" w:rsidP="008A33DA"/>
    <w:p w14:paraId="31AAE482" w14:textId="70CE067B" w:rsidR="00913112" w:rsidRPr="00216965" w:rsidRDefault="00892996" w:rsidP="008A33DA">
      <w:pPr>
        <w:pStyle w:val="Heading2"/>
      </w:pPr>
      <w:bookmarkStart w:id="455" w:name="_Toc86504736"/>
      <w:r w:rsidRPr="00216965">
        <w:lastRenderedPageBreak/>
        <w:t>Appendix 9</w:t>
      </w:r>
      <w:bookmarkEnd w:id="455"/>
    </w:p>
    <w:p w14:paraId="579D8470" w14:textId="77777777" w:rsidR="00913112" w:rsidRPr="00216965" w:rsidRDefault="00913112" w:rsidP="008A33DA">
      <w:pPr>
        <w:rPr>
          <w:lang w:val="en-US"/>
        </w:rPr>
      </w:pPr>
      <w:r w:rsidRPr="00216965">
        <w:rPr>
          <w:noProof/>
        </w:rPr>
        <w:drawing>
          <wp:inline distT="0" distB="0" distL="0" distR="0" wp14:anchorId="68D9D131" wp14:editId="54F10BB5">
            <wp:extent cx="5341060" cy="5524500"/>
            <wp:effectExtent l="0" t="0" r="0" b="0"/>
            <wp:docPr id="13" name="Picture 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medium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43526" cy="5527051"/>
                    </a:xfrm>
                    <a:prstGeom prst="rect">
                      <a:avLst/>
                    </a:prstGeom>
                    <a:noFill/>
                    <a:ln>
                      <a:noFill/>
                    </a:ln>
                  </pic:spPr>
                </pic:pic>
              </a:graphicData>
            </a:graphic>
          </wp:inline>
        </w:drawing>
      </w:r>
    </w:p>
    <w:p w14:paraId="50EEB087" w14:textId="4A4CD6AE" w:rsidR="00913112" w:rsidRPr="00216965" w:rsidRDefault="00913112" w:rsidP="008A33DA">
      <w:pPr>
        <w:pStyle w:val="Caption"/>
        <w:jc w:val="both"/>
        <w:rPr>
          <w:rFonts w:cs="Times New Roman"/>
          <w:szCs w:val="24"/>
          <w:lang w:val="en-US"/>
        </w:rPr>
      </w:pPr>
      <w:bookmarkStart w:id="456" w:name="_Toc86439410"/>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9</w:t>
      </w:r>
      <w:r w:rsidRPr="00216965">
        <w:rPr>
          <w:b/>
          <w:bCs w:val="0"/>
          <w:noProof/>
        </w:rPr>
        <w:fldChar w:fldCharType="end"/>
      </w:r>
      <w:r w:rsidRPr="00216965">
        <w:rPr>
          <w:b/>
          <w:bCs w:val="0"/>
        </w:rPr>
        <w:t xml:space="preserve"> Phylum </w:t>
      </w:r>
      <w:r w:rsidRPr="00216965">
        <w:rPr>
          <w:rFonts w:cs="Times New Roman"/>
          <w:b/>
          <w:bCs w:val="0"/>
          <w:szCs w:val="24"/>
        </w:rPr>
        <w:t>Proteobacteria grouped by Class that decreased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by Family. Each </w:t>
      </w:r>
      <w:r w:rsidR="00892996" w:rsidRPr="00216965">
        <w:rPr>
          <w:rFonts w:cs="Times New Roman"/>
          <w:szCs w:val="24"/>
          <w:lang w:val="en-US"/>
        </w:rPr>
        <w:t>ASV</w:t>
      </w:r>
      <w:r w:rsidRPr="00216965">
        <w:rPr>
          <w:rFonts w:cs="Times New Roman"/>
          <w:szCs w:val="24"/>
          <w:lang w:val="en-US"/>
        </w:rPr>
        <w:t xml:space="preserve"> is separated by black lines. Results are shown as the mean of 4 individual replicates.</w:t>
      </w:r>
      <w:bookmarkEnd w:id="456"/>
    </w:p>
    <w:p w14:paraId="6FF6FDD6" w14:textId="2ADB96F8" w:rsidR="00913112" w:rsidRPr="00216965" w:rsidRDefault="00913112" w:rsidP="008A33DA">
      <w:pPr>
        <w:rPr>
          <w:lang w:val="en-US"/>
        </w:rPr>
      </w:pPr>
    </w:p>
    <w:p w14:paraId="453B6C5A" w14:textId="13B8A4BF" w:rsidR="00892996" w:rsidRPr="00216965" w:rsidRDefault="00892996" w:rsidP="008A33DA">
      <w:pPr>
        <w:rPr>
          <w:lang w:val="en-US"/>
        </w:rPr>
      </w:pPr>
    </w:p>
    <w:p w14:paraId="2D94E404" w14:textId="43FC42DF" w:rsidR="00892996" w:rsidRPr="00216965" w:rsidRDefault="00892996" w:rsidP="008A33DA">
      <w:pPr>
        <w:rPr>
          <w:lang w:val="en-US"/>
        </w:rPr>
      </w:pPr>
    </w:p>
    <w:p w14:paraId="4607BC1A" w14:textId="31C80D29" w:rsidR="00892996" w:rsidRPr="00216965" w:rsidRDefault="00892996" w:rsidP="008A33DA">
      <w:pPr>
        <w:rPr>
          <w:lang w:val="en-US"/>
        </w:rPr>
      </w:pPr>
    </w:p>
    <w:p w14:paraId="62AD9DF5" w14:textId="2AC01020" w:rsidR="00892996" w:rsidRPr="00216965" w:rsidRDefault="00892996" w:rsidP="008A33DA">
      <w:pPr>
        <w:pStyle w:val="Heading2"/>
        <w:rPr>
          <w:lang w:val="en-US"/>
        </w:rPr>
      </w:pPr>
      <w:bookmarkStart w:id="457" w:name="_Toc86504737"/>
      <w:r w:rsidRPr="00216965">
        <w:rPr>
          <w:lang w:val="en-US"/>
        </w:rPr>
        <w:lastRenderedPageBreak/>
        <w:t>Appendix 10</w:t>
      </w:r>
      <w:bookmarkEnd w:id="457"/>
    </w:p>
    <w:p w14:paraId="7174EFED" w14:textId="77777777" w:rsidR="00913112" w:rsidRPr="00216965" w:rsidRDefault="00913112" w:rsidP="008A33DA">
      <w:r w:rsidRPr="00216965">
        <w:rPr>
          <w:noProof/>
        </w:rPr>
        <w:drawing>
          <wp:inline distT="0" distB="0" distL="0" distR="0" wp14:anchorId="046090BE" wp14:editId="1F3D5FB9">
            <wp:extent cx="5349240" cy="4854972"/>
            <wp:effectExtent l="0" t="0" r="3810" b="3175"/>
            <wp:docPr id="121" name="Picture 1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56681" cy="4861726"/>
                    </a:xfrm>
                    <a:prstGeom prst="rect">
                      <a:avLst/>
                    </a:prstGeom>
                    <a:noFill/>
                    <a:ln>
                      <a:noFill/>
                    </a:ln>
                  </pic:spPr>
                </pic:pic>
              </a:graphicData>
            </a:graphic>
          </wp:inline>
        </w:drawing>
      </w:r>
    </w:p>
    <w:p w14:paraId="2E255A99" w14:textId="544C0AEB" w:rsidR="00913112" w:rsidRPr="00216965" w:rsidRDefault="00913112" w:rsidP="008A33DA">
      <w:pPr>
        <w:pStyle w:val="Caption"/>
        <w:jc w:val="both"/>
        <w:rPr>
          <w:rFonts w:cs="Times New Roman"/>
          <w:szCs w:val="24"/>
        </w:rPr>
      </w:pPr>
      <w:bookmarkStart w:id="458" w:name="_Toc86439411"/>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10</w:t>
      </w:r>
      <w:r w:rsidRPr="00216965">
        <w:rPr>
          <w:b/>
          <w:bCs w:val="0"/>
          <w:noProof/>
        </w:rPr>
        <w:fldChar w:fldCharType="end"/>
      </w:r>
      <w:r w:rsidRPr="00216965">
        <w:rPr>
          <w:b/>
          <w:bCs w:val="0"/>
        </w:rPr>
        <w:t xml:space="preserve"> </w:t>
      </w:r>
      <w:r w:rsidRPr="00216965">
        <w:rPr>
          <w:rFonts w:cs="Times New Roman"/>
          <w:b/>
          <w:bCs w:val="0"/>
          <w:szCs w:val="24"/>
        </w:rPr>
        <w:t>Firmicutes grouped by Class that increased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by Family. Each </w:t>
      </w:r>
      <w:r w:rsidR="00892996" w:rsidRPr="00216965">
        <w:rPr>
          <w:rFonts w:cs="Times New Roman"/>
          <w:szCs w:val="24"/>
          <w:lang w:val="en-US"/>
        </w:rPr>
        <w:t>ASV</w:t>
      </w:r>
      <w:r w:rsidRPr="00216965">
        <w:rPr>
          <w:rFonts w:cs="Times New Roman"/>
          <w:szCs w:val="24"/>
          <w:lang w:val="en-US"/>
        </w:rPr>
        <w:t xml:space="preserve"> is separated by black lines. Results are shown as the mean of 4 individual replicates.</w:t>
      </w:r>
      <w:bookmarkEnd w:id="458"/>
    </w:p>
    <w:p w14:paraId="6A117107" w14:textId="77777777" w:rsidR="00913112" w:rsidRPr="00216965" w:rsidRDefault="00913112" w:rsidP="008A33DA"/>
    <w:p w14:paraId="3A2A0464" w14:textId="77777777" w:rsidR="00913112" w:rsidRPr="00216965" w:rsidRDefault="00913112" w:rsidP="008A33DA"/>
    <w:p w14:paraId="78F74AEA" w14:textId="77777777" w:rsidR="00913112" w:rsidRPr="00216965" w:rsidRDefault="00913112" w:rsidP="008A33DA"/>
    <w:p w14:paraId="4201E400" w14:textId="77777777" w:rsidR="00913112" w:rsidRPr="00216965" w:rsidRDefault="00913112" w:rsidP="008A33DA"/>
    <w:p w14:paraId="5D94AA8A" w14:textId="77777777" w:rsidR="00913112" w:rsidRPr="00216965" w:rsidRDefault="00913112" w:rsidP="008A33DA"/>
    <w:p w14:paraId="2B5F6878" w14:textId="77777777" w:rsidR="00913112" w:rsidRPr="00216965" w:rsidRDefault="00913112" w:rsidP="008A33DA"/>
    <w:p w14:paraId="0637927F" w14:textId="1C8812B5" w:rsidR="00913112" w:rsidRPr="00216965" w:rsidRDefault="00892996" w:rsidP="008A33DA">
      <w:pPr>
        <w:pStyle w:val="Heading2"/>
      </w:pPr>
      <w:bookmarkStart w:id="459" w:name="_Toc86504738"/>
      <w:r w:rsidRPr="00216965">
        <w:lastRenderedPageBreak/>
        <w:t>Appendix 11</w:t>
      </w:r>
      <w:bookmarkEnd w:id="459"/>
    </w:p>
    <w:p w14:paraId="7D394929" w14:textId="77777777" w:rsidR="00913112" w:rsidRPr="00216965" w:rsidRDefault="00913112" w:rsidP="008A33DA">
      <w:r w:rsidRPr="00216965">
        <w:rPr>
          <w:noProof/>
        </w:rPr>
        <w:drawing>
          <wp:inline distT="0" distB="0" distL="0" distR="0" wp14:anchorId="3F8D2E5F" wp14:editId="2638C53C">
            <wp:extent cx="5731510" cy="3985260"/>
            <wp:effectExtent l="0" t="0" r="2540" b="0"/>
            <wp:docPr id="122" name="Picture 1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985260"/>
                    </a:xfrm>
                    <a:prstGeom prst="rect">
                      <a:avLst/>
                    </a:prstGeom>
                    <a:noFill/>
                    <a:ln>
                      <a:noFill/>
                    </a:ln>
                  </pic:spPr>
                </pic:pic>
              </a:graphicData>
            </a:graphic>
          </wp:inline>
        </w:drawing>
      </w:r>
    </w:p>
    <w:p w14:paraId="19B8AB73" w14:textId="7199232D" w:rsidR="00913112" w:rsidRPr="00216965" w:rsidRDefault="00913112" w:rsidP="008A33DA">
      <w:pPr>
        <w:pStyle w:val="Caption"/>
        <w:jc w:val="both"/>
        <w:rPr>
          <w:rFonts w:cs="Times New Roman"/>
          <w:szCs w:val="24"/>
          <w:lang w:val="en-US"/>
        </w:rPr>
      </w:pPr>
      <w:bookmarkStart w:id="460" w:name="_Toc86439412"/>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11</w:t>
      </w:r>
      <w:r w:rsidRPr="00216965">
        <w:rPr>
          <w:b/>
          <w:bCs w:val="0"/>
          <w:noProof/>
        </w:rPr>
        <w:fldChar w:fldCharType="end"/>
      </w:r>
      <w:r w:rsidRPr="00216965">
        <w:rPr>
          <w:b/>
          <w:bCs w:val="0"/>
        </w:rPr>
        <w:t xml:space="preserve"> Phylum Actinobacteriota </w:t>
      </w:r>
      <w:r w:rsidRPr="00216965">
        <w:rPr>
          <w:rFonts w:cs="Times New Roman"/>
          <w:b/>
          <w:bCs w:val="0"/>
          <w:szCs w:val="24"/>
        </w:rPr>
        <w:t>grouped by Class that increased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at Family level. Each </w:t>
      </w:r>
      <w:r w:rsidR="00892996" w:rsidRPr="00216965">
        <w:rPr>
          <w:rFonts w:cs="Times New Roman"/>
          <w:szCs w:val="24"/>
          <w:lang w:val="en-US"/>
        </w:rPr>
        <w:t>ASV</w:t>
      </w:r>
      <w:r w:rsidRPr="00216965">
        <w:rPr>
          <w:rFonts w:cs="Times New Roman"/>
          <w:szCs w:val="24"/>
          <w:lang w:val="en-US"/>
        </w:rPr>
        <w:t xml:space="preserve"> is separated by black lines. Results are shown as the mean of 4 individual replicates.</w:t>
      </w:r>
      <w:bookmarkEnd w:id="460"/>
    </w:p>
    <w:p w14:paraId="5C961080" w14:textId="77777777" w:rsidR="00913112" w:rsidRPr="00216965" w:rsidRDefault="00913112" w:rsidP="008A33DA">
      <w:pPr>
        <w:rPr>
          <w:lang w:val="en-US"/>
        </w:rPr>
      </w:pPr>
    </w:p>
    <w:p w14:paraId="0403E169" w14:textId="77777777" w:rsidR="00913112" w:rsidRPr="00216965" w:rsidRDefault="00913112" w:rsidP="008A33DA">
      <w:pPr>
        <w:rPr>
          <w:lang w:val="en-US"/>
        </w:rPr>
      </w:pPr>
    </w:p>
    <w:p w14:paraId="23EB23A2" w14:textId="2B4274E9" w:rsidR="00913112" w:rsidRPr="00216965" w:rsidRDefault="00913112" w:rsidP="008A33DA">
      <w:pPr>
        <w:rPr>
          <w:lang w:val="en-US"/>
        </w:rPr>
      </w:pPr>
    </w:p>
    <w:p w14:paraId="2F8BC93D" w14:textId="20B404A6" w:rsidR="00892996" w:rsidRPr="00216965" w:rsidRDefault="00892996" w:rsidP="008A33DA">
      <w:pPr>
        <w:rPr>
          <w:lang w:val="en-US"/>
        </w:rPr>
      </w:pPr>
    </w:p>
    <w:p w14:paraId="352325D4" w14:textId="206F0178" w:rsidR="00892996" w:rsidRPr="00216965" w:rsidRDefault="00892996" w:rsidP="008A33DA">
      <w:pPr>
        <w:rPr>
          <w:lang w:val="en-US"/>
        </w:rPr>
      </w:pPr>
    </w:p>
    <w:p w14:paraId="5D982F0F" w14:textId="325243D1" w:rsidR="00892996" w:rsidRPr="00216965" w:rsidRDefault="00892996" w:rsidP="008A33DA">
      <w:pPr>
        <w:rPr>
          <w:lang w:val="en-US"/>
        </w:rPr>
      </w:pPr>
    </w:p>
    <w:p w14:paraId="19007BF3" w14:textId="429FD6A5" w:rsidR="00892996" w:rsidRPr="00216965" w:rsidRDefault="00892996" w:rsidP="008A33DA">
      <w:pPr>
        <w:rPr>
          <w:lang w:val="en-US"/>
        </w:rPr>
      </w:pPr>
    </w:p>
    <w:p w14:paraId="08FA48B8" w14:textId="04C466FB" w:rsidR="00892996" w:rsidRPr="00216965" w:rsidRDefault="00892996" w:rsidP="008A33DA">
      <w:pPr>
        <w:rPr>
          <w:lang w:val="en-US"/>
        </w:rPr>
      </w:pPr>
    </w:p>
    <w:p w14:paraId="7DAF5E22" w14:textId="4BBB2BF9" w:rsidR="00892996" w:rsidRPr="00216965" w:rsidRDefault="00892996" w:rsidP="008A33DA">
      <w:pPr>
        <w:rPr>
          <w:lang w:val="en-US"/>
        </w:rPr>
      </w:pPr>
    </w:p>
    <w:p w14:paraId="71B92D09" w14:textId="6801A0B6" w:rsidR="00892996" w:rsidRPr="00216965" w:rsidRDefault="00892996" w:rsidP="008A33DA">
      <w:pPr>
        <w:rPr>
          <w:lang w:val="en-US"/>
        </w:rPr>
      </w:pPr>
    </w:p>
    <w:p w14:paraId="217F5C6E" w14:textId="7F8B39D8" w:rsidR="00892996" w:rsidRPr="00216965" w:rsidRDefault="00892996" w:rsidP="008A33DA">
      <w:pPr>
        <w:pStyle w:val="Heading2"/>
        <w:rPr>
          <w:lang w:val="en-US"/>
        </w:rPr>
      </w:pPr>
      <w:bookmarkStart w:id="461" w:name="_Toc86504739"/>
      <w:r w:rsidRPr="00216965">
        <w:rPr>
          <w:lang w:val="en-US"/>
        </w:rPr>
        <w:lastRenderedPageBreak/>
        <w:t>Appendix 12</w:t>
      </w:r>
      <w:bookmarkEnd w:id="461"/>
    </w:p>
    <w:p w14:paraId="0EC2B0F5" w14:textId="77777777" w:rsidR="00913112" w:rsidRPr="00216965" w:rsidRDefault="00913112" w:rsidP="008A33DA">
      <w:r w:rsidRPr="00216965">
        <w:rPr>
          <w:noProof/>
        </w:rPr>
        <w:drawing>
          <wp:inline distT="0" distB="0" distL="0" distR="0" wp14:anchorId="6AF356A7" wp14:editId="145025EE">
            <wp:extent cx="5731510" cy="4208145"/>
            <wp:effectExtent l="0" t="0" r="2540" b="1905"/>
            <wp:docPr id="123" name="Picture 1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4208145"/>
                    </a:xfrm>
                    <a:prstGeom prst="rect">
                      <a:avLst/>
                    </a:prstGeom>
                    <a:noFill/>
                    <a:ln>
                      <a:noFill/>
                    </a:ln>
                  </pic:spPr>
                </pic:pic>
              </a:graphicData>
            </a:graphic>
          </wp:inline>
        </w:drawing>
      </w:r>
    </w:p>
    <w:p w14:paraId="5E0B55D5" w14:textId="77777777" w:rsidR="00913112" w:rsidRPr="00216965" w:rsidRDefault="00913112" w:rsidP="008A33DA"/>
    <w:p w14:paraId="73E8BA5F" w14:textId="2578C8CD" w:rsidR="00913112" w:rsidRPr="00216965" w:rsidRDefault="00913112" w:rsidP="008A33DA">
      <w:pPr>
        <w:pStyle w:val="Caption"/>
        <w:jc w:val="both"/>
        <w:rPr>
          <w:rFonts w:cs="Times New Roman"/>
          <w:szCs w:val="24"/>
          <w:lang w:val="en-US"/>
        </w:rPr>
      </w:pPr>
      <w:bookmarkStart w:id="462" w:name="_Toc86439413"/>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12</w:t>
      </w:r>
      <w:r w:rsidRPr="00216965">
        <w:rPr>
          <w:b/>
          <w:bCs w:val="0"/>
          <w:noProof/>
        </w:rPr>
        <w:fldChar w:fldCharType="end"/>
      </w:r>
      <w:r w:rsidRPr="00216965">
        <w:rPr>
          <w:b/>
          <w:bCs w:val="0"/>
        </w:rPr>
        <w:t xml:space="preserve"> Phylum </w:t>
      </w:r>
      <w:r w:rsidRPr="00216965">
        <w:rPr>
          <w:rFonts w:cs="Times New Roman"/>
          <w:b/>
          <w:bCs w:val="0"/>
          <w:szCs w:val="24"/>
        </w:rPr>
        <w:t>Actinobacteriota grouped by Class that decreased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by Family. Each </w:t>
      </w:r>
      <w:r w:rsidR="00892996" w:rsidRPr="00216965">
        <w:rPr>
          <w:rFonts w:cs="Times New Roman"/>
          <w:szCs w:val="24"/>
          <w:lang w:val="en-US"/>
        </w:rPr>
        <w:t xml:space="preserve">ASV </w:t>
      </w:r>
      <w:r w:rsidRPr="00216965">
        <w:rPr>
          <w:rFonts w:cs="Times New Roman"/>
          <w:szCs w:val="24"/>
          <w:lang w:val="en-US"/>
        </w:rPr>
        <w:t>is separated by black lines. Results are shown as the mean of 4 individual replicates.</w:t>
      </w:r>
      <w:bookmarkEnd w:id="462"/>
    </w:p>
    <w:p w14:paraId="4242C13A" w14:textId="77777777" w:rsidR="00913112" w:rsidRPr="00216965" w:rsidRDefault="00913112" w:rsidP="008A33DA">
      <w:pPr>
        <w:rPr>
          <w:lang w:val="en-US"/>
        </w:rPr>
      </w:pPr>
    </w:p>
    <w:p w14:paraId="15FBAB82" w14:textId="77777777" w:rsidR="00913112" w:rsidRPr="00216965" w:rsidRDefault="00913112" w:rsidP="008A33DA">
      <w:pPr>
        <w:rPr>
          <w:lang w:val="en-US"/>
        </w:rPr>
      </w:pPr>
    </w:p>
    <w:p w14:paraId="72EF611B" w14:textId="77777777" w:rsidR="00913112" w:rsidRPr="00216965" w:rsidRDefault="00913112" w:rsidP="008A33DA">
      <w:pPr>
        <w:rPr>
          <w:lang w:val="en-US"/>
        </w:rPr>
      </w:pPr>
    </w:p>
    <w:p w14:paraId="646D4291" w14:textId="77777777" w:rsidR="00913112" w:rsidRPr="00216965" w:rsidRDefault="00913112" w:rsidP="008A33DA">
      <w:pPr>
        <w:rPr>
          <w:lang w:val="en-US"/>
        </w:rPr>
      </w:pPr>
    </w:p>
    <w:p w14:paraId="4E9F94F5" w14:textId="77777777" w:rsidR="00913112" w:rsidRPr="00216965" w:rsidRDefault="00913112" w:rsidP="008A33DA">
      <w:pPr>
        <w:rPr>
          <w:lang w:val="en-US"/>
        </w:rPr>
      </w:pPr>
    </w:p>
    <w:p w14:paraId="5B226480" w14:textId="77777777" w:rsidR="00913112" w:rsidRPr="00216965" w:rsidRDefault="00913112" w:rsidP="008A33DA">
      <w:pPr>
        <w:rPr>
          <w:lang w:val="en-US"/>
        </w:rPr>
      </w:pPr>
    </w:p>
    <w:p w14:paraId="5176791C" w14:textId="77777777" w:rsidR="00913112" w:rsidRPr="00216965" w:rsidRDefault="00913112" w:rsidP="008A33DA">
      <w:pPr>
        <w:rPr>
          <w:lang w:val="en-US"/>
        </w:rPr>
      </w:pPr>
    </w:p>
    <w:p w14:paraId="4911159E" w14:textId="77777777" w:rsidR="00913112" w:rsidRPr="00216965" w:rsidRDefault="00913112" w:rsidP="008A33DA">
      <w:pPr>
        <w:rPr>
          <w:lang w:val="en-US"/>
        </w:rPr>
      </w:pPr>
    </w:p>
    <w:p w14:paraId="2F771E33" w14:textId="78F5F3CC" w:rsidR="00913112" w:rsidRPr="00216965" w:rsidRDefault="00892996" w:rsidP="008A33DA">
      <w:pPr>
        <w:pStyle w:val="Heading2"/>
        <w:rPr>
          <w:lang w:val="en-US"/>
        </w:rPr>
      </w:pPr>
      <w:bookmarkStart w:id="463" w:name="_Ref86438806"/>
      <w:bookmarkStart w:id="464" w:name="_Toc86504740"/>
      <w:r w:rsidRPr="00216965">
        <w:rPr>
          <w:lang w:val="en-US"/>
        </w:rPr>
        <w:lastRenderedPageBreak/>
        <w:t>Appendix 13</w:t>
      </w:r>
      <w:bookmarkEnd w:id="463"/>
      <w:bookmarkEnd w:id="464"/>
    </w:p>
    <w:p w14:paraId="10BFC06C" w14:textId="77777777" w:rsidR="00913112" w:rsidRPr="00216965" w:rsidRDefault="00913112" w:rsidP="008A33DA">
      <w:pPr>
        <w:rPr>
          <w:lang w:val="en-US"/>
        </w:rPr>
      </w:pPr>
    </w:p>
    <w:p w14:paraId="2745B19F" w14:textId="77777777" w:rsidR="00913112" w:rsidRPr="00216965" w:rsidRDefault="00913112" w:rsidP="008A33DA">
      <w:pPr>
        <w:rPr>
          <w:lang w:val="en-US"/>
        </w:rPr>
      </w:pPr>
      <w:r w:rsidRPr="00216965">
        <w:rPr>
          <w:noProof/>
        </w:rPr>
        <w:drawing>
          <wp:inline distT="0" distB="0" distL="0" distR="0" wp14:anchorId="61CBC63E" wp14:editId="61812DDC">
            <wp:extent cx="5115503" cy="4540250"/>
            <wp:effectExtent l="0" t="0" r="9525" b="0"/>
            <wp:docPr id="124" name="Picture 1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16081" cy="4540763"/>
                    </a:xfrm>
                    <a:prstGeom prst="rect">
                      <a:avLst/>
                    </a:prstGeom>
                    <a:noFill/>
                    <a:ln>
                      <a:noFill/>
                    </a:ln>
                  </pic:spPr>
                </pic:pic>
              </a:graphicData>
            </a:graphic>
          </wp:inline>
        </w:drawing>
      </w:r>
    </w:p>
    <w:p w14:paraId="37BBF80E" w14:textId="2B3F47E4" w:rsidR="00913112" w:rsidRDefault="00913112" w:rsidP="008A33DA">
      <w:pPr>
        <w:pStyle w:val="Caption"/>
        <w:jc w:val="both"/>
        <w:rPr>
          <w:rFonts w:cs="Times New Roman"/>
          <w:szCs w:val="24"/>
          <w:lang w:val="en-US"/>
        </w:rPr>
      </w:pPr>
      <w:bookmarkStart w:id="465" w:name="_Toc86439414"/>
      <w:r w:rsidRPr="00216965">
        <w:rPr>
          <w:b/>
          <w:bCs w:val="0"/>
        </w:rPr>
        <w:t>Fig</w:t>
      </w:r>
      <w:r w:rsidR="00892996" w:rsidRPr="00216965">
        <w:rPr>
          <w:b/>
          <w:bCs w:val="0"/>
        </w:rPr>
        <w:t>.</w:t>
      </w:r>
      <w:r w:rsidRPr="00216965">
        <w:rPr>
          <w:b/>
          <w:bCs w:val="0"/>
        </w:rPr>
        <w:t xml:space="preserve"> </w:t>
      </w:r>
      <w:r w:rsidRPr="00216965">
        <w:rPr>
          <w:b/>
          <w:bCs w:val="0"/>
        </w:rPr>
        <w:fldChar w:fldCharType="begin"/>
      </w:r>
      <w:r w:rsidRPr="00216965">
        <w:rPr>
          <w:b/>
          <w:bCs w:val="0"/>
        </w:rPr>
        <w:instrText xml:space="preserve"> STYLEREF 1 \s </w:instrText>
      </w:r>
      <w:r w:rsidRPr="00216965">
        <w:rPr>
          <w:b/>
          <w:bCs w:val="0"/>
        </w:rPr>
        <w:fldChar w:fldCharType="separate"/>
      </w:r>
      <w:r w:rsidR="006E23EA" w:rsidRPr="00216965">
        <w:rPr>
          <w:b/>
          <w:bCs w:val="0"/>
          <w:noProof/>
        </w:rPr>
        <w:t>8</w:t>
      </w:r>
      <w:r w:rsidRPr="00216965">
        <w:rPr>
          <w:b/>
          <w:bCs w:val="0"/>
          <w:noProof/>
        </w:rPr>
        <w:fldChar w:fldCharType="end"/>
      </w:r>
      <w:r w:rsidRPr="00216965">
        <w:rPr>
          <w:b/>
          <w:bCs w:val="0"/>
        </w:rPr>
        <w:noBreakHyphen/>
      </w:r>
      <w:r w:rsidRPr="00216965">
        <w:rPr>
          <w:b/>
          <w:bCs w:val="0"/>
        </w:rPr>
        <w:fldChar w:fldCharType="begin"/>
      </w:r>
      <w:r w:rsidRPr="00216965">
        <w:rPr>
          <w:b/>
          <w:bCs w:val="0"/>
        </w:rPr>
        <w:instrText xml:space="preserve"> SEQ Figure \* ARABIC \s 1 </w:instrText>
      </w:r>
      <w:r w:rsidRPr="00216965">
        <w:rPr>
          <w:b/>
          <w:bCs w:val="0"/>
        </w:rPr>
        <w:fldChar w:fldCharType="separate"/>
      </w:r>
      <w:r w:rsidR="006E23EA" w:rsidRPr="00216965">
        <w:rPr>
          <w:b/>
          <w:bCs w:val="0"/>
          <w:noProof/>
        </w:rPr>
        <w:t>13</w:t>
      </w:r>
      <w:r w:rsidRPr="00216965">
        <w:rPr>
          <w:b/>
          <w:bCs w:val="0"/>
          <w:noProof/>
        </w:rPr>
        <w:fldChar w:fldCharType="end"/>
      </w:r>
      <w:r w:rsidRPr="00216965">
        <w:rPr>
          <w:b/>
          <w:bCs w:val="0"/>
        </w:rPr>
        <w:t xml:space="preserve"> Phylum </w:t>
      </w:r>
      <w:r w:rsidRPr="00216965">
        <w:rPr>
          <w:rFonts w:cs="Times New Roman"/>
          <w:b/>
          <w:bCs w:val="0"/>
          <w:szCs w:val="24"/>
        </w:rPr>
        <w:t>Acidobacteriota grouped by Class that decreased with the addition of compost.</w:t>
      </w:r>
      <w:r w:rsidRPr="00216965">
        <w:rPr>
          <w:rFonts w:cs="Times New Roman"/>
          <w:szCs w:val="24"/>
        </w:rPr>
        <w:t xml:space="preserve"> </w:t>
      </w:r>
      <w:r w:rsidRPr="00216965">
        <w:rPr>
          <w:rFonts w:cs="Times New Roman"/>
          <w:szCs w:val="24"/>
          <w:lang w:val="en-US"/>
        </w:rPr>
        <w:t xml:space="preserve">Treatments Soil unplanted (S.U), Soil planted (S.P), Soil and Compost unplanted (S+C.U) and Soil and Compost planted (S+C.P). Different colors within the bars represent the relative abundance of individual </w:t>
      </w:r>
      <w:r w:rsidR="00892996" w:rsidRPr="00216965">
        <w:rPr>
          <w:rFonts w:cs="Times New Roman"/>
          <w:szCs w:val="24"/>
          <w:lang w:val="en-US"/>
        </w:rPr>
        <w:t>ASVs</w:t>
      </w:r>
      <w:r w:rsidRPr="00216965">
        <w:rPr>
          <w:rFonts w:cs="Times New Roman"/>
          <w:szCs w:val="24"/>
          <w:lang w:val="en-US"/>
        </w:rPr>
        <w:t xml:space="preserve"> by Family. Each </w:t>
      </w:r>
      <w:r w:rsidR="00892996" w:rsidRPr="00216965">
        <w:rPr>
          <w:rFonts w:cs="Times New Roman"/>
          <w:szCs w:val="24"/>
          <w:lang w:val="en-US"/>
        </w:rPr>
        <w:t>ASV</w:t>
      </w:r>
      <w:r w:rsidRPr="00216965">
        <w:rPr>
          <w:rFonts w:cs="Times New Roman"/>
          <w:szCs w:val="24"/>
          <w:lang w:val="en-US"/>
        </w:rPr>
        <w:t xml:space="preserve"> is separated by black lines. Results are shown as the mean of 4 individual replicates.</w:t>
      </w:r>
      <w:bookmarkEnd w:id="465"/>
    </w:p>
    <w:p w14:paraId="4127FC04" w14:textId="207FD3C4" w:rsidR="00913112" w:rsidRDefault="00913112" w:rsidP="008A33DA">
      <w:pPr>
        <w:rPr>
          <w:lang w:val="en-US"/>
        </w:rPr>
      </w:pPr>
    </w:p>
    <w:p w14:paraId="62EBBD33" w14:textId="08C633CF" w:rsidR="00E912C4" w:rsidRDefault="00E912C4" w:rsidP="008A33DA">
      <w:pPr>
        <w:rPr>
          <w:lang w:val="en-US"/>
        </w:rPr>
      </w:pPr>
    </w:p>
    <w:p w14:paraId="36BE3D5A" w14:textId="3B448587" w:rsidR="00E912C4" w:rsidRDefault="00E912C4" w:rsidP="008A33DA">
      <w:pPr>
        <w:rPr>
          <w:lang w:val="en-US"/>
        </w:rPr>
      </w:pPr>
    </w:p>
    <w:p w14:paraId="4EC37218" w14:textId="3AFCEBB2" w:rsidR="00E912C4" w:rsidRDefault="00E912C4" w:rsidP="008A33DA">
      <w:pPr>
        <w:rPr>
          <w:lang w:val="en-US"/>
        </w:rPr>
      </w:pPr>
    </w:p>
    <w:p w14:paraId="13EAD180" w14:textId="3273DA11" w:rsidR="00E912C4" w:rsidRDefault="00E912C4" w:rsidP="008A33DA">
      <w:pPr>
        <w:rPr>
          <w:lang w:val="en-US"/>
        </w:rPr>
      </w:pPr>
    </w:p>
    <w:p w14:paraId="21818B5B" w14:textId="01CBD8FC" w:rsidR="00E912C4" w:rsidRDefault="00E912C4" w:rsidP="008A33DA">
      <w:pPr>
        <w:rPr>
          <w:lang w:val="en-US"/>
        </w:rPr>
      </w:pPr>
    </w:p>
    <w:p w14:paraId="431F4928" w14:textId="77777777" w:rsidR="00D31DA7" w:rsidRPr="000B2F95" w:rsidRDefault="00D31DA7" w:rsidP="008A33DA"/>
    <w:sectPr w:rsidR="00D31DA7" w:rsidRPr="000B2F95" w:rsidSect="00685C2D">
      <w:pgSz w:w="11906" w:h="16838"/>
      <w:pgMar w:top="1701" w:right="1701" w:bottom="1701"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92D47" w14:textId="77777777" w:rsidR="00BB30F1" w:rsidRDefault="00BB30F1" w:rsidP="00632101">
      <w:pPr>
        <w:spacing w:after="0" w:line="240" w:lineRule="auto"/>
      </w:pPr>
      <w:r>
        <w:separator/>
      </w:r>
    </w:p>
  </w:endnote>
  <w:endnote w:type="continuationSeparator" w:id="0">
    <w:p w14:paraId="2E947D44" w14:textId="77777777" w:rsidR="00BB30F1" w:rsidRDefault="00BB30F1" w:rsidP="006321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UOS Stephenson">
    <w:altName w:val="Cambria"/>
    <w:charset w:val="00"/>
    <w:family w:val="roman"/>
    <w:pitch w:val="variable"/>
    <w:sig w:usb0="00000003" w:usb1="4000004A" w:usb2="00000000" w:usb3="00000000" w:csb0="0000001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iome">
    <w:charset w:val="00"/>
    <w:family w:val="swiss"/>
    <w:pitch w:val="variable"/>
    <w:sig w:usb0="A11526FF" w:usb1="8000000A" w:usb2="00010000" w:usb3="00000000" w:csb0="0000019F" w:csb1="00000000"/>
  </w:font>
  <w:font w:name="Amasis MT Pro Light">
    <w:altName w:val="Amasis MT Pro Light"/>
    <w:charset w:val="00"/>
    <w:family w:val="roman"/>
    <w:pitch w:val="variable"/>
    <w:sig w:usb0="A00000AF" w:usb1="4000205B"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TUOS Blake">
    <w:altName w:val="Calibri"/>
    <w:charset w:val="00"/>
    <w:family w:val="swiss"/>
    <w:pitch w:val="variable"/>
    <w:sig w:usb0="8000002F" w:usb1="4000004A" w:usb2="00000000" w:usb3="00000000" w:csb0="0000001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6273526"/>
      <w:docPartObj>
        <w:docPartGallery w:val="Page Numbers (Bottom of Page)"/>
        <w:docPartUnique/>
      </w:docPartObj>
    </w:sdtPr>
    <w:sdtEndPr>
      <w:rPr>
        <w:noProof/>
      </w:rPr>
    </w:sdtEndPr>
    <w:sdtContent>
      <w:p w14:paraId="59B62B7A" w14:textId="77777777" w:rsidR="00632101" w:rsidRDefault="00632101">
        <w:pPr>
          <w:pStyle w:val="Footer"/>
          <w:jc w:val="right"/>
        </w:pPr>
        <w:r w:rsidRPr="00936B22">
          <w:rPr>
            <w:color w:val="FFFFFF" w:themeColor="background1"/>
            <w:shd w:val="clear" w:color="auto" w:fill="FFFFFF" w:themeFill="background1"/>
          </w:rPr>
          <w:fldChar w:fldCharType="begin"/>
        </w:r>
        <w:r w:rsidRPr="00936B22">
          <w:rPr>
            <w:color w:val="FFFFFF" w:themeColor="background1"/>
            <w:shd w:val="clear" w:color="auto" w:fill="FFFFFF" w:themeFill="background1"/>
          </w:rPr>
          <w:instrText xml:space="preserve"> PAGE   \* MERGEFORMAT </w:instrText>
        </w:r>
        <w:r w:rsidRPr="00936B22">
          <w:rPr>
            <w:color w:val="FFFFFF" w:themeColor="background1"/>
            <w:shd w:val="clear" w:color="auto" w:fill="FFFFFF" w:themeFill="background1"/>
          </w:rPr>
          <w:fldChar w:fldCharType="separate"/>
        </w:r>
        <w:r w:rsidRPr="00936B22">
          <w:rPr>
            <w:noProof/>
            <w:color w:val="FFFFFF" w:themeColor="background1"/>
            <w:shd w:val="clear" w:color="auto" w:fill="FFFFFF" w:themeFill="background1"/>
          </w:rPr>
          <w:t>2</w:t>
        </w:r>
        <w:r w:rsidRPr="00936B22">
          <w:rPr>
            <w:noProof/>
            <w:color w:val="FFFFFF" w:themeColor="background1"/>
            <w:shd w:val="clear" w:color="auto" w:fill="FFFFFF" w:themeFill="background1"/>
          </w:rPr>
          <w:fldChar w:fldCharType="end"/>
        </w:r>
      </w:p>
    </w:sdtContent>
  </w:sdt>
  <w:p w14:paraId="3CAEDF35" w14:textId="77777777" w:rsidR="00632101" w:rsidRDefault="006321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0684498"/>
      <w:docPartObj>
        <w:docPartGallery w:val="Page Numbers (Bottom of Page)"/>
        <w:docPartUnique/>
      </w:docPartObj>
    </w:sdtPr>
    <w:sdtEndPr>
      <w:rPr>
        <w:noProof/>
      </w:rPr>
    </w:sdtEndPr>
    <w:sdtContent>
      <w:p w14:paraId="6CB81851" w14:textId="77777777" w:rsidR="00936B22" w:rsidRPr="00936B22" w:rsidRDefault="00936B22">
        <w:pPr>
          <w:pStyle w:val="Footer"/>
          <w:jc w:val="right"/>
        </w:pPr>
        <w:r w:rsidRPr="00936B22">
          <w:rPr>
            <w:shd w:val="clear" w:color="auto" w:fill="FFFFFF" w:themeFill="background1"/>
          </w:rPr>
          <w:fldChar w:fldCharType="begin"/>
        </w:r>
        <w:r w:rsidRPr="00936B22">
          <w:rPr>
            <w:shd w:val="clear" w:color="auto" w:fill="FFFFFF" w:themeFill="background1"/>
          </w:rPr>
          <w:instrText xml:space="preserve"> PAGE   \* MERGEFORMAT </w:instrText>
        </w:r>
        <w:r w:rsidRPr="00936B22">
          <w:rPr>
            <w:shd w:val="clear" w:color="auto" w:fill="FFFFFF" w:themeFill="background1"/>
          </w:rPr>
          <w:fldChar w:fldCharType="separate"/>
        </w:r>
        <w:r w:rsidRPr="00936B22">
          <w:rPr>
            <w:noProof/>
            <w:shd w:val="clear" w:color="auto" w:fill="FFFFFF" w:themeFill="background1"/>
          </w:rPr>
          <w:t>2</w:t>
        </w:r>
        <w:r w:rsidRPr="00936B22">
          <w:rPr>
            <w:noProof/>
            <w:shd w:val="clear" w:color="auto" w:fill="FFFFFF" w:themeFill="background1"/>
          </w:rPr>
          <w:fldChar w:fldCharType="end"/>
        </w:r>
      </w:p>
    </w:sdtContent>
  </w:sdt>
  <w:p w14:paraId="6D89D1BC" w14:textId="77777777" w:rsidR="00936B22" w:rsidRDefault="00936B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EA66B" w14:textId="77777777" w:rsidR="00BB30F1" w:rsidRDefault="00BB30F1" w:rsidP="00632101">
      <w:pPr>
        <w:spacing w:after="0" w:line="240" w:lineRule="auto"/>
      </w:pPr>
      <w:r>
        <w:separator/>
      </w:r>
    </w:p>
  </w:footnote>
  <w:footnote w:type="continuationSeparator" w:id="0">
    <w:p w14:paraId="3688390C" w14:textId="77777777" w:rsidR="00BB30F1" w:rsidRDefault="00BB30F1" w:rsidP="00632101">
      <w:pPr>
        <w:spacing w:after="0" w:line="240" w:lineRule="auto"/>
      </w:pPr>
      <w:r>
        <w:continuationSeparator/>
      </w:r>
    </w:p>
  </w:footnote>
  <w:footnote w:id="1">
    <w:p w14:paraId="4E574613" w14:textId="4C623334" w:rsidR="00B2375C" w:rsidRDefault="00B2375C">
      <w:pPr>
        <w:pStyle w:val="FootnoteText"/>
      </w:pPr>
      <w:r w:rsidRPr="00216965">
        <w:rPr>
          <w:rStyle w:val="FootnoteReference"/>
        </w:rPr>
        <w:footnoteRef/>
      </w:r>
      <w:r w:rsidRPr="00216965">
        <w:t xml:space="preserve"> Pedogenesis: </w:t>
      </w:r>
      <w:r w:rsidR="006969D2" w:rsidRPr="00216965">
        <w:t xml:space="preserve">the transformation of weathered rock into differentiated soil horizons with unique visual, chemical, and physical characteristics </w:t>
      </w:r>
      <w:r w:rsidR="006969D2" w:rsidRPr="00216965">
        <w:fldChar w:fldCharType="begin" w:fldLock="1"/>
      </w:r>
      <w:r w:rsidR="006C06AA" w:rsidRPr="00216965">
        <w:instrText>ADDIN CSL_CITATION {"citationItems":[{"id":"ITEM-1","itemData":{"DOI":"10.1021/ACS.EST.1C00546/SUPPL_FILE/ES1C00546_SI_001.PDF","ISSN":"15205851","PMID":"34019756","abstract":"This study analyzed the impact of urban-soil pedogenesis on soil lead (Pb) contamination from paint and gasoline in the historic core of Durham, North Carolina. Total soil Pb in 1000 samples from streetsides, residential properties, and residual upland and floodplains ranged from 6 to 8825 mg/kg (mean = 211 mg/kg), with 50% of samples between 50 and 200 mg/kg soil Pb. The highest Pb concentrations were within 1 m of pre-1978 residential foundations, with concentrations inversely correlated with house age. Streetside soil Pb concentrations were elevated over the geologic background of &lt;30 mg/kg and correlated with traffic flow. Streetside soil Pb concentrations were lower than Durham streetside soils collected in the 1970s, which was attributed to urban pedogenesis, the complex of natural and human processes that change soils over time. Accelerated erosion redistributes legacy Pb and floodplain sampling indicates sedimentation rates of up to 4 mm/year. Mixing and burial of soil with elevated Pb are also lowering soil Pb concentrations over time. These mechanisms are likely of greater significance on streetsides than near foundation soils. The development of an urban-pedogenesis framework can help guide public health approaches to Pb exposure by incorporating pedogenic processes that reduce and dissipate soil Pb contamination.","author":[{"dropping-particle":"","family":"Wade","given":"Anna M.","non-dropping-particle":"","parse-names":false,"suffix":""},{"dropping-particle":"","family":"Richter","given":"Daniel D.","non-dropping-particle":"","parse-names":false,"suffix":""},{"dropping-particle":"","family":"Craft","given":"Christopher B.","non-dropping-particle":"","parse-names":false,"suffix":""},{"dropping-particle":"","family":"Bao","given":"Nancy Y.","non-dropping-particle":"","parse-names":false,"suffix":""},{"dropping-particle":"","family":"Heine","given":"Paul R.","non-dropping-particle":"","parse-names":false,"suffix":""},{"dropping-particle":"","family":"Osteen","given":"Mary C.","non-dropping-particle":"","parse-names":false,"suffix":""},{"dropping-particle":"","family":"Tan","given":"Kevin G.","non-dropping-particle":"","parse-names":false,"suffix":""}],"container-title":"Environmental Science and Technology","id":"ITEM-1","issue":"12","issued":{"date-parts":[["2021","6","15"]]},"page":"7981-7989","publisher":"American Chemical Society","title":"Urban-soil pedogenesis drives contrasting legacies of lead from paint and gasoline in city soil","type":"article-journal","volume":"55"},"uris":["http://www.mendeley.com/documents/?uuid=13e903b1-9889-3c38-8886-57c23203f938"]}],"mendeley":{"formattedCitation":"(Wade et al., 2021)","plainTextFormattedCitation":"(Wade et al., 2021)","previouslyFormattedCitation":"(Wade et al., 2021)"},"properties":{"noteIndex":0},"schema":"https://github.com/citation-style-language/schema/raw/master/csl-citation.json"}</w:instrText>
      </w:r>
      <w:r w:rsidR="006969D2" w:rsidRPr="00216965">
        <w:fldChar w:fldCharType="separate"/>
      </w:r>
      <w:r w:rsidR="00C83E62" w:rsidRPr="00216965">
        <w:rPr>
          <w:noProof/>
        </w:rPr>
        <w:t>(Wade et al., 2021)</w:t>
      </w:r>
      <w:r w:rsidR="006969D2" w:rsidRPr="00216965">
        <w:fldChar w:fldCharType="end"/>
      </w:r>
      <w:r w:rsidR="006969D2" w:rsidRPr="00216965">
        <w:t>.</w:t>
      </w:r>
    </w:p>
  </w:footnote>
  <w:footnote w:id="2">
    <w:p w14:paraId="4A55D416" w14:textId="6FE7292F" w:rsidR="00632101" w:rsidRDefault="00632101" w:rsidP="00632101">
      <w:pPr>
        <w:pBdr>
          <w:top w:val="nil"/>
          <w:left w:val="nil"/>
          <w:bottom w:val="nil"/>
          <w:right w:val="nil"/>
          <w:between w:val="nil"/>
        </w:pBdr>
        <w:spacing w:after="0" w:line="240" w:lineRule="auto"/>
        <w:jc w:val="both"/>
        <w:rPr>
          <w:color w:val="000000"/>
          <w:sz w:val="18"/>
          <w:szCs w:val="18"/>
        </w:rPr>
      </w:pPr>
      <w:r w:rsidRPr="008A33DA">
        <w:rPr>
          <w:rStyle w:val="FootnoteReference"/>
        </w:rPr>
        <w:footnoteRef/>
      </w:r>
      <w:r>
        <w:rPr>
          <w:color w:val="000000"/>
          <w:sz w:val="18"/>
          <w:szCs w:val="18"/>
        </w:rPr>
        <w:t xml:space="preserve">Thylakoid: membrane-bound compartment inside chloroplasts where </w:t>
      </w:r>
      <w:r w:rsidR="00E20493">
        <w:rPr>
          <w:color w:val="000000"/>
          <w:sz w:val="18"/>
          <w:szCs w:val="18"/>
        </w:rPr>
        <w:t xml:space="preserve">the </w:t>
      </w:r>
      <w:r w:rsidR="00E20493" w:rsidRPr="00E20493">
        <w:rPr>
          <w:color w:val="000000"/>
          <w:sz w:val="18"/>
          <w:szCs w:val="18"/>
        </w:rPr>
        <w:t>photochemical and electron transport reactions of photosynthesis</w:t>
      </w:r>
      <w:r w:rsidR="00E20493">
        <w:rPr>
          <w:color w:val="000000"/>
          <w:sz w:val="18"/>
          <w:szCs w:val="18"/>
        </w:rPr>
        <w:t xml:space="preserve"> occur </w:t>
      </w:r>
      <w:r w:rsidR="00E20493">
        <w:rPr>
          <w:color w:val="000000"/>
          <w:sz w:val="18"/>
          <w:szCs w:val="18"/>
        </w:rPr>
        <w:fldChar w:fldCharType="begin" w:fldLock="1"/>
      </w:r>
      <w:r w:rsidR="006C06AA">
        <w:rPr>
          <w:color w:val="000000"/>
          <w:sz w:val="18"/>
          <w:szCs w:val="18"/>
        </w:rPr>
        <w:instrText xml:space="preserve">ADDIN CSL_CITATION {"citationItems":[{"id":"ITEM-1","itemData":{"DOI":"10.3389/fpls.2017.01991","abstract":"The thylakoid membrane is the site of photochemical and electron transport reactions of oxygenic photosynthesis. The lipid composition of the thylakoid membrane, with two galactolipids, one sulfolipid, and one phospholipid, is highly conserved among oxygenic photosynthetic organisms. Besides providing a lipid bilayer matrix, thylakoid lipids are integrated in photosynthetic complexes particularly in photosystems I and II and play important roles in electron transport processes. Thylakoid lipids are differentially allocated to photosynthetic complexes and the lipid bilayer fraction, but distribution of each lipid in the thylakoid membrane is unclear. In this study, based on published crystallographic and biochemical data, we estimated the proportions of photosynthetic complex-associated and bilayer-associated lipids in thylakoid membranes of cyanobacteria and plants. The data suggest that </w:instrText>
      </w:r>
      <w:r w:rsidR="006C06AA">
        <w:rPr>
          <w:rFonts w:ascii="Cambria Math" w:hAnsi="Cambria Math" w:cs="Cambria Math"/>
          <w:color w:val="000000"/>
          <w:sz w:val="18"/>
          <w:szCs w:val="18"/>
        </w:rPr>
        <w:instrText>∼</w:instrText>
      </w:r>
      <w:r w:rsidR="006C06AA">
        <w:rPr>
          <w:color w:val="000000"/>
          <w:sz w:val="18"/>
          <w:szCs w:val="18"/>
        </w:rPr>
        <w:instrText>30 mol% of phosphatidylglycerol (PG), the only major phospholipid in thylakoid membranes, is allocated to photosystem complexes, whereas glycolipids are mostly distributed to the lipid bilayer fraction and constitute the membrane lipid matrix. Because PG is essential for the structure and function of both photosystems, PG buried in these complexes might have been selectively conserved among oxygenic phototrophs. The specific and substantial allocation of PG to the deep sites of photosystems may need a unique mechanism to incorporate PG into the complexes possibly in coordination with the synthesis of photosynthetic proteins and pigments.","author":[{"dropping-particle":"","family":"Roston","given":"Rebecca L","non-dropping-particle":"","parse-names":false,"suffix":""},{"dropping-particle":"","family":"Mullineaux","given":"Conrad","non-dropping-particle":"","parse-names":false,"suffix":""},{"dropping-particle":"","family":"Eaton-Rye","given":"Julian","non-dropping-particle":"","parse-names":false,"suffix":""},{"dropping-particle":"","family":"Kobayashi","given":"Koichi","non-dropping-particle":"","parse-names":false,"suffix":""},{"dropping-particle":"","family":"Endo","given":"Kaichiro","non-dropping-particle":"","parse-names":false,"suffix":""},{"dropping-particle":"","family":"Wada","given":"Hajime","non-dropping-particle":"","parse-names":false,"suffix":""}],"container-title":"Frontiers in Plant Science","id":"ITEM-1","issued":{"date-parts":[["2017"]]},"page":"1991","title":"Specific distribution of phosphatidylglycerol to photosystem complexes in the thylakoid membrane","type":"article-journal","volume":"8"},"uris":["http://www.mendeley.com/documents/?uuid=2dab66c1-5515-3fbf-9629-74aec2c8939c"]}],"mendeley":{"formattedCitation":"(Roston et al., 2017)","plainTextFormattedCitation":"(Roston et al., 2017)","previouslyFormattedCitation":"(Roston et al., 2017)"},"properties":{"noteIndex":0},"schema":"https://github.com/citation-style-language/schema/raw/master/csl-citation.json"}</w:instrText>
      </w:r>
      <w:r w:rsidR="00E20493">
        <w:rPr>
          <w:color w:val="000000"/>
          <w:sz w:val="18"/>
          <w:szCs w:val="18"/>
        </w:rPr>
        <w:fldChar w:fldCharType="separate"/>
      </w:r>
      <w:r w:rsidR="00C83E62" w:rsidRPr="001974AA">
        <w:rPr>
          <w:noProof/>
          <w:color w:val="000000"/>
          <w:sz w:val="18"/>
          <w:szCs w:val="18"/>
        </w:rPr>
        <w:t>(Roston et al., 2017)</w:t>
      </w:r>
      <w:r w:rsidR="00E20493">
        <w:rPr>
          <w:color w:val="000000"/>
          <w:sz w:val="18"/>
          <w:szCs w:val="18"/>
        </w:rPr>
        <w:fldChar w:fldCharType="end"/>
      </w:r>
      <w:r>
        <w:rPr>
          <w:color w:val="000000"/>
          <w:sz w:val="18"/>
          <w:szCs w:val="18"/>
        </w:rPr>
        <w:t>.</w:t>
      </w:r>
    </w:p>
  </w:footnote>
  <w:footnote w:id="3">
    <w:p w14:paraId="3D69CEC7" w14:textId="55C6BF25" w:rsidR="00FF238A" w:rsidRDefault="00FF238A">
      <w:pPr>
        <w:pStyle w:val="FootnoteText"/>
      </w:pPr>
      <w:r w:rsidRPr="00C62FFD">
        <w:rPr>
          <w:rStyle w:val="FootnoteReference"/>
        </w:rPr>
        <w:footnoteRef/>
      </w:r>
      <w:r w:rsidRPr="00C62FFD">
        <w:t xml:space="preserve"> </w:t>
      </w:r>
      <w:r w:rsidR="00B95D79" w:rsidRPr="00C62FFD">
        <w:t>Heat map:</w:t>
      </w:r>
      <w:r w:rsidR="00B95D79">
        <w:t xml:space="preserve"> is a</w:t>
      </w:r>
      <w:r w:rsidR="00B95D79" w:rsidRPr="00B95D79">
        <w:t xml:space="preserve"> way to visualize hierarchical clustering</w:t>
      </w:r>
      <w:r w:rsidR="00B95D79">
        <w:t xml:space="preserve"> </w:t>
      </w:r>
      <w:r w:rsidR="00B95D79" w:rsidRPr="00B95D79">
        <w:t>where data values are transformed to colour</w:t>
      </w:r>
      <w:r w:rsidR="00B95D79">
        <w:t>-</w:t>
      </w:r>
      <w:r w:rsidR="00B95D79" w:rsidRPr="00B95D79">
        <w:t>scale</w:t>
      </w:r>
      <w:r w:rsidR="00B30938">
        <w:t xml:space="preserve"> </w:t>
      </w:r>
      <w:r w:rsidR="00B30938">
        <w:fldChar w:fldCharType="begin" w:fldLock="1"/>
      </w:r>
      <w:r w:rsidR="00F56BD7">
        <w:instrText>ADDIN CSL_CITATION {"citationItems":[{"id":"ITEM-1","itemData":{"URL":"https://www.datanovia.com/en/lessons/heatmap-in-r-static-and-interactive-visualization/","accessed":{"date-parts":[["2022","3","22"]]},"author":[{"dropping-particle":"","family":"Datanovia","given":"","non-dropping-particle":"","parse-names":false,"suffix":""}],"id":"ITEM-1","issued":{"date-parts":[["2020"]]},"title":"Heatmap in R: Static and interactive visualization","type":"webpage"},"uris":["http://www.mendeley.com/documents/?uuid=6487d301-e2da-33f9-920e-751c465ced91"]}],"mendeley":{"formattedCitation":"(Datanovia, 2020)","plainTextFormattedCitation":"(Datanovia, 2020)","previouslyFormattedCitation":"(Datanovia, 2020)"},"properties":{"noteIndex":0},"schema":"https://github.com/citation-style-language/schema/raw/master/csl-citation.json"}</w:instrText>
      </w:r>
      <w:r w:rsidR="00B30938">
        <w:fldChar w:fldCharType="separate"/>
      </w:r>
      <w:r w:rsidR="00330A4F" w:rsidRPr="00330A4F">
        <w:rPr>
          <w:noProof/>
        </w:rPr>
        <w:t>(Datanovia, 2020)</w:t>
      </w:r>
      <w:r w:rsidR="00B30938">
        <w:fldChar w:fldCharType="end"/>
      </w:r>
      <w:r w:rsidR="00B30938">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F3895"/>
    <w:multiLevelType w:val="hybridMultilevel"/>
    <w:tmpl w:val="B03C62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A101543"/>
    <w:multiLevelType w:val="multilevel"/>
    <w:tmpl w:val="9EF003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7CF79D9"/>
    <w:multiLevelType w:val="hybridMultilevel"/>
    <w:tmpl w:val="B03C626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B2F5791"/>
    <w:multiLevelType w:val="multilevel"/>
    <w:tmpl w:val="621C5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EB822D4"/>
    <w:multiLevelType w:val="multilevel"/>
    <w:tmpl w:val="C802ACC8"/>
    <w:lvl w:ilvl="0">
      <w:start w:val="1"/>
      <w:numFmt w:val="decimal"/>
      <w:lvlText w:val="%1."/>
      <w:lvlJc w:val="left"/>
      <w:pPr>
        <w:ind w:left="720" w:hanging="360"/>
      </w:pPr>
    </w:lvl>
    <w:lvl w:ilvl="1">
      <w:start w:val="1"/>
      <w:numFmt w:val="decimal"/>
      <w:lvlText w:val="%1.%2"/>
      <w:lvlJc w:val="left"/>
      <w:pPr>
        <w:ind w:left="870" w:hanging="51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5" w15:restartNumberingAfterBreak="0">
    <w:nsid w:val="50B32E1D"/>
    <w:multiLevelType w:val="multilevel"/>
    <w:tmpl w:val="9BF0D63C"/>
    <w:lvl w:ilvl="0">
      <w:start w:val="1"/>
      <w:numFmt w:val="decimal"/>
      <w:pStyle w:val="Heading1"/>
      <w:suff w:val="space"/>
      <w:lvlText w:val="Chapter %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sz w:val="24"/>
        <w:szCs w:val="28"/>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62EA63F7"/>
    <w:multiLevelType w:val="hybridMultilevel"/>
    <w:tmpl w:val="74F43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94084443">
    <w:abstractNumId w:val="6"/>
  </w:num>
  <w:num w:numId="2" w16cid:durableId="66922389">
    <w:abstractNumId w:val="5"/>
  </w:num>
  <w:num w:numId="3" w16cid:durableId="977959499">
    <w:abstractNumId w:val="3"/>
  </w:num>
  <w:num w:numId="4" w16cid:durableId="424351628">
    <w:abstractNumId w:val="1"/>
  </w:num>
  <w:num w:numId="5" w16cid:durableId="2057927927">
    <w:abstractNumId w:val="2"/>
  </w:num>
  <w:num w:numId="6" w16cid:durableId="1936328109">
    <w:abstractNumId w:val="4"/>
  </w:num>
  <w:num w:numId="7" w16cid:durableId="116292253">
    <w:abstractNumId w:val="5"/>
    <w:lvlOverride w:ilvl="0">
      <w:lvl w:ilvl="0">
        <w:start w:val="1"/>
        <w:numFmt w:val="decimal"/>
        <w:pStyle w:val="Heading1"/>
        <w:suff w:val="space"/>
        <w:lvlText w:val="%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rPr>
      </w:lvl>
    </w:lvlOverride>
    <w:lvlOverride w:ilvl="2">
      <w:lvl w:ilvl="2">
        <w:start w:val="1"/>
        <w:numFmt w:val="decimal"/>
        <w:pStyle w:val="Heading3"/>
        <w:suff w:val="space"/>
        <w:lvlText w:val="%1.%2.%3."/>
        <w:lvlJc w:val="left"/>
        <w:pPr>
          <w:ind w:left="0" w:firstLine="0"/>
        </w:pPr>
        <w:rPr>
          <w:rFonts w:hint="default"/>
        </w:rPr>
      </w:lvl>
    </w:lvlOverride>
    <w:lvlOverride w:ilvl="3">
      <w:lvl w:ilvl="3">
        <w:start w:val="1"/>
        <w:numFmt w:val="decimal"/>
        <w:pStyle w:val="Heading4"/>
        <w:suff w:val="space"/>
        <w:lvlText w:val="%1.%2.%3.%4."/>
        <w:lvlJc w:val="left"/>
        <w:pPr>
          <w:ind w:left="0" w:firstLine="0"/>
        </w:pPr>
        <w:rPr>
          <w:rFonts w:hint="default"/>
          <w:sz w:val="24"/>
          <w:szCs w:val="28"/>
        </w:rPr>
      </w:lvl>
    </w:lvlOverride>
    <w:lvlOverride w:ilvl="4">
      <w:lvl w:ilvl="4">
        <w:start w:val="1"/>
        <w:numFmt w:val="decimal"/>
        <w:pStyle w:val="Heading5"/>
        <w:suff w:val="space"/>
        <w:lvlText w:val="%1.%2.%3.%4.%5."/>
        <w:lvlJc w:val="left"/>
        <w:pPr>
          <w:ind w:left="0" w:firstLine="0"/>
        </w:pPr>
        <w:rPr>
          <w:rFonts w:hint="default"/>
        </w:rPr>
      </w:lvl>
    </w:lvlOverride>
    <w:lvlOverride w:ilvl="5">
      <w:lvl w:ilvl="5">
        <w:start w:val="1"/>
        <w:numFmt w:val="decimal"/>
        <w:pStyle w:val="Heading6"/>
        <w:suff w:val="space"/>
        <w:lvlText w:val="%1.%2.%3.%4.%5.%6."/>
        <w:lvlJc w:val="left"/>
        <w:pPr>
          <w:ind w:left="0" w:firstLine="0"/>
        </w:pPr>
        <w:rPr>
          <w:rFonts w:hint="default"/>
        </w:rPr>
      </w:lvl>
    </w:lvlOverride>
    <w:lvlOverride w:ilvl="6">
      <w:lvl w:ilvl="6">
        <w:start w:val="1"/>
        <w:numFmt w:val="decimal"/>
        <w:pStyle w:val="Heading7"/>
        <w:suff w:val="space"/>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8" w16cid:durableId="104733725">
    <w:abstractNumId w:val="5"/>
    <w:lvlOverride w:ilvl="0">
      <w:lvl w:ilvl="0">
        <w:start w:val="1"/>
        <w:numFmt w:val="decimal"/>
        <w:pStyle w:val="Heading1"/>
        <w:suff w:val="space"/>
        <w:lvlText w:val="%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rPr>
      </w:lvl>
    </w:lvlOverride>
    <w:lvlOverride w:ilvl="2">
      <w:lvl w:ilvl="2">
        <w:start w:val="1"/>
        <w:numFmt w:val="decimal"/>
        <w:pStyle w:val="Heading3"/>
        <w:suff w:val="space"/>
        <w:lvlText w:val="%1.%2.%3."/>
        <w:lvlJc w:val="left"/>
        <w:pPr>
          <w:ind w:left="0" w:firstLine="0"/>
        </w:pPr>
        <w:rPr>
          <w:rFonts w:hint="default"/>
        </w:rPr>
      </w:lvl>
    </w:lvlOverride>
    <w:lvlOverride w:ilvl="3">
      <w:lvl w:ilvl="3">
        <w:start w:val="1"/>
        <w:numFmt w:val="decimal"/>
        <w:pStyle w:val="Heading4"/>
        <w:suff w:val="space"/>
        <w:lvlText w:val="%1.%2.%3.%4."/>
        <w:lvlJc w:val="left"/>
        <w:pPr>
          <w:ind w:left="0" w:firstLine="0"/>
        </w:pPr>
        <w:rPr>
          <w:rFonts w:hint="default"/>
          <w:sz w:val="24"/>
          <w:szCs w:val="28"/>
        </w:rPr>
      </w:lvl>
    </w:lvlOverride>
    <w:lvlOverride w:ilvl="4">
      <w:lvl w:ilvl="4">
        <w:start w:val="1"/>
        <w:numFmt w:val="decimal"/>
        <w:pStyle w:val="Heading5"/>
        <w:suff w:val="space"/>
        <w:lvlText w:val="%1.%2.%3.%4.%5."/>
        <w:lvlJc w:val="left"/>
        <w:pPr>
          <w:ind w:left="0" w:firstLine="0"/>
        </w:pPr>
        <w:rPr>
          <w:rFonts w:hint="default"/>
        </w:rPr>
      </w:lvl>
    </w:lvlOverride>
    <w:lvlOverride w:ilvl="5">
      <w:lvl w:ilvl="5">
        <w:start w:val="1"/>
        <w:numFmt w:val="decimal"/>
        <w:pStyle w:val="Heading6"/>
        <w:suff w:val="space"/>
        <w:lvlText w:val="%1.%2.%3.%4.%5.%6."/>
        <w:lvlJc w:val="left"/>
        <w:pPr>
          <w:ind w:left="0" w:firstLine="0"/>
        </w:pPr>
        <w:rPr>
          <w:rFonts w:hint="default"/>
        </w:rPr>
      </w:lvl>
    </w:lvlOverride>
    <w:lvlOverride w:ilvl="6">
      <w:lvl w:ilvl="6">
        <w:start w:val="1"/>
        <w:numFmt w:val="decimal"/>
        <w:pStyle w:val="Heading7"/>
        <w:suff w:val="space"/>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9" w16cid:durableId="53046084">
    <w:abstractNumId w:val="0"/>
  </w:num>
  <w:num w:numId="10" w16cid:durableId="861673737">
    <w:abstractNumId w:val="5"/>
  </w:num>
  <w:num w:numId="11" w16cid:durableId="1632979857">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efaultTabStop w:val="720"/>
  <w:consecutiveHyphenLimit w:val="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8C8"/>
    <w:rsid w:val="000076BB"/>
    <w:rsid w:val="000134E8"/>
    <w:rsid w:val="00023184"/>
    <w:rsid w:val="0002320E"/>
    <w:rsid w:val="000304A4"/>
    <w:rsid w:val="000413A1"/>
    <w:rsid w:val="00043C11"/>
    <w:rsid w:val="00050138"/>
    <w:rsid w:val="0005036A"/>
    <w:rsid w:val="00053A5A"/>
    <w:rsid w:val="00064EDD"/>
    <w:rsid w:val="000665B9"/>
    <w:rsid w:val="00085AAA"/>
    <w:rsid w:val="000A5936"/>
    <w:rsid w:val="000B1D8F"/>
    <w:rsid w:val="000B2F95"/>
    <w:rsid w:val="000B4B91"/>
    <w:rsid w:val="000C7788"/>
    <w:rsid w:val="000D5093"/>
    <w:rsid w:val="000D55B9"/>
    <w:rsid w:val="000F5A34"/>
    <w:rsid w:val="000F5B7B"/>
    <w:rsid w:val="000F67A9"/>
    <w:rsid w:val="00111CA4"/>
    <w:rsid w:val="00120FDA"/>
    <w:rsid w:val="00121BD0"/>
    <w:rsid w:val="001338C2"/>
    <w:rsid w:val="0013735B"/>
    <w:rsid w:val="0014069C"/>
    <w:rsid w:val="00157DBC"/>
    <w:rsid w:val="00166E47"/>
    <w:rsid w:val="00175380"/>
    <w:rsid w:val="00181EA0"/>
    <w:rsid w:val="001974AA"/>
    <w:rsid w:val="001A42B5"/>
    <w:rsid w:val="001A73A8"/>
    <w:rsid w:val="001B3AB0"/>
    <w:rsid w:val="001C030F"/>
    <w:rsid w:val="001C18B4"/>
    <w:rsid w:val="001C4D8E"/>
    <w:rsid w:val="001C7822"/>
    <w:rsid w:val="001D4EC5"/>
    <w:rsid w:val="001F13B0"/>
    <w:rsid w:val="0020164C"/>
    <w:rsid w:val="002018C8"/>
    <w:rsid w:val="00216965"/>
    <w:rsid w:val="00221094"/>
    <w:rsid w:val="00224A12"/>
    <w:rsid w:val="0022561F"/>
    <w:rsid w:val="00232B52"/>
    <w:rsid w:val="002358C5"/>
    <w:rsid w:val="00241702"/>
    <w:rsid w:val="0025434E"/>
    <w:rsid w:val="002711BB"/>
    <w:rsid w:val="002735B6"/>
    <w:rsid w:val="00274061"/>
    <w:rsid w:val="002760D0"/>
    <w:rsid w:val="002762AF"/>
    <w:rsid w:val="00295074"/>
    <w:rsid w:val="00296234"/>
    <w:rsid w:val="002B0FD7"/>
    <w:rsid w:val="002B1815"/>
    <w:rsid w:val="002C3A64"/>
    <w:rsid w:val="002D5CDE"/>
    <w:rsid w:val="002F3FDD"/>
    <w:rsid w:val="002F6557"/>
    <w:rsid w:val="002F6C45"/>
    <w:rsid w:val="00307649"/>
    <w:rsid w:val="0031210E"/>
    <w:rsid w:val="003233E6"/>
    <w:rsid w:val="00325900"/>
    <w:rsid w:val="00330A4F"/>
    <w:rsid w:val="00332BA2"/>
    <w:rsid w:val="00334127"/>
    <w:rsid w:val="00335953"/>
    <w:rsid w:val="003363A7"/>
    <w:rsid w:val="003370F6"/>
    <w:rsid w:val="003407DE"/>
    <w:rsid w:val="00357EAE"/>
    <w:rsid w:val="00372700"/>
    <w:rsid w:val="00372DEB"/>
    <w:rsid w:val="00384B2E"/>
    <w:rsid w:val="003A3C38"/>
    <w:rsid w:val="003A7BA9"/>
    <w:rsid w:val="003B0D28"/>
    <w:rsid w:val="003B2A34"/>
    <w:rsid w:val="003B4AAE"/>
    <w:rsid w:val="003C0732"/>
    <w:rsid w:val="003D0BE9"/>
    <w:rsid w:val="003D1304"/>
    <w:rsid w:val="003E0B0A"/>
    <w:rsid w:val="003E772D"/>
    <w:rsid w:val="004014F5"/>
    <w:rsid w:val="0040568F"/>
    <w:rsid w:val="0043227C"/>
    <w:rsid w:val="00433C84"/>
    <w:rsid w:val="00453555"/>
    <w:rsid w:val="004663BC"/>
    <w:rsid w:val="004729B7"/>
    <w:rsid w:val="00481015"/>
    <w:rsid w:val="0049285D"/>
    <w:rsid w:val="00492F3E"/>
    <w:rsid w:val="00495AA5"/>
    <w:rsid w:val="00495F27"/>
    <w:rsid w:val="004973A5"/>
    <w:rsid w:val="004A50B0"/>
    <w:rsid w:val="004B13AB"/>
    <w:rsid w:val="004B5A5B"/>
    <w:rsid w:val="004C437B"/>
    <w:rsid w:val="004C4C35"/>
    <w:rsid w:val="004D5278"/>
    <w:rsid w:val="004E3E6A"/>
    <w:rsid w:val="004E4598"/>
    <w:rsid w:val="004F0F92"/>
    <w:rsid w:val="00501C61"/>
    <w:rsid w:val="00506ECF"/>
    <w:rsid w:val="00512715"/>
    <w:rsid w:val="0052024F"/>
    <w:rsid w:val="00523FC4"/>
    <w:rsid w:val="00530D6B"/>
    <w:rsid w:val="00541C59"/>
    <w:rsid w:val="00554933"/>
    <w:rsid w:val="005563EE"/>
    <w:rsid w:val="00566DBB"/>
    <w:rsid w:val="0057797C"/>
    <w:rsid w:val="00580188"/>
    <w:rsid w:val="00580641"/>
    <w:rsid w:val="00582894"/>
    <w:rsid w:val="005850BF"/>
    <w:rsid w:val="005A0620"/>
    <w:rsid w:val="005A2E9F"/>
    <w:rsid w:val="005B17AE"/>
    <w:rsid w:val="005B20A8"/>
    <w:rsid w:val="005B295C"/>
    <w:rsid w:val="005B3A55"/>
    <w:rsid w:val="005C1F7E"/>
    <w:rsid w:val="005D40D0"/>
    <w:rsid w:val="005D4BE2"/>
    <w:rsid w:val="005D67B8"/>
    <w:rsid w:val="005D7AA2"/>
    <w:rsid w:val="005E1C10"/>
    <w:rsid w:val="005E2A8E"/>
    <w:rsid w:val="005E7888"/>
    <w:rsid w:val="00602C0E"/>
    <w:rsid w:val="00606414"/>
    <w:rsid w:val="006164A9"/>
    <w:rsid w:val="006171C8"/>
    <w:rsid w:val="00620979"/>
    <w:rsid w:val="0063069F"/>
    <w:rsid w:val="00632101"/>
    <w:rsid w:val="00635072"/>
    <w:rsid w:val="00637536"/>
    <w:rsid w:val="00644F3E"/>
    <w:rsid w:val="00675EA9"/>
    <w:rsid w:val="006826E6"/>
    <w:rsid w:val="0068306F"/>
    <w:rsid w:val="0068332A"/>
    <w:rsid w:val="00685C2D"/>
    <w:rsid w:val="006969D2"/>
    <w:rsid w:val="00697A35"/>
    <w:rsid w:val="006A4DA8"/>
    <w:rsid w:val="006B380D"/>
    <w:rsid w:val="006B6F90"/>
    <w:rsid w:val="006B7849"/>
    <w:rsid w:val="006C06AA"/>
    <w:rsid w:val="006C11F8"/>
    <w:rsid w:val="006D2F0E"/>
    <w:rsid w:val="006E23EA"/>
    <w:rsid w:val="007105B6"/>
    <w:rsid w:val="0071336D"/>
    <w:rsid w:val="0072628D"/>
    <w:rsid w:val="00745AC2"/>
    <w:rsid w:val="00751463"/>
    <w:rsid w:val="00761390"/>
    <w:rsid w:val="007635E8"/>
    <w:rsid w:val="00764868"/>
    <w:rsid w:val="00764C03"/>
    <w:rsid w:val="00774E58"/>
    <w:rsid w:val="007846E6"/>
    <w:rsid w:val="007906FC"/>
    <w:rsid w:val="007907F4"/>
    <w:rsid w:val="007962A3"/>
    <w:rsid w:val="007A2A48"/>
    <w:rsid w:val="007B3981"/>
    <w:rsid w:val="007B5E51"/>
    <w:rsid w:val="007C6623"/>
    <w:rsid w:val="007D2873"/>
    <w:rsid w:val="007D519F"/>
    <w:rsid w:val="007D51F9"/>
    <w:rsid w:val="007E0B4B"/>
    <w:rsid w:val="007E2C08"/>
    <w:rsid w:val="007E2E58"/>
    <w:rsid w:val="007F01F1"/>
    <w:rsid w:val="007F181F"/>
    <w:rsid w:val="007F4953"/>
    <w:rsid w:val="00804FEA"/>
    <w:rsid w:val="00806396"/>
    <w:rsid w:val="00810D61"/>
    <w:rsid w:val="008208CE"/>
    <w:rsid w:val="008230CC"/>
    <w:rsid w:val="00825C72"/>
    <w:rsid w:val="008270D5"/>
    <w:rsid w:val="00831AE6"/>
    <w:rsid w:val="00851E24"/>
    <w:rsid w:val="00855145"/>
    <w:rsid w:val="008563DC"/>
    <w:rsid w:val="00856AAB"/>
    <w:rsid w:val="008574C0"/>
    <w:rsid w:val="0087795C"/>
    <w:rsid w:val="00882B5E"/>
    <w:rsid w:val="00883B70"/>
    <w:rsid w:val="00887B3A"/>
    <w:rsid w:val="00892509"/>
    <w:rsid w:val="00892996"/>
    <w:rsid w:val="008936CD"/>
    <w:rsid w:val="008A25B3"/>
    <w:rsid w:val="008A33DA"/>
    <w:rsid w:val="008B181D"/>
    <w:rsid w:val="008C25C4"/>
    <w:rsid w:val="008C755F"/>
    <w:rsid w:val="008D0EBD"/>
    <w:rsid w:val="008D4FE1"/>
    <w:rsid w:val="008E0CEC"/>
    <w:rsid w:val="008F15AA"/>
    <w:rsid w:val="008F3BA1"/>
    <w:rsid w:val="00910937"/>
    <w:rsid w:val="009109D5"/>
    <w:rsid w:val="00913112"/>
    <w:rsid w:val="00915E9C"/>
    <w:rsid w:val="009243E8"/>
    <w:rsid w:val="00925BBE"/>
    <w:rsid w:val="009344B6"/>
    <w:rsid w:val="00934E33"/>
    <w:rsid w:val="00936B22"/>
    <w:rsid w:val="009417FD"/>
    <w:rsid w:val="00942EE9"/>
    <w:rsid w:val="009628B9"/>
    <w:rsid w:val="00970572"/>
    <w:rsid w:val="00976453"/>
    <w:rsid w:val="00980382"/>
    <w:rsid w:val="009A0FE2"/>
    <w:rsid w:val="009A5CCE"/>
    <w:rsid w:val="009B2252"/>
    <w:rsid w:val="009B233D"/>
    <w:rsid w:val="009B7B1A"/>
    <w:rsid w:val="009C45A4"/>
    <w:rsid w:val="009D1CC8"/>
    <w:rsid w:val="009F209D"/>
    <w:rsid w:val="00A0457B"/>
    <w:rsid w:val="00A12ABA"/>
    <w:rsid w:val="00A26A22"/>
    <w:rsid w:val="00A33536"/>
    <w:rsid w:val="00A3354B"/>
    <w:rsid w:val="00A347FC"/>
    <w:rsid w:val="00A42876"/>
    <w:rsid w:val="00A4667F"/>
    <w:rsid w:val="00A47D54"/>
    <w:rsid w:val="00A51B45"/>
    <w:rsid w:val="00A52D74"/>
    <w:rsid w:val="00A76888"/>
    <w:rsid w:val="00A8182A"/>
    <w:rsid w:val="00A8344C"/>
    <w:rsid w:val="00A94E3A"/>
    <w:rsid w:val="00A95538"/>
    <w:rsid w:val="00AA06DD"/>
    <w:rsid w:val="00AA1D7F"/>
    <w:rsid w:val="00AA746B"/>
    <w:rsid w:val="00AB0777"/>
    <w:rsid w:val="00AB2390"/>
    <w:rsid w:val="00AB2984"/>
    <w:rsid w:val="00AC43A6"/>
    <w:rsid w:val="00AD0DBC"/>
    <w:rsid w:val="00AD354A"/>
    <w:rsid w:val="00AE4768"/>
    <w:rsid w:val="00AE59DC"/>
    <w:rsid w:val="00AE7FE1"/>
    <w:rsid w:val="00B01C80"/>
    <w:rsid w:val="00B06D44"/>
    <w:rsid w:val="00B11CBC"/>
    <w:rsid w:val="00B155FD"/>
    <w:rsid w:val="00B22F32"/>
    <w:rsid w:val="00B2375C"/>
    <w:rsid w:val="00B30938"/>
    <w:rsid w:val="00B34B0F"/>
    <w:rsid w:val="00B3627E"/>
    <w:rsid w:val="00B4071A"/>
    <w:rsid w:val="00B45740"/>
    <w:rsid w:val="00B51E78"/>
    <w:rsid w:val="00B525A4"/>
    <w:rsid w:val="00B61794"/>
    <w:rsid w:val="00B70968"/>
    <w:rsid w:val="00B82FC8"/>
    <w:rsid w:val="00B8655F"/>
    <w:rsid w:val="00B95D79"/>
    <w:rsid w:val="00BA156B"/>
    <w:rsid w:val="00BB30F1"/>
    <w:rsid w:val="00BC231F"/>
    <w:rsid w:val="00BD29C4"/>
    <w:rsid w:val="00BD4A04"/>
    <w:rsid w:val="00BD6B89"/>
    <w:rsid w:val="00BE0B14"/>
    <w:rsid w:val="00BF1695"/>
    <w:rsid w:val="00BF2BD1"/>
    <w:rsid w:val="00BF3EBE"/>
    <w:rsid w:val="00BF589C"/>
    <w:rsid w:val="00C04CF9"/>
    <w:rsid w:val="00C17066"/>
    <w:rsid w:val="00C23A01"/>
    <w:rsid w:val="00C259B3"/>
    <w:rsid w:val="00C55F96"/>
    <w:rsid w:val="00C6120A"/>
    <w:rsid w:val="00C6174A"/>
    <w:rsid w:val="00C62FFD"/>
    <w:rsid w:val="00C71393"/>
    <w:rsid w:val="00C71AAF"/>
    <w:rsid w:val="00C71C3A"/>
    <w:rsid w:val="00C83E62"/>
    <w:rsid w:val="00C84F12"/>
    <w:rsid w:val="00CA2A59"/>
    <w:rsid w:val="00CA7A56"/>
    <w:rsid w:val="00CC30EE"/>
    <w:rsid w:val="00CC31AC"/>
    <w:rsid w:val="00CC4F5C"/>
    <w:rsid w:val="00CD4550"/>
    <w:rsid w:val="00CE49AF"/>
    <w:rsid w:val="00CE61EB"/>
    <w:rsid w:val="00CE6CD2"/>
    <w:rsid w:val="00CE7136"/>
    <w:rsid w:val="00CF30E2"/>
    <w:rsid w:val="00CF3C22"/>
    <w:rsid w:val="00D02731"/>
    <w:rsid w:val="00D05D0C"/>
    <w:rsid w:val="00D14C49"/>
    <w:rsid w:val="00D16EE1"/>
    <w:rsid w:val="00D27A60"/>
    <w:rsid w:val="00D31DA7"/>
    <w:rsid w:val="00D3487B"/>
    <w:rsid w:val="00D40725"/>
    <w:rsid w:val="00D41B2E"/>
    <w:rsid w:val="00D44DD7"/>
    <w:rsid w:val="00D45535"/>
    <w:rsid w:val="00D46B93"/>
    <w:rsid w:val="00D46ED0"/>
    <w:rsid w:val="00D50409"/>
    <w:rsid w:val="00D5260F"/>
    <w:rsid w:val="00D62864"/>
    <w:rsid w:val="00D72065"/>
    <w:rsid w:val="00D73483"/>
    <w:rsid w:val="00D86561"/>
    <w:rsid w:val="00D86F2F"/>
    <w:rsid w:val="00DB22F3"/>
    <w:rsid w:val="00DD6F27"/>
    <w:rsid w:val="00DE2D63"/>
    <w:rsid w:val="00DE5FCE"/>
    <w:rsid w:val="00DF31B7"/>
    <w:rsid w:val="00E01C3F"/>
    <w:rsid w:val="00E10205"/>
    <w:rsid w:val="00E20493"/>
    <w:rsid w:val="00E27DA0"/>
    <w:rsid w:val="00E34A0F"/>
    <w:rsid w:val="00E42745"/>
    <w:rsid w:val="00E45B27"/>
    <w:rsid w:val="00E46DB8"/>
    <w:rsid w:val="00E51AA9"/>
    <w:rsid w:val="00E569FA"/>
    <w:rsid w:val="00E57D69"/>
    <w:rsid w:val="00E6184C"/>
    <w:rsid w:val="00E63F31"/>
    <w:rsid w:val="00E76F05"/>
    <w:rsid w:val="00E8112D"/>
    <w:rsid w:val="00E912C4"/>
    <w:rsid w:val="00E963B3"/>
    <w:rsid w:val="00EA0F51"/>
    <w:rsid w:val="00EA3AEC"/>
    <w:rsid w:val="00EA7F29"/>
    <w:rsid w:val="00EB2751"/>
    <w:rsid w:val="00EC59E7"/>
    <w:rsid w:val="00EC7D12"/>
    <w:rsid w:val="00ED2FDD"/>
    <w:rsid w:val="00ED7746"/>
    <w:rsid w:val="00EE57BC"/>
    <w:rsid w:val="00EF2428"/>
    <w:rsid w:val="00EF2C10"/>
    <w:rsid w:val="00EF4495"/>
    <w:rsid w:val="00EF4651"/>
    <w:rsid w:val="00F10029"/>
    <w:rsid w:val="00F16201"/>
    <w:rsid w:val="00F24567"/>
    <w:rsid w:val="00F2707B"/>
    <w:rsid w:val="00F27C1C"/>
    <w:rsid w:val="00F44734"/>
    <w:rsid w:val="00F44875"/>
    <w:rsid w:val="00F56BD7"/>
    <w:rsid w:val="00F6053D"/>
    <w:rsid w:val="00F61DF4"/>
    <w:rsid w:val="00F71164"/>
    <w:rsid w:val="00F76BA6"/>
    <w:rsid w:val="00F90661"/>
    <w:rsid w:val="00F92313"/>
    <w:rsid w:val="00F97F89"/>
    <w:rsid w:val="00FA639F"/>
    <w:rsid w:val="00FB0242"/>
    <w:rsid w:val="00FB1F3F"/>
    <w:rsid w:val="00FC73B8"/>
    <w:rsid w:val="00FD5FFA"/>
    <w:rsid w:val="00FF238A"/>
    <w:rsid w:val="00FF2F86"/>
    <w:rsid w:val="00FF40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DB87D2"/>
  <w15:docId w15:val="{1D4B22A7-0A6B-4184-9468-B9D6D2C43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707B"/>
    <w:rPr>
      <w:rFonts w:ascii="Times New Roman" w:hAnsi="Times New Roman"/>
      <w:sz w:val="24"/>
    </w:rPr>
  </w:style>
  <w:style w:type="paragraph" w:styleId="Heading1">
    <w:name w:val="heading 1"/>
    <w:basedOn w:val="Normal"/>
    <w:next w:val="Normal"/>
    <w:link w:val="Heading1Char"/>
    <w:uiPriority w:val="9"/>
    <w:qFormat/>
    <w:rsid w:val="007D2873"/>
    <w:pPr>
      <w:keepNext/>
      <w:keepLines/>
      <w:numPr>
        <w:numId w:val="2"/>
      </w:numPr>
      <w:spacing w:before="480" w:after="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6D2F0E"/>
    <w:pPr>
      <w:keepNext/>
      <w:keepLines/>
      <w:numPr>
        <w:ilvl w:val="1"/>
        <w:numId w:val="2"/>
      </w:numPr>
      <w:tabs>
        <w:tab w:val="left" w:pos="720"/>
      </w:tabs>
      <w:spacing w:before="280" w:after="240" w:line="360" w:lineRule="auto"/>
      <w:outlineLvl w:val="1"/>
    </w:pPr>
    <w:rPr>
      <w:rFonts w:eastAsia="Times New Roman" w:cstheme="majorBidi"/>
      <w:b/>
      <w:szCs w:val="24"/>
    </w:rPr>
  </w:style>
  <w:style w:type="paragraph" w:styleId="Heading3">
    <w:name w:val="heading 3"/>
    <w:basedOn w:val="Normal"/>
    <w:next w:val="Normal"/>
    <w:link w:val="Heading3Char"/>
    <w:uiPriority w:val="9"/>
    <w:unhideWhenUsed/>
    <w:qFormat/>
    <w:rsid w:val="00E42745"/>
    <w:pPr>
      <w:keepNext/>
      <w:keepLines/>
      <w:numPr>
        <w:ilvl w:val="2"/>
        <w:numId w:val="2"/>
      </w:numPr>
      <w:tabs>
        <w:tab w:val="left" w:pos="720"/>
      </w:tabs>
      <w:spacing w:before="160" w:after="120" w:line="360" w:lineRule="auto"/>
      <w:outlineLvl w:val="2"/>
    </w:pPr>
    <w:rPr>
      <w:rFonts w:eastAsiaTheme="majorEastAsia" w:cstheme="majorBidi"/>
      <w:b/>
      <w:szCs w:val="24"/>
    </w:rPr>
  </w:style>
  <w:style w:type="paragraph" w:styleId="Heading4">
    <w:name w:val="heading 4"/>
    <w:basedOn w:val="Heading3"/>
    <w:next w:val="Normal"/>
    <w:link w:val="Heading4Char"/>
    <w:uiPriority w:val="9"/>
    <w:unhideWhenUsed/>
    <w:qFormat/>
    <w:rsid w:val="00E42745"/>
    <w:pPr>
      <w:numPr>
        <w:ilvl w:val="3"/>
      </w:numPr>
      <w:outlineLvl w:val="3"/>
    </w:pPr>
  </w:style>
  <w:style w:type="paragraph" w:styleId="Heading5">
    <w:name w:val="heading 5"/>
    <w:basedOn w:val="Heading3"/>
    <w:next w:val="Normal"/>
    <w:link w:val="Heading5Char"/>
    <w:uiPriority w:val="9"/>
    <w:unhideWhenUsed/>
    <w:qFormat/>
    <w:rsid w:val="00E42745"/>
    <w:pPr>
      <w:numPr>
        <w:ilvl w:val="4"/>
      </w:numPr>
      <w:outlineLvl w:val="4"/>
    </w:pPr>
  </w:style>
  <w:style w:type="paragraph" w:styleId="Heading6">
    <w:name w:val="heading 6"/>
    <w:basedOn w:val="Normal"/>
    <w:next w:val="Normal"/>
    <w:link w:val="Heading6Char"/>
    <w:uiPriority w:val="9"/>
    <w:qFormat/>
    <w:rsid w:val="00632101"/>
    <w:pPr>
      <w:keepNext/>
      <w:keepLines/>
      <w:numPr>
        <w:ilvl w:val="5"/>
        <w:numId w:val="2"/>
      </w:numPr>
      <w:spacing w:before="200" w:after="40" w:line="276" w:lineRule="auto"/>
      <w:outlineLvl w:val="5"/>
    </w:pPr>
    <w:rPr>
      <w:rFonts w:eastAsia="Calibri" w:cs="Calibri"/>
      <w:b/>
      <w:sz w:val="20"/>
      <w:szCs w:val="20"/>
      <w:lang w:eastAsia="en-GB"/>
    </w:rPr>
  </w:style>
  <w:style w:type="paragraph" w:styleId="Heading7">
    <w:name w:val="heading 7"/>
    <w:basedOn w:val="Normal"/>
    <w:next w:val="Normal"/>
    <w:link w:val="Heading7Char"/>
    <w:uiPriority w:val="9"/>
    <w:unhideWhenUsed/>
    <w:qFormat/>
    <w:rsid w:val="00632101"/>
    <w:pPr>
      <w:keepNext/>
      <w:keepLines/>
      <w:numPr>
        <w:ilvl w:val="6"/>
        <w:numId w:val="2"/>
      </w:numPr>
      <w:spacing w:before="40" w:after="0" w:line="276" w:lineRule="auto"/>
      <w:outlineLvl w:val="6"/>
    </w:pPr>
    <w:rPr>
      <w:rFonts w:asciiTheme="majorHAnsi" w:eastAsiaTheme="majorEastAsia" w:hAnsiTheme="majorHAnsi" w:cstheme="majorBidi"/>
      <w:i/>
      <w:iCs/>
      <w:color w:val="1F3763" w:themeColor="accent1" w:themeShade="7F"/>
      <w:lang w:eastAsia="en-GB"/>
    </w:rPr>
  </w:style>
  <w:style w:type="paragraph" w:styleId="Heading8">
    <w:name w:val="heading 8"/>
    <w:basedOn w:val="Normal"/>
    <w:next w:val="Normal"/>
    <w:link w:val="Heading8Char"/>
    <w:uiPriority w:val="9"/>
    <w:semiHidden/>
    <w:unhideWhenUsed/>
    <w:qFormat/>
    <w:rsid w:val="00632101"/>
    <w:pPr>
      <w:keepNext/>
      <w:keepLines/>
      <w:spacing w:before="40" w:after="0" w:line="276" w:lineRule="auto"/>
      <w:outlineLvl w:val="7"/>
    </w:pPr>
    <w:rPr>
      <w:rFonts w:asciiTheme="majorHAnsi" w:eastAsiaTheme="majorEastAsia" w:hAnsiTheme="majorHAnsi" w:cstheme="majorBidi"/>
      <w:color w:val="272727" w:themeColor="text1" w:themeTint="D8"/>
      <w:sz w:val="21"/>
      <w:szCs w:val="21"/>
      <w:lang w:eastAsia="en-GB"/>
    </w:rPr>
  </w:style>
  <w:style w:type="paragraph" w:styleId="Heading9">
    <w:name w:val="heading 9"/>
    <w:basedOn w:val="Normal"/>
    <w:next w:val="Normal"/>
    <w:link w:val="Heading9Char"/>
    <w:uiPriority w:val="9"/>
    <w:semiHidden/>
    <w:unhideWhenUsed/>
    <w:qFormat/>
    <w:rsid w:val="00632101"/>
    <w:pPr>
      <w:keepNext/>
      <w:keepLines/>
      <w:spacing w:before="40" w:after="0" w:line="276" w:lineRule="auto"/>
      <w:outlineLvl w:val="8"/>
    </w:pPr>
    <w:rPr>
      <w:rFonts w:asciiTheme="majorHAnsi" w:eastAsiaTheme="majorEastAsia" w:hAnsiTheme="majorHAnsi" w:cstheme="majorBidi"/>
      <w:i/>
      <w:iCs/>
      <w:color w:val="272727"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018C8"/>
    <w:pPr>
      <w:autoSpaceDE w:val="0"/>
      <w:autoSpaceDN w:val="0"/>
      <w:adjustRightInd w:val="0"/>
      <w:spacing w:after="0" w:line="240" w:lineRule="auto"/>
    </w:pPr>
    <w:rPr>
      <w:rFonts w:ascii="TUOS Stephenson" w:hAnsi="TUOS Stephenson" w:cs="TUOS Stephenson"/>
      <w:color w:val="000000"/>
      <w:sz w:val="24"/>
      <w:szCs w:val="24"/>
    </w:rPr>
  </w:style>
  <w:style w:type="character" w:customStyle="1" w:styleId="Heading1Char">
    <w:name w:val="Heading 1 Char"/>
    <w:basedOn w:val="DefaultParagraphFont"/>
    <w:link w:val="Heading1"/>
    <w:uiPriority w:val="9"/>
    <w:rsid w:val="007D2873"/>
    <w:rPr>
      <w:rFonts w:ascii="Times New Roman" w:eastAsiaTheme="majorEastAsia" w:hAnsi="Times New Roman" w:cstheme="majorBidi"/>
      <w:b/>
      <w:sz w:val="32"/>
      <w:szCs w:val="32"/>
    </w:rPr>
  </w:style>
  <w:style w:type="paragraph" w:styleId="NoSpacing">
    <w:name w:val="No Spacing"/>
    <w:link w:val="NoSpacingChar"/>
    <w:uiPriority w:val="1"/>
    <w:qFormat/>
    <w:rsid w:val="00F2707B"/>
    <w:pPr>
      <w:spacing w:after="0" w:line="240" w:lineRule="auto"/>
    </w:pPr>
    <w:rPr>
      <w:rFonts w:ascii="Times New Roman" w:hAnsi="Times New Roman"/>
      <w:sz w:val="24"/>
    </w:rPr>
  </w:style>
  <w:style w:type="paragraph" w:styleId="ListParagraph">
    <w:name w:val="List Paragraph"/>
    <w:basedOn w:val="Normal"/>
    <w:link w:val="ListParagraphChar"/>
    <w:uiPriority w:val="99"/>
    <w:qFormat/>
    <w:rsid w:val="007F01F1"/>
    <w:pPr>
      <w:ind w:left="720"/>
      <w:contextualSpacing/>
    </w:pPr>
  </w:style>
  <w:style w:type="table" w:styleId="TableGrid">
    <w:name w:val="Table Grid"/>
    <w:basedOn w:val="TableNormal"/>
    <w:uiPriority w:val="39"/>
    <w:rsid w:val="007F0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6D2F0E"/>
    <w:rPr>
      <w:rFonts w:ascii="Times New Roman" w:eastAsia="Times New Roman" w:hAnsi="Times New Roman" w:cstheme="majorBidi"/>
      <w:b/>
      <w:sz w:val="24"/>
      <w:szCs w:val="24"/>
    </w:rPr>
  </w:style>
  <w:style w:type="character" w:customStyle="1" w:styleId="NoSpacingChar">
    <w:name w:val="No Spacing Char"/>
    <w:basedOn w:val="DefaultParagraphFont"/>
    <w:link w:val="NoSpacing"/>
    <w:uiPriority w:val="1"/>
    <w:rsid w:val="00632101"/>
    <w:rPr>
      <w:rFonts w:ascii="Times New Roman" w:hAnsi="Times New Roman"/>
      <w:sz w:val="24"/>
    </w:rPr>
  </w:style>
  <w:style w:type="character" w:customStyle="1" w:styleId="Heading3Char">
    <w:name w:val="Heading 3 Char"/>
    <w:basedOn w:val="DefaultParagraphFont"/>
    <w:link w:val="Heading3"/>
    <w:uiPriority w:val="9"/>
    <w:rsid w:val="00E4274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E42745"/>
    <w:rPr>
      <w:rFonts w:ascii="Times New Roman" w:eastAsiaTheme="majorEastAsia" w:hAnsi="Times New Roman" w:cstheme="majorBidi"/>
      <w:b/>
      <w:sz w:val="24"/>
      <w:szCs w:val="24"/>
    </w:rPr>
  </w:style>
  <w:style w:type="character" w:customStyle="1" w:styleId="Heading5Char">
    <w:name w:val="Heading 5 Char"/>
    <w:basedOn w:val="DefaultParagraphFont"/>
    <w:link w:val="Heading5"/>
    <w:uiPriority w:val="9"/>
    <w:rsid w:val="00E42745"/>
    <w:rPr>
      <w:rFonts w:ascii="Times New Roman" w:eastAsiaTheme="majorEastAsia" w:hAnsi="Times New Roman" w:cstheme="majorBidi"/>
      <w:b/>
      <w:sz w:val="24"/>
      <w:szCs w:val="24"/>
    </w:rPr>
  </w:style>
  <w:style w:type="character" w:customStyle="1" w:styleId="Heading6Char">
    <w:name w:val="Heading 6 Char"/>
    <w:basedOn w:val="DefaultParagraphFont"/>
    <w:link w:val="Heading6"/>
    <w:uiPriority w:val="9"/>
    <w:rsid w:val="00632101"/>
    <w:rPr>
      <w:rFonts w:ascii="Times New Roman" w:eastAsia="Calibri" w:hAnsi="Times New Roman" w:cs="Calibri"/>
      <w:b/>
      <w:sz w:val="20"/>
      <w:szCs w:val="20"/>
      <w:lang w:eastAsia="en-GB"/>
    </w:rPr>
  </w:style>
  <w:style w:type="character" w:customStyle="1" w:styleId="Heading7Char">
    <w:name w:val="Heading 7 Char"/>
    <w:basedOn w:val="DefaultParagraphFont"/>
    <w:link w:val="Heading7"/>
    <w:uiPriority w:val="9"/>
    <w:rsid w:val="00632101"/>
    <w:rPr>
      <w:rFonts w:asciiTheme="majorHAnsi" w:eastAsiaTheme="majorEastAsia" w:hAnsiTheme="majorHAnsi" w:cstheme="majorBidi"/>
      <w:i/>
      <w:iCs/>
      <w:color w:val="1F3763" w:themeColor="accent1" w:themeShade="7F"/>
      <w:sz w:val="24"/>
      <w:lang w:eastAsia="en-GB"/>
    </w:rPr>
  </w:style>
  <w:style w:type="character" w:customStyle="1" w:styleId="Heading8Char">
    <w:name w:val="Heading 8 Char"/>
    <w:basedOn w:val="DefaultParagraphFont"/>
    <w:link w:val="Heading8"/>
    <w:uiPriority w:val="9"/>
    <w:semiHidden/>
    <w:rsid w:val="00632101"/>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632101"/>
    <w:rPr>
      <w:rFonts w:asciiTheme="majorHAnsi" w:eastAsiaTheme="majorEastAsia" w:hAnsiTheme="majorHAnsi" w:cstheme="majorBidi"/>
      <w:i/>
      <w:iCs/>
      <w:color w:val="272727" w:themeColor="text1" w:themeTint="D8"/>
      <w:sz w:val="21"/>
      <w:szCs w:val="21"/>
      <w:lang w:eastAsia="en-GB"/>
    </w:rPr>
  </w:style>
  <w:style w:type="paragraph" w:styleId="Title">
    <w:name w:val="Title"/>
    <w:basedOn w:val="Normal"/>
    <w:next w:val="Normal"/>
    <w:link w:val="TitleChar"/>
    <w:uiPriority w:val="10"/>
    <w:qFormat/>
    <w:rsid w:val="00632101"/>
    <w:pPr>
      <w:keepNext/>
      <w:keepLines/>
      <w:spacing w:before="480" w:after="120" w:line="276" w:lineRule="auto"/>
    </w:pPr>
    <w:rPr>
      <w:rFonts w:eastAsia="Calibri" w:cs="Calibri"/>
      <w:b/>
      <w:sz w:val="72"/>
      <w:szCs w:val="72"/>
      <w:lang w:eastAsia="en-GB"/>
    </w:rPr>
  </w:style>
  <w:style w:type="character" w:customStyle="1" w:styleId="TitleChar">
    <w:name w:val="Title Char"/>
    <w:basedOn w:val="DefaultParagraphFont"/>
    <w:link w:val="Title"/>
    <w:uiPriority w:val="10"/>
    <w:rsid w:val="00632101"/>
    <w:rPr>
      <w:rFonts w:ascii="Times New Roman" w:eastAsia="Calibri" w:hAnsi="Times New Roman" w:cs="Calibri"/>
      <w:b/>
      <w:sz w:val="72"/>
      <w:szCs w:val="72"/>
      <w:lang w:eastAsia="en-GB"/>
    </w:rPr>
  </w:style>
  <w:style w:type="paragraph" w:styleId="Caption">
    <w:name w:val="caption"/>
    <w:basedOn w:val="Normal"/>
    <w:next w:val="Normal"/>
    <w:uiPriority w:val="35"/>
    <w:unhideWhenUsed/>
    <w:qFormat/>
    <w:rsid w:val="00632101"/>
    <w:pPr>
      <w:spacing w:after="200" w:line="240" w:lineRule="auto"/>
    </w:pPr>
    <w:rPr>
      <w:rFonts w:eastAsiaTheme="minorEastAsia" w:cs="Calibri"/>
      <w:bCs/>
      <w:szCs w:val="18"/>
      <w:lang w:eastAsia="en-GB"/>
    </w:rPr>
  </w:style>
  <w:style w:type="paragraph" w:styleId="BalloonText">
    <w:name w:val="Balloon Text"/>
    <w:basedOn w:val="Normal"/>
    <w:link w:val="BalloonTextChar"/>
    <w:uiPriority w:val="99"/>
    <w:semiHidden/>
    <w:unhideWhenUsed/>
    <w:rsid w:val="00632101"/>
    <w:pPr>
      <w:spacing w:after="0" w:line="240" w:lineRule="auto"/>
    </w:pPr>
    <w:rPr>
      <w:rFonts w:ascii="Tahoma" w:eastAsia="Calibri" w:hAnsi="Tahoma" w:cs="Tahoma"/>
      <w:sz w:val="16"/>
      <w:szCs w:val="16"/>
      <w:lang w:eastAsia="en-GB"/>
    </w:rPr>
  </w:style>
  <w:style w:type="character" w:customStyle="1" w:styleId="BalloonTextChar">
    <w:name w:val="Balloon Text Char"/>
    <w:basedOn w:val="DefaultParagraphFont"/>
    <w:link w:val="BalloonText"/>
    <w:uiPriority w:val="99"/>
    <w:semiHidden/>
    <w:rsid w:val="00632101"/>
    <w:rPr>
      <w:rFonts w:ascii="Tahoma" w:eastAsia="Calibri" w:hAnsi="Tahoma" w:cs="Tahoma"/>
      <w:sz w:val="16"/>
      <w:szCs w:val="16"/>
      <w:lang w:eastAsia="en-GB"/>
    </w:rPr>
  </w:style>
  <w:style w:type="paragraph" w:styleId="FootnoteText">
    <w:name w:val="footnote text"/>
    <w:basedOn w:val="Normal"/>
    <w:link w:val="FootnoteTextChar"/>
    <w:uiPriority w:val="99"/>
    <w:semiHidden/>
    <w:unhideWhenUsed/>
    <w:rsid w:val="00632101"/>
    <w:pPr>
      <w:spacing w:after="0" w:line="240" w:lineRule="auto"/>
    </w:pPr>
    <w:rPr>
      <w:rFonts w:eastAsia="Calibri" w:cs="Times New Roman"/>
      <w:sz w:val="20"/>
      <w:szCs w:val="20"/>
      <w:lang w:eastAsia="en-GB"/>
    </w:rPr>
  </w:style>
  <w:style w:type="character" w:customStyle="1" w:styleId="FootnoteTextChar">
    <w:name w:val="Footnote Text Char"/>
    <w:basedOn w:val="DefaultParagraphFont"/>
    <w:link w:val="FootnoteText"/>
    <w:uiPriority w:val="99"/>
    <w:semiHidden/>
    <w:rsid w:val="00632101"/>
    <w:rPr>
      <w:rFonts w:ascii="Times New Roman" w:eastAsia="Calibri" w:hAnsi="Times New Roman" w:cs="Times New Roman"/>
      <w:sz w:val="20"/>
      <w:szCs w:val="20"/>
      <w:lang w:eastAsia="en-GB"/>
    </w:rPr>
  </w:style>
  <w:style w:type="character" w:styleId="FootnoteReference">
    <w:name w:val="footnote reference"/>
    <w:basedOn w:val="DefaultParagraphFont"/>
    <w:uiPriority w:val="99"/>
    <w:semiHidden/>
    <w:unhideWhenUsed/>
    <w:rsid w:val="00632101"/>
    <w:rPr>
      <w:vertAlign w:val="superscript"/>
    </w:rPr>
  </w:style>
  <w:style w:type="paragraph" w:styleId="Subtitle">
    <w:name w:val="Subtitle"/>
    <w:basedOn w:val="Normal"/>
    <w:next w:val="Normal"/>
    <w:link w:val="SubtitleChar"/>
    <w:uiPriority w:val="11"/>
    <w:qFormat/>
    <w:rsid w:val="00632101"/>
    <w:pPr>
      <w:spacing w:after="200" w:line="276" w:lineRule="auto"/>
    </w:pPr>
    <w:rPr>
      <w:rFonts w:ascii="Calibri Light" w:eastAsia="Calibri Light" w:hAnsi="Calibri Light" w:cs="Calibri Light"/>
      <w:i/>
      <w:color w:val="4472C4"/>
      <w:szCs w:val="24"/>
      <w:lang w:eastAsia="en-GB"/>
    </w:rPr>
  </w:style>
  <w:style w:type="character" w:customStyle="1" w:styleId="SubtitleChar">
    <w:name w:val="Subtitle Char"/>
    <w:basedOn w:val="DefaultParagraphFont"/>
    <w:link w:val="Subtitle"/>
    <w:uiPriority w:val="11"/>
    <w:rsid w:val="00632101"/>
    <w:rPr>
      <w:rFonts w:ascii="Calibri Light" w:eastAsia="Calibri Light" w:hAnsi="Calibri Light" w:cs="Calibri Light"/>
      <w:i/>
      <w:color w:val="4472C4"/>
      <w:sz w:val="24"/>
      <w:szCs w:val="24"/>
      <w:lang w:eastAsia="en-GB"/>
    </w:rPr>
  </w:style>
  <w:style w:type="paragraph" w:styleId="NormalWeb">
    <w:name w:val="Normal (Web)"/>
    <w:basedOn w:val="Normal"/>
    <w:uiPriority w:val="99"/>
    <w:unhideWhenUsed/>
    <w:rsid w:val="00632101"/>
    <w:pPr>
      <w:spacing w:before="100" w:beforeAutospacing="1" w:after="100" w:afterAutospacing="1" w:line="240" w:lineRule="auto"/>
    </w:pPr>
    <w:rPr>
      <w:rFonts w:eastAsiaTheme="minorEastAsia" w:cs="Times New Roman"/>
      <w:szCs w:val="24"/>
      <w:lang w:eastAsia="es-ES"/>
    </w:rPr>
  </w:style>
  <w:style w:type="character" w:customStyle="1" w:styleId="ListParagraphChar">
    <w:name w:val="List Paragraph Char"/>
    <w:basedOn w:val="DefaultParagraphFont"/>
    <w:link w:val="ListParagraph"/>
    <w:uiPriority w:val="99"/>
    <w:rsid w:val="00632101"/>
    <w:rPr>
      <w:rFonts w:ascii="Times New Roman" w:hAnsi="Times New Roman"/>
      <w:sz w:val="24"/>
    </w:rPr>
  </w:style>
  <w:style w:type="table" w:customStyle="1" w:styleId="ListTable1Light1">
    <w:name w:val="List Table 1 Light1"/>
    <w:basedOn w:val="TableNormal"/>
    <w:uiPriority w:val="46"/>
    <w:rsid w:val="00632101"/>
    <w:pPr>
      <w:spacing w:after="0" w:line="240" w:lineRule="auto"/>
    </w:pPr>
    <w:rPr>
      <w:rFonts w:ascii="Calibri" w:eastAsia="Calibri" w:hAnsi="Calibri" w:cs="Calibri"/>
      <w:lang w:val="es-ES" w:eastAsia="en-GB"/>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1">
    <w:name w:val="Plain Table 21"/>
    <w:basedOn w:val="TableNormal"/>
    <w:uiPriority w:val="42"/>
    <w:rsid w:val="00632101"/>
    <w:pPr>
      <w:spacing w:after="0" w:line="240" w:lineRule="auto"/>
    </w:pPr>
    <w:rPr>
      <w:rFonts w:ascii="Calibri" w:eastAsia="Calibri" w:hAnsi="Calibri" w:cs="Calibri"/>
      <w:lang w:val="es-ES"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ghtShading">
    <w:name w:val="Light Shading"/>
    <w:basedOn w:val="TableNormal"/>
    <w:uiPriority w:val="60"/>
    <w:rsid w:val="00632101"/>
    <w:pPr>
      <w:spacing w:after="0" w:line="240" w:lineRule="auto"/>
    </w:pPr>
    <w:rPr>
      <w:rFonts w:ascii="Calibri" w:eastAsia="Calibri" w:hAnsi="Calibri" w:cs="Calibri"/>
      <w:color w:val="000000" w:themeColor="text1" w:themeShade="BF"/>
      <w:lang w:val="es-ES"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itulo1">
    <w:name w:val="Titulo 1"/>
    <w:basedOn w:val="Heading1"/>
    <w:link w:val="Titulo1Char"/>
    <w:qFormat/>
    <w:rsid w:val="00632101"/>
    <w:pPr>
      <w:spacing w:line="276" w:lineRule="auto"/>
    </w:pPr>
    <w:rPr>
      <w:rFonts w:ascii="Book Antiqua" w:hAnsi="Book Antiqua"/>
      <w:b w:val="0"/>
      <w:color w:val="000000" w:themeColor="text1"/>
      <w:sz w:val="28"/>
      <w:lang w:eastAsia="en-GB"/>
    </w:rPr>
  </w:style>
  <w:style w:type="character" w:customStyle="1" w:styleId="Titulo1Char">
    <w:name w:val="Titulo 1 Char"/>
    <w:basedOn w:val="Heading1Char"/>
    <w:link w:val="Titulo1"/>
    <w:rsid w:val="00632101"/>
    <w:rPr>
      <w:rFonts w:ascii="Book Antiqua" w:eastAsiaTheme="majorEastAsia" w:hAnsi="Book Antiqua" w:cstheme="majorBidi"/>
      <w:b w:val="0"/>
      <w:color w:val="000000" w:themeColor="text1"/>
      <w:sz w:val="28"/>
      <w:szCs w:val="32"/>
      <w:lang w:eastAsia="en-GB"/>
    </w:rPr>
  </w:style>
  <w:style w:type="table" w:customStyle="1" w:styleId="PlainTable22">
    <w:name w:val="Plain Table 22"/>
    <w:basedOn w:val="TableNormal"/>
    <w:uiPriority w:val="42"/>
    <w:rsid w:val="00632101"/>
    <w:pPr>
      <w:spacing w:after="0" w:line="240" w:lineRule="auto"/>
    </w:pPr>
    <w:rPr>
      <w:rFonts w:ascii="Calibri" w:eastAsia="Calibri" w:hAnsi="Calibri" w:cs="Calibri"/>
      <w:lang w:val="es-ES"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Heading">
    <w:name w:val="TOC Heading"/>
    <w:basedOn w:val="Heading1"/>
    <w:next w:val="Normal"/>
    <w:uiPriority w:val="39"/>
    <w:unhideWhenUsed/>
    <w:qFormat/>
    <w:rsid w:val="00632101"/>
    <w:pPr>
      <w:outlineLvl w:val="9"/>
    </w:pPr>
    <w:rPr>
      <w:rFonts w:ascii="Book Antiqua" w:hAnsi="Book Antiqua"/>
      <w:b w:val="0"/>
      <w:color w:val="000000" w:themeColor="text1"/>
      <w:lang w:val="en-US" w:eastAsia="en-GB"/>
    </w:rPr>
  </w:style>
  <w:style w:type="paragraph" w:styleId="TOC2">
    <w:name w:val="toc 2"/>
    <w:basedOn w:val="Normal"/>
    <w:next w:val="Normal"/>
    <w:autoRedefine/>
    <w:uiPriority w:val="39"/>
    <w:unhideWhenUsed/>
    <w:rsid w:val="00632101"/>
    <w:pPr>
      <w:spacing w:after="100"/>
      <w:ind w:left="220"/>
    </w:pPr>
    <w:rPr>
      <w:rFonts w:eastAsiaTheme="minorEastAsia" w:cs="Times New Roman"/>
      <w:lang w:val="en-US" w:eastAsia="en-GB"/>
    </w:rPr>
  </w:style>
  <w:style w:type="paragraph" w:styleId="TOC1">
    <w:name w:val="toc 1"/>
    <w:basedOn w:val="Normal"/>
    <w:next w:val="Normal"/>
    <w:autoRedefine/>
    <w:uiPriority w:val="39"/>
    <w:unhideWhenUsed/>
    <w:rsid w:val="00632101"/>
    <w:pPr>
      <w:tabs>
        <w:tab w:val="right" w:leader="dot" w:pos="8494"/>
      </w:tabs>
      <w:spacing w:after="0"/>
    </w:pPr>
    <w:rPr>
      <w:rFonts w:eastAsiaTheme="minorEastAsia" w:cs="Times New Roman"/>
      <w:lang w:val="en-US" w:eastAsia="en-GB"/>
    </w:rPr>
  </w:style>
  <w:style w:type="paragraph" w:styleId="TOC3">
    <w:name w:val="toc 3"/>
    <w:basedOn w:val="Normal"/>
    <w:next w:val="Normal"/>
    <w:autoRedefine/>
    <w:uiPriority w:val="39"/>
    <w:unhideWhenUsed/>
    <w:rsid w:val="00632101"/>
    <w:pPr>
      <w:spacing w:after="100"/>
      <w:ind w:left="440"/>
    </w:pPr>
    <w:rPr>
      <w:rFonts w:eastAsiaTheme="minorEastAsia" w:cs="Times New Roman"/>
      <w:lang w:val="en-US" w:eastAsia="en-GB"/>
    </w:rPr>
  </w:style>
  <w:style w:type="character" w:styleId="Hyperlink">
    <w:name w:val="Hyperlink"/>
    <w:basedOn w:val="DefaultParagraphFont"/>
    <w:uiPriority w:val="99"/>
    <w:unhideWhenUsed/>
    <w:rsid w:val="00632101"/>
    <w:rPr>
      <w:color w:val="0563C1" w:themeColor="hyperlink"/>
      <w:u w:val="single"/>
    </w:rPr>
  </w:style>
  <w:style w:type="paragraph" w:styleId="Header">
    <w:name w:val="header"/>
    <w:basedOn w:val="Normal"/>
    <w:link w:val="HeaderChar"/>
    <w:uiPriority w:val="99"/>
    <w:unhideWhenUsed/>
    <w:rsid w:val="00632101"/>
    <w:pPr>
      <w:tabs>
        <w:tab w:val="center" w:pos="4513"/>
        <w:tab w:val="right" w:pos="9026"/>
      </w:tabs>
      <w:spacing w:after="0" w:line="240" w:lineRule="auto"/>
    </w:pPr>
    <w:rPr>
      <w:rFonts w:eastAsia="Calibri" w:cs="Calibri"/>
      <w:lang w:eastAsia="en-GB"/>
    </w:rPr>
  </w:style>
  <w:style w:type="character" w:customStyle="1" w:styleId="HeaderChar">
    <w:name w:val="Header Char"/>
    <w:basedOn w:val="DefaultParagraphFont"/>
    <w:link w:val="Header"/>
    <w:uiPriority w:val="99"/>
    <w:rsid w:val="00632101"/>
    <w:rPr>
      <w:rFonts w:ascii="Times New Roman" w:eastAsia="Calibri" w:hAnsi="Times New Roman" w:cs="Calibri"/>
      <w:sz w:val="24"/>
      <w:lang w:eastAsia="en-GB"/>
    </w:rPr>
  </w:style>
  <w:style w:type="paragraph" w:styleId="Footer">
    <w:name w:val="footer"/>
    <w:basedOn w:val="Normal"/>
    <w:link w:val="FooterChar"/>
    <w:uiPriority w:val="99"/>
    <w:unhideWhenUsed/>
    <w:rsid w:val="00632101"/>
    <w:pPr>
      <w:tabs>
        <w:tab w:val="center" w:pos="4513"/>
        <w:tab w:val="right" w:pos="9026"/>
      </w:tabs>
      <w:spacing w:after="0" w:line="240" w:lineRule="auto"/>
    </w:pPr>
    <w:rPr>
      <w:rFonts w:eastAsia="Calibri" w:cs="Calibri"/>
      <w:lang w:eastAsia="en-GB"/>
    </w:rPr>
  </w:style>
  <w:style w:type="character" w:customStyle="1" w:styleId="FooterChar">
    <w:name w:val="Footer Char"/>
    <w:basedOn w:val="DefaultParagraphFont"/>
    <w:link w:val="Footer"/>
    <w:uiPriority w:val="99"/>
    <w:rsid w:val="00632101"/>
    <w:rPr>
      <w:rFonts w:ascii="Times New Roman" w:eastAsia="Calibri" w:hAnsi="Times New Roman" w:cs="Calibri"/>
      <w:sz w:val="24"/>
      <w:lang w:eastAsia="en-GB"/>
    </w:rPr>
  </w:style>
  <w:style w:type="table" w:styleId="LightList-Accent1">
    <w:name w:val="Light List Accent 1"/>
    <w:basedOn w:val="TableNormal"/>
    <w:uiPriority w:val="61"/>
    <w:rsid w:val="00632101"/>
    <w:pPr>
      <w:spacing w:after="0" w:line="240" w:lineRule="auto"/>
    </w:pPr>
    <w:rPr>
      <w:rFonts w:ascii="Calibri" w:eastAsia="Calibri" w:hAnsi="Calibri" w:cs="Calibri"/>
      <w:lang w:val="es-ES" w:eastAsia="en-GB"/>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PlaceholderText">
    <w:name w:val="Placeholder Text"/>
    <w:basedOn w:val="DefaultParagraphFont"/>
    <w:uiPriority w:val="99"/>
    <w:semiHidden/>
    <w:rsid w:val="00632101"/>
    <w:rPr>
      <w:color w:val="808080"/>
    </w:rPr>
  </w:style>
  <w:style w:type="character" w:styleId="IntenseEmphasis">
    <w:name w:val="Intense Emphasis"/>
    <w:basedOn w:val="DefaultParagraphFont"/>
    <w:uiPriority w:val="21"/>
    <w:qFormat/>
    <w:rsid w:val="00632101"/>
    <w:rPr>
      <w:b/>
      <w:bCs/>
      <w:i/>
      <w:iCs/>
      <w:color w:val="4472C4" w:themeColor="accent1"/>
    </w:rPr>
  </w:style>
  <w:style w:type="paragraph" w:customStyle="1" w:styleId="Level1">
    <w:name w:val="Level 1"/>
    <w:rsid w:val="00632101"/>
    <w:pPr>
      <w:autoSpaceDE w:val="0"/>
      <w:autoSpaceDN w:val="0"/>
      <w:adjustRightInd w:val="0"/>
      <w:spacing w:after="0" w:line="240" w:lineRule="auto"/>
      <w:ind w:left="720"/>
    </w:pPr>
    <w:rPr>
      <w:rFonts w:ascii="Times New Roman" w:eastAsia="Times New Roman" w:hAnsi="Times New Roman" w:cs="Times New Roman"/>
      <w:sz w:val="20"/>
      <w:szCs w:val="24"/>
      <w:lang w:eastAsia="en-GB"/>
    </w:rPr>
  </w:style>
  <w:style w:type="table" w:customStyle="1" w:styleId="GridTable4-Accent11">
    <w:name w:val="Grid Table 4 - Accent 11"/>
    <w:basedOn w:val="TableNormal"/>
    <w:uiPriority w:val="49"/>
    <w:rsid w:val="00632101"/>
    <w:pPr>
      <w:spacing w:after="0" w:line="240" w:lineRule="auto"/>
    </w:pPr>
    <w:rPr>
      <w:rFonts w:ascii="Calibri" w:eastAsia="Calibri" w:hAnsi="Calibri" w:cs="Calibri"/>
      <w:lang w:val="es-ES" w:eastAsia="en-GB"/>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CommentReference">
    <w:name w:val="annotation reference"/>
    <w:basedOn w:val="DefaultParagraphFont"/>
    <w:uiPriority w:val="99"/>
    <w:semiHidden/>
    <w:unhideWhenUsed/>
    <w:rsid w:val="00632101"/>
    <w:rPr>
      <w:sz w:val="16"/>
      <w:szCs w:val="16"/>
    </w:rPr>
  </w:style>
  <w:style w:type="paragraph" w:styleId="CommentText">
    <w:name w:val="annotation text"/>
    <w:basedOn w:val="Normal"/>
    <w:link w:val="CommentTextChar"/>
    <w:uiPriority w:val="99"/>
    <w:unhideWhenUsed/>
    <w:rsid w:val="00632101"/>
    <w:pPr>
      <w:spacing w:after="200" w:line="240" w:lineRule="auto"/>
    </w:pPr>
    <w:rPr>
      <w:rFonts w:eastAsia="Calibri" w:cs="Calibri"/>
      <w:sz w:val="20"/>
      <w:szCs w:val="20"/>
      <w:lang w:eastAsia="en-GB"/>
    </w:rPr>
  </w:style>
  <w:style w:type="character" w:customStyle="1" w:styleId="CommentTextChar">
    <w:name w:val="Comment Text Char"/>
    <w:basedOn w:val="DefaultParagraphFont"/>
    <w:link w:val="CommentText"/>
    <w:uiPriority w:val="99"/>
    <w:rsid w:val="00632101"/>
    <w:rPr>
      <w:rFonts w:ascii="Times New Roman" w:eastAsia="Calibri" w:hAnsi="Times New Roman" w:cs="Calibri"/>
      <w:sz w:val="20"/>
      <w:szCs w:val="20"/>
      <w:lang w:eastAsia="en-GB"/>
    </w:rPr>
  </w:style>
  <w:style w:type="paragraph" w:styleId="CommentSubject">
    <w:name w:val="annotation subject"/>
    <w:basedOn w:val="CommentText"/>
    <w:next w:val="CommentText"/>
    <w:link w:val="CommentSubjectChar"/>
    <w:uiPriority w:val="99"/>
    <w:semiHidden/>
    <w:unhideWhenUsed/>
    <w:rsid w:val="00632101"/>
    <w:rPr>
      <w:b/>
      <w:bCs/>
    </w:rPr>
  </w:style>
  <w:style w:type="character" w:customStyle="1" w:styleId="CommentSubjectChar">
    <w:name w:val="Comment Subject Char"/>
    <w:basedOn w:val="CommentTextChar"/>
    <w:link w:val="CommentSubject"/>
    <w:uiPriority w:val="99"/>
    <w:semiHidden/>
    <w:rsid w:val="00632101"/>
    <w:rPr>
      <w:rFonts w:ascii="Times New Roman" w:eastAsia="Calibri" w:hAnsi="Times New Roman" w:cs="Calibri"/>
      <w:b/>
      <w:bCs/>
      <w:sz w:val="20"/>
      <w:szCs w:val="20"/>
      <w:lang w:eastAsia="en-GB"/>
    </w:rPr>
  </w:style>
  <w:style w:type="paragraph" w:styleId="Revision">
    <w:name w:val="Revision"/>
    <w:hidden/>
    <w:uiPriority w:val="99"/>
    <w:semiHidden/>
    <w:rsid w:val="00632101"/>
    <w:pPr>
      <w:spacing w:after="0" w:line="240" w:lineRule="auto"/>
    </w:pPr>
    <w:rPr>
      <w:rFonts w:ascii="Calibri" w:eastAsia="Calibri" w:hAnsi="Calibri" w:cs="Calibri"/>
      <w:lang w:eastAsia="en-GB"/>
    </w:rPr>
  </w:style>
  <w:style w:type="paragraph" w:styleId="EndnoteText">
    <w:name w:val="endnote text"/>
    <w:basedOn w:val="Normal"/>
    <w:link w:val="EndnoteTextChar"/>
    <w:uiPriority w:val="99"/>
    <w:semiHidden/>
    <w:unhideWhenUsed/>
    <w:rsid w:val="00632101"/>
    <w:pPr>
      <w:spacing w:after="0" w:line="240" w:lineRule="auto"/>
    </w:pPr>
    <w:rPr>
      <w:rFonts w:eastAsia="Calibri" w:cs="Calibri"/>
      <w:sz w:val="20"/>
      <w:szCs w:val="20"/>
      <w:lang w:eastAsia="en-GB"/>
    </w:rPr>
  </w:style>
  <w:style w:type="character" w:customStyle="1" w:styleId="EndnoteTextChar">
    <w:name w:val="Endnote Text Char"/>
    <w:basedOn w:val="DefaultParagraphFont"/>
    <w:link w:val="EndnoteText"/>
    <w:uiPriority w:val="99"/>
    <w:semiHidden/>
    <w:rsid w:val="00632101"/>
    <w:rPr>
      <w:rFonts w:ascii="Times New Roman" w:eastAsia="Calibri" w:hAnsi="Times New Roman" w:cs="Calibri"/>
      <w:sz w:val="20"/>
      <w:szCs w:val="20"/>
      <w:lang w:eastAsia="en-GB"/>
    </w:rPr>
  </w:style>
  <w:style w:type="character" w:styleId="EndnoteReference">
    <w:name w:val="endnote reference"/>
    <w:basedOn w:val="DefaultParagraphFont"/>
    <w:uiPriority w:val="99"/>
    <w:semiHidden/>
    <w:unhideWhenUsed/>
    <w:rsid w:val="00632101"/>
    <w:rPr>
      <w:vertAlign w:val="superscript"/>
    </w:rPr>
  </w:style>
  <w:style w:type="paragraph" w:customStyle="1" w:styleId="Chaptertilte">
    <w:name w:val="Chapter tilte"/>
    <w:basedOn w:val="Normal"/>
    <w:link w:val="ChaptertilteChar"/>
    <w:qFormat/>
    <w:rsid w:val="00632101"/>
    <w:pPr>
      <w:jc w:val="both"/>
    </w:pPr>
    <w:rPr>
      <w:rFonts w:ascii="Biome" w:eastAsia="Calibri" w:hAnsi="Biome" w:cs="Biome"/>
      <w:sz w:val="36"/>
      <w:szCs w:val="36"/>
      <w:lang w:val="es-ES" w:eastAsia="en-GB"/>
    </w:rPr>
  </w:style>
  <w:style w:type="character" w:customStyle="1" w:styleId="ChaptertilteChar">
    <w:name w:val="Chapter tilte Char"/>
    <w:basedOn w:val="DefaultParagraphFont"/>
    <w:link w:val="Chaptertilte"/>
    <w:rsid w:val="00632101"/>
    <w:rPr>
      <w:rFonts w:ascii="Biome" w:eastAsia="Calibri" w:hAnsi="Biome" w:cs="Biome"/>
      <w:sz w:val="36"/>
      <w:szCs w:val="36"/>
      <w:lang w:val="es-ES" w:eastAsia="en-GB"/>
    </w:rPr>
  </w:style>
  <w:style w:type="table" w:customStyle="1" w:styleId="ListTable6Colorful1">
    <w:name w:val="List Table 6 Colorful1"/>
    <w:basedOn w:val="TableNormal"/>
    <w:uiPriority w:val="51"/>
    <w:rsid w:val="00632101"/>
    <w:pPr>
      <w:spacing w:after="0" w:line="240" w:lineRule="auto"/>
    </w:pPr>
    <w:rPr>
      <w:rFonts w:ascii="Calibri" w:eastAsia="Calibri" w:hAnsi="Calibri" w:cs="Times New Roman"/>
      <w:color w:val="000000" w:themeColor="text1"/>
      <w:lang w:val="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LineNumber">
    <w:name w:val="line number"/>
    <w:basedOn w:val="DefaultParagraphFont"/>
    <w:uiPriority w:val="99"/>
    <w:semiHidden/>
    <w:unhideWhenUsed/>
    <w:rsid w:val="005563EE"/>
  </w:style>
  <w:style w:type="paragraph" w:styleId="Index1">
    <w:name w:val="index 1"/>
    <w:basedOn w:val="Normal"/>
    <w:next w:val="Normal"/>
    <w:autoRedefine/>
    <w:uiPriority w:val="99"/>
    <w:unhideWhenUsed/>
    <w:rsid w:val="006B6F90"/>
    <w:pPr>
      <w:spacing w:after="0"/>
      <w:ind w:left="240" w:hanging="240"/>
    </w:pPr>
    <w:rPr>
      <w:rFonts w:asciiTheme="minorHAnsi" w:hAnsiTheme="minorHAnsi" w:cstheme="minorHAnsi"/>
      <w:sz w:val="20"/>
      <w:szCs w:val="20"/>
    </w:rPr>
  </w:style>
  <w:style w:type="paragraph" w:styleId="Index2">
    <w:name w:val="index 2"/>
    <w:basedOn w:val="Normal"/>
    <w:next w:val="Normal"/>
    <w:autoRedefine/>
    <w:uiPriority w:val="99"/>
    <w:unhideWhenUsed/>
    <w:rsid w:val="006B6F90"/>
    <w:pPr>
      <w:spacing w:after="0"/>
      <w:ind w:left="480" w:hanging="240"/>
    </w:pPr>
    <w:rPr>
      <w:rFonts w:asciiTheme="minorHAnsi" w:hAnsiTheme="minorHAnsi" w:cstheme="minorHAnsi"/>
      <w:sz w:val="20"/>
      <w:szCs w:val="20"/>
    </w:rPr>
  </w:style>
  <w:style w:type="paragraph" w:styleId="Index3">
    <w:name w:val="index 3"/>
    <w:basedOn w:val="Normal"/>
    <w:next w:val="Normal"/>
    <w:autoRedefine/>
    <w:uiPriority w:val="99"/>
    <w:unhideWhenUsed/>
    <w:rsid w:val="006B6F90"/>
    <w:pPr>
      <w:spacing w:after="0"/>
      <w:ind w:left="720" w:hanging="240"/>
    </w:pPr>
    <w:rPr>
      <w:rFonts w:asciiTheme="minorHAnsi" w:hAnsiTheme="minorHAnsi" w:cstheme="minorHAnsi"/>
      <w:sz w:val="20"/>
      <w:szCs w:val="20"/>
    </w:rPr>
  </w:style>
  <w:style w:type="paragraph" w:styleId="Index4">
    <w:name w:val="index 4"/>
    <w:basedOn w:val="Normal"/>
    <w:next w:val="Normal"/>
    <w:autoRedefine/>
    <w:uiPriority w:val="99"/>
    <w:unhideWhenUsed/>
    <w:rsid w:val="006B6F90"/>
    <w:pPr>
      <w:spacing w:after="0"/>
      <w:ind w:left="960" w:hanging="240"/>
    </w:pPr>
    <w:rPr>
      <w:rFonts w:asciiTheme="minorHAnsi" w:hAnsiTheme="minorHAnsi" w:cstheme="minorHAnsi"/>
      <w:sz w:val="20"/>
      <w:szCs w:val="20"/>
    </w:rPr>
  </w:style>
  <w:style w:type="paragraph" w:styleId="Index5">
    <w:name w:val="index 5"/>
    <w:basedOn w:val="Normal"/>
    <w:next w:val="Normal"/>
    <w:autoRedefine/>
    <w:uiPriority w:val="99"/>
    <w:unhideWhenUsed/>
    <w:rsid w:val="006B6F90"/>
    <w:pPr>
      <w:spacing w:after="0"/>
      <w:ind w:left="1200" w:hanging="240"/>
    </w:pPr>
    <w:rPr>
      <w:rFonts w:asciiTheme="minorHAnsi" w:hAnsiTheme="minorHAnsi" w:cstheme="minorHAnsi"/>
      <w:sz w:val="20"/>
      <w:szCs w:val="20"/>
    </w:rPr>
  </w:style>
  <w:style w:type="paragraph" w:styleId="Index6">
    <w:name w:val="index 6"/>
    <w:basedOn w:val="Normal"/>
    <w:next w:val="Normal"/>
    <w:autoRedefine/>
    <w:uiPriority w:val="99"/>
    <w:unhideWhenUsed/>
    <w:rsid w:val="006B6F90"/>
    <w:pPr>
      <w:spacing w:after="0"/>
      <w:ind w:left="1440" w:hanging="240"/>
    </w:pPr>
    <w:rPr>
      <w:rFonts w:asciiTheme="minorHAnsi" w:hAnsiTheme="minorHAnsi" w:cstheme="minorHAnsi"/>
      <w:sz w:val="20"/>
      <w:szCs w:val="20"/>
    </w:rPr>
  </w:style>
  <w:style w:type="paragraph" w:styleId="Index7">
    <w:name w:val="index 7"/>
    <w:basedOn w:val="Normal"/>
    <w:next w:val="Normal"/>
    <w:autoRedefine/>
    <w:uiPriority w:val="99"/>
    <w:unhideWhenUsed/>
    <w:rsid w:val="006B6F90"/>
    <w:pPr>
      <w:spacing w:after="0"/>
      <w:ind w:left="1680" w:hanging="240"/>
    </w:pPr>
    <w:rPr>
      <w:rFonts w:asciiTheme="minorHAnsi" w:hAnsiTheme="minorHAnsi" w:cstheme="minorHAnsi"/>
      <w:sz w:val="20"/>
      <w:szCs w:val="20"/>
    </w:rPr>
  </w:style>
  <w:style w:type="paragraph" w:styleId="Index8">
    <w:name w:val="index 8"/>
    <w:basedOn w:val="Normal"/>
    <w:next w:val="Normal"/>
    <w:autoRedefine/>
    <w:uiPriority w:val="99"/>
    <w:unhideWhenUsed/>
    <w:rsid w:val="006B6F90"/>
    <w:pPr>
      <w:spacing w:after="0"/>
      <w:ind w:left="1920" w:hanging="240"/>
    </w:pPr>
    <w:rPr>
      <w:rFonts w:asciiTheme="minorHAnsi" w:hAnsiTheme="minorHAnsi" w:cstheme="minorHAnsi"/>
      <w:sz w:val="20"/>
      <w:szCs w:val="20"/>
    </w:rPr>
  </w:style>
  <w:style w:type="paragraph" w:styleId="Index9">
    <w:name w:val="index 9"/>
    <w:basedOn w:val="Normal"/>
    <w:next w:val="Normal"/>
    <w:autoRedefine/>
    <w:uiPriority w:val="99"/>
    <w:unhideWhenUsed/>
    <w:rsid w:val="006B6F90"/>
    <w:pPr>
      <w:spacing w:after="0"/>
      <w:ind w:left="2160" w:hanging="240"/>
    </w:pPr>
    <w:rPr>
      <w:rFonts w:asciiTheme="minorHAnsi" w:hAnsiTheme="minorHAnsi" w:cstheme="minorHAnsi"/>
      <w:sz w:val="20"/>
      <w:szCs w:val="20"/>
    </w:rPr>
  </w:style>
  <w:style w:type="paragraph" w:styleId="IndexHeading">
    <w:name w:val="index heading"/>
    <w:basedOn w:val="Normal"/>
    <w:next w:val="Index1"/>
    <w:uiPriority w:val="99"/>
    <w:unhideWhenUsed/>
    <w:rsid w:val="006B6F90"/>
    <w:pPr>
      <w:spacing w:before="120" w:after="120"/>
    </w:pPr>
    <w:rPr>
      <w:rFonts w:asciiTheme="minorHAnsi" w:hAnsiTheme="minorHAnsi" w:cstheme="minorHAnsi"/>
      <w:b/>
      <w:bCs/>
      <w:i/>
      <w:iCs/>
      <w:sz w:val="20"/>
      <w:szCs w:val="20"/>
    </w:rPr>
  </w:style>
  <w:style w:type="paragraph" w:styleId="TableofFigures">
    <w:name w:val="table of figures"/>
    <w:basedOn w:val="Normal"/>
    <w:next w:val="Normal"/>
    <w:uiPriority w:val="99"/>
    <w:unhideWhenUsed/>
    <w:rsid w:val="008F3BA1"/>
    <w:pPr>
      <w:spacing w:after="0"/>
    </w:pPr>
  </w:style>
  <w:style w:type="character" w:styleId="FollowedHyperlink">
    <w:name w:val="FollowedHyperlink"/>
    <w:basedOn w:val="DefaultParagraphFont"/>
    <w:uiPriority w:val="99"/>
    <w:semiHidden/>
    <w:unhideWhenUsed/>
    <w:rsid w:val="009A5CCE"/>
    <w:rPr>
      <w:color w:val="954F72" w:themeColor="followedHyperlink"/>
      <w:u w:val="single"/>
    </w:rPr>
  </w:style>
  <w:style w:type="paragraph" w:styleId="HTMLPreformatted">
    <w:name w:val="HTML Preformatted"/>
    <w:basedOn w:val="Normal"/>
    <w:link w:val="HTMLPreformattedChar"/>
    <w:uiPriority w:val="99"/>
    <w:unhideWhenUsed/>
    <w:rsid w:val="009A5C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9A5CCE"/>
    <w:rPr>
      <w:rFonts w:ascii="Courier New" w:eastAsia="Times New Roman" w:hAnsi="Courier New" w:cs="Courier New"/>
      <w:sz w:val="20"/>
      <w:szCs w:val="20"/>
      <w:lang w:eastAsia="en-GB"/>
    </w:rPr>
  </w:style>
  <w:style w:type="paragraph" w:customStyle="1" w:styleId="msonormal0">
    <w:name w:val="msonormal"/>
    <w:basedOn w:val="Normal"/>
    <w:uiPriority w:val="99"/>
    <w:rsid w:val="009A5CCE"/>
    <w:pPr>
      <w:spacing w:before="100" w:beforeAutospacing="1" w:after="100" w:afterAutospacing="1" w:line="240" w:lineRule="auto"/>
    </w:pPr>
    <w:rPr>
      <w:rFonts w:eastAsiaTheme="minorEastAsia" w:cs="Times New Roman"/>
      <w:szCs w:val="24"/>
      <w:lang w:val="es-ES" w:eastAsia="es-ES"/>
    </w:rPr>
  </w:style>
  <w:style w:type="character" w:customStyle="1" w:styleId="ggboefpdpvb">
    <w:name w:val="ggboefpdpvb"/>
    <w:basedOn w:val="DefaultParagraphFont"/>
    <w:rsid w:val="009A5CCE"/>
  </w:style>
  <w:style w:type="character" w:styleId="Emphasis">
    <w:name w:val="Emphasis"/>
    <w:basedOn w:val="DefaultParagraphFont"/>
    <w:uiPriority w:val="20"/>
    <w:qFormat/>
    <w:rsid w:val="009A5CCE"/>
    <w:rPr>
      <w:i/>
      <w:iCs/>
    </w:rPr>
  </w:style>
  <w:style w:type="character" w:styleId="Strong">
    <w:name w:val="Strong"/>
    <w:basedOn w:val="DefaultParagraphFont"/>
    <w:uiPriority w:val="22"/>
    <w:qFormat/>
    <w:rsid w:val="00B45740"/>
    <w:rPr>
      <w:b/>
      <w:bCs/>
    </w:rPr>
  </w:style>
  <w:style w:type="character" w:styleId="UnresolvedMention">
    <w:name w:val="Unresolved Mention"/>
    <w:basedOn w:val="DefaultParagraphFont"/>
    <w:uiPriority w:val="99"/>
    <w:semiHidden/>
    <w:unhideWhenUsed/>
    <w:rsid w:val="00BD29C4"/>
    <w:rPr>
      <w:color w:val="605E5C"/>
      <w:shd w:val="clear" w:color="auto" w:fill="E1DFDD"/>
    </w:rPr>
  </w:style>
  <w:style w:type="character" w:styleId="IntenseReference">
    <w:name w:val="Intense Reference"/>
    <w:basedOn w:val="DefaultParagraphFont"/>
    <w:uiPriority w:val="32"/>
    <w:qFormat/>
    <w:rsid w:val="00685C2D"/>
    <w:rPr>
      <w:b/>
      <w:bCs/>
      <w:smallCaps/>
      <w:color w:val="4472C4" w:themeColor="accent1"/>
      <w:spacing w:val="5"/>
    </w:rPr>
  </w:style>
  <w:style w:type="character" w:styleId="SubtleReference">
    <w:name w:val="Subtle Reference"/>
    <w:basedOn w:val="DefaultParagraphFont"/>
    <w:uiPriority w:val="31"/>
    <w:qFormat/>
    <w:rsid w:val="00685C2D"/>
    <w:rPr>
      <w:rFonts w:ascii="Times New Roman" w:hAnsi="Times New Roman"/>
      <w:smallCaps/>
      <w:color w:val="auto"/>
      <w:sz w:val="32"/>
    </w:rPr>
  </w:style>
  <w:style w:type="paragraph" w:styleId="TOC4">
    <w:name w:val="toc 4"/>
    <w:basedOn w:val="Normal"/>
    <w:next w:val="Normal"/>
    <w:autoRedefine/>
    <w:uiPriority w:val="39"/>
    <w:unhideWhenUsed/>
    <w:rsid w:val="004D5278"/>
    <w:pPr>
      <w:spacing w:after="100"/>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4D5278"/>
    <w:pPr>
      <w:spacing w:after="100"/>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4D5278"/>
    <w:pPr>
      <w:spacing w:after="100"/>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4D5278"/>
    <w:pPr>
      <w:spacing w:after="100"/>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4D5278"/>
    <w:pPr>
      <w:spacing w:after="100"/>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4D5278"/>
    <w:pPr>
      <w:spacing w:after="100"/>
      <w:ind w:left="1760"/>
    </w:pPr>
    <w:rPr>
      <w:rFonts w:asciiTheme="minorHAnsi" w:eastAsiaTheme="minorEastAsia" w:hAnsiTheme="minorHAnsi"/>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019623">
      <w:bodyDiv w:val="1"/>
      <w:marLeft w:val="0"/>
      <w:marRight w:val="0"/>
      <w:marTop w:val="0"/>
      <w:marBottom w:val="0"/>
      <w:divBdr>
        <w:top w:val="none" w:sz="0" w:space="0" w:color="auto"/>
        <w:left w:val="none" w:sz="0" w:space="0" w:color="auto"/>
        <w:bottom w:val="none" w:sz="0" w:space="0" w:color="auto"/>
        <w:right w:val="none" w:sz="0" w:space="0" w:color="auto"/>
      </w:divBdr>
    </w:div>
    <w:div w:id="1345546457">
      <w:bodyDiv w:val="1"/>
      <w:marLeft w:val="0"/>
      <w:marRight w:val="0"/>
      <w:marTop w:val="0"/>
      <w:marBottom w:val="0"/>
      <w:divBdr>
        <w:top w:val="none" w:sz="0" w:space="0" w:color="auto"/>
        <w:left w:val="none" w:sz="0" w:space="0" w:color="auto"/>
        <w:bottom w:val="none" w:sz="0" w:space="0" w:color="auto"/>
        <w:right w:val="none" w:sz="0" w:space="0" w:color="auto"/>
      </w:divBdr>
    </w:div>
    <w:div w:id="1725715417">
      <w:bodyDiv w:val="1"/>
      <w:marLeft w:val="0"/>
      <w:marRight w:val="0"/>
      <w:marTop w:val="0"/>
      <w:marBottom w:val="0"/>
      <w:divBdr>
        <w:top w:val="none" w:sz="0" w:space="0" w:color="auto"/>
        <w:left w:val="none" w:sz="0" w:space="0" w:color="auto"/>
        <w:bottom w:val="none" w:sz="0" w:space="0" w:color="auto"/>
        <w:right w:val="none" w:sz="0" w:space="0" w:color="auto"/>
      </w:divBdr>
    </w:div>
    <w:div w:id="1826436327">
      <w:bodyDiv w:val="1"/>
      <w:marLeft w:val="0"/>
      <w:marRight w:val="0"/>
      <w:marTop w:val="0"/>
      <w:marBottom w:val="0"/>
      <w:divBdr>
        <w:top w:val="none" w:sz="0" w:space="0" w:color="auto"/>
        <w:left w:val="none" w:sz="0" w:space="0" w:color="auto"/>
        <w:bottom w:val="none" w:sz="0" w:space="0" w:color="auto"/>
        <w:right w:val="none" w:sz="0" w:space="0" w:color="auto"/>
      </w:divBdr>
    </w:div>
    <w:div w:id="1850559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4.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hyperlink" Target="http://www.biochar.ac.uk/standard_materials.php;"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chart" Target="charts/chart3.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doi.org/10.1016/j.heliyon.2020.e05388" TargetMode="External"/><Relationship Id="rId18" Type="http://schemas.openxmlformats.org/officeDocument/2006/relationships/chart" Target="charts/chart1.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Rosita%20Soria\AppData\Roaming\Microsoft\Excel\Libro1%20(version%201).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osita%20Soria\AppData\Roaming\Microsoft\Excel\Libro1%20(version%201).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osita%20Soria\AppData\Roaming\Microsoft\Excel\Libro1%20(version%201).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Rosita%20Soria\AppData\Roaming\Microsoft\Excel\Libro1%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73366924025007"/>
          <c:y val="5.1400554097404488E-2"/>
          <c:w val="0.80071137015346394"/>
          <c:h val="0.7955826355038953"/>
        </c:manualLayout>
      </c:layout>
      <c:scatterChart>
        <c:scatterStyle val="lineMarker"/>
        <c:varyColors val="0"/>
        <c:ser>
          <c:idx val="0"/>
          <c:order val="0"/>
          <c:tx>
            <c:v>Pig manure biochars</c:v>
          </c:tx>
          <c:spPr>
            <a:ln w="28575">
              <a:noFill/>
            </a:ln>
          </c:spPr>
          <c:marker>
            <c:symbol val="diamond"/>
            <c:size val="4"/>
          </c:marker>
          <c:xVal>
            <c:numRef>
              <c:f>Hoja1!$B$2:$B$5</c:f>
              <c:numCache>
                <c:formatCode>General</c:formatCode>
                <c:ptCount val="4"/>
                <c:pt idx="0">
                  <c:v>200</c:v>
                </c:pt>
                <c:pt idx="1">
                  <c:v>350</c:v>
                </c:pt>
                <c:pt idx="2">
                  <c:v>500</c:v>
                </c:pt>
                <c:pt idx="3">
                  <c:v>650</c:v>
                </c:pt>
              </c:numCache>
            </c:numRef>
          </c:xVal>
          <c:yVal>
            <c:numRef>
              <c:f>Hoja1!$H$2:$H$5</c:f>
              <c:numCache>
                <c:formatCode>General</c:formatCode>
                <c:ptCount val="4"/>
                <c:pt idx="0">
                  <c:v>23.6</c:v>
                </c:pt>
                <c:pt idx="1">
                  <c:v>49</c:v>
                </c:pt>
                <c:pt idx="2">
                  <c:v>82.8</c:v>
                </c:pt>
                <c:pt idx="3">
                  <c:v>132</c:v>
                </c:pt>
              </c:numCache>
            </c:numRef>
          </c:yVal>
          <c:smooth val="0"/>
          <c:extLst>
            <c:ext xmlns:c16="http://schemas.microsoft.com/office/drawing/2014/chart" uri="{C3380CC4-5D6E-409C-BE32-E72D297353CC}">
              <c16:uniqueId val="{00000000-4797-4719-9C32-528D05A985C1}"/>
            </c:ext>
          </c:extLst>
        </c:ser>
        <c:ser>
          <c:idx val="1"/>
          <c:order val="1"/>
          <c:tx>
            <c:v>Wheat straw biochar</c:v>
          </c:tx>
          <c:spPr>
            <a:ln w="28575">
              <a:noFill/>
            </a:ln>
          </c:spPr>
          <c:marker>
            <c:symbol val="square"/>
            <c:size val="4"/>
          </c:marker>
          <c:xVal>
            <c:numRef>
              <c:f>Hoja1!$B$2:$B$5</c:f>
              <c:numCache>
                <c:formatCode>General</c:formatCode>
                <c:ptCount val="4"/>
                <c:pt idx="0">
                  <c:v>200</c:v>
                </c:pt>
                <c:pt idx="1">
                  <c:v>350</c:v>
                </c:pt>
                <c:pt idx="2">
                  <c:v>500</c:v>
                </c:pt>
                <c:pt idx="3">
                  <c:v>650</c:v>
                </c:pt>
              </c:numCache>
            </c:numRef>
          </c:xVal>
          <c:yVal>
            <c:numRef>
              <c:f>Hoja1!$H$6:$H$9</c:f>
              <c:numCache>
                <c:formatCode>General</c:formatCode>
                <c:ptCount val="4"/>
                <c:pt idx="0">
                  <c:v>32.1</c:v>
                </c:pt>
                <c:pt idx="1">
                  <c:v>87.2</c:v>
                </c:pt>
                <c:pt idx="2">
                  <c:v>95.5</c:v>
                </c:pt>
                <c:pt idx="3">
                  <c:v>146</c:v>
                </c:pt>
              </c:numCache>
            </c:numRef>
          </c:yVal>
          <c:smooth val="0"/>
          <c:extLst>
            <c:ext xmlns:c16="http://schemas.microsoft.com/office/drawing/2014/chart" uri="{C3380CC4-5D6E-409C-BE32-E72D297353CC}">
              <c16:uniqueId val="{00000001-4797-4719-9C32-528D05A985C1}"/>
            </c:ext>
          </c:extLst>
        </c:ser>
        <c:dLbls>
          <c:showLegendKey val="0"/>
          <c:showVal val="0"/>
          <c:showCatName val="0"/>
          <c:showSerName val="0"/>
          <c:showPercent val="0"/>
          <c:showBubbleSize val="0"/>
        </c:dLbls>
        <c:axId val="318387328"/>
        <c:axId val="318389248"/>
      </c:scatterChart>
      <c:valAx>
        <c:axId val="318387328"/>
        <c:scaling>
          <c:orientation val="minMax"/>
        </c:scaling>
        <c:delete val="0"/>
        <c:axPos val="b"/>
        <c:title>
          <c:tx>
            <c:rich>
              <a:bodyPr/>
              <a:lstStyle/>
              <a:p>
                <a:pPr>
                  <a:defRPr/>
                </a:pPr>
                <a:r>
                  <a:rPr lang="es-ES"/>
                  <a:t>Pyrolysis Temperature (</a:t>
                </a:r>
                <a:r>
                  <a:rPr lang="es-ES">
                    <a:latin typeface="Cambria Math" panose="02040503050406030204" pitchFamily="18" charset="0"/>
                    <a:ea typeface="Cambria Math" panose="02040503050406030204" pitchFamily="18" charset="0"/>
                  </a:rPr>
                  <a:t>°C</a:t>
                </a:r>
                <a:r>
                  <a:rPr lang="es-ES"/>
                  <a:t>)</a:t>
                </a:r>
              </a:p>
            </c:rich>
          </c:tx>
          <c:overlay val="0"/>
        </c:title>
        <c:numFmt formatCode="General" sourceLinked="1"/>
        <c:majorTickMark val="out"/>
        <c:minorTickMark val="none"/>
        <c:tickLblPos val="nextTo"/>
        <c:txPr>
          <a:bodyPr/>
          <a:lstStyle/>
          <a:p>
            <a:pPr>
              <a:defRPr sz="700"/>
            </a:pPr>
            <a:endParaRPr lang="en-US"/>
          </a:p>
        </c:txPr>
        <c:crossAx val="318389248"/>
        <c:crosses val="autoZero"/>
        <c:crossBetween val="midCat"/>
      </c:valAx>
      <c:valAx>
        <c:axId val="318389248"/>
        <c:scaling>
          <c:orientation val="minMax"/>
        </c:scaling>
        <c:delete val="0"/>
        <c:axPos val="l"/>
        <c:majorGridlines>
          <c:spPr>
            <a:ln>
              <a:noFill/>
            </a:ln>
          </c:spPr>
        </c:majorGridlines>
        <c:title>
          <c:tx>
            <c:rich>
              <a:bodyPr rot="-5400000" vert="horz"/>
              <a:lstStyle/>
              <a:p>
                <a:pPr>
                  <a:defRPr/>
                </a:pPr>
                <a:r>
                  <a:rPr lang="es-ES"/>
                  <a:t>CEC (cmol.kg</a:t>
                </a:r>
                <a:r>
                  <a:rPr lang="es-ES" baseline="30000"/>
                  <a:t>-1</a:t>
                </a:r>
                <a:r>
                  <a:rPr lang="es-ES"/>
                  <a:t>)</a:t>
                </a:r>
              </a:p>
            </c:rich>
          </c:tx>
          <c:layout>
            <c:manualLayout>
              <c:xMode val="edge"/>
              <c:yMode val="edge"/>
              <c:x val="0"/>
              <c:y val="0.34794798267670007"/>
            </c:manualLayout>
          </c:layout>
          <c:overlay val="0"/>
        </c:title>
        <c:numFmt formatCode="General" sourceLinked="1"/>
        <c:majorTickMark val="out"/>
        <c:minorTickMark val="none"/>
        <c:tickLblPos val="nextTo"/>
        <c:txPr>
          <a:bodyPr/>
          <a:lstStyle/>
          <a:p>
            <a:pPr>
              <a:defRPr sz="700"/>
            </a:pPr>
            <a:endParaRPr lang="en-US"/>
          </a:p>
        </c:txPr>
        <c:crossAx val="318387328"/>
        <c:crosses val="autoZero"/>
        <c:crossBetween val="midCat"/>
      </c:valAx>
    </c:plotArea>
    <c:legend>
      <c:legendPos val="r"/>
      <c:layout>
        <c:manualLayout>
          <c:xMode val="edge"/>
          <c:yMode val="edge"/>
          <c:x val="0.13322265966754157"/>
          <c:y val="9.6838363954505693E-2"/>
          <c:w val="0.37834318752860513"/>
          <c:h val="0.21498251414982639"/>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73366924025007"/>
          <c:y val="5.1400554097404488E-2"/>
          <c:w val="0.76625323294442205"/>
          <c:h val="0.80616464608590588"/>
        </c:manualLayout>
      </c:layout>
      <c:scatterChart>
        <c:scatterStyle val="lineMarker"/>
        <c:varyColors val="0"/>
        <c:ser>
          <c:idx val="0"/>
          <c:order val="0"/>
          <c:tx>
            <c:v>Pig manure biochars</c:v>
          </c:tx>
          <c:spPr>
            <a:ln w="28575">
              <a:noFill/>
            </a:ln>
          </c:spPr>
          <c:marker>
            <c:symbol val="diamond"/>
            <c:size val="4"/>
          </c:marker>
          <c:xVal>
            <c:numRef>
              <c:f>Hoja1!$B$2:$B$5</c:f>
              <c:numCache>
                <c:formatCode>General</c:formatCode>
                <c:ptCount val="4"/>
                <c:pt idx="0">
                  <c:v>200</c:v>
                </c:pt>
                <c:pt idx="1">
                  <c:v>350</c:v>
                </c:pt>
                <c:pt idx="2">
                  <c:v>500</c:v>
                </c:pt>
                <c:pt idx="3">
                  <c:v>650</c:v>
                </c:pt>
              </c:numCache>
            </c:numRef>
          </c:xVal>
          <c:yVal>
            <c:numRef>
              <c:f>Hoja1!$G$2:$G$5</c:f>
              <c:numCache>
                <c:formatCode>General</c:formatCode>
                <c:ptCount val="4"/>
                <c:pt idx="0">
                  <c:v>8.2200000000000006</c:v>
                </c:pt>
                <c:pt idx="1">
                  <c:v>9.65</c:v>
                </c:pt>
                <c:pt idx="2">
                  <c:v>10.5</c:v>
                </c:pt>
                <c:pt idx="3">
                  <c:v>10.8</c:v>
                </c:pt>
              </c:numCache>
            </c:numRef>
          </c:yVal>
          <c:smooth val="0"/>
          <c:extLst>
            <c:ext xmlns:c16="http://schemas.microsoft.com/office/drawing/2014/chart" uri="{C3380CC4-5D6E-409C-BE32-E72D297353CC}">
              <c16:uniqueId val="{00000000-BF84-4AC0-A247-DAC4D17E1F1C}"/>
            </c:ext>
          </c:extLst>
        </c:ser>
        <c:ser>
          <c:idx val="1"/>
          <c:order val="1"/>
          <c:tx>
            <c:v>Wheat straw biochar</c:v>
          </c:tx>
          <c:spPr>
            <a:ln w="28575">
              <a:noFill/>
            </a:ln>
          </c:spPr>
          <c:marker>
            <c:symbol val="square"/>
            <c:size val="4"/>
          </c:marker>
          <c:xVal>
            <c:numRef>
              <c:f>Hoja1!$B$2:$B$5</c:f>
              <c:numCache>
                <c:formatCode>General</c:formatCode>
                <c:ptCount val="4"/>
                <c:pt idx="0">
                  <c:v>200</c:v>
                </c:pt>
                <c:pt idx="1">
                  <c:v>350</c:v>
                </c:pt>
                <c:pt idx="2">
                  <c:v>500</c:v>
                </c:pt>
                <c:pt idx="3">
                  <c:v>650</c:v>
                </c:pt>
              </c:numCache>
            </c:numRef>
          </c:xVal>
          <c:yVal>
            <c:numRef>
              <c:f>Hoja1!$G$6:$G$9</c:f>
              <c:numCache>
                <c:formatCode>General</c:formatCode>
                <c:ptCount val="4"/>
                <c:pt idx="0">
                  <c:v>5.43</c:v>
                </c:pt>
                <c:pt idx="1">
                  <c:v>8.69</c:v>
                </c:pt>
                <c:pt idx="2">
                  <c:v>10.199999999999999</c:v>
                </c:pt>
                <c:pt idx="3">
                  <c:v>10.199999999999999</c:v>
                </c:pt>
              </c:numCache>
            </c:numRef>
          </c:yVal>
          <c:smooth val="0"/>
          <c:extLst>
            <c:ext xmlns:c16="http://schemas.microsoft.com/office/drawing/2014/chart" uri="{C3380CC4-5D6E-409C-BE32-E72D297353CC}">
              <c16:uniqueId val="{00000001-BF84-4AC0-A247-DAC4D17E1F1C}"/>
            </c:ext>
          </c:extLst>
        </c:ser>
        <c:dLbls>
          <c:showLegendKey val="0"/>
          <c:showVal val="0"/>
          <c:showCatName val="0"/>
          <c:showSerName val="0"/>
          <c:showPercent val="0"/>
          <c:showBubbleSize val="0"/>
        </c:dLbls>
        <c:axId val="318410752"/>
        <c:axId val="318412672"/>
      </c:scatterChart>
      <c:valAx>
        <c:axId val="318410752"/>
        <c:scaling>
          <c:orientation val="minMax"/>
        </c:scaling>
        <c:delete val="0"/>
        <c:axPos val="b"/>
        <c:title>
          <c:tx>
            <c:rich>
              <a:bodyPr/>
              <a:lstStyle/>
              <a:p>
                <a:pPr>
                  <a:defRPr/>
                </a:pPr>
                <a:r>
                  <a:rPr lang="es-ES"/>
                  <a:t>Pyrolysis Temperature </a:t>
                </a:r>
                <a:r>
                  <a:rPr lang="es-ES" sz="1000" b="1" i="0" u="none" strike="noStrike" baseline="0">
                    <a:effectLst/>
                  </a:rPr>
                  <a:t>(°C)</a:t>
                </a:r>
                <a:endParaRPr lang="es-ES"/>
              </a:p>
            </c:rich>
          </c:tx>
          <c:overlay val="0"/>
        </c:title>
        <c:numFmt formatCode="General" sourceLinked="1"/>
        <c:majorTickMark val="out"/>
        <c:minorTickMark val="none"/>
        <c:tickLblPos val="nextTo"/>
        <c:txPr>
          <a:bodyPr/>
          <a:lstStyle/>
          <a:p>
            <a:pPr>
              <a:defRPr sz="700"/>
            </a:pPr>
            <a:endParaRPr lang="en-US"/>
          </a:p>
        </c:txPr>
        <c:crossAx val="318412672"/>
        <c:crosses val="autoZero"/>
        <c:crossBetween val="midCat"/>
      </c:valAx>
      <c:valAx>
        <c:axId val="318412672"/>
        <c:scaling>
          <c:orientation val="minMax"/>
        </c:scaling>
        <c:delete val="0"/>
        <c:axPos val="l"/>
        <c:majorGridlines>
          <c:spPr>
            <a:ln>
              <a:noFill/>
            </a:ln>
          </c:spPr>
        </c:majorGridlines>
        <c:title>
          <c:tx>
            <c:rich>
              <a:bodyPr rot="-5400000" vert="horz"/>
              <a:lstStyle/>
              <a:p>
                <a:pPr>
                  <a:defRPr/>
                </a:pPr>
                <a:r>
                  <a:rPr lang="es-ES"/>
                  <a:t>pH</a:t>
                </a:r>
              </a:p>
            </c:rich>
          </c:tx>
          <c:layout>
            <c:manualLayout>
              <c:xMode val="edge"/>
              <c:yMode val="edge"/>
              <c:x val="0"/>
              <c:y val="0.34794798267670007"/>
            </c:manualLayout>
          </c:layout>
          <c:overlay val="0"/>
        </c:title>
        <c:numFmt formatCode="General" sourceLinked="1"/>
        <c:majorTickMark val="out"/>
        <c:minorTickMark val="none"/>
        <c:tickLblPos val="nextTo"/>
        <c:txPr>
          <a:bodyPr/>
          <a:lstStyle/>
          <a:p>
            <a:pPr>
              <a:defRPr sz="700"/>
            </a:pPr>
            <a:endParaRPr lang="en-US"/>
          </a:p>
        </c:txPr>
        <c:crossAx val="318410752"/>
        <c:crosses val="autoZero"/>
        <c:crossBetween val="midCat"/>
      </c:valAx>
    </c:plotArea>
    <c:legend>
      <c:legendPos val="r"/>
      <c:layout>
        <c:manualLayout>
          <c:xMode val="edge"/>
          <c:yMode val="edge"/>
          <c:x val="0.55777602194189402"/>
          <c:y val="0.64760606558855194"/>
          <c:w val="0.39417050377353358"/>
          <c:h val="0.21498251414982639"/>
        </c:manualLayout>
      </c:layout>
      <c:overlay val="0"/>
      <c:txPr>
        <a:bodyPr/>
        <a:lstStyle/>
        <a:p>
          <a:pPr>
            <a:defRPr sz="800"/>
          </a:pPr>
          <a:endParaRPr lang="en-US"/>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74870053008079"/>
          <c:y val="3.75116652085156E-2"/>
          <c:w val="0.80791059182118363"/>
          <c:h val="0.68180112731810161"/>
        </c:manualLayout>
      </c:layout>
      <c:scatterChart>
        <c:scatterStyle val="lineMarker"/>
        <c:varyColors val="0"/>
        <c:ser>
          <c:idx val="0"/>
          <c:order val="0"/>
          <c:tx>
            <c:v>Pig manure biochar</c:v>
          </c:tx>
          <c:spPr>
            <a:ln w="28575">
              <a:noFill/>
            </a:ln>
          </c:spPr>
          <c:marker>
            <c:symbol val="square"/>
            <c:size val="4"/>
          </c:marker>
          <c:xVal>
            <c:numRef>
              <c:f>Hoja1!$B$2:$B$5</c:f>
              <c:numCache>
                <c:formatCode>General</c:formatCode>
                <c:ptCount val="4"/>
                <c:pt idx="0">
                  <c:v>200</c:v>
                </c:pt>
                <c:pt idx="1">
                  <c:v>350</c:v>
                </c:pt>
                <c:pt idx="2">
                  <c:v>500</c:v>
                </c:pt>
                <c:pt idx="3">
                  <c:v>650</c:v>
                </c:pt>
              </c:numCache>
            </c:numRef>
          </c:xVal>
          <c:yVal>
            <c:numRef>
              <c:f>Hoja1!$I$2:$I$5</c:f>
              <c:numCache>
                <c:formatCode>General</c:formatCode>
                <c:ptCount val="4"/>
                <c:pt idx="0">
                  <c:v>3.59</c:v>
                </c:pt>
                <c:pt idx="1">
                  <c:v>4.26</c:v>
                </c:pt>
                <c:pt idx="2">
                  <c:v>47.4</c:v>
                </c:pt>
                <c:pt idx="3">
                  <c:v>42.4</c:v>
                </c:pt>
              </c:numCache>
            </c:numRef>
          </c:yVal>
          <c:smooth val="0"/>
          <c:extLst>
            <c:ext xmlns:c16="http://schemas.microsoft.com/office/drawing/2014/chart" uri="{C3380CC4-5D6E-409C-BE32-E72D297353CC}">
              <c16:uniqueId val="{00000000-1A7D-4C5A-A840-64931329ED75}"/>
            </c:ext>
          </c:extLst>
        </c:ser>
        <c:ser>
          <c:idx val="1"/>
          <c:order val="1"/>
          <c:tx>
            <c:v>Wheat straw biochar</c:v>
          </c:tx>
          <c:spPr>
            <a:ln w="28575">
              <a:noFill/>
            </a:ln>
          </c:spPr>
          <c:marker>
            <c:symbol val="diamond"/>
            <c:size val="4"/>
          </c:marker>
          <c:xVal>
            <c:numRef>
              <c:f>Hoja1!$B$2:$B$5</c:f>
              <c:numCache>
                <c:formatCode>General</c:formatCode>
                <c:ptCount val="4"/>
                <c:pt idx="0">
                  <c:v>200</c:v>
                </c:pt>
                <c:pt idx="1">
                  <c:v>350</c:v>
                </c:pt>
                <c:pt idx="2">
                  <c:v>500</c:v>
                </c:pt>
                <c:pt idx="3">
                  <c:v>650</c:v>
                </c:pt>
              </c:numCache>
            </c:numRef>
          </c:xVal>
          <c:yVal>
            <c:numRef>
              <c:f>Hoja1!$I$6:$I$9</c:f>
              <c:numCache>
                <c:formatCode>General</c:formatCode>
                <c:ptCount val="4"/>
                <c:pt idx="0">
                  <c:v>2.5299999999999998</c:v>
                </c:pt>
                <c:pt idx="1">
                  <c:v>3.48</c:v>
                </c:pt>
                <c:pt idx="2">
                  <c:v>33.200000000000003</c:v>
                </c:pt>
                <c:pt idx="3">
                  <c:v>182</c:v>
                </c:pt>
              </c:numCache>
            </c:numRef>
          </c:yVal>
          <c:smooth val="0"/>
          <c:extLst>
            <c:ext xmlns:c16="http://schemas.microsoft.com/office/drawing/2014/chart" uri="{C3380CC4-5D6E-409C-BE32-E72D297353CC}">
              <c16:uniqueId val="{00000001-1A7D-4C5A-A840-64931329ED75}"/>
            </c:ext>
          </c:extLst>
        </c:ser>
        <c:dLbls>
          <c:showLegendKey val="0"/>
          <c:showVal val="0"/>
          <c:showCatName val="0"/>
          <c:showSerName val="0"/>
          <c:showPercent val="0"/>
          <c:showBubbleSize val="0"/>
        </c:dLbls>
        <c:axId val="318429824"/>
        <c:axId val="318436096"/>
      </c:scatterChart>
      <c:valAx>
        <c:axId val="318429824"/>
        <c:scaling>
          <c:orientation val="minMax"/>
        </c:scaling>
        <c:delete val="0"/>
        <c:axPos val="b"/>
        <c:title>
          <c:tx>
            <c:rich>
              <a:bodyPr/>
              <a:lstStyle/>
              <a:p>
                <a:pPr>
                  <a:defRPr/>
                </a:pPr>
                <a:r>
                  <a:rPr lang="es-ES"/>
                  <a:t>Pyrolysis</a:t>
                </a:r>
                <a:r>
                  <a:rPr lang="es-ES" baseline="0"/>
                  <a:t> Temperature (</a:t>
                </a:r>
                <a:r>
                  <a:rPr lang="es-ES" baseline="0">
                    <a:latin typeface="Cambria Math" panose="02040503050406030204" pitchFamily="18" charset="0"/>
                    <a:ea typeface="Cambria Math" panose="02040503050406030204" pitchFamily="18" charset="0"/>
                  </a:rPr>
                  <a:t>°C)</a:t>
                </a:r>
                <a:endParaRPr lang="es-ES"/>
              </a:p>
            </c:rich>
          </c:tx>
          <c:overlay val="0"/>
        </c:title>
        <c:numFmt formatCode="General" sourceLinked="1"/>
        <c:majorTickMark val="out"/>
        <c:minorTickMark val="none"/>
        <c:tickLblPos val="nextTo"/>
        <c:crossAx val="318436096"/>
        <c:crosses val="autoZero"/>
        <c:crossBetween val="midCat"/>
      </c:valAx>
      <c:valAx>
        <c:axId val="318436096"/>
        <c:scaling>
          <c:logBase val="10"/>
          <c:orientation val="minMax"/>
        </c:scaling>
        <c:delete val="0"/>
        <c:axPos val="l"/>
        <c:majorGridlines>
          <c:spPr>
            <a:ln>
              <a:noFill/>
            </a:ln>
          </c:spPr>
        </c:majorGridlines>
        <c:title>
          <c:tx>
            <c:rich>
              <a:bodyPr rot="-5400000" vert="horz"/>
              <a:lstStyle/>
              <a:p>
                <a:pPr>
                  <a:defRPr/>
                </a:pPr>
                <a:r>
                  <a:rPr lang="es-ES"/>
                  <a:t>log SA (m</a:t>
                </a:r>
                <a:r>
                  <a:rPr lang="es-ES" baseline="30000"/>
                  <a:t>2</a:t>
                </a:r>
                <a:r>
                  <a:rPr lang="es-ES"/>
                  <a:t>g</a:t>
                </a:r>
                <a:r>
                  <a:rPr lang="es-ES" baseline="30000"/>
                  <a:t>-1</a:t>
                </a:r>
                <a:r>
                  <a:rPr lang="es-ES"/>
                  <a:t>)</a:t>
                </a:r>
              </a:p>
            </c:rich>
          </c:tx>
          <c:layout>
            <c:manualLayout>
              <c:xMode val="edge"/>
              <c:yMode val="edge"/>
              <c:x val="0"/>
              <c:y val="0.26972376403769199"/>
            </c:manualLayout>
          </c:layout>
          <c:overlay val="0"/>
        </c:title>
        <c:numFmt formatCode="General" sourceLinked="1"/>
        <c:majorTickMark val="out"/>
        <c:minorTickMark val="none"/>
        <c:tickLblPos val="nextTo"/>
        <c:crossAx val="318429824"/>
        <c:crosses val="autoZero"/>
        <c:crossBetween val="midCat"/>
      </c:valAx>
      <c:spPr>
        <a:noFill/>
        <a:ln w="25400">
          <a:noFill/>
        </a:ln>
      </c:spPr>
    </c:plotArea>
    <c:legend>
      <c:legendPos val="r"/>
      <c:layout>
        <c:manualLayout>
          <c:xMode val="edge"/>
          <c:yMode val="edge"/>
          <c:x val="0.14921366248137904"/>
          <c:y val="4.978314186136569E-2"/>
          <c:w val="0.5042278498971412"/>
          <c:h val="0.1395964029086528"/>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73366924025007"/>
          <c:y val="5.1400554097404488E-2"/>
          <c:w val="0.78153088840548623"/>
          <c:h val="0.69819593063687557"/>
        </c:manualLayout>
      </c:layout>
      <c:scatterChart>
        <c:scatterStyle val="lineMarker"/>
        <c:varyColors val="0"/>
        <c:ser>
          <c:idx val="0"/>
          <c:order val="0"/>
          <c:tx>
            <c:v>Pig manure biochars</c:v>
          </c:tx>
          <c:spPr>
            <a:ln w="28575">
              <a:noFill/>
            </a:ln>
          </c:spPr>
          <c:marker>
            <c:symbol val="square"/>
            <c:size val="4"/>
          </c:marker>
          <c:xVal>
            <c:numRef>
              <c:f>Hoja1!$B$2:$B$5</c:f>
              <c:numCache>
                <c:formatCode>General</c:formatCode>
                <c:ptCount val="4"/>
                <c:pt idx="0">
                  <c:v>200</c:v>
                </c:pt>
                <c:pt idx="1">
                  <c:v>350</c:v>
                </c:pt>
                <c:pt idx="2">
                  <c:v>500</c:v>
                </c:pt>
                <c:pt idx="3">
                  <c:v>650</c:v>
                </c:pt>
              </c:numCache>
            </c:numRef>
          </c:xVal>
          <c:yVal>
            <c:numRef>
              <c:f>Hoja1!$F$2:$F$5</c:f>
              <c:numCache>
                <c:formatCode>General</c:formatCode>
                <c:ptCount val="4"/>
                <c:pt idx="0">
                  <c:v>35.700000000000003</c:v>
                </c:pt>
                <c:pt idx="1">
                  <c:v>37.200000000000003</c:v>
                </c:pt>
                <c:pt idx="2">
                  <c:v>48.4</c:v>
                </c:pt>
                <c:pt idx="3">
                  <c:v>69.599999999999994</c:v>
                </c:pt>
              </c:numCache>
            </c:numRef>
          </c:yVal>
          <c:smooth val="0"/>
          <c:extLst>
            <c:ext xmlns:c16="http://schemas.microsoft.com/office/drawing/2014/chart" uri="{C3380CC4-5D6E-409C-BE32-E72D297353CC}">
              <c16:uniqueId val="{00000000-E0CD-43BA-88E8-25834A319354}"/>
            </c:ext>
          </c:extLst>
        </c:ser>
        <c:ser>
          <c:idx val="1"/>
          <c:order val="1"/>
          <c:tx>
            <c:v>Wheat straw biochar</c:v>
          </c:tx>
          <c:spPr>
            <a:ln w="28575">
              <a:noFill/>
            </a:ln>
          </c:spPr>
          <c:marker>
            <c:symbol val="diamond"/>
            <c:size val="4"/>
          </c:marker>
          <c:xVal>
            <c:numRef>
              <c:f>Hoja1!$B$2:$B$5</c:f>
              <c:numCache>
                <c:formatCode>General</c:formatCode>
                <c:ptCount val="4"/>
                <c:pt idx="0">
                  <c:v>200</c:v>
                </c:pt>
                <c:pt idx="1">
                  <c:v>350</c:v>
                </c:pt>
                <c:pt idx="2">
                  <c:v>500</c:v>
                </c:pt>
                <c:pt idx="3">
                  <c:v>650</c:v>
                </c:pt>
              </c:numCache>
            </c:numRef>
          </c:xVal>
          <c:yVal>
            <c:numRef>
              <c:f>Hoja1!$F$6:$F$9</c:f>
              <c:numCache>
                <c:formatCode>General</c:formatCode>
                <c:ptCount val="4"/>
                <c:pt idx="0">
                  <c:v>7.21</c:v>
                </c:pt>
                <c:pt idx="1">
                  <c:v>14.7</c:v>
                </c:pt>
                <c:pt idx="2">
                  <c:v>18</c:v>
                </c:pt>
                <c:pt idx="3">
                  <c:v>16.2</c:v>
                </c:pt>
              </c:numCache>
            </c:numRef>
          </c:yVal>
          <c:smooth val="0"/>
          <c:extLst>
            <c:ext xmlns:c16="http://schemas.microsoft.com/office/drawing/2014/chart" uri="{C3380CC4-5D6E-409C-BE32-E72D297353CC}">
              <c16:uniqueId val="{00000001-E0CD-43BA-88E8-25834A319354}"/>
            </c:ext>
          </c:extLst>
        </c:ser>
        <c:dLbls>
          <c:showLegendKey val="0"/>
          <c:showVal val="0"/>
          <c:showCatName val="0"/>
          <c:showSerName val="0"/>
          <c:showPercent val="0"/>
          <c:showBubbleSize val="0"/>
        </c:dLbls>
        <c:axId val="318649856"/>
        <c:axId val="318651776"/>
      </c:scatterChart>
      <c:valAx>
        <c:axId val="318649856"/>
        <c:scaling>
          <c:orientation val="minMax"/>
        </c:scaling>
        <c:delete val="0"/>
        <c:axPos val="b"/>
        <c:title>
          <c:tx>
            <c:rich>
              <a:bodyPr/>
              <a:lstStyle/>
              <a:p>
                <a:pPr>
                  <a:defRPr/>
                </a:pPr>
                <a:r>
                  <a:rPr lang="es-ES"/>
                  <a:t>Pyrolysis Temperature </a:t>
                </a:r>
                <a:r>
                  <a:rPr lang="es-ES" sz="1000" b="1" i="0" u="none" strike="noStrike" baseline="0">
                    <a:effectLst/>
                  </a:rPr>
                  <a:t>(°C)</a:t>
                </a:r>
                <a:endParaRPr lang="es-ES"/>
              </a:p>
            </c:rich>
          </c:tx>
          <c:layout>
            <c:manualLayout>
              <c:xMode val="edge"/>
              <c:yMode val="edge"/>
              <c:x val="0.30081080848500497"/>
              <c:y val="0.89626758193687328"/>
            </c:manualLayout>
          </c:layout>
          <c:overlay val="0"/>
        </c:title>
        <c:numFmt formatCode="General" sourceLinked="1"/>
        <c:majorTickMark val="out"/>
        <c:minorTickMark val="none"/>
        <c:tickLblPos val="nextTo"/>
        <c:crossAx val="318651776"/>
        <c:crosses val="autoZero"/>
        <c:crossBetween val="midCat"/>
      </c:valAx>
      <c:valAx>
        <c:axId val="318651776"/>
        <c:scaling>
          <c:orientation val="minMax"/>
        </c:scaling>
        <c:delete val="0"/>
        <c:axPos val="l"/>
        <c:majorGridlines>
          <c:spPr>
            <a:ln>
              <a:noFill/>
            </a:ln>
          </c:spPr>
        </c:majorGridlines>
        <c:title>
          <c:tx>
            <c:rich>
              <a:bodyPr rot="-5400000" vert="horz"/>
              <a:lstStyle/>
              <a:p>
                <a:pPr>
                  <a:defRPr/>
                </a:pPr>
                <a:r>
                  <a:rPr lang="es-ES"/>
                  <a:t>Ash %</a:t>
                </a:r>
              </a:p>
            </c:rich>
          </c:tx>
          <c:layout>
            <c:manualLayout>
              <c:xMode val="edge"/>
              <c:yMode val="edge"/>
              <c:x val="0"/>
              <c:y val="0.34794798267670007"/>
            </c:manualLayout>
          </c:layout>
          <c:overlay val="0"/>
        </c:title>
        <c:numFmt formatCode="General" sourceLinked="1"/>
        <c:majorTickMark val="out"/>
        <c:minorTickMark val="none"/>
        <c:tickLblPos val="nextTo"/>
        <c:crossAx val="318649856"/>
        <c:crosses val="autoZero"/>
        <c:crossBetween val="midCat"/>
      </c:valAx>
    </c:plotArea>
    <c:legend>
      <c:legendPos val="r"/>
      <c:layout>
        <c:manualLayout>
          <c:xMode val="edge"/>
          <c:yMode val="edge"/>
          <c:x val="0.20995344434404717"/>
          <c:y val="3.8269425624122569E-2"/>
          <c:w val="0.45830730175121553"/>
          <c:h val="0.17777305743758778"/>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CDEFE-783F-4000-BDCF-CFE29B9BC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398182</Words>
  <Characters>2269640</Characters>
  <Application>Microsoft Office Word</Application>
  <DocSecurity>0</DocSecurity>
  <Lines>18913</Lines>
  <Paragraphs>5324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2662498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rosa.soriape@gmail.com</dc:creator>
  <cp:keywords/>
  <dc:description/>
  <cp:lastModifiedBy>rosa.soriape@gmail.com</cp:lastModifiedBy>
  <cp:revision>3</cp:revision>
  <cp:lastPrinted>2021-10-31T03:59:00Z</cp:lastPrinted>
  <dcterms:created xsi:type="dcterms:W3CDTF">2022-04-20T18:36:00Z</dcterms:created>
  <dcterms:modified xsi:type="dcterms:W3CDTF">2022-04-20T18:37:00Z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http://www.zotero.org/styles/bioresource-technology</vt:lpwstr>
  </property>
  <property fmtid="{D5CDD505-2E9C-101B-9397-08002B2CF9AE}" pid="7" name="Mendeley Recent Style Name 2_1">
    <vt:lpwstr>Bioresource Technology</vt:lpwstr>
  </property>
  <property fmtid="{D5CDD505-2E9C-101B-9397-08002B2CF9AE}" pid="8" name="Mendeley Recent Style Id 3_1">
    <vt:lpwstr>http://www.zotero.org/styles/chemosphere</vt:lpwstr>
  </property>
  <property fmtid="{D5CDD505-2E9C-101B-9397-08002B2CF9AE}" pid="9" name="Mendeley Recent Style Name 3_1">
    <vt:lpwstr>Chemosphere</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11th edition - Harvard</vt:lpwstr>
  </property>
  <property fmtid="{D5CDD505-2E9C-101B-9397-08002B2CF9AE}" pid="14" name="Mendeley Recent Style Id 6_1">
    <vt:lpwstr>http://www.zotero.org/styles/elsevier-harvard2</vt:lpwstr>
  </property>
  <property fmtid="{D5CDD505-2E9C-101B-9397-08002B2CF9AE}" pid="15" name="Mendeley Recent Style Name 6_1">
    <vt:lpwstr>Elsevier - Harvard 2</vt:lpwstr>
  </property>
  <property fmtid="{D5CDD505-2E9C-101B-9397-08002B2CF9AE}" pid="16" name="Mendeley Recent Style Id 7_1">
    <vt:lpwstr>http://www.zotero.org/styles/harvard-kings-college-london</vt:lpwstr>
  </property>
  <property fmtid="{D5CDD505-2E9C-101B-9397-08002B2CF9AE}" pid="17" name="Mendeley Recent Style Name 7_1">
    <vt:lpwstr>King's College London - Harvard</vt:lpwstr>
  </property>
  <property fmtid="{D5CDD505-2E9C-101B-9397-08002B2CF9AE}" pid="18" name="Mendeley Recent Style Id 8_1">
    <vt:lpwstr>http://www.zotero.org/styles/science-of-the-total-environment</vt:lpwstr>
  </property>
  <property fmtid="{D5CDD505-2E9C-101B-9397-08002B2CF9AE}" pid="19" name="Mendeley Recent Style Name 8_1">
    <vt:lpwstr>Science of the Total Environment</vt:lpwstr>
  </property>
  <property fmtid="{D5CDD505-2E9C-101B-9397-08002B2CF9AE}" pid="20" name="Mendeley Recent Style Id 9_1">
    <vt:lpwstr>http://www.zotero.org/styles/taylor-and-francis-harvard-v</vt:lpwstr>
  </property>
  <property fmtid="{D5CDD505-2E9C-101B-9397-08002B2CF9AE}" pid="21" name="Mendeley Recent Style Name 9_1">
    <vt:lpwstr>Taylor &amp; Francis - Harvard V</vt:lpwstr>
  </property>
  <property fmtid="{D5CDD505-2E9C-101B-9397-08002B2CF9AE}" pid="22" name="Mendeley Document_1">
    <vt:lpwstr>True</vt:lpwstr>
  </property>
  <property fmtid="{D5CDD505-2E9C-101B-9397-08002B2CF9AE}" pid="23" name="Mendeley Unique User Id_1">
    <vt:lpwstr>6a219d91-9384-343e-881f-3bf246cec7e9</vt:lpwstr>
  </property>
  <property fmtid="{D5CDD505-2E9C-101B-9397-08002B2CF9AE}" pid="24" name="Mendeley Citation Style_1">
    <vt:lpwstr>http://www.zotero.org/styles/elsevier-harvard2</vt:lpwstr>
  </property>
</Properties>
</file>